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AC5" w:rsidRDefault="002D1872" w:rsidP="003D0B7D">
      <w:pPr>
        <w:spacing w:line="360" w:lineRule="auto"/>
        <w:contextualSpacing w:val="0"/>
        <w:rPr>
          <w:rFonts w:ascii="Calibri" w:eastAsia="Calibri" w:hAnsi="Calibri" w:cs="Calibri"/>
          <w:b/>
          <w:sz w:val="24"/>
          <w:szCs w:val="24"/>
        </w:rPr>
      </w:pPr>
      <w:r>
        <w:rPr>
          <w:rFonts w:ascii="Calibri" w:eastAsia="Calibri" w:hAnsi="Calibri" w:cs="Calibri"/>
          <w:b/>
          <w:sz w:val="24"/>
          <w:szCs w:val="24"/>
        </w:rPr>
        <w:t>Section 1 - Literature review</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Owing to Wales’ continued poor PISA performance, especially compared with the home countries in the United Kingdom, the Welsh Government requested that a review of the current education system in the country be reviewed and </w:t>
      </w:r>
      <w:sdt>
        <w:sdtPr>
          <w:rPr>
            <w:rFonts w:ascii="Calibri" w:eastAsia="Calibri" w:hAnsi="Calibri" w:cs="Calibri"/>
            <w:sz w:val="24"/>
            <w:szCs w:val="24"/>
          </w:rPr>
          <w:id w:val="1650404656"/>
          <w:citation/>
        </w:sdtPr>
        <w:sdtEndPr/>
        <w:sdtContent>
          <w:r w:rsidR="009709D8">
            <w:rPr>
              <w:rFonts w:ascii="Calibri" w:eastAsia="Calibri" w:hAnsi="Calibri" w:cs="Calibri"/>
              <w:sz w:val="24"/>
              <w:szCs w:val="24"/>
            </w:rPr>
            <w:fldChar w:fldCharType="begin"/>
          </w:r>
          <w:r w:rsidR="009709D8">
            <w:rPr>
              <w:rFonts w:ascii="Calibri" w:eastAsia="Calibri" w:hAnsi="Calibri" w:cs="Calibri"/>
              <w:sz w:val="24"/>
              <w:szCs w:val="24"/>
            </w:rPr>
            <w:instrText xml:space="preserve">CITATION Don15 \l 2057 </w:instrText>
          </w:r>
          <w:r w:rsidR="009709D8">
            <w:rPr>
              <w:rFonts w:ascii="Calibri" w:eastAsia="Calibri" w:hAnsi="Calibri" w:cs="Calibri"/>
              <w:sz w:val="24"/>
              <w:szCs w:val="24"/>
            </w:rPr>
            <w:fldChar w:fldCharType="separate"/>
          </w:r>
          <w:r w:rsidR="009709D8" w:rsidRPr="009709D8">
            <w:rPr>
              <w:rFonts w:ascii="Calibri" w:eastAsia="Calibri" w:hAnsi="Calibri" w:cs="Calibri"/>
              <w:noProof/>
              <w:sz w:val="24"/>
              <w:szCs w:val="24"/>
            </w:rPr>
            <w:t>(Donaldson, 2015)</w:t>
          </w:r>
          <w:r w:rsidR="009709D8">
            <w:rPr>
              <w:rFonts w:ascii="Calibri" w:eastAsia="Calibri" w:hAnsi="Calibri" w:cs="Calibri"/>
              <w:sz w:val="24"/>
              <w:szCs w:val="24"/>
            </w:rPr>
            <w:fldChar w:fldCharType="end"/>
          </w:r>
        </w:sdtContent>
      </w:sdt>
      <w:r w:rsidR="009709D8">
        <w:rPr>
          <w:rFonts w:ascii="Calibri" w:eastAsia="Calibri" w:hAnsi="Calibri" w:cs="Calibri"/>
          <w:sz w:val="24"/>
          <w:szCs w:val="24"/>
        </w:rPr>
        <w:t xml:space="preserve"> </w:t>
      </w:r>
      <w:r>
        <w:rPr>
          <w:rFonts w:ascii="Calibri" w:eastAsia="Calibri" w:hAnsi="Calibri" w:cs="Calibri"/>
          <w:sz w:val="24"/>
          <w:szCs w:val="24"/>
        </w:rPr>
        <w:t xml:space="preserve">produced 68 recommendations to be considered in the creation of the new ‘Curriculum for Wales’, all of which were readily accepted by the Welsh Government at the time.  As all learning establishments and teaching staff differ in their approaches to teaching and how the current curriculum is delivered, it is vital that the recommendations are studied closely for them to be explored during this somewhat experimental period of transition between curricula. </w:t>
      </w:r>
      <w:r w:rsidR="005710B8">
        <w:rPr>
          <w:rFonts w:ascii="Calibri" w:eastAsia="Calibri" w:hAnsi="Calibri" w:cs="Calibri"/>
          <w:sz w:val="24"/>
          <w:szCs w:val="24"/>
        </w:rPr>
        <w:t xml:space="preserve"> In his review </w:t>
      </w:r>
      <w:sdt>
        <w:sdtPr>
          <w:rPr>
            <w:rFonts w:ascii="Calibri" w:eastAsia="Calibri" w:hAnsi="Calibri" w:cs="Calibri"/>
            <w:sz w:val="24"/>
            <w:szCs w:val="24"/>
          </w:rPr>
          <w:id w:val="-1935352288"/>
          <w:citation/>
        </w:sdtPr>
        <w:sdtEndPr/>
        <w:sdtContent>
          <w:r w:rsidR="005710B8">
            <w:rPr>
              <w:rFonts w:ascii="Calibri" w:eastAsia="Calibri" w:hAnsi="Calibri" w:cs="Calibri"/>
              <w:sz w:val="24"/>
              <w:szCs w:val="24"/>
            </w:rPr>
            <w:fldChar w:fldCharType="begin"/>
          </w:r>
          <w:r w:rsidR="005710B8">
            <w:rPr>
              <w:rFonts w:ascii="Calibri" w:eastAsia="Calibri" w:hAnsi="Calibri" w:cs="Calibri"/>
              <w:sz w:val="24"/>
              <w:szCs w:val="24"/>
            </w:rPr>
            <w:instrText xml:space="preserve"> CITATION Don15 \l 2057 </w:instrText>
          </w:r>
          <w:r w:rsidR="005710B8">
            <w:rPr>
              <w:rFonts w:ascii="Calibri" w:eastAsia="Calibri" w:hAnsi="Calibri" w:cs="Calibri"/>
              <w:sz w:val="24"/>
              <w:szCs w:val="24"/>
            </w:rPr>
            <w:fldChar w:fldCharType="separate"/>
          </w:r>
          <w:r w:rsidR="005710B8" w:rsidRPr="005710B8">
            <w:rPr>
              <w:rFonts w:ascii="Calibri" w:eastAsia="Calibri" w:hAnsi="Calibri" w:cs="Calibri"/>
              <w:noProof/>
              <w:sz w:val="24"/>
              <w:szCs w:val="24"/>
            </w:rPr>
            <w:t>(Donaldson, 2015)</w:t>
          </w:r>
          <w:r w:rsidR="005710B8">
            <w:rPr>
              <w:rFonts w:ascii="Calibri" w:eastAsia="Calibri" w:hAnsi="Calibri" w:cs="Calibri"/>
              <w:sz w:val="24"/>
              <w:szCs w:val="24"/>
            </w:rPr>
            <w:fldChar w:fldCharType="end"/>
          </w:r>
        </w:sdtContent>
      </w:sdt>
      <w:r w:rsidR="005710B8">
        <w:rPr>
          <w:rFonts w:ascii="Calibri" w:eastAsia="Calibri" w:hAnsi="Calibri" w:cs="Calibri"/>
          <w:sz w:val="24"/>
          <w:szCs w:val="24"/>
        </w:rPr>
        <w:t xml:space="preserve"> </w:t>
      </w:r>
      <w:r>
        <w:rPr>
          <w:rFonts w:ascii="Calibri" w:eastAsia="Calibri" w:hAnsi="Calibri" w:cs="Calibri"/>
          <w:sz w:val="24"/>
          <w:szCs w:val="24"/>
        </w:rPr>
        <w:t>produced 3 recommendations focussing directly on pedagogy, these being:</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ind w:left="720"/>
        <w:contextualSpacing w:val="0"/>
        <w:rPr>
          <w:rFonts w:ascii="Calibri" w:eastAsia="Calibri" w:hAnsi="Calibri" w:cs="Calibri"/>
          <w:sz w:val="24"/>
          <w:szCs w:val="24"/>
        </w:rPr>
      </w:pPr>
      <w:r>
        <w:rPr>
          <w:rFonts w:ascii="Calibri" w:eastAsia="Calibri" w:hAnsi="Calibri" w:cs="Calibri"/>
          <w:sz w:val="24"/>
          <w:szCs w:val="24"/>
        </w:rPr>
        <w:t>‘32. All teaching and learning should be directed to achieving the four curriculum purposes.</w:t>
      </w:r>
    </w:p>
    <w:p w:rsidR="00355AC5" w:rsidRDefault="002D1872" w:rsidP="003D0B7D">
      <w:pPr>
        <w:spacing w:line="360" w:lineRule="auto"/>
        <w:ind w:left="720"/>
        <w:contextualSpacing w:val="0"/>
        <w:rPr>
          <w:rFonts w:ascii="Calibri" w:eastAsia="Calibri" w:hAnsi="Calibri" w:cs="Calibri"/>
          <w:sz w:val="24"/>
          <w:szCs w:val="24"/>
        </w:rPr>
      </w:pPr>
      <w:r>
        <w:rPr>
          <w:rFonts w:ascii="Calibri" w:eastAsia="Calibri" w:hAnsi="Calibri" w:cs="Calibri"/>
          <w:sz w:val="24"/>
          <w:szCs w:val="24"/>
        </w:rPr>
        <w:t>33. Teachers should apply the pedagogical principles identified in this report when planning their teaching and learning, to ensure that the activities relate directly to the curriculum purposes.</w:t>
      </w:r>
    </w:p>
    <w:p w:rsidR="00355AC5" w:rsidRDefault="002D1872" w:rsidP="003D0B7D">
      <w:pPr>
        <w:spacing w:line="360" w:lineRule="auto"/>
        <w:ind w:left="720"/>
        <w:contextualSpacing w:val="0"/>
        <w:rPr>
          <w:rFonts w:ascii="Calibri" w:eastAsia="Calibri" w:hAnsi="Calibri" w:cs="Calibri"/>
          <w:sz w:val="24"/>
          <w:szCs w:val="24"/>
        </w:rPr>
      </w:pPr>
      <w:r>
        <w:rPr>
          <w:rFonts w:ascii="Calibri" w:eastAsia="Calibri" w:hAnsi="Calibri" w:cs="Calibri"/>
          <w:sz w:val="24"/>
          <w:szCs w:val="24"/>
        </w:rPr>
        <w:t>34. Children and young people should have opportunities to learn from expertise and experience from outside the school.’</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Recommendation 32 refers directly to four core curriculum purposes and these have been set as the children becoming:</w:t>
      </w:r>
    </w:p>
    <w:p w:rsidR="00355AC5" w:rsidRDefault="00355AC5" w:rsidP="003D0B7D">
      <w:pPr>
        <w:spacing w:line="360" w:lineRule="auto"/>
        <w:ind w:left="720"/>
        <w:contextualSpacing w:val="0"/>
        <w:rPr>
          <w:rFonts w:ascii="Calibri" w:eastAsia="Calibri" w:hAnsi="Calibri" w:cs="Calibri"/>
          <w:sz w:val="24"/>
          <w:szCs w:val="24"/>
        </w:rPr>
      </w:pPr>
    </w:p>
    <w:p w:rsidR="00355AC5" w:rsidRDefault="002D1872" w:rsidP="003D0B7D">
      <w:pPr>
        <w:spacing w:line="360" w:lineRule="auto"/>
        <w:ind w:left="720"/>
        <w:contextualSpacing w:val="0"/>
        <w:rPr>
          <w:rFonts w:ascii="Calibri" w:eastAsia="Calibri" w:hAnsi="Calibri" w:cs="Calibri"/>
          <w:sz w:val="24"/>
          <w:szCs w:val="24"/>
        </w:rPr>
      </w:pPr>
      <w:r>
        <w:rPr>
          <w:rFonts w:ascii="Calibri" w:eastAsia="Calibri" w:hAnsi="Calibri" w:cs="Calibri"/>
          <w:sz w:val="24"/>
          <w:szCs w:val="24"/>
        </w:rPr>
        <w:t>Ambitious, capable learners - ready to learn throughout their lives.</w:t>
      </w:r>
    </w:p>
    <w:p w:rsidR="00355AC5" w:rsidRDefault="002D1872" w:rsidP="003D0B7D">
      <w:pPr>
        <w:spacing w:line="360" w:lineRule="auto"/>
        <w:ind w:left="720"/>
        <w:contextualSpacing w:val="0"/>
        <w:rPr>
          <w:rFonts w:ascii="Calibri" w:eastAsia="Calibri" w:hAnsi="Calibri" w:cs="Calibri"/>
          <w:sz w:val="24"/>
          <w:szCs w:val="24"/>
        </w:rPr>
      </w:pPr>
      <w:r>
        <w:rPr>
          <w:rFonts w:ascii="Calibri" w:eastAsia="Calibri" w:hAnsi="Calibri" w:cs="Calibri"/>
          <w:sz w:val="24"/>
          <w:szCs w:val="24"/>
        </w:rPr>
        <w:t>Healthy, confident individuals - ready to lead fulfilling lives as valued members of society.</w:t>
      </w:r>
    </w:p>
    <w:p w:rsidR="00355AC5" w:rsidRDefault="002D1872" w:rsidP="003D0B7D">
      <w:pPr>
        <w:spacing w:line="360" w:lineRule="auto"/>
        <w:ind w:left="720"/>
        <w:contextualSpacing w:val="0"/>
        <w:rPr>
          <w:rFonts w:ascii="Calibri" w:eastAsia="Calibri" w:hAnsi="Calibri" w:cs="Calibri"/>
          <w:sz w:val="24"/>
          <w:szCs w:val="24"/>
        </w:rPr>
      </w:pPr>
      <w:r>
        <w:rPr>
          <w:rFonts w:ascii="Calibri" w:eastAsia="Calibri" w:hAnsi="Calibri" w:cs="Calibri"/>
          <w:sz w:val="24"/>
          <w:szCs w:val="24"/>
        </w:rPr>
        <w:t>Enterprising, creative contributors - ready to play a full part in life and work.</w:t>
      </w:r>
    </w:p>
    <w:p w:rsidR="00355AC5" w:rsidRDefault="002D1872" w:rsidP="003D0B7D">
      <w:pPr>
        <w:spacing w:line="360" w:lineRule="auto"/>
        <w:ind w:left="720"/>
        <w:contextualSpacing w:val="0"/>
        <w:rPr>
          <w:rFonts w:ascii="Calibri" w:eastAsia="Calibri" w:hAnsi="Calibri" w:cs="Calibri"/>
          <w:sz w:val="24"/>
          <w:szCs w:val="24"/>
        </w:rPr>
      </w:pPr>
      <w:r>
        <w:rPr>
          <w:rFonts w:ascii="Calibri" w:eastAsia="Calibri" w:hAnsi="Calibri" w:cs="Calibri"/>
          <w:sz w:val="24"/>
          <w:szCs w:val="24"/>
        </w:rPr>
        <w:t>Ethical, informed citizens - ready to be citizens of Wales and the world.</w:t>
      </w:r>
    </w:p>
    <w:p w:rsidR="00355AC5" w:rsidRDefault="00355AC5" w:rsidP="003D0B7D">
      <w:pPr>
        <w:spacing w:line="360" w:lineRule="auto"/>
        <w:contextualSpacing w:val="0"/>
        <w:rPr>
          <w:rFonts w:ascii="Calibri" w:eastAsia="Calibri" w:hAnsi="Calibri" w:cs="Calibri"/>
          <w:sz w:val="24"/>
          <w:szCs w:val="24"/>
          <w:highlight w:val="cyan"/>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Basing a curriculum around key principles is not a new concept as many other countries who have already undertaken their own curricula reform have also chosen to follow this route, with Scotland, Northern Ireland and New Zealand included to name a few.  Despite making changes in the curriculum, successes have been inconsistent due to the method of implementation in all education establishments in the countries and </w:t>
      </w:r>
      <w:r>
        <w:rPr>
          <w:rFonts w:ascii="Calibri" w:eastAsia="Calibri" w:hAnsi="Calibri" w:cs="Calibri"/>
          <w:sz w:val="24"/>
          <w:szCs w:val="24"/>
        </w:rPr>
        <w:lastRenderedPageBreak/>
        <w:t xml:space="preserve">the manner of delivery in the classrooms.  Using Scotland as an example, </w:t>
      </w:r>
      <w:sdt>
        <w:sdtPr>
          <w:rPr>
            <w:rFonts w:ascii="Calibri" w:eastAsia="Calibri" w:hAnsi="Calibri" w:cs="Calibri"/>
            <w:sz w:val="24"/>
            <w:szCs w:val="24"/>
          </w:rPr>
          <w:id w:val="-566190683"/>
          <w:citation/>
        </w:sdtPr>
        <w:sdtEndPr/>
        <w:sdtContent>
          <w:r w:rsidR="005710B8">
            <w:rPr>
              <w:rFonts w:ascii="Calibri" w:eastAsia="Calibri" w:hAnsi="Calibri" w:cs="Calibri"/>
              <w:sz w:val="24"/>
              <w:szCs w:val="24"/>
            </w:rPr>
            <w:fldChar w:fldCharType="begin"/>
          </w:r>
          <w:r w:rsidR="005710B8">
            <w:rPr>
              <w:rFonts w:ascii="Calibri" w:eastAsia="Calibri" w:hAnsi="Calibri" w:cs="Calibri"/>
              <w:sz w:val="24"/>
              <w:szCs w:val="24"/>
            </w:rPr>
            <w:instrText xml:space="preserve"> CITATION Pri13 \l 2057 </w:instrText>
          </w:r>
          <w:r w:rsidR="005710B8">
            <w:rPr>
              <w:rFonts w:ascii="Calibri" w:eastAsia="Calibri" w:hAnsi="Calibri" w:cs="Calibri"/>
              <w:sz w:val="24"/>
              <w:szCs w:val="24"/>
            </w:rPr>
            <w:fldChar w:fldCharType="separate"/>
          </w:r>
          <w:r w:rsidR="005710B8" w:rsidRPr="005710B8">
            <w:rPr>
              <w:rFonts w:ascii="Calibri" w:eastAsia="Calibri" w:hAnsi="Calibri" w:cs="Calibri"/>
              <w:noProof/>
              <w:sz w:val="24"/>
              <w:szCs w:val="24"/>
            </w:rPr>
            <w:t>(Priestly &amp; Minty, 2013)</w:t>
          </w:r>
          <w:r w:rsidR="005710B8">
            <w:rPr>
              <w:rFonts w:ascii="Calibri" w:eastAsia="Calibri" w:hAnsi="Calibri" w:cs="Calibri"/>
              <w:sz w:val="24"/>
              <w:szCs w:val="24"/>
            </w:rPr>
            <w:fldChar w:fldCharType="end"/>
          </w:r>
        </w:sdtContent>
      </w:sdt>
      <w:r w:rsidR="005710B8">
        <w:rPr>
          <w:rFonts w:ascii="Calibri" w:eastAsia="Calibri" w:hAnsi="Calibri" w:cs="Calibri"/>
          <w:sz w:val="24"/>
          <w:szCs w:val="24"/>
        </w:rPr>
        <w:t xml:space="preserve"> </w:t>
      </w:r>
      <w:r>
        <w:rPr>
          <w:rFonts w:ascii="Calibri" w:eastAsia="Calibri" w:hAnsi="Calibri" w:cs="Calibri"/>
          <w:sz w:val="24"/>
          <w:szCs w:val="24"/>
        </w:rPr>
        <w:t xml:space="preserve">conducted a study across one local authority, a relatively small research pool considering the 32 in the country.  From the study, </w:t>
      </w:r>
      <w:sdt>
        <w:sdtPr>
          <w:rPr>
            <w:rFonts w:ascii="Calibri" w:eastAsia="Calibri" w:hAnsi="Calibri" w:cs="Calibri"/>
            <w:sz w:val="24"/>
            <w:szCs w:val="24"/>
          </w:rPr>
          <w:id w:val="230823238"/>
          <w:citation/>
        </w:sdtPr>
        <w:sdtEndPr/>
        <w:sdtContent>
          <w:r w:rsidR="0051264D">
            <w:rPr>
              <w:rFonts w:ascii="Calibri" w:eastAsia="Calibri" w:hAnsi="Calibri" w:cs="Calibri"/>
              <w:sz w:val="24"/>
              <w:szCs w:val="24"/>
            </w:rPr>
            <w:fldChar w:fldCharType="begin"/>
          </w:r>
          <w:r w:rsidR="0051264D">
            <w:rPr>
              <w:rFonts w:ascii="Calibri" w:eastAsia="Calibri" w:hAnsi="Calibri" w:cs="Calibri"/>
              <w:sz w:val="24"/>
              <w:szCs w:val="24"/>
            </w:rPr>
            <w:instrText xml:space="preserve"> CITATION Pri13 \l 2057 </w:instrText>
          </w:r>
          <w:r w:rsidR="0051264D">
            <w:rPr>
              <w:rFonts w:ascii="Calibri" w:eastAsia="Calibri" w:hAnsi="Calibri" w:cs="Calibri"/>
              <w:sz w:val="24"/>
              <w:szCs w:val="24"/>
            </w:rPr>
            <w:fldChar w:fldCharType="separate"/>
          </w:r>
          <w:r w:rsidR="0051264D" w:rsidRPr="0051264D">
            <w:rPr>
              <w:rFonts w:ascii="Calibri" w:eastAsia="Calibri" w:hAnsi="Calibri" w:cs="Calibri"/>
              <w:noProof/>
              <w:sz w:val="24"/>
              <w:szCs w:val="24"/>
            </w:rPr>
            <w:t>(Priestly &amp; Minty, 2013)</w:t>
          </w:r>
          <w:r w:rsidR="0051264D">
            <w:rPr>
              <w:rFonts w:ascii="Calibri" w:eastAsia="Calibri" w:hAnsi="Calibri" w:cs="Calibri"/>
              <w:sz w:val="24"/>
              <w:szCs w:val="24"/>
            </w:rPr>
            <w:fldChar w:fldCharType="end"/>
          </w:r>
        </w:sdtContent>
      </w:sdt>
      <w:r w:rsidR="0051264D">
        <w:rPr>
          <w:rFonts w:ascii="Calibri" w:eastAsia="Calibri" w:hAnsi="Calibri" w:cs="Calibri"/>
          <w:sz w:val="24"/>
          <w:szCs w:val="24"/>
        </w:rPr>
        <w:t xml:space="preserve"> </w:t>
      </w:r>
      <w:r>
        <w:rPr>
          <w:rFonts w:ascii="Calibri" w:eastAsia="Calibri" w:hAnsi="Calibri" w:cs="Calibri"/>
          <w:sz w:val="24"/>
          <w:szCs w:val="24"/>
        </w:rPr>
        <w:t>concluded that the Curriculum for Excellence was being implemented by all schools but with great variation, lacking consistency in both the pace of change and the success of the changes made.  These findings highlighted a positive as changes were being made since the implementation of the curriculum in August 2010, noting that schools and teachers had been adapting to the new curriculum, however the overall success of the Curriculum for Excellence being found was inconsistent.  With the aim of the new curriculum being to improve overall standards in learning experiences and achievement, developing the readiness of the learners for the world in which they will be working, this again leaves a negative outlook on the success of the curriculum as the latest PISA results from 2015</w:t>
      </w:r>
      <w:r w:rsidR="0051264D">
        <w:rPr>
          <w:rFonts w:ascii="Calibri" w:eastAsia="Calibri" w:hAnsi="Calibri" w:cs="Calibri"/>
          <w:sz w:val="24"/>
          <w:szCs w:val="24"/>
        </w:rPr>
        <w:t xml:space="preserve"> </w:t>
      </w:r>
      <w:sdt>
        <w:sdtPr>
          <w:rPr>
            <w:rFonts w:ascii="Calibri" w:eastAsia="Calibri" w:hAnsi="Calibri" w:cs="Calibri"/>
            <w:sz w:val="24"/>
            <w:szCs w:val="24"/>
          </w:rPr>
          <w:id w:val="-210340292"/>
          <w:citation/>
        </w:sdtPr>
        <w:sdtEndPr/>
        <w:sdtContent>
          <w:r w:rsidR="0051264D">
            <w:rPr>
              <w:rFonts w:ascii="Calibri" w:eastAsia="Calibri" w:hAnsi="Calibri" w:cs="Calibri"/>
              <w:sz w:val="24"/>
              <w:szCs w:val="24"/>
            </w:rPr>
            <w:fldChar w:fldCharType="begin"/>
          </w:r>
          <w:r w:rsidR="0051264D">
            <w:rPr>
              <w:rFonts w:ascii="Calibri" w:eastAsia="Calibri" w:hAnsi="Calibri" w:cs="Calibri"/>
              <w:sz w:val="24"/>
              <w:szCs w:val="24"/>
            </w:rPr>
            <w:instrText xml:space="preserve"> CITATION Sco16 \l 2057 </w:instrText>
          </w:r>
          <w:r w:rsidR="0051264D">
            <w:rPr>
              <w:rFonts w:ascii="Calibri" w:eastAsia="Calibri" w:hAnsi="Calibri" w:cs="Calibri"/>
              <w:sz w:val="24"/>
              <w:szCs w:val="24"/>
            </w:rPr>
            <w:fldChar w:fldCharType="separate"/>
          </w:r>
          <w:r w:rsidR="0051264D" w:rsidRPr="0051264D">
            <w:rPr>
              <w:rFonts w:ascii="Calibri" w:eastAsia="Calibri" w:hAnsi="Calibri" w:cs="Calibri"/>
              <w:noProof/>
              <w:sz w:val="24"/>
              <w:szCs w:val="24"/>
            </w:rPr>
            <w:t>(Government, 2016)</w:t>
          </w:r>
          <w:r w:rsidR="0051264D">
            <w:rPr>
              <w:rFonts w:ascii="Calibri" w:eastAsia="Calibri" w:hAnsi="Calibri" w:cs="Calibri"/>
              <w:sz w:val="24"/>
              <w:szCs w:val="24"/>
            </w:rPr>
            <w:fldChar w:fldCharType="end"/>
          </w:r>
        </w:sdtContent>
      </w:sdt>
      <w:r>
        <w:rPr>
          <w:rFonts w:ascii="Calibri" w:eastAsia="Calibri" w:hAnsi="Calibri" w:cs="Calibri"/>
          <w:sz w:val="24"/>
          <w:szCs w:val="24"/>
        </w:rPr>
        <w:t xml:space="preserve"> saw Scotland achieve average in the three categories tested (reading, maths and science) for the first time, maintaining the maths result from 2012 but declining in achievement in reading and science.  These findings and comparisons in results over the years go to prove that curricula reform does not guarantee success in improving results, or even maintaining current results, presenting a major issue for Wales in the lead up to curriculum reform; how do the educational establishments in Wales implement the Curriculum for Wales successfully from the date of compulsory use (September 2022 for Nursery to Year 7 and Year 8 to 11 from 2023 to 2026)?</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For the Curriculum for Wales to be an overwhelming success, as all in the profession would want, the four agreed curriculum purposes need to be embedded in general classroom practice and discussed with the learners daily.  Through this daily discussion the learners will become familiar with not only the language used but in understanding what the aim of the purposes are, reinforcing the activities they will be taking, or have taken, part in, establishing the purposefulness of the activity and learning that has taken place.  While many teachers will already feel they are fulfilling these purposes in their teaching, and there will be teachers who are, unless these purposes are being shared with the learners in regular dialogue the impact of the activity may be lost.</w:t>
      </w:r>
    </w:p>
    <w:p w:rsidR="00355AC5" w:rsidRDefault="00355AC5" w:rsidP="003D0B7D">
      <w:pPr>
        <w:spacing w:line="360" w:lineRule="auto"/>
        <w:contextualSpacing w:val="0"/>
        <w:rPr>
          <w:rFonts w:ascii="Calibri" w:eastAsia="Calibri" w:hAnsi="Calibri" w:cs="Calibri"/>
          <w:sz w:val="24"/>
          <w:szCs w:val="24"/>
        </w:rPr>
      </w:pPr>
    </w:p>
    <w:p w:rsidR="00FB1646"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Previously, many teachers will have been trained in delivering 3-part lessons consisting of an introduction, main activity and plenary, with this method being utilised </w:t>
      </w:r>
      <w:r>
        <w:rPr>
          <w:rFonts w:ascii="Calibri" w:eastAsia="Calibri" w:hAnsi="Calibri" w:cs="Calibri"/>
          <w:sz w:val="24"/>
          <w:szCs w:val="24"/>
        </w:rPr>
        <w:lastRenderedPageBreak/>
        <w:t xml:space="preserve">successfully under previous curriculum aims.  Whilst teachers may still find this method appropriate for their learners, the overall </w:t>
      </w:r>
      <w:r w:rsidR="00703734">
        <w:rPr>
          <w:rFonts w:ascii="Calibri" w:eastAsia="Calibri" w:hAnsi="Calibri" w:cs="Calibri"/>
          <w:sz w:val="24"/>
          <w:szCs w:val="24"/>
        </w:rPr>
        <w:t>effect</w:t>
      </w:r>
      <w:r>
        <w:rPr>
          <w:rFonts w:ascii="Calibri" w:eastAsia="Calibri" w:hAnsi="Calibri" w:cs="Calibri"/>
          <w:sz w:val="24"/>
          <w:szCs w:val="24"/>
        </w:rPr>
        <w:t xml:space="preserve"> on the use and impact of the curriculum, in particular the core purposes, may not be as positive as it could be should other methods of delivery be used.  Due to the aim of making the curriculum purposeful, skills can be introduced and allow learners time to practise and develop their use of these, then an activity can be introduced for the learners to use this skill in a purposeful context, with the learners then progressing through the activity; this potentially making the delivery of the learning a four or five-part lesson, often with mini-plenaries </w:t>
      </w:r>
      <w:r w:rsidR="00703734">
        <w:rPr>
          <w:rFonts w:ascii="Calibri" w:eastAsia="Calibri" w:hAnsi="Calibri" w:cs="Calibri"/>
          <w:sz w:val="24"/>
          <w:szCs w:val="24"/>
        </w:rPr>
        <w:t>in-between</w:t>
      </w:r>
      <w:r>
        <w:rPr>
          <w:rFonts w:ascii="Calibri" w:eastAsia="Calibri" w:hAnsi="Calibri" w:cs="Calibri"/>
          <w:sz w:val="24"/>
          <w:szCs w:val="24"/>
        </w:rPr>
        <w:t xml:space="preserve"> to monitor the understanding and learning taking place.  During the Successful Futures review, </w:t>
      </w:r>
      <w:sdt>
        <w:sdtPr>
          <w:rPr>
            <w:rFonts w:ascii="Calibri" w:eastAsia="Calibri" w:hAnsi="Calibri" w:cs="Calibri"/>
            <w:sz w:val="24"/>
            <w:szCs w:val="24"/>
          </w:rPr>
          <w:id w:val="-1403135348"/>
          <w:citation/>
        </w:sdtPr>
        <w:sdtEndPr/>
        <w:sdtContent>
          <w:r w:rsidR="0051264D">
            <w:rPr>
              <w:rFonts w:ascii="Calibri" w:eastAsia="Calibri" w:hAnsi="Calibri" w:cs="Calibri"/>
              <w:sz w:val="24"/>
              <w:szCs w:val="24"/>
            </w:rPr>
            <w:fldChar w:fldCharType="begin"/>
          </w:r>
          <w:r w:rsidR="0051264D">
            <w:rPr>
              <w:rFonts w:ascii="Calibri" w:eastAsia="Calibri" w:hAnsi="Calibri" w:cs="Calibri"/>
              <w:sz w:val="24"/>
              <w:szCs w:val="24"/>
            </w:rPr>
            <w:instrText xml:space="preserve"> CITATION Don1563 \l 2057 </w:instrText>
          </w:r>
          <w:r w:rsidR="0051264D">
            <w:rPr>
              <w:rFonts w:ascii="Calibri" w:eastAsia="Calibri" w:hAnsi="Calibri" w:cs="Calibri"/>
              <w:sz w:val="24"/>
              <w:szCs w:val="24"/>
            </w:rPr>
            <w:fldChar w:fldCharType="separate"/>
          </w:r>
          <w:r w:rsidR="0051264D" w:rsidRPr="0051264D">
            <w:rPr>
              <w:rFonts w:ascii="Calibri" w:eastAsia="Calibri" w:hAnsi="Calibri" w:cs="Calibri"/>
              <w:noProof/>
              <w:sz w:val="24"/>
              <w:szCs w:val="24"/>
            </w:rPr>
            <w:t>(Donaldson G. , 2015)</w:t>
          </w:r>
          <w:r w:rsidR="0051264D">
            <w:rPr>
              <w:rFonts w:ascii="Calibri" w:eastAsia="Calibri" w:hAnsi="Calibri" w:cs="Calibri"/>
              <w:sz w:val="24"/>
              <w:szCs w:val="24"/>
            </w:rPr>
            <w:fldChar w:fldCharType="end"/>
          </w:r>
        </w:sdtContent>
      </w:sdt>
      <w:r>
        <w:rPr>
          <w:rFonts w:ascii="Calibri" w:eastAsia="Calibri" w:hAnsi="Calibri" w:cs="Calibri"/>
          <w:sz w:val="24"/>
          <w:szCs w:val="24"/>
        </w:rPr>
        <w:t xml:space="preserve"> did not deem it appropriate to provide detailed, prescriptive methods to effectively deliver the new curriculum that he foresaw, adding ‘decisions about teaching and learning are very context and purpose specific, and</w:t>
      </w:r>
      <w:r w:rsidR="00FB1646">
        <w:rPr>
          <w:rFonts w:ascii="Calibri" w:eastAsia="Calibri" w:hAnsi="Calibri" w:cs="Calibri"/>
          <w:sz w:val="24"/>
          <w:szCs w:val="24"/>
        </w:rPr>
        <w:t xml:space="preserve"> </w:t>
      </w:r>
      <w:r>
        <w:rPr>
          <w:rFonts w:ascii="Calibri" w:eastAsia="Calibri" w:hAnsi="Calibri" w:cs="Calibri"/>
          <w:sz w:val="24"/>
          <w:szCs w:val="24"/>
        </w:rPr>
        <w:t>are best taken by teachers themselves’, however he did state that elements of good teaching include: ‘subject and methodological expertise; sound classroom craft skills; an understanding of the social and psychological factors that influence learning; and the ability to excite and inspire children to want to learn and to be able to learn independently’.  These elements are recorded in very technical vocabulary and can require further explanation</w:t>
      </w:r>
      <w:r w:rsidR="00FB1646">
        <w:rPr>
          <w:rFonts w:ascii="Calibri" w:eastAsia="Calibri" w:hAnsi="Calibri" w:cs="Calibri"/>
          <w:sz w:val="24"/>
          <w:szCs w:val="24"/>
        </w:rPr>
        <w:t xml:space="preserve"> for ease of interpretation</w:t>
      </w:r>
      <w:r>
        <w:rPr>
          <w:rFonts w:ascii="Calibri" w:eastAsia="Calibri" w:hAnsi="Calibri" w:cs="Calibri"/>
          <w:sz w:val="24"/>
          <w:szCs w:val="24"/>
        </w:rPr>
        <w:t xml:space="preserve">.  </w:t>
      </w:r>
      <w:sdt>
        <w:sdtPr>
          <w:rPr>
            <w:rFonts w:ascii="Calibri" w:eastAsia="Calibri" w:hAnsi="Calibri" w:cs="Calibri"/>
            <w:sz w:val="24"/>
            <w:szCs w:val="24"/>
          </w:rPr>
          <w:id w:val="-1362586344"/>
          <w:citation/>
        </w:sdtPr>
        <w:sdtEndPr/>
        <w:sdtContent>
          <w:r w:rsidR="0051264D">
            <w:rPr>
              <w:rFonts w:ascii="Calibri" w:eastAsia="Calibri" w:hAnsi="Calibri" w:cs="Calibri"/>
              <w:sz w:val="24"/>
              <w:szCs w:val="24"/>
            </w:rPr>
            <w:fldChar w:fldCharType="begin"/>
          </w:r>
          <w:r w:rsidR="00406317">
            <w:rPr>
              <w:rFonts w:ascii="Calibri" w:eastAsia="Calibri" w:hAnsi="Calibri" w:cs="Calibri"/>
              <w:sz w:val="24"/>
              <w:szCs w:val="24"/>
            </w:rPr>
            <w:instrText xml:space="preserve">CITATION Hat14 \p 11 \t  \l 2057 </w:instrText>
          </w:r>
          <w:r w:rsidR="0051264D">
            <w:rPr>
              <w:rFonts w:ascii="Calibri" w:eastAsia="Calibri" w:hAnsi="Calibri" w:cs="Calibri"/>
              <w:sz w:val="24"/>
              <w:szCs w:val="24"/>
            </w:rPr>
            <w:fldChar w:fldCharType="separate"/>
          </w:r>
          <w:r w:rsidR="00406317" w:rsidRPr="00406317">
            <w:rPr>
              <w:rFonts w:ascii="Calibri" w:eastAsia="Calibri" w:hAnsi="Calibri" w:cs="Calibri"/>
              <w:noProof/>
              <w:sz w:val="24"/>
              <w:szCs w:val="24"/>
            </w:rPr>
            <w:t>(Hattie &amp; Yates, 2014, p. 11)</w:t>
          </w:r>
          <w:r w:rsidR="0051264D">
            <w:rPr>
              <w:rFonts w:ascii="Calibri" w:eastAsia="Calibri" w:hAnsi="Calibri" w:cs="Calibri"/>
              <w:sz w:val="24"/>
              <w:szCs w:val="24"/>
            </w:rPr>
            <w:fldChar w:fldCharType="end"/>
          </w:r>
        </w:sdtContent>
      </w:sdt>
      <w:r>
        <w:rPr>
          <w:rFonts w:ascii="Calibri" w:eastAsia="Calibri" w:hAnsi="Calibri" w:cs="Calibri"/>
          <w:sz w:val="24"/>
          <w:szCs w:val="24"/>
        </w:rPr>
        <w:t xml:space="preserve"> explain a view of ‘subject and methodical expertise’ when stating ‘to teach a topic or skill, it is important to know the topic thoroughly’.  </w:t>
      </w:r>
      <w:r w:rsidR="00FB1646">
        <w:rPr>
          <w:rFonts w:ascii="Calibri" w:eastAsia="Calibri" w:hAnsi="Calibri" w:cs="Calibri"/>
          <w:sz w:val="24"/>
          <w:szCs w:val="24"/>
        </w:rPr>
        <w:t xml:space="preserve">In stating this they are advocating that the teacher requires a level of knowledge and expertise prior to starting to deliver a topic or skill, at which point they can then decide on the most appropriate manner to be able to do this successfully with their learners.  </w:t>
      </w:r>
      <w:r>
        <w:rPr>
          <w:rFonts w:ascii="Calibri" w:eastAsia="Calibri" w:hAnsi="Calibri" w:cs="Calibri"/>
          <w:sz w:val="24"/>
          <w:szCs w:val="24"/>
        </w:rPr>
        <w:t>They further explained that a teacher cannot be ‘good’ when they are ignorant to the subject matter or skill being taught or that possessing a high level of knowledge about a topic does not guarantee an ability to teach this topic, warning that possessing a high level of knowledge can often have the opposite affect due to not being able to see learning through the eye of the learner as the professional may find it difficult to see from their position, thus not maximising the learning opportunity</w:t>
      </w:r>
      <w:r w:rsidR="00406317">
        <w:rPr>
          <w:rFonts w:ascii="Calibri" w:eastAsia="Calibri" w:hAnsi="Calibri" w:cs="Calibri"/>
          <w:sz w:val="24"/>
          <w:szCs w:val="24"/>
        </w:rPr>
        <w:t xml:space="preserve"> </w:t>
      </w:r>
      <w:sdt>
        <w:sdtPr>
          <w:rPr>
            <w:rFonts w:ascii="Calibri" w:eastAsia="Calibri" w:hAnsi="Calibri" w:cs="Calibri"/>
            <w:sz w:val="24"/>
            <w:szCs w:val="24"/>
          </w:rPr>
          <w:id w:val="1832715753"/>
          <w:citation/>
        </w:sdtPr>
        <w:sdtEndPr/>
        <w:sdtContent>
          <w:r w:rsidR="00406317">
            <w:rPr>
              <w:rFonts w:ascii="Calibri" w:eastAsia="Calibri" w:hAnsi="Calibri" w:cs="Calibri"/>
              <w:sz w:val="24"/>
              <w:szCs w:val="24"/>
            </w:rPr>
            <w:fldChar w:fldCharType="begin"/>
          </w:r>
          <w:r w:rsidR="00406317">
            <w:rPr>
              <w:rFonts w:ascii="Calibri" w:eastAsia="Calibri" w:hAnsi="Calibri" w:cs="Calibri"/>
              <w:sz w:val="24"/>
              <w:szCs w:val="24"/>
            </w:rPr>
            <w:instrText xml:space="preserve">CITATION Hat14 \p 11 \t  \l 2057 </w:instrText>
          </w:r>
          <w:r w:rsidR="00406317">
            <w:rPr>
              <w:rFonts w:ascii="Calibri" w:eastAsia="Calibri" w:hAnsi="Calibri" w:cs="Calibri"/>
              <w:sz w:val="24"/>
              <w:szCs w:val="24"/>
            </w:rPr>
            <w:fldChar w:fldCharType="separate"/>
          </w:r>
          <w:r w:rsidR="00406317" w:rsidRPr="00406317">
            <w:rPr>
              <w:rFonts w:ascii="Calibri" w:eastAsia="Calibri" w:hAnsi="Calibri" w:cs="Calibri"/>
              <w:noProof/>
              <w:sz w:val="24"/>
              <w:szCs w:val="24"/>
            </w:rPr>
            <w:t>(Hattie &amp; Yates, 2014, p. 11)</w:t>
          </w:r>
          <w:r w:rsidR="00406317">
            <w:rPr>
              <w:rFonts w:ascii="Calibri" w:eastAsia="Calibri" w:hAnsi="Calibri" w:cs="Calibri"/>
              <w:sz w:val="24"/>
              <w:szCs w:val="24"/>
            </w:rPr>
            <w:fldChar w:fldCharType="end"/>
          </w:r>
        </w:sdtContent>
      </w:sdt>
      <w:r w:rsidR="009F41C3">
        <w:rPr>
          <w:rFonts w:ascii="Calibri" w:eastAsia="Calibri" w:hAnsi="Calibri" w:cs="Calibri"/>
          <w:sz w:val="24"/>
          <w:szCs w:val="24"/>
        </w:rPr>
        <w:t xml:space="preserve">.  </w:t>
      </w:r>
      <w:r w:rsidR="00FB1646">
        <w:rPr>
          <w:rFonts w:ascii="Calibri" w:eastAsia="Calibri" w:hAnsi="Calibri" w:cs="Calibri"/>
          <w:sz w:val="24"/>
          <w:szCs w:val="24"/>
        </w:rPr>
        <w:t>This can serve as a warning to teachers that knowing too much about a subject area can also harm the impact of the teaching, not improve it.</w:t>
      </w:r>
    </w:p>
    <w:p w:rsidR="00FB1646" w:rsidRDefault="00FB1646" w:rsidP="003D0B7D">
      <w:pPr>
        <w:spacing w:line="360" w:lineRule="auto"/>
        <w:contextualSpacing w:val="0"/>
        <w:rPr>
          <w:rFonts w:ascii="Calibri" w:eastAsia="Calibri" w:hAnsi="Calibri" w:cs="Calibri"/>
          <w:sz w:val="24"/>
          <w:szCs w:val="24"/>
        </w:rPr>
      </w:pPr>
    </w:p>
    <w:p w:rsidR="00355AC5" w:rsidRDefault="003824B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w:t>
      </w:r>
      <w:r w:rsidR="002D1872">
        <w:rPr>
          <w:rFonts w:ascii="Calibri" w:eastAsia="Calibri" w:hAnsi="Calibri" w:cs="Calibri"/>
          <w:sz w:val="24"/>
          <w:szCs w:val="24"/>
        </w:rPr>
        <w:t xml:space="preserve">Hattie </w:t>
      </w:r>
      <w:r>
        <w:rPr>
          <w:rFonts w:ascii="Calibri" w:eastAsia="Calibri" w:hAnsi="Calibri" w:cs="Calibri"/>
          <w:sz w:val="24"/>
          <w:szCs w:val="24"/>
        </w:rPr>
        <w:t>&amp;</w:t>
      </w:r>
      <w:r w:rsidR="002D1872">
        <w:rPr>
          <w:rFonts w:ascii="Calibri" w:eastAsia="Calibri" w:hAnsi="Calibri" w:cs="Calibri"/>
          <w:sz w:val="24"/>
          <w:szCs w:val="24"/>
        </w:rPr>
        <w:t xml:space="preserve"> Yates</w:t>
      </w:r>
      <w:r>
        <w:rPr>
          <w:rFonts w:ascii="Calibri" w:eastAsia="Calibri" w:hAnsi="Calibri" w:cs="Calibri"/>
          <w:sz w:val="24"/>
          <w:szCs w:val="24"/>
        </w:rPr>
        <w:t>, 2014</w:t>
      </w:r>
      <w:r w:rsidR="009F41C3">
        <w:rPr>
          <w:rFonts w:ascii="Calibri" w:eastAsia="Calibri" w:hAnsi="Calibri" w:cs="Calibri"/>
          <w:sz w:val="24"/>
          <w:szCs w:val="24"/>
        </w:rPr>
        <w:t>, p. xi</w:t>
      </w:r>
      <w:r>
        <w:rPr>
          <w:rFonts w:ascii="Calibri" w:eastAsia="Calibri" w:hAnsi="Calibri" w:cs="Calibri"/>
          <w:sz w:val="24"/>
          <w:szCs w:val="24"/>
        </w:rPr>
        <w:t>)</w:t>
      </w:r>
      <w:r w:rsidR="002D1872">
        <w:rPr>
          <w:rFonts w:ascii="Calibri" w:eastAsia="Calibri" w:hAnsi="Calibri" w:cs="Calibri"/>
          <w:sz w:val="24"/>
          <w:szCs w:val="24"/>
        </w:rPr>
        <w:t xml:space="preserve"> also identify teachers as ‘change agents’, a person who can purposely set up conditions to impact on learning, a definition I interpret as </w:t>
      </w:r>
      <w:r w:rsidR="00FB1646">
        <w:rPr>
          <w:rFonts w:ascii="Calibri" w:eastAsia="Calibri" w:hAnsi="Calibri" w:cs="Calibri"/>
          <w:sz w:val="24"/>
          <w:szCs w:val="24"/>
        </w:rPr>
        <w:t xml:space="preserve">linked with </w:t>
      </w:r>
      <w:r w:rsidR="002D1872">
        <w:rPr>
          <w:rFonts w:ascii="Calibri" w:eastAsia="Calibri" w:hAnsi="Calibri" w:cs="Calibri"/>
          <w:sz w:val="24"/>
          <w:szCs w:val="24"/>
        </w:rPr>
        <w:lastRenderedPageBreak/>
        <w:t xml:space="preserve">Donaldson’s ‘sound classroom craft skills’.  This is supported by </w:t>
      </w:r>
      <w:sdt>
        <w:sdtPr>
          <w:rPr>
            <w:rFonts w:ascii="Calibri" w:eastAsia="Calibri" w:hAnsi="Calibri" w:cs="Calibri"/>
            <w:sz w:val="24"/>
            <w:szCs w:val="24"/>
          </w:rPr>
          <w:id w:val="-1812087783"/>
          <w:citation/>
        </w:sdtPr>
        <w:sdtEndPr/>
        <w:sdtContent>
          <w:r>
            <w:rPr>
              <w:rFonts w:ascii="Calibri" w:eastAsia="Calibri" w:hAnsi="Calibri" w:cs="Calibri"/>
              <w:sz w:val="24"/>
              <w:szCs w:val="24"/>
            </w:rPr>
            <w:fldChar w:fldCharType="begin"/>
          </w:r>
          <w:r w:rsidR="009F41C3">
            <w:rPr>
              <w:rFonts w:ascii="Calibri" w:eastAsia="Calibri" w:hAnsi="Calibri" w:cs="Calibri"/>
              <w:sz w:val="24"/>
              <w:szCs w:val="24"/>
            </w:rPr>
            <w:instrText xml:space="preserve">CITATION Wat07 \p 5 \t  \l 2057 </w:instrText>
          </w:r>
          <w:r>
            <w:rPr>
              <w:rFonts w:ascii="Calibri" w:eastAsia="Calibri" w:hAnsi="Calibri" w:cs="Calibri"/>
              <w:sz w:val="24"/>
              <w:szCs w:val="24"/>
            </w:rPr>
            <w:fldChar w:fldCharType="separate"/>
          </w:r>
          <w:r w:rsidR="009F41C3" w:rsidRPr="009F41C3">
            <w:rPr>
              <w:rFonts w:ascii="Calibri" w:eastAsia="Calibri" w:hAnsi="Calibri" w:cs="Calibri"/>
              <w:noProof/>
              <w:sz w:val="24"/>
              <w:szCs w:val="24"/>
            </w:rPr>
            <w:t>(Watkins, Carnell, &amp; Lodge, 2007, p. 5)</w:t>
          </w:r>
          <w:r>
            <w:rPr>
              <w:rFonts w:ascii="Calibri" w:eastAsia="Calibri" w:hAnsi="Calibri" w:cs="Calibri"/>
              <w:sz w:val="24"/>
              <w:szCs w:val="24"/>
            </w:rPr>
            <w:fldChar w:fldCharType="end"/>
          </w:r>
        </w:sdtContent>
      </w:sdt>
      <w:r w:rsidR="002D1872">
        <w:rPr>
          <w:rFonts w:ascii="Calibri" w:eastAsia="Calibri" w:hAnsi="Calibri" w:cs="Calibri"/>
          <w:sz w:val="24"/>
          <w:szCs w:val="24"/>
        </w:rPr>
        <w:t xml:space="preserve"> when they suggest effective learning takes place when classroom management brings about a positive atmosphere in an environment where learners want to learn.  Both of these points </w:t>
      </w:r>
      <w:r w:rsidR="00703734">
        <w:rPr>
          <w:rFonts w:ascii="Calibri" w:eastAsia="Calibri" w:hAnsi="Calibri" w:cs="Calibri"/>
          <w:sz w:val="24"/>
          <w:szCs w:val="24"/>
        </w:rPr>
        <w:t>acknowledge</w:t>
      </w:r>
      <w:r w:rsidR="002D1872">
        <w:rPr>
          <w:rFonts w:ascii="Calibri" w:eastAsia="Calibri" w:hAnsi="Calibri" w:cs="Calibri"/>
          <w:sz w:val="24"/>
          <w:szCs w:val="24"/>
        </w:rPr>
        <w:t xml:space="preserve"> the importance of not only the skill of the professional in the way they deliver the teaching as well as their ability to create a setting where learners are stimulated, comfortable and have the trust that making a mistake can lead to a deeper level of learning.  </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Further agreement can be found in Hattie and Yates, where these ‘sound classroom craft skills’ can include setting </w:t>
      </w:r>
      <w:r w:rsidR="00703734">
        <w:rPr>
          <w:rFonts w:ascii="Calibri" w:eastAsia="Calibri" w:hAnsi="Calibri" w:cs="Calibri"/>
          <w:sz w:val="24"/>
          <w:szCs w:val="24"/>
        </w:rPr>
        <w:t>appropriate</w:t>
      </w:r>
      <w:r>
        <w:rPr>
          <w:rFonts w:ascii="Calibri" w:eastAsia="Calibri" w:hAnsi="Calibri" w:cs="Calibri"/>
          <w:sz w:val="24"/>
          <w:szCs w:val="24"/>
        </w:rPr>
        <w:t xml:space="preserve"> challenges based on a clear understanding of where they next need to achieve, being able to set high expectations and expect all learners to learn, and an ability to welcome error as opportunities to learn from. </w:t>
      </w:r>
      <w:r w:rsidR="00D23A79">
        <w:rPr>
          <w:rFonts w:ascii="Calibri" w:eastAsia="Calibri" w:hAnsi="Calibri" w:cs="Calibri"/>
          <w:sz w:val="24"/>
          <w:szCs w:val="24"/>
        </w:rPr>
        <w:t xml:space="preserve">  Understanding this will enable teachers to utilise the Progress Steps in the Curriculum for Wales effectively, gaining an awareness of where the learners are at present and the </w:t>
      </w:r>
      <w:r w:rsidR="00933E79">
        <w:rPr>
          <w:rFonts w:ascii="Calibri" w:eastAsia="Calibri" w:hAnsi="Calibri" w:cs="Calibri"/>
          <w:sz w:val="24"/>
          <w:szCs w:val="24"/>
        </w:rPr>
        <w:t xml:space="preserve">specific </w:t>
      </w:r>
      <w:r w:rsidR="00D23A79">
        <w:rPr>
          <w:rFonts w:ascii="Calibri" w:eastAsia="Calibri" w:hAnsi="Calibri" w:cs="Calibri"/>
          <w:sz w:val="24"/>
          <w:szCs w:val="24"/>
        </w:rPr>
        <w:t>step they need to achieve next, planning effectively to be able to do this.</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While not identifying a particular approach to teaching, Donaldson has noted a distinct set of skills that would enable a teacher to effectively deliver the curriculum.</w:t>
      </w:r>
    </w:p>
    <w:p w:rsidR="00355AC5" w:rsidRDefault="00355AC5" w:rsidP="003D0B7D">
      <w:pPr>
        <w:spacing w:line="360" w:lineRule="auto"/>
        <w:contextualSpacing w:val="0"/>
        <w:rPr>
          <w:rFonts w:ascii="Calibri" w:eastAsia="Calibri" w:hAnsi="Calibri" w:cs="Calibri"/>
          <w:sz w:val="24"/>
          <w:szCs w:val="24"/>
        </w:rPr>
      </w:pPr>
    </w:p>
    <w:p w:rsidR="00355AC5" w:rsidRDefault="0020326B" w:rsidP="003D0B7D">
      <w:pPr>
        <w:spacing w:line="360" w:lineRule="auto"/>
        <w:contextualSpacing w:val="0"/>
        <w:rPr>
          <w:rFonts w:ascii="Calibri" w:eastAsia="Calibri" w:hAnsi="Calibri" w:cs="Calibri"/>
          <w:sz w:val="24"/>
          <w:szCs w:val="24"/>
        </w:rPr>
      </w:pPr>
      <w:sdt>
        <w:sdtPr>
          <w:rPr>
            <w:rFonts w:ascii="Calibri" w:eastAsia="Calibri" w:hAnsi="Calibri" w:cs="Calibri"/>
            <w:sz w:val="24"/>
            <w:szCs w:val="24"/>
          </w:rPr>
          <w:id w:val="116415776"/>
          <w:citation/>
        </w:sdtPr>
        <w:sdtEndPr/>
        <w:sdtContent>
          <w:r w:rsidR="003824B2">
            <w:rPr>
              <w:rFonts w:ascii="Calibri" w:eastAsia="Calibri" w:hAnsi="Calibri" w:cs="Calibri"/>
              <w:sz w:val="24"/>
              <w:szCs w:val="24"/>
            </w:rPr>
            <w:fldChar w:fldCharType="begin"/>
          </w:r>
          <w:r w:rsidR="003824B2">
            <w:rPr>
              <w:rFonts w:ascii="Calibri" w:eastAsia="Calibri" w:hAnsi="Calibri" w:cs="Calibri"/>
              <w:sz w:val="24"/>
              <w:szCs w:val="24"/>
            </w:rPr>
            <w:instrText xml:space="preserve"> CITATION Don1563 \l 2057 </w:instrText>
          </w:r>
          <w:r w:rsidR="003824B2">
            <w:rPr>
              <w:rFonts w:ascii="Calibri" w:eastAsia="Calibri" w:hAnsi="Calibri" w:cs="Calibri"/>
              <w:sz w:val="24"/>
              <w:szCs w:val="24"/>
            </w:rPr>
            <w:fldChar w:fldCharType="separate"/>
          </w:r>
          <w:r w:rsidR="003824B2" w:rsidRPr="003824B2">
            <w:rPr>
              <w:rFonts w:ascii="Calibri" w:eastAsia="Calibri" w:hAnsi="Calibri" w:cs="Calibri"/>
              <w:noProof/>
              <w:sz w:val="24"/>
              <w:szCs w:val="24"/>
            </w:rPr>
            <w:t>(Donaldson G. , 2015)</w:t>
          </w:r>
          <w:r w:rsidR="003824B2">
            <w:rPr>
              <w:rFonts w:ascii="Calibri" w:eastAsia="Calibri" w:hAnsi="Calibri" w:cs="Calibri"/>
              <w:sz w:val="24"/>
              <w:szCs w:val="24"/>
            </w:rPr>
            <w:fldChar w:fldCharType="end"/>
          </w:r>
        </w:sdtContent>
      </w:sdt>
      <w:r w:rsidR="003824B2">
        <w:rPr>
          <w:rFonts w:ascii="Calibri" w:eastAsia="Calibri" w:hAnsi="Calibri" w:cs="Calibri"/>
          <w:sz w:val="24"/>
          <w:szCs w:val="24"/>
        </w:rPr>
        <w:t xml:space="preserve"> </w:t>
      </w:r>
      <w:r w:rsidR="002D1872">
        <w:rPr>
          <w:rFonts w:ascii="Calibri" w:eastAsia="Calibri" w:hAnsi="Calibri" w:cs="Calibri"/>
          <w:sz w:val="24"/>
          <w:szCs w:val="24"/>
        </w:rPr>
        <w:t>also added 12 principles of pedagogy that he suggested would influence positively on how the curriculum is delivered in the classroom:</w:t>
      </w:r>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maintains a consistent focus on the overall purposes of the curriculum.</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With the four purposes comprised in Recommendation 32 of the educational review it was to be expected that having these as a focus would be integral in good teaching and learning.   </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challenges all learners by encouraging them to recognise the importance of sustained effort in meeting expectations that are high but achievable for them.</w:t>
      </w:r>
    </w:p>
    <w:p w:rsidR="00355AC5" w:rsidRDefault="002D1872" w:rsidP="003D0B7D">
      <w:pPr>
        <w:spacing w:line="360" w:lineRule="auto"/>
        <w:contextualSpacing w:val="0"/>
        <w:rPr>
          <w:rFonts w:ascii="Calibri" w:eastAsia="Calibri" w:hAnsi="Calibri" w:cs="Calibri"/>
          <w:sz w:val="24"/>
          <w:szCs w:val="24"/>
        </w:rPr>
      </w:pPr>
      <w:bookmarkStart w:id="0" w:name="_gjdgxs" w:colFirst="0" w:colLast="0"/>
      <w:bookmarkEnd w:id="0"/>
      <w:r>
        <w:rPr>
          <w:rFonts w:ascii="Calibri" w:eastAsia="Calibri" w:hAnsi="Calibri" w:cs="Calibri"/>
          <w:sz w:val="24"/>
          <w:szCs w:val="24"/>
        </w:rPr>
        <w:t xml:space="preserve">A principle of particular importance when striving for </w:t>
      </w:r>
      <w:r w:rsidR="007C1956">
        <w:rPr>
          <w:rFonts w:ascii="Calibri" w:eastAsia="Calibri" w:hAnsi="Calibri" w:cs="Calibri"/>
          <w:sz w:val="24"/>
          <w:szCs w:val="24"/>
        </w:rPr>
        <w:t>confide</w:t>
      </w:r>
      <w:r w:rsidR="00703734">
        <w:rPr>
          <w:rFonts w:ascii="Calibri" w:eastAsia="Calibri" w:hAnsi="Calibri" w:cs="Calibri"/>
          <w:sz w:val="24"/>
          <w:szCs w:val="24"/>
        </w:rPr>
        <w:t>nt</w:t>
      </w:r>
      <w:r>
        <w:rPr>
          <w:rFonts w:ascii="Calibri" w:eastAsia="Calibri" w:hAnsi="Calibri" w:cs="Calibri"/>
          <w:sz w:val="24"/>
          <w:szCs w:val="24"/>
        </w:rPr>
        <w:t xml:space="preserve"> and independent learners, setting challenging targets that are achievable can enable learners to meet the goal of the new curriculum.  This principle must be applied for all learners, regardless of status or ability level.</w:t>
      </w:r>
    </w:p>
    <w:p w:rsidR="00355AC5" w:rsidRDefault="00355AC5" w:rsidP="003D0B7D">
      <w:pPr>
        <w:spacing w:line="360" w:lineRule="auto"/>
        <w:contextualSpacing w:val="0"/>
        <w:rPr>
          <w:rFonts w:ascii="Calibri" w:eastAsia="Calibri" w:hAnsi="Calibri" w:cs="Calibri"/>
          <w:sz w:val="24"/>
          <w:szCs w:val="24"/>
        </w:rPr>
      </w:pPr>
      <w:bookmarkStart w:id="1" w:name="_obhj8apy9yeq" w:colFirst="0" w:colLast="0"/>
      <w:bookmarkEnd w:id="1"/>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means employing a blend of approaches including direct teaching.</w:t>
      </w:r>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means employing a blend of approaches including those that promote problem solving, creative and critical thinking.</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With both principles 3 and 4 regarding a ‘blend of approaches’ I will review these together.  </w:t>
      </w:r>
      <w:sdt>
        <w:sdtPr>
          <w:rPr>
            <w:rFonts w:ascii="Calibri" w:eastAsia="Calibri" w:hAnsi="Calibri" w:cs="Calibri"/>
            <w:sz w:val="24"/>
            <w:szCs w:val="24"/>
          </w:rPr>
          <w:id w:val="1229110968"/>
          <w:citation/>
        </w:sdtPr>
        <w:sdtEndPr/>
        <w:sdtContent>
          <w:r w:rsidR="003824B2">
            <w:rPr>
              <w:rFonts w:ascii="Calibri" w:eastAsia="Calibri" w:hAnsi="Calibri" w:cs="Calibri"/>
              <w:sz w:val="24"/>
              <w:szCs w:val="24"/>
            </w:rPr>
            <w:fldChar w:fldCharType="begin"/>
          </w:r>
          <w:r w:rsidR="00406317">
            <w:rPr>
              <w:rFonts w:ascii="Calibri" w:eastAsia="Calibri" w:hAnsi="Calibri" w:cs="Calibri"/>
              <w:sz w:val="24"/>
              <w:szCs w:val="24"/>
            </w:rPr>
            <w:instrText xml:space="preserve">CITATION Wat071 \p 107 \t  \l 2057 </w:instrText>
          </w:r>
          <w:r w:rsidR="003824B2">
            <w:rPr>
              <w:rFonts w:ascii="Calibri" w:eastAsia="Calibri" w:hAnsi="Calibri" w:cs="Calibri"/>
              <w:sz w:val="24"/>
              <w:szCs w:val="24"/>
            </w:rPr>
            <w:fldChar w:fldCharType="separate"/>
          </w:r>
          <w:r w:rsidR="00406317" w:rsidRPr="00406317">
            <w:rPr>
              <w:rFonts w:ascii="Calibri" w:eastAsia="Calibri" w:hAnsi="Calibri" w:cs="Calibri"/>
              <w:noProof/>
              <w:sz w:val="24"/>
              <w:szCs w:val="24"/>
            </w:rPr>
            <w:t>(Watkins, Carnell, &amp; Lodge, 2007, p. 107)</w:t>
          </w:r>
          <w:r w:rsidR="003824B2">
            <w:rPr>
              <w:rFonts w:ascii="Calibri" w:eastAsia="Calibri" w:hAnsi="Calibri" w:cs="Calibri"/>
              <w:sz w:val="24"/>
              <w:szCs w:val="24"/>
            </w:rPr>
            <w:fldChar w:fldCharType="end"/>
          </w:r>
        </w:sdtContent>
      </w:sdt>
      <w:r w:rsidR="00336498">
        <w:rPr>
          <w:rFonts w:ascii="Calibri" w:eastAsia="Calibri" w:hAnsi="Calibri" w:cs="Calibri"/>
          <w:sz w:val="24"/>
          <w:szCs w:val="24"/>
        </w:rPr>
        <w:t xml:space="preserve"> </w:t>
      </w:r>
      <w:r>
        <w:rPr>
          <w:rFonts w:ascii="Calibri" w:eastAsia="Calibri" w:hAnsi="Calibri" w:cs="Calibri"/>
          <w:sz w:val="24"/>
          <w:szCs w:val="24"/>
        </w:rPr>
        <w:t xml:space="preserve"> identified that ‘effective learners are not people who are acting as if following a recipe’, a theory which extends support to principle 4 but less so to principle 3 where I interpret the meaning as an introduction to a session where a skill would be taught discreetly, learners given time to explore its use before progressing to use this in a purposeful manner, possibly linked to problem solving, creative and critical thinking.  </w:t>
      </w:r>
      <w:sdt>
        <w:sdtPr>
          <w:rPr>
            <w:rFonts w:ascii="Calibri" w:eastAsia="Calibri" w:hAnsi="Calibri" w:cs="Calibri"/>
            <w:sz w:val="24"/>
            <w:szCs w:val="24"/>
          </w:rPr>
          <w:id w:val="-57246493"/>
          <w:citation/>
        </w:sdtPr>
        <w:sdtEndPr/>
        <w:sdtContent>
          <w:r w:rsidR="00E50B23">
            <w:rPr>
              <w:rFonts w:ascii="Calibri" w:eastAsia="Calibri" w:hAnsi="Calibri" w:cs="Calibri"/>
              <w:sz w:val="24"/>
              <w:szCs w:val="24"/>
            </w:rPr>
            <w:fldChar w:fldCharType="begin"/>
          </w:r>
          <w:r w:rsidR="00406317">
            <w:rPr>
              <w:rFonts w:ascii="Calibri" w:eastAsia="Calibri" w:hAnsi="Calibri" w:cs="Calibri"/>
              <w:sz w:val="24"/>
              <w:szCs w:val="24"/>
            </w:rPr>
            <w:instrText xml:space="preserve">CITATION Hat142 \p 44-45 \t  \l 2057 </w:instrText>
          </w:r>
          <w:r w:rsidR="00E50B23">
            <w:rPr>
              <w:rFonts w:ascii="Calibri" w:eastAsia="Calibri" w:hAnsi="Calibri" w:cs="Calibri"/>
              <w:sz w:val="24"/>
              <w:szCs w:val="24"/>
            </w:rPr>
            <w:fldChar w:fldCharType="separate"/>
          </w:r>
          <w:r w:rsidR="00406317" w:rsidRPr="00406317">
            <w:rPr>
              <w:rFonts w:ascii="Calibri" w:eastAsia="Calibri" w:hAnsi="Calibri" w:cs="Calibri"/>
              <w:noProof/>
              <w:sz w:val="24"/>
              <w:szCs w:val="24"/>
            </w:rPr>
            <w:t>(Hattie &amp; Yates, 2014, pp. 44-45)</w:t>
          </w:r>
          <w:r w:rsidR="00E50B23">
            <w:rPr>
              <w:rFonts w:ascii="Calibri" w:eastAsia="Calibri" w:hAnsi="Calibri" w:cs="Calibri"/>
              <w:sz w:val="24"/>
              <w:szCs w:val="24"/>
            </w:rPr>
            <w:fldChar w:fldCharType="end"/>
          </w:r>
        </w:sdtContent>
      </w:sdt>
      <w:r w:rsidR="00D53640">
        <w:rPr>
          <w:rFonts w:ascii="Calibri" w:eastAsia="Calibri" w:hAnsi="Calibri" w:cs="Calibri"/>
          <w:sz w:val="24"/>
          <w:szCs w:val="24"/>
        </w:rPr>
        <w:t xml:space="preserve"> advise against a ‘recitation method’ however, a style of teaching that involves an authority figure, be it a teacher or visitor to the school, delivering pre-packaged knowledge for the learners to retain; learners would benefit from gaining this knowledge through active research, developing skills as well as knowledge.  </w:t>
      </w:r>
      <w:r>
        <w:rPr>
          <w:rFonts w:ascii="Calibri" w:eastAsia="Calibri" w:hAnsi="Calibri" w:cs="Calibri"/>
          <w:sz w:val="24"/>
          <w:szCs w:val="24"/>
        </w:rPr>
        <w:t xml:space="preserve">Regarding these principles and the contrasting views, I’d support the principles set by </w:t>
      </w:r>
      <w:sdt>
        <w:sdtPr>
          <w:rPr>
            <w:rFonts w:ascii="Calibri" w:eastAsia="Calibri" w:hAnsi="Calibri" w:cs="Calibri"/>
            <w:sz w:val="24"/>
            <w:szCs w:val="24"/>
          </w:rPr>
          <w:id w:val="-949932078"/>
          <w:citation/>
        </w:sdtPr>
        <w:sdtEndPr/>
        <w:sdtContent>
          <w:r w:rsidR="00336498">
            <w:rPr>
              <w:rFonts w:ascii="Calibri" w:eastAsia="Calibri" w:hAnsi="Calibri" w:cs="Calibri"/>
              <w:sz w:val="24"/>
              <w:szCs w:val="24"/>
            </w:rPr>
            <w:fldChar w:fldCharType="begin"/>
          </w:r>
          <w:r w:rsidR="00336498">
            <w:rPr>
              <w:rFonts w:ascii="Calibri" w:eastAsia="Calibri" w:hAnsi="Calibri" w:cs="Calibri"/>
              <w:sz w:val="24"/>
              <w:szCs w:val="24"/>
            </w:rPr>
            <w:instrText xml:space="preserve"> CITATION Don1563 \l 2057 </w:instrText>
          </w:r>
          <w:r w:rsidR="00336498">
            <w:rPr>
              <w:rFonts w:ascii="Calibri" w:eastAsia="Calibri" w:hAnsi="Calibri" w:cs="Calibri"/>
              <w:sz w:val="24"/>
              <w:szCs w:val="24"/>
            </w:rPr>
            <w:fldChar w:fldCharType="separate"/>
          </w:r>
          <w:r w:rsidR="00336498" w:rsidRPr="00336498">
            <w:rPr>
              <w:rFonts w:ascii="Calibri" w:eastAsia="Calibri" w:hAnsi="Calibri" w:cs="Calibri"/>
              <w:noProof/>
              <w:sz w:val="24"/>
              <w:szCs w:val="24"/>
            </w:rPr>
            <w:t>(Donaldson G. , 2015)</w:t>
          </w:r>
          <w:r w:rsidR="00336498">
            <w:rPr>
              <w:rFonts w:ascii="Calibri" w:eastAsia="Calibri" w:hAnsi="Calibri" w:cs="Calibri"/>
              <w:sz w:val="24"/>
              <w:szCs w:val="24"/>
            </w:rPr>
            <w:fldChar w:fldCharType="end"/>
          </w:r>
        </w:sdtContent>
      </w:sdt>
      <w:r>
        <w:rPr>
          <w:rFonts w:ascii="Calibri" w:eastAsia="Calibri" w:hAnsi="Calibri" w:cs="Calibri"/>
          <w:sz w:val="24"/>
          <w:szCs w:val="24"/>
        </w:rPr>
        <w:t xml:space="preserve"> based on prior experience due to successes found in teaching skills in a discreet manner before using these in a purposeful activity</w:t>
      </w:r>
      <w:r w:rsidR="00D53640">
        <w:rPr>
          <w:rFonts w:ascii="Calibri" w:eastAsia="Calibri" w:hAnsi="Calibri" w:cs="Calibri"/>
          <w:sz w:val="24"/>
          <w:szCs w:val="24"/>
        </w:rPr>
        <w:t>, demonstrating how these skills will be useful in the future</w:t>
      </w:r>
      <w:r>
        <w:rPr>
          <w:rFonts w:ascii="Calibri" w:eastAsia="Calibri" w:hAnsi="Calibri" w:cs="Calibri"/>
          <w:sz w:val="24"/>
          <w:szCs w:val="24"/>
        </w:rPr>
        <w:t xml:space="preserve">.  </w:t>
      </w:r>
    </w:p>
    <w:p w:rsidR="00D53640" w:rsidRDefault="00D53640" w:rsidP="003D0B7D">
      <w:pPr>
        <w:spacing w:line="360" w:lineRule="auto"/>
        <w:contextualSpacing w:val="0"/>
        <w:rPr>
          <w:rFonts w:ascii="Calibri" w:eastAsia="Calibri" w:hAnsi="Calibri" w:cs="Calibri"/>
          <w:sz w:val="24"/>
          <w:szCs w:val="24"/>
        </w:rPr>
      </w:pPr>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sets tasks and selects resources that build on previous knowledge and experience and engage interest.</w:t>
      </w:r>
    </w:p>
    <w:p w:rsidR="00355AC5" w:rsidRDefault="00D53640"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Another link with support from </w:t>
      </w:r>
      <w:sdt>
        <w:sdtPr>
          <w:rPr>
            <w:rFonts w:ascii="Calibri" w:eastAsia="Calibri" w:hAnsi="Calibri" w:cs="Calibri"/>
            <w:sz w:val="24"/>
            <w:szCs w:val="24"/>
          </w:rPr>
          <w:id w:val="1834478183"/>
          <w:citation/>
        </w:sdtPr>
        <w:sdtEndPr/>
        <w:sdtContent>
          <w:r w:rsidR="00336498">
            <w:rPr>
              <w:rFonts w:ascii="Calibri" w:eastAsia="Calibri" w:hAnsi="Calibri" w:cs="Calibri"/>
              <w:sz w:val="24"/>
              <w:szCs w:val="24"/>
            </w:rPr>
            <w:fldChar w:fldCharType="begin"/>
          </w:r>
          <w:r w:rsidR="00406317">
            <w:rPr>
              <w:rFonts w:ascii="Calibri" w:eastAsia="Calibri" w:hAnsi="Calibri" w:cs="Calibri"/>
              <w:sz w:val="24"/>
              <w:szCs w:val="24"/>
            </w:rPr>
            <w:instrText xml:space="preserve">CITATION Hat141 \p xii \t  \l 2057 </w:instrText>
          </w:r>
          <w:r w:rsidR="00336498">
            <w:rPr>
              <w:rFonts w:ascii="Calibri" w:eastAsia="Calibri" w:hAnsi="Calibri" w:cs="Calibri"/>
              <w:sz w:val="24"/>
              <w:szCs w:val="24"/>
            </w:rPr>
            <w:fldChar w:fldCharType="separate"/>
          </w:r>
          <w:r w:rsidR="00406317" w:rsidRPr="00406317">
            <w:rPr>
              <w:rFonts w:ascii="Calibri" w:eastAsia="Calibri" w:hAnsi="Calibri" w:cs="Calibri"/>
              <w:noProof/>
              <w:sz w:val="24"/>
              <w:szCs w:val="24"/>
            </w:rPr>
            <w:t>(Hattie &amp; Yates, 2014, p. xii)</w:t>
          </w:r>
          <w:r w:rsidR="00336498">
            <w:rPr>
              <w:rFonts w:ascii="Calibri" w:eastAsia="Calibri" w:hAnsi="Calibri" w:cs="Calibri"/>
              <w:sz w:val="24"/>
              <w:szCs w:val="24"/>
            </w:rPr>
            <w:fldChar w:fldCharType="end"/>
          </w:r>
        </w:sdtContent>
      </w:sdt>
      <w:r>
        <w:rPr>
          <w:rFonts w:ascii="Calibri" w:eastAsia="Calibri" w:hAnsi="Calibri" w:cs="Calibri"/>
          <w:sz w:val="24"/>
          <w:szCs w:val="24"/>
        </w:rPr>
        <w:t xml:space="preserve">, teachers have the greatest impact on learning when beginning from </w:t>
      </w:r>
      <w:r w:rsidR="00336498">
        <w:rPr>
          <w:rFonts w:ascii="Calibri" w:eastAsia="Calibri" w:hAnsi="Calibri" w:cs="Calibri"/>
          <w:sz w:val="24"/>
          <w:szCs w:val="24"/>
        </w:rPr>
        <w:t xml:space="preserve">the point of </w:t>
      </w:r>
      <w:r>
        <w:rPr>
          <w:rFonts w:ascii="Calibri" w:eastAsia="Calibri" w:hAnsi="Calibri" w:cs="Calibri"/>
          <w:sz w:val="24"/>
          <w:szCs w:val="24"/>
        </w:rPr>
        <w:t>what the learners can already do or what the</w:t>
      </w:r>
      <w:r w:rsidR="00F14E16">
        <w:rPr>
          <w:rFonts w:ascii="Calibri" w:eastAsia="Calibri" w:hAnsi="Calibri" w:cs="Calibri"/>
          <w:sz w:val="24"/>
          <w:szCs w:val="24"/>
        </w:rPr>
        <w:t>y</w:t>
      </w:r>
      <w:r>
        <w:rPr>
          <w:rFonts w:ascii="Calibri" w:eastAsia="Calibri" w:hAnsi="Calibri" w:cs="Calibri"/>
          <w:sz w:val="24"/>
          <w:szCs w:val="24"/>
        </w:rPr>
        <w:t xml:space="preserve"> already know</w:t>
      </w:r>
      <w:r w:rsidR="00F14E16">
        <w:rPr>
          <w:rFonts w:ascii="Calibri" w:eastAsia="Calibri" w:hAnsi="Calibri" w:cs="Calibri"/>
          <w:sz w:val="24"/>
          <w:szCs w:val="24"/>
        </w:rPr>
        <w:t>, choosing and often creating resources that will enable the learners to progress to the desired level or expectation.  This is particularly difficult in comprehensives where the staff will come into contact with many different learners in a short space of time; there would be a great variety of skill and knowledge within the group of learners and identifying this will take time that they may not have.  With particular thought towards the achievement of boys</w:t>
      </w:r>
      <w:r w:rsidR="002D1872">
        <w:rPr>
          <w:rFonts w:ascii="Calibri" w:eastAsia="Calibri" w:hAnsi="Calibri" w:cs="Calibri"/>
          <w:sz w:val="24"/>
          <w:szCs w:val="24"/>
        </w:rPr>
        <w:t xml:space="preserve">, </w:t>
      </w:r>
      <w:sdt>
        <w:sdtPr>
          <w:rPr>
            <w:rFonts w:ascii="Calibri" w:eastAsia="Calibri" w:hAnsi="Calibri" w:cs="Calibri"/>
            <w:sz w:val="24"/>
            <w:szCs w:val="24"/>
          </w:rPr>
          <w:id w:val="-1659683516"/>
          <w:citation/>
        </w:sdtPr>
        <w:sdtEndPr/>
        <w:sdtContent>
          <w:r w:rsidR="00E50B23">
            <w:rPr>
              <w:rFonts w:ascii="Calibri" w:eastAsia="Calibri" w:hAnsi="Calibri" w:cs="Calibri"/>
              <w:sz w:val="24"/>
              <w:szCs w:val="24"/>
            </w:rPr>
            <w:fldChar w:fldCharType="begin"/>
          </w:r>
          <w:r w:rsidR="009D0BAD">
            <w:rPr>
              <w:rFonts w:ascii="Calibri" w:eastAsia="Calibri" w:hAnsi="Calibri" w:cs="Calibri"/>
              <w:sz w:val="24"/>
              <w:szCs w:val="24"/>
            </w:rPr>
            <w:instrText xml:space="preserve">CITATION War06 \p "11, 194-195" \l 2057 </w:instrText>
          </w:r>
          <w:r w:rsidR="00E50B23">
            <w:rPr>
              <w:rFonts w:ascii="Calibri" w:eastAsia="Calibri" w:hAnsi="Calibri" w:cs="Calibri"/>
              <w:sz w:val="24"/>
              <w:szCs w:val="24"/>
            </w:rPr>
            <w:fldChar w:fldCharType="separate"/>
          </w:r>
          <w:r w:rsidR="009D0BAD" w:rsidRPr="009D0BAD">
            <w:rPr>
              <w:rFonts w:ascii="Calibri" w:eastAsia="Calibri" w:hAnsi="Calibri" w:cs="Calibri"/>
              <w:noProof/>
              <w:sz w:val="24"/>
              <w:szCs w:val="24"/>
            </w:rPr>
            <w:t>(Warrington &amp; Younger, 2006, pp. 11, 194-195)</w:t>
          </w:r>
          <w:r w:rsidR="00E50B23">
            <w:rPr>
              <w:rFonts w:ascii="Calibri" w:eastAsia="Calibri" w:hAnsi="Calibri" w:cs="Calibri"/>
              <w:sz w:val="24"/>
              <w:szCs w:val="24"/>
            </w:rPr>
            <w:fldChar w:fldCharType="end"/>
          </w:r>
        </w:sdtContent>
      </w:sdt>
      <w:r w:rsidR="00E50B23">
        <w:rPr>
          <w:rFonts w:ascii="Calibri" w:eastAsia="Calibri" w:hAnsi="Calibri" w:cs="Calibri"/>
          <w:sz w:val="24"/>
          <w:szCs w:val="24"/>
        </w:rPr>
        <w:t xml:space="preserve"> </w:t>
      </w:r>
      <w:r w:rsidR="002D1872">
        <w:rPr>
          <w:rFonts w:ascii="Calibri" w:eastAsia="Calibri" w:hAnsi="Calibri" w:cs="Calibri"/>
          <w:sz w:val="24"/>
          <w:szCs w:val="24"/>
        </w:rPr>
        <w:t>recognised that girls</w:t>
      </w:r>
      <w:r w:rsidR="00E50B23">
        <w:rPr>
          <w:rFonts w:ascii="Calibri" w:eastAsia="Calibri" w:hAnsi="Calibri" w:cs="Calibri"/>
          <w:sz w:val="24"/>
          <w:szCs w:val="24"/>
        </w:rPr>
        <w:t>’</w:t>
      </w:r>
      <w:r w:rsidR="002D1872">
        <w:rPr>
          <w:rFonts w:ascii="Calibri" w:eastAsia="Calibri" w:hAnsi="Calibri" w:cs="Calibri"/>
          <w:sz w:val="24"/>
          <w:szCs w:val="24"/>
        </w:rPr>
        <w:t xml:space="preserve"> maturity and learning strategies are enhanced compared with boys, supporting their development, with boys needing greater continuity in their experiences and interests in the wider curriculum.  Both of </w:t>
      </w:r>
      <w:r w:rsidR="002D1872">
        <w:rPr>
          <w:rFonts w:ascii="Calibri" w:eastAsia="Calibri" w:hAnsi="Calibri" w:cs="Calibri"/>
          <w:sz w:val="24"/>
          <w:szCs w:val="24"/>
        </w:rPr>
        <w:lastRenderedPageBreak/>
        <w:t>the sources referred to express the need for interest in the topic being taught and that the learning needs to be continuous, not repeated, for learner engagement to be maintained, especially with boys.</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creates authentic contexts for learning.</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There is a clear link between this principle and the first identified here as for effective learning to be authentic it should also be purposeful.  </w:t>
      </w:r>
      <w:sdt>
        <w:sdtPr>
          <w:rPr>
            <w:rFonts w:ascii="Calibri" w:eastAsia="Calibri" w:hAnsi="Calibri" w:cs="Calibri"/>
            <w:sz w:val="24"/>
            <w:szCs w:val="24"/>
          </w:rPr>
          <w:id w:val="-1414012937"/>
          <w:citation/>
        </w:sdtPr>
        <w:sdtEndPr/>
        <w:sdtContent>
          <w:r w:rsidR="00E50B23">
            <w:rPr>
              <w:rFonts w:ascii="Calibri" w:eastAsia="Calibri" w:hAnsi="Calibri" w:cs="Calibri"/>
              <w:sz w:val="24"/>
              <w:szCs w:val="24"/>
            </w:rPr>
            <w:fldChar w:fldCharType="begin"/>
          </w:r>
          <w:r w:rsidR="00406317">
            <w:rPr>
              <w:rFonts w:ascii="Calibri" w:eastAsia="Calibri" w:hAnsi="Calibri" w:cs="Calibri"/>
              <w:sz w:val="24"/>
              <w:szCs w:val="24"/>
            </w:rPr>
            <w:instrText xml:space="preserve">CITATION Wat07 \p 117-118 \t  \l 2057 </w:instrText>
          </w:r>
          <w:r w:rsidR="00E50B23">
            <w:rPr>
              <w:rFonts w:ascii="Calibri" w:eastAsia="Calibri" w:hAnsi="Calibri" w:cs="Calibri"/>
              <w:sz w:val="24"/>
              <w:szCs w:val="24"/>
            </w:rPr>
            <w:fldChar w:fldCharType="separate"/>
          </w:r>
          <w:r w:rsidR="00406317" w:rsidRPr="00406317">
            <w:rPr>
              <w:rFonts w:ascii="Calibri" w:eastAsia="Calibri" w:hAnsi="Calibri" w:cs="Calibri"/>
              <w:noProof/>
              <w:sz w:val="24"/>
              <w:szCs w:val="24"/>
            </w:rPr>
            <w:t>(Watkins, Carnell, &amp; Lodge, 2007, pp. 117-118)</w:t>
          </w:r>
          <w:r w:rsidR="00E50B23">
            <w:rPr>
              <w:rFonts w:ascii="Calibri" w:eastAsia="Calibri" w:hAnsi="Calibri" w:cs="Calibri"/>
              <w:sz w:val="24"/>
              <w:szCs w:val="24"/>
            </w:rPr>
            <w:fldChar w:fldCharType="end"/>
          </w:r>
        </w:sdtContent>
      </w:sdt>
      <w:r>
        <w:rPr>
          <w:rFonts w:ascii="Calibri" w:eastAsia="Calibri" w:hAnsi="Calibri" w:cs="Calibri"/>
          <w:sz w:val="24"/>
          <w:szCs w:val="24"/>
        </w:rPr>
        <w:t xml:space="preserve"> recorded ‘voices against change’ when concluding their study into effective learning in classrooms, with reasons given as the deep under-estimation of learners and the fact that most teaching practices are based on adults knowing best.</w:t>
      </w:r>
      <w:r w:rsidR="00206D4B">
        <w:rPr>
          <w:rFonts w:ascii="Calibri" w:eastAsia="Calibri" w:hAnsi="Calibri" w:cs="Calibri"/>
          <w:sz w:val="24"/>
          <w:szCs w:val="24"/>
        </w:rPr>
        <w:t xml:space="preserve">  This is a stark contrast to setting high expectations for all learners, enabling a teacher to create an authentic and purposeful context from which they can all gain from.  Watkins</w:t>
      </w:r>
      <w:r w:rsidR="003B452B">
        <w:rPr>
          <w:rFonts w:ascii="Calibri" w:eastAsia="Calibri" w:hAnsi="Calibri" w:cs="Calibri"/>
          <w:sz w:val="24"/>
          <w:szCs w:val="24"/>
        </w:rPr>
        <w:t xml:space="preserve"> et al</w:t>
      </w:r>
      <w:r w:rsidR="00206D4B">
        <w:rPr>
          <w:rFonts w:ascii="Calibri" w:eastAsia="Calibri" w:hAnsi="Calibri" w:cs="Calibri"/>
          <w:sz w:val="24"/>
          <w:szCs w:val="24"/>
        </w:rPr>
        <w:t xml:space="preserve"> explained that effective learning often takes place when the teacher is invisible and when people are willing to be vulnerable.  If the teacher can create a positive environment where this is possible and the context is authentic</w:t>
      </w:r>
      <w:r w:rsidR="000133CA">
        <w:rPr>
          <w:rFonts w:ascii="Calibri" w:eastAsia="Calibri" w:hAnsi="Calibri" w:cs="Calibri"/>
          <w:sz w:val="24"/>
          <w:szCs w:val="24"/>
        </w:rPr>
        <w:t xml:space="preserve"> taking into account the different learning styles of the learners</w:t>
      </w:r>
      <w:r w:rsidR="00206D4B">
        <w:rPr>
          <w:rFonts w:ascii="Calibri" w:eastAsia="Calibri" w:hAnsi="Calibri" w:cs="Calibri"/>
          <w:sz w:val="24"/>
          <w:szCs w:val="24"/>
        </w:rPr>
        <w:t>, learners will be more confident in leading their own learning</w:t>
      </w:r>
      <w:r w:rsidR="000133CA">
        <w:rPr>
          <w:rFonts w:ascii="Calibri" w:eastAsia="Calibri" w:hAnsi="Calibri" w:cs="Calibri"/>
          <w:sz w:val="24"/>
          <w:szCs w:val="24"/>
        </w:rPr>
        <w:t>.</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means employing assessment for learning principles.</w:t>
      </w:r>
    </w:p>
    <w:p w:rsidR="00355AC5" w:rsidRDefault="001B698C"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This involves the skill of reflection, a skill that requires teaching at first for it to become effective.  </w:t>
      </w:r>
      <w:sdt>
        <w:sdtPr>
          <w:rPr>
            <w:rFonts w:ascii="Calibri" w:eastAsia="Calibri" w:hAnsi="Calibri" w:cs="Calibri"/>
            <w:sz w:val="24"/>
            <w:szCs w:val="24"/>
          </w:rPr>
          <w:id w:val="1986042493"/>
          <w:citation/>
        </w:sdtPr>
        <w:sdtEndPr/>
        <w:sdtContent>
          <w:r w:rsidR="003B452B">
            <w:rPr>
              <w:rFonts w:ascii="Calibri" w:eastAsia="Calibri" w:hAnsi="Calibri" w:cs="Calibri"/>
              <w:sz w:val="24"/>
              <w:szCs w:val="24"/>
            </w:rPr>
            <w:fldChar w:fldCharType="begin"/>
          </w:r>
          <w:r w:rsidR="009D0BAD">
            <w:rPr>
              <w:rFonts w:ascii="Calibri" w:eastAsia="Calibri" w:hAnsi="Calibri" w:cs="Calibri"/>
              <w:sz w:val="24"/>
              <w:szCs w:val="24"/>
            </w:rPr>
            <w:instrText xml:space="preserve">CITATION Han12 \p 16 \l 2057 </w:instrText>
          </w:r>
          <w:r w:rsidR="003B452B">
            <w:rPr>
              <w:rFonts w:ascii="Calibri" w:eastAsia="Calibri" w:hAnsi="Calibri" w:cs="Calibri"/>
              <w:sz w:val="24"/>
              <w:szCs w:val="24"/>
            </w:rPr>
            <w:fldChar w:fldCharType="separate"/>
          </w:r>
          <w:r w:rsidR="009D0BAD" w:rsidRPr="009D0BAD">
            <w:rPr>
              <w:rFonts w:ascii="Calibri" w:eastAsia="Calibri" w:hAnsi="Calibri" w:cs="Calibri"/>
              <w:noProof/>
              <w:sz w:val="24"/>
              <w:szCs w:val="24"/>
            </w:rPr>
            <w:t>(Hansen, 2012, p. 16)</w:t>
          </w:r>
          <w:r w:rsidR="003B452B">
            <w:rPr>
              <w:rFonts w:ascii="Calibri" w:eastAsia="Calibri" w:hAnsi="Calibri" w:cs="Calibri"/>
              <w:sz w:val="24"/>
              <w:szCs w:val="24"/>
            </w:rPr>
            <w:fldChar w:fldCharType="end"/>
          </w:r>
        </w:sdtContent>
      </w:sdt>
      <w:r>
        <w:rPr>
          <w:rFonts w:ascii="Calibri" w:eastAsia="Calibri" w:hAnsi="Calibri" w:cs="Calibri"/>
          <w:sz w:val="24"/>
          <w:szCs w:val="24"/>
        </w:rPr>
        <w:t xml:space="preserve"> </w:t>
      </w:r>
      <w:r w:rsidR="003F2867">
        <w:rPr>
          <w:rFonts w:ascii="Calibri" w:eastAsia="Calibri" w:hAnsi="Calibri" w:cs="Calibri"/>
          <w:sz w:val="24"/>
          <w:szCs w:val="24"/>
        </w:rPr>
        <w:t xml:space="preserve">stated that reflection can be an effective tool in the classroom with focus and planning and </w:t>
      </w:r>
      <w:sdt>
        <w:sdtPr>
          <w:rPr>
            <w:rFonts w:ascii="Calibri" w:eastAsia="Calibri" w:hAnsi="Calibri" w:cs="Calibri"/>
            <w:sz w:val="24"/>
            <w:szCs w:val="24"/>
          </w:rPr>
          <w:id w:val="-1436363225"/>
          <w:citation/>
        </w:sdtPr>
        <w:sdtEndPr/>
        <w:sdtContent>
          <w:r w:rsidR="003B452B">
            <w:rPr>
              <w:rFonts w:ascii="Calibri" w:eastAsia="Calibri" w:hAnsi="Calibri" w:cs="Calibri"/>
              <w:sz w:val="24"/>
              <w:szCs w:val="24"/>
            </w:rPr>
            <w:fldChar w:fldCharType="begin"/>
          </w:r>
          <w:r w:rsidR="009D0BAD">
            <w:rPr>
              <w:rFonts w:ascii="Calibri" w:eastAsia="Calibri" w:hAnsi="Calibri" w:cs="Calibri"/>
              <w:sz w:val="24"/>
              <w:szCs w:val="24"/>
            </w:rPr>
            <w:instrText xml:space="preserve">CITATION Bou85 \p 141 \l 2057 </w:instrText>
          </w:r>
          <w:r w:rsidR="003B452B">
            <w:rPr>
              <w:rFonts w:ascii="Calibri" w:eastAsia="Calibri" w:hAnsi="Calibri" w:cs="Calibri"/>
              <w:sz w:val="24"/>
              <w:szCs w:val="24"/>
            </w:rPr>
            <w:fldChar w:fldCharType="separate"/>
          </w:r>
          <w:r w:rsidR="009D0BAD" w:rsidRPr="009D0BAD">
            <w:rPr>
              <w:rFonts w:ascii="Calibri" w:eastAsia="Calibri" w:hAnsi="Calibri" w:cs="Calibri"/>
              <w:noProof/>
              <w:sz w:val="24"/>
              <w:szCs w:val="24"/>
            </w:rPr>
            <w:t>(Boud, Keogh, &amp; Walker, 1985, p. 141)</w:t>
          </w:r>
          <w:r w:rsidR="003B452B">
            <w:rPr>
              <w:rFonts w:ascii="Calibri" w:eastAsia="Calibri" w:hAnsi="Calibri" w:cs="Calibri"/>
              <w:sz w:val="24"/>
              <w:szCs w:val="24"/>
            </w:rPr>
            <w:fldChar w:fldCharType="end"/>
          </w:r>
        </w:sdtContent>
      </w:sdt>
      <w:r>
        <w:rPr>
          <w:rFonts w:ascii="Calibri" w:eastAsia="Calibri" w:hAnsi="Calibri" w:cs="Calibri"/>
          <w:sz w:val="24"/>
          <w:szCs w:val="24"/>
        </w:rPr>
        <w:t xml:space="preserve"> </w:t>
      </w:r>
      <w:r w:rsidR="003F2867">
        <w:rPr>
          <w:rFonts w:ascii="Calibri" w:eastAsia="Calibri" w:hAnsi="Calibri" w:cs="Calibri"/>
          <w:sz w:val="24"/>
          <w:szCs w:val="24"/>
        </w:rPr>
        <w:t xml:space="preserve">went further and </w:t>
      </w:r>
      <w:r>
        <w:rPr>
          <w:rFonts w:ascii="Calibri" w:eastAsia="Calibri" w:hAnsi="Calibri" w:cs="Calibri"/>
          <w:sz w:val="24"/>
          <w:szCs w:val="24"/>
        </w:rPr>
        <w:t>defined reflection as ‘meta-thinking’ the process of thinking about thinking, considering thoughts about the task completed and actions needed to improve together for future benefit</w:t>
      </w:r>
      <w:r w:rsidR="003F2867">
        <w:rPr>
          <w:rFonts w:ascii="Calibri" w:eastAsia="Calibri" w:hAnsi="Calibri" w:cs="Calibri"/>
          <w:sz w:val="24"/>
          <w:szCs w:val="24"/>
        </w:rPr>
        <w:t xml:space="preserve">.  </w:t>
      </w:r>
      <w:r w:rsidR="00E36B54">
        <w:rPr>
          <w:rFonts w:ascii="Calibri" w:eastAsia="Calibri" w:hAnsi="Calibri" w:cs="Calibri"/>
          <w:sz w:val="24"/>
          <w:szCs w:val="24"/>
        </w:rPr>
        <w:t xml:space="preserve">Assessment for learning strategies can range from thumbs up-thumbs down activities to traffic light systems to recorded evaluations such as 2 stars and a wish, all of which can be both useful and appropriate depending on how they are used.  </w:t>
      </w:r>
      <w:sdt>
        <w:sdtPr>
          <w:rPr>
            <w:rFonts w:ascii="Calibri" w:eastAsia="Calibri" w:hAnsi="Calibri" w:cs="Calibri"/>
            <w:sz w:val="24"/>
            <w:szCs w:val="24"/>
          </w:rPr>
          <w:id w:val="1855449081"/>
          <w:citation/>
        </w:sdtPr>
        <w:sdtEndPr/>
        <w:sdtContent>
          <w:r w:rsidR="003B452B">
            <w:rPr>
              <w:rFonts w:ascii="Calibri" w:eastAsia="Calibri" w:hAnsi="Calibri" w:cs="Calibri"/>
              <w:sz w:val="24"/>
              <w:szCs w:val="24"/>
            </w:rPr>
            <w:fldChar w:fldCharType="begin"/>
          </w:r>
          <w:r w:rsidR="003B452B">
            <w:rPr>
              <w:rFonts w:ascii="Calibri" w:eastAsia="Calibri" w:hAnsi="Calibri" w:cs="Calibri"/>
              <w:sz w:val="24"/>
              <w:szCs w:val="24"/>
            </w:rPr>
            <w:instrText xml:space="preserve">CITATION Han12 \p 11 \l 2057 </w:instrText>
          </w:r>
          <w:r w:rsidR="003B452B">
            <w:rPr>
              <w:rFonts w:ascii="Calibri" w:eastAsia="Calibri" w:hAnsi="Calibri" w:cs="Calibri"/>
              <w:sz w:val="24"/>
              <w:szCs w:val="24"/>
            </w:rPr>
            <w:fldChar w:fldCharType="separate"/>
          </w:r>
          <w:r w:rsidR="003B452B" w:rsidRPr="003B452B">
            <w:rPr>
              <w:rFonts w:ascii="Calibri" w:eastAsia="Calibri" w:hAnsi="Calibri" w:cs="Calibri"/>
              <w:noProof/>
              <w:sz w:val="24"/>
              <w:szCs w:val="24"/>
            </w:rPr>
            <w:t>(Hansen, 2012, p. 11)</w:t>
          </w:r>
          <w:r w:rsidR="003B452B">
            <w:rPr>
              <w:rFonts w:ascii="Calibri" w:eastAsia="Calibri" w:hAnsi="Calibri" w:cs="Calibri"/>
              <w:sz w:val="24"/>
              <w:szCs w:val="24"/>
            </w:rPr>
            <w:fldChar w:fldCharType="end"/>
          </w:r>
        </w:sdtContent>
      </w:sdt>
      <w:r w:rsidR="003B452B">
        <w:rPr>
          <w:rFonts w:ascii="Calibri" w:eastAsia="Calibri" w:hAnsi="Calibri" w:cs="Calibri"/>
          <w:sz w:val="24"/>
          <w:szCs w:val="24"/>
        </w:rPr>
        <w:t xml:space="preserve"> </w:t>
      </w:r>
      <w:r w:rsidR="00E36B54">
        <w:rPr>
          <w:rFonts w:ascii="Calibri" w:eastAsia="Calibri" w:hAnsi="Calibri" w:cs="Calibri"/>
          <w:sz w:val="24"/>
          <w:szCs w:val="24"/>
        </w:rPr>
        <w:t xml:space="preserve">concluded that reflection should be based on the process of the task completed, not the end-product, a fact lost on many practitioners and learners, hence the need for teaching the skill of reflection.  </w:t>
      </w:r>
      <w:r w:rsidR="004B0E8F">
        <w:rPr>
          <w:rFonts w:ascii="Calibri" w:eastAsia="Calibri" w:hAnsi="Calibri" w:cs="Calibri"/>
          <w:sz w:val="24"/>
          <w:szCs w:val="24"/>
        </w:rPr>
        <w:t xml:space="preserve">Although seen as an internal skill, </w:t>
      </w:r>
      <w:sdt>
        <w:sdtPr>
          <w:rPr>
            <w:rFonts w:ascii="Calibri" w:eastAsia="Calibri" w:hAnsi="Calibri" w:cs="Calibri"/>
            <w:sz w:val="24"/>
            <w:szCs w:val="24"/>
          </w:rPr>
          <w:id w:val="1536616187"/>
          <w:citation/>
        </w:sdtPr>
        <w:sdtEndPr/>
        <w:sdtContent>
          <w:r w:rsidR="003B452B">
            <w:rPr>
              <w:rFonts w:ascii="Calibri" w:eastAsia="Calibri" w:hAnsi="Calibri" w:cs="Calibri"/>
              <w:sz w:val="24"/>
              <w:szCs w:val="24"/>
            </w:rPr>
            <w:fldChar w:fldCharType="begin"/>
          </w:r>
          <w:r w:rsidR="003B452B">
            <w:rPr>
              <w:rFonts w:ascii="Calibri" w:eastAsia="Calibri" w:hAnsi="Calibri" w:cs="Calibri"/>
              <w:sz w:val="24"/>
              <w:szCs w:val="24"/>
            </w:rPr>
            <w:instrText xml:space="preserve">CITATION Han12 \p 102 \l 2057 </w:instrText>
          </w:r>
          <w:r w:rsidR="003B452B">
            <w:rPr>
              <w:rFonts w:ascii="Calibri" w:eastAsia="Calibri" w:hAnsi="Calibri" w:cs="Calibri"/>
              <w:sz w:val="24"/>
              <w:szCs w:val="24"/>
            </w:rPr>
            <w:fldChar w:fldCharType="separate"/>
          </w:r>
          <w:r w:rsidR="003B452B" w:rsidRPr="003B452B">
            <w:rPr>
              <w:rFonts w:ascii="Calibri" w:eastAsia="Calibri" w:hAnsi="Calibri" w:cs="Calibri"/>
              <w:noProof/>
              <w:sz w:val="24"/>
              <w:szCs w:val="24"/>
            </w:rPr>
            <w:t>(Hansen, 2012, p. 102)</w:t>
          </w:r>
          <w:r w:rsidR="003B452B">
            <w:rPr>
              <w:rFonts w:ascii="Calibri" w:eastAsia="Calibri" w:hAnsi="Calibri" w:cs="Calibri"/>
              <w:sz w:val="24"/>
              <w:szCs w:val="24"/>
            </w:rPr>
            <w:fldChar w:fldCharType="end"/>
          </w:r>
        </w:sdtContent>
      </w:sdt>
      <w:r w:rsidR="004B0E8F">
        <w:rPr>
          <w:rFonts w:ascii="Calibri" w:eastAsia="Calibri" w:hAnsi="Calibri" w:cs="Calibri"/>
          <w:sz w:val="24"/>
          <w:szCs w:val="24"/>
        </w:rPr>
        <w:t xml:space="preserve"> suggested that in its early stages reflection can be part of a learning conversation, akin to thinking out loud; a dialogue based on the process of learning carried out, before leading towards the </w:t>
      </w:r>
      <w:r w:rsidR="004B0E8F">
        <w:rPr>
          <w:rFonts w:ascii="Calibri" w:eastAsia="Calibri" w:hAnsi="Calibri" w:cs="Calibri"/>
          <w:sz w:val="24"/>
          <w:szCs w:val="24"/>
        </w:rPr>
        <w:lastRenderedPageBreak/>
        <w:t>internalisation of the reflection process.  Through demonstrating this process, teachers will be able to ensure the process remains positive, highlighting what the learners did well before identifying a way of making it better, with effectively planned opportunities to reflect and then improve allowing the learner to take responsibility of their own learning and become increasingly confident and independent.</w:t>
      </w:r>
      <w:r w:rsidR="00C21A20">
        <w:rPr>
          <w:rFonts w:ascii="Calibri" w:eastAsia="Calibri" w:hAnsi="Calibri" w:cs="Calibri"/>
          <w:sz w:val="24"/>
          <w:szCs w:val="24"/>
        </w:rPr>
        <w:t xml:space="preserve">  According to </w:t>
      </w:r>
      <w:sdt>
        <w:sdtPr>
          <w:rPr>
            <w:rFonts w:ascii="Calibri" w:eastAsia="Calibri" w:hAnsi="Calibri" w:cs="Calibri"/>
            <w:sz w:val="24"/>
            <w:szCs w:val="24"/>
          </w:rPr>
          <w:id w:val="1289324710"/>
          <w:citation/>
        </w:sdtPr>
        <w:sdtEndPr/>
        <w:sdtContent>
          <w:r w:rsidR="0009584C">
            <w:rPr>
              <w:rFonts w:ascii="Calibri" w:eastAsia="Calibri" w:hAnsi="Calibri" w:cs="Calibri"/>
              <w:sz w:val="24"/>
              <w:szCs w:val="24"/>
            </w:rPr>
            <w:fldChar w:fldCharType="begin"/>
          </w:r>
          <w:r w:rsidR="0009584C">
            <w:rPr>
              <w:rFonts w:ascii="Calibri" w:eastAsia="Calibri" w:hAnsi="Calibri" w:cs="Calibri"/>
              <w:sz w:val="24"/>
              <w:szCs w:val="24"/>
            </w:rPr>
            <w:instrText xml:space="preserve">CITATION Moo04 \p 73 \l 2057 </w:instrText>
          </w:r>
          <w:r w:rsidR="0009584C">
            <w:rPr>
              <w:rFonts w:ascii="Calibri" w:eastAsia="Calibri" w:hAnsi="Calibri" w:cs="Calibri"/>
              <w:sz w:val="24"/>
              <w:szCs w:val="24"/>
            </w:rPr>
            <w:fldChar w:fldCharType="separate"/>
          </w:r>
          <w:r w:rsidR="0009584C" w:rsidRPr="0009584C">
            <w:rPr>
              <w:rFonts w:ascii="Calibri" w:eastAsia="Calibri" w:hAnsi="Calibri" w:cs="Calibri"/>
              <w:noProof/>
              <w:sz w:val="24"/>
              <w:szCs w:val="24"/>
            </w:rPr>
            <w:t>(Moon, 2004, p. 73)</w:t>
          </w:r>
          <w:r w:rsidR="0009584C">
            <w:rPr>
              <w:rFonts w:ascii="Calibri" w:eastAsia="Calibri" w:hAnsi="Calibri" w:cs="Calibri"/>
              <w:sz w:val="24"/>
              <w:szCs w:val="24"/>
            </w:rPr>
            <w:fldChar w:fldCharType="end"/>
          </w:r>
        </w:sdtContent>
      </w:sdt>
      <w:r w:rsidR="00C21A20">
        <w:rPr>
          <w:rFonts w:ascii="Calibri" w:eastAsia="Calibri" w:hAnsi="Calibri" w:cs="Calibri"/>
          <w:sz w:val="24"/>
          <w:szCs w:val="24"/>
        </w:rPr>
        <w:t xml:space="preserve">, being reflective and experiential are aspects of ‘employability skills’ in further education, a point that is pertinent considering the use of technology in a variety of highly-paid professions in the wider world, such as the use of video and photographs in improving sports performance or sound recordings for editing a song.  As technology becomes increasingly used within the education system, developing the ability to reflect from an early age will enable learners to make greater use of this technology when considering their own performances. </w:t>
      </w:r>
    </w:p>
    <w:p w:rsidR="00355AC5" w:rsidRDefault="00355AC5" w:rsidP="003D0B7D">
      <w:pPr>
        <w:spacing w:line="360" w:lineRule="auto"/>
        <w:contextualSpacing w:val="0"/>
        <w:rPr>
          <w:rFonts w:ascii="Calibri" w:eastAsia="Calibri" w:hAnsi="Calibri" w:cs="Calibri"/>
          <w:sz w:val="24"/>
          <w:szCs w:val="24"/>
        </w:rPr>
      </w:pPr>
    </w:p>
    <w:p w:rsidR="00355AC5" w:rsidRPr="001B698C"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ranges within and across Areas of Learning and Experience.</w:t>
      </w:r>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regularly reinforces Cross-curriculum Responsibilities, including literacy, numeracy and digital competence, and provides opportunities to practise them.</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This principle could easily join principle 8 as by using literacy, numeracy and digital competence skills across the curriculum; this would involve utilising these skills across the Areas of Learning and Experience to provide extended and purposeful opportunities for these skills to be used.</w:t>
      </w:r>
      <w:r w:rsidR="000133CA">
        <w:rPr>
          <w:rFonts w:ascii="Calibri" w:eastAsia="Calibri" w:hAnsi="Calibri" w:cs="Calibri"/>
          <w:sz w:val="24"/>
          <w:szCs w:val="24"/>
        </w:rPr>
        <w:t xml:space="preserve">  If you were to ask a learner now which of the mentioned skills were used most across the curriculum, they would likely say literacy or digital competence, with literacy skills used constantly in reading or speaking and listening and technology increasingly available; a good teacher needs to ensure numeracy is given as much cross-curricular focus for the skills to be seen as purposeful in practice.  A way in which this can be done suggests </w:t>
      </w:r>
      <w:sdt>
        <w:sdtPr>
          <w:rPr>
            <w:rFonts w:ascii="Calibri" w:eastAsia="Calibri" w:hAnsi="Calibri" w:cs="Calibri"/>
            <w:sz w:val="24"/>
            <w:szCs w:val="24"/>
          </w:rPr>
          <w:id w:val="-979531515"/>
          <w:citation/>
        </w:sdtPr>
        <w:sdtEndPr/>
        <w:sdtContent>
          <w:r w:rsidR="0009584C">
            <w:rPr>
              <w:rFonts w:ascii="Calibri" w:eastAsia="Calibri" w:hAnsi="Calibri" w:cs="Calibri"/>
              <w:sz w:val="24"/>
              <w:szCs w:val="24"/>
            </w:rPr>
            <w:fldChar w:fldCharType="begin"/>
          </w:r>
          <w:r w:rsidR="0009584C">
            <w:rPr>
              <w:rFonts w:ascii="Calibri" w:eastAsia="Calibri" w:hAnsi="Calibri" w:cs="Calibri"/>
              <w:sz w:val="24"/>
              <w:szCs w:val="24"/>
            </w:rPr>
            <w:instrText xml:space="preserve">CITATION Bee98 \p 17 \l 2057 </w:instrText>
          </w:r>
          <w:r w:rsidR="0009584C">
            <w:rPr>
              <w:rFonts w:ascii="Calibri" w:eastAsia="Calibri" w:hAnsi="Calibri" w:cs="Calibri"/>
              <w:sz w:val="24"/>
              <w:szCs w:val="24"/>
            </w:rPr>
            <w:fldChar w:fldCharType="separate"/>
          </w:r>
          <w:r w:rsidR="0009584C" w:rsidRPr="0009584C">
            <w:rPr>
              <w:rFonts w:ascii="Calibri" w:eastAsia="Calibri" w:hAnsi="Calibri" w:cs="Calibri"/>
              <w:noProof/>
              <w:sz w:val="24"/>
              <w:szCs w:val="24"/>
            </w:rPr>
            <w:t>(Beetlestone, 1998, p. 17)</w:t>
          </w:r>
          <w:r w:rsidR="0009584C">
            <w:rPr>
              <w:rFonts w:ascii="Calibri" w:eastAsia="Calibri" w:hAnsi="Calibri" w:cs="Calibri"/>
              <w:sz w:val="24"/>
              <w:szCs w:val="24"/>
            </w:rPr>
            <w:fldChar w:fldCharType="end"/>
          </w:r>
        </w:sdtContent>
      </w:sdt>
      <w:r w:rsidR="00141911">
        <w:rPr>
          <w:rFonts w:ascii="Calibri" w:eastAsia="Calibri" w:hAnsi="Calibri" w:cs="Calibri"/>
          <w:sz w:val="24"/>
          <w:szCs w:val="24"/>
        </w:rPr>
        <w:t xml:space="preserve"> </w:t>
      </w:r>
      <w:r w:rsidR="000133CA">
        <w:rPr>
          <w:rFonts w:ascii="Calibri" w:eastAsia="Calibri" w:hAnsi="Calibri" w:cs="Calibri"/>
          <w:sz w:val="24"/>
          <w:szCs w:val="24"/>
        </w:rPr>
        <w:t>is through increasing the use of problem-solving activities as these use elements of creativity and logical thinking</w:t>
      </w:r>
      <w:r w:rsidR="00141911">
        <w:rPr>
          <w:rFonts w:ascii="Calibri" w:eastAsia="Calibri" w:hAnsi="Calibri" w:cs="Calibri"/>
          <w:sz w:val="24"/>
          <w:szCs w:val="24"/>
        </w:rPr>
        <w:t>, giving the learners a degree of self-direction as well.</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encourages children and young people to take increasing responsibility for their own learning.</w:t>
      </w:r>
    </w:p>
    <w:p w:rsidR="00355AC5" w:rsidRDefault="004B0E8F"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As noted when explaining principle 7, learners are most willing to take responsibility for their own learning when they can reflect on the process in a positive manner, </w:t>
      </w:r>
      <w:r>
        <w:rPr>
          <w:rFonts w:ascii="Calibri" w:eastAsia="Calibri" w:hAnsi="Calibri" w:cs="Calibri"/>
          <w:sz w:val="24"/>
          <w:szCs w:val="24"/>
        </w:rPr>
        <w:lastRenderedPageBreak/>
        <w:t xml:space="preserve">allowing them to forward plan during tasks.  </w:t>
      </w:r>
      <w:sdt>
        <w:sdtPr>
          <w:rPr>
            <w:rFonts w:ascii="Calibri" w:eastAsia="Calibri" w:hAnsi="Calibri" w:cs="Calibri"/>
            <w:sz w:val="24"/>
            <w:szCs w:val="24"/>
          </w:rPr>
          <w:id w:val="714392709"/>
          <w:citation/>
        </w:sdtPr>
        <w:sdtEndPr/>
        <w:sdtContent>
          <w:r w:rsidR="00AA573A">
            <w:rPr>
              <w:rFonts w:ascii="Calibri" w:eastAsia="Calibri" w:hAnsi="Calibri" w:cs="Calibri"/>
              <w:sz w:val="24"/>
              <w:szCs w:val="24"/>
            </w:rPr>
            <w:fldChar w:fldCharType="begin"/>
          </w:r>
          <w:r w:rsidR="00AA573A">
            <w:rPr>
              <w:rFonts w:ascii="Calibri" w:eastAsia="Calibri" w:hAnsi="Calibri" w:cs="Calibri"/>
              <w:sz w:val="24"/>
              <w:szCs w:val="24"/>
            </w:rPr>
            <w:instrText xml:space="preserve"> CITATION Cla11 \l 2057 </w:instrText>
          </w:r>
          <w:r w:rsidR="00AA573A">
            <w:rPr>
              <w:rFonts w:ascii="Calibri" w:eastAsia="Calibri" w:hAnsi="Calibri" w:cs="Calibri"/>
              <w:sz w:val="24"/>
              <w:szCs w:val="24"/>
            </w:rPr>
            <w:fldChar w:fldCharType="separate"/>
          </w:r>
          <w:r w:rsidR="00AA573A" w:rsidRPr="00AA573A">
            <w:rPr>
              <w:rFonts w:ascii="Calibri" w:eastAsia="Calibri" w:hAnsi="Calibri" w:cs="Calibri"/>
              <w:noProof/>
              <w:sz w:val="24"/>
              <w:szCs w:val="24"/>
            </w:rPr>
            <w:t>(Claxton, Chambers, Powell, &amp; Lucas, 2011)</w:t>
          </w:r>
          <w:r w:rsidR="00AA573A">
            <w:rPr>
              <w:rFonts w:ascii="Calibri" w:eastAsia="Calibri" w:hAnsi="Calibri" w:cs="Calibri"/>
              <w:sz w:val="24"/>
              <w:szCs w:val="24"/>
            </w:rPr>
            <w:fldChar w:fldCharType="end"/>
          </w:r>
        </w:sdtContent>
      </w:sdt>
      <w:r w:rsidR="00AA573A">
        <w:rPr>
          <w:rFonts w:ascii="Calibri" w:eastAsia="Calibri" w:hAnsi="Calibri" w:cs="Calibri"/>
          <w:sz w:val="24"/>
          <w:szCs w:val="24"/>
        </w:rPr>
        <w:t xml:space="preserve"> </w:t>
      </w:r>
      <w:r w:rsidR="00426C2A">
        <w:rPr>
          <w:rFonts w:ascii="Calibri" w:eastAsia="Calibri" w:hAnsi="Calibri" w:cs="Calibri"/>
          <w:sz w:val="24"/>
          <w:szCs w:val="24"/>
        </w:rPr>
        <w:t>identified 5 core beliefs for ‘Building Learning Power’ (BLP); they recognised the purpose as preparing young people for life after school, much like Donaldson, an aim to build resourcefulness and resilience in our learners, the ability to remain confident in a changing world, the importance in acknowledging intelligence is learnable and that skills can be vital, difficult and do-able.  Through BLP activities learners are increasingly capable of being responsible for their own learning, though this can take time to embed into practice and requires parental engagement and community involvement to be most successful.</w:t>
      </w:r>
      <w:r w:rsidR="00AA573A">
        <w:rPr>
          <w:rFonts w:ascii="Calibri" w:eastAsia="Calibri" w:hAnsi="Calibri" w:cs="Calibri"/>
          <w:sz w:val="24"/>
          <w:szCs w:val="24"/>
        </w:rPr>
        <w:t xml:space="preserve">  There are many projects and teaching styles that develop how learners can take responsibility for their own learning, including Flipped Learning where the teacher gives the learner, or group of learners, a success criteria and objective, with the learners then developing an activity that will support them in fulfilling these, and the Genius Hour, a project that can be carried over a number of sessions or weeks where learners are given dedicated time to develop work to present to their peers based on something that they wonder about.  However, for this to be most successful learners need to have </w:t>
      </w:r>
      <w:r w:rsidR="009D0BAD">
        <w:rPr>
          <w:rFonts w:ascii="Calibri" w:eastAsia="Calibri" w:hAnsi="Calibri" w:cs="Calibri"/>
          <w:sz w:val="24"/>
          <w:szCs w:val="24"/>
        </w:rPr>
        <w:t xml:space="preserve">a level of confidence in their ability where they can work independently, are aware of their ability and how they can improve; schools have begun using the work of </w:t>
      </w:r>
      <w:sdt>
        <w:sdtPr>
          <w:rPr>
            <w:rFonts w:ascii="Calibri" w:eastAsia="Calibri" w:hAnsi="Calibri" w:cs="Calibri"/>
            <w:sz w:val="24"/>
            <w:szCs w:val="24"/>
          </w:rPr>
          <w:id w:val="650415751"/>
          <w:citation/>
        </w:sdtPr>
        <w:sdtEndPr/>
        <w:sdtContent>
          <w:r w:rsidR="009D0BAD">
            <w:rPr>
              <w:rFonts w:ascii="Calibri" w:eastAsia="Calibri" w:hAnsi="Calibri" w:cs="Calibri"/>
              <w:sz w:val="24"/>
              <w:szCs w:val="24"/>
            </w:rPr>
            <w:fldChar w:fldCharType="begin"/>
          </w:r>
          <w:r w:rsidR="009D0BAD">
            <w:rPr>
              <w:rFonts w:ascii="Calibri" w:eastAsia="Calibri" w:hAnsi="Calibri" w:cs="Calibri"/>
              <w:sz w:val="24"/>
              <w:szCs w:val="24"/>
            </w:rPr>
            <w:instrText xml:space="preserve"> CITATION Dwe06 \l 2057 </w:instrText>
          </w:r>
          <w:r w:rsidR="009D0BAD">
            <w:rPr>
              <w:rFonts w:ascii="Calibri" w:eastAsia="Calibri" w:hAnsi="Calibri" w:cs="Calibri"/>
              <w:sz w:val="24"/>
              <w:szCs w:val="24"/>
            </w:rPr>
            <w:fldChar w:fldCharType="separate"/>
          </w:r>
          <w:r w:rsidR="009D0BAD" w:rsidRPr="009D0BAD">
            <w:rPr>
              <w:rFonts w:ascii="Calibri" w:eastAsia="Calibri" w:hAnsi="Calibri" w:cs="Calibri"/>
              <w:noProof/>
              <w:sz w:val="24"/>
              <w:szCs w:val="24"/>
            </w:rPr>
            <w:t>(Dweck, 2006)</w:t>
          </w:r>
          <w:r w:rsidR="009D0BAD">
            <w:rPr>
              <w:rFonts w:ascii="Calibri" w:eastAsia="Calibri" w:hAnsi="Calibri" w:cs="Calibri"/>
              <w:sz w:val="24"/>
              <w:szCs w:val="24"/>
            </w:rPr>
            <w:fldChar w:fldCharType="end"/>
          </w:r>
        </w:sdtContent>
      </w:sdt>
      <w:r w:rsidR="009D0BAD">
        <w:rPr>
          <w:rFonts w:ascii="Calibri" w:eastAsia="Calibri" w:hAnsi="Calibri" w:cs="Calibri"/>
          <w:sz w:val="24"/>
          <w:szCs w:val="24"/>
        </w:rPr>
        <w:t xml:space="preserve"> aimed at improving the mindset of the learners to support them in becoming independent and seeing themselves as a successful learner, a person who can have a go and learn from errors.</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supports social and emotional development and positive relationships.</w:t>
      </w:r>
    </w:p>
    <w:p w:rsidR="00355AC5" w:rsidRDefault="009249D0"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All learners are different and teaching effectively requires a teacher who is compassionate and able to develop a relationship with all learners, a person who as </w:t>
      </w:r>
      <w:sdt>
        <w:sdtPr>
          <w:rPr>
            <w:rFonts w:ascii="Calibri" w:eastAsia="Calibri" w:hAnsi="Calibri" w:cs="Calibri"/>
            <w:sz w:val="24"/>
            <w:szCs w:val="24"/>
          </w:rPr>
          <w:id w:val="1661267458"/>
          <w:citation/>
        </w:sdtPr>
        <w:sdtEndPr/>
        <w:sdtContent>
          <w:r w:rsidR="00AA573A">
            <w:rPr>
              <w:rFonts w:ascii="Calibri" w:eastAsia="Calibri" w:hAnsi="Calibri" w:cs="Calibri"/>
              <w:sz w:val="24"/>
              <w:szCs w:val="24"/>
            </w:rPr>
            <w:fldChar w:fldCharType="begin"/>
          </w:r>
          <w:r w:rsidR="00AA573A">
            <w:rPr>
              <w:rFonts w:ascii="Calibri" w:eastAsia="Calibri" w:hAnsi="Calibri" w:cs="Calibri"/>
              <w:sz w:val="24"/>
              <w:szCs w:val="24"/>
            </w:rPr>
            <w:instrText xml:space="preserve">CITATION Hat142 \p xv \l 2057 </w:instrText>
          </w:r>
          <w:r w:rsidR="00AA573A">
            <w:rPr>
              <w:rFonts w:ascii="Calibri" w:eastAsia="Calibri" w:hAnsi="Calibri" w:cs="Calibri"/>
              <w:sz w:val="24"/>
              <w:szCs w:val="24"/>
            </w:rPr>
            <w:fldChar w:fldCharType="separate"/>
          </w:r>
          <w:r w:rsidR="00AA573A" w:rsidRPr="00AA573A">
            <w:rPr>
              <w:rFonts w:ascii="Calibri" w:eastAsia="Calibri" w:hAnsi="Calibri" w:cs="Calibri"/>
              <w:noProof/>
              <w:sz w:val="24"/>
              <w:szCs w:val="24"/>
            </w:rPr>
            <w:t>(Hattie &amp; Yates, Visible Learning and the Science of How We Learn, 2014, p. xv)</w:t>
          </w:r>
          <w:r w:rsidR="00AA573A">
            <w:rPr>
              <w:rFonts w:ascii="Calibri" w:eastAsia="Calibri" w:hAnsi="Calibri" w:cs="Calibri"/>
              <w:sz w:val="24"/>
              <w:szCs w:val="24"/>
            </w:rPr>
            <w:fldChar w:fldCharType="end"/>
          </w:r>
        </w:sdtContent>
      </w:sdt>
      <w:r w:rsidR="00AA573A">
        <w:rPr>
          <w:rFonts w:ascii="Calibri" w:eastAsia="Calibri" w:hAnsi="Calibri" w:cs="Calibri"/>
          <w:sz w:val="24"/>
          <w:szCs w:val="24"/>
        </w:rPr>
        <w:t xml:space="preserve"> </w:t>
      </w:r>
      <w:r w:rsidR="00F23D2E">
        <w:rPr>
          <w:rFonts w:ascii="Calibri" w:eastAsia="Calibri" w:hAnsi="Calibri" w:cs="Calibri"/>
          <w:sz w:val="24"/>
          <w:szCs w:val="24"/>
        </w:rPr>
        <w:t>explain can build a trusting, fair and safe environment, allowing learners to thrive and make mistakes with a teacher who will know how to support them.  This is particularly important with ALN learners and boys, those who require a role model who is going to be firm, fair and positive to support their development.</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numPr>
          <w:ilvl w:val="0"/>
          <w:numId w:val="4"/>
        </w:numPr>
        <w:pBdr>
          <w:top w:val="nil"/>
          <w:left w:val="nil"/>
          <w:bottom w:val="nil"/>
          <w:right w:val="nil"/>
          <w:between w:val="nil"/>
        </w:pBdr>
        <w:spacing w:line="360" w:lineRule="auto"/>
        <w:contextualSpacing w:val="0"/>
        <w:rPr>
          <w:rFonts w:ascii="Calibri" w:eastAsia="Calibri" w:hAnsi="Calibri" w:cs="Calibri"/>
          <w:color w:val="000000"/>
          <w:sz w:val="24"/>
          <w:szCs w:val="24"/>
        </w:rPr>
      </w:pPr>
      <w:r>
        <w:rPr>
          <w:rFonts w:ascii="Calibri" w:eastAsia="Calibri" w:hAnsi="Calibri" w:cs="Calibri"/>
          <w:color w:val="000000"/>
          <w:sz w:val="24"/>
          <w:szCs w:val="24"/>
        </w:rPr>
        <w:t>Good teaching and learning encourages collaboration.</w:t>
      </w:r>
    </w:p>
    <w:p w:rsidR="00355AC5" w:rsidRDefault="009249D0"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This principle could be linked with principle 11 as it requires the relationships to be positive and productive between the learners and staff when collaborating.  The </w:t>
      </w:r>
      <w:r>
        <w:rPr>
          <w:rFonts w:ascii="Calibri" w:eastAsia="Calibri" w:hAnsi="Calibri" w:cs="Calibri"/>
          <w:sz w:val="24"/>
          <w:szCs w:val="24"/>
        </w:rPr>
        <w:lastRenderedPageBreak/>
        <w:t>developments in technology available has only improved this area of learning, allowing learners to readily communicate about and collaborate on tasks in a variety of ways, such as email or skype to creating a word document or PowerPoint presentation with others.  Collaboration is now much more than being in the same room as other individuals, through the power of the Internet it can be conducted effectively online and at different times.  The skill of collaboration is vital as it can support learners in being ready to work as a team and to delegate responsibilities with the expectation that they will be fulfilled, much as working in an office or studio environment where a teach of staff could be working on the same project at the same time.  Learners can also develop an awareness of utilising the strengths of others in a group when collaborating, with creating a quality product as the end goal.</w:t>
      </w:r>
    </w:p>
    <w:p w:rsidR="00355AC5" w:rsidRDefault="00355AC5" w:rsidP="003D0B7D">
      <w:pPr>
        <w:spacing w:line="360" w:lineRule="auto"/>
        <w:contextualSpacing w:val="0"/>
        <w:rPr>
          <w:rFonts w:ascii="Calibri" w:eastAsia="Calibri" w:hAnsi="Calibri" w:cs="Calibri"/>
          <w:sz w:val="24"/>
          <w:szCs w:val="24"/>
        </w:rPr>
      </w:pPr>
    </w:p>
    <w:p w:rsidR="00355AC5" w:rsidRDefault="008A7CD7"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To prepare for a curriculum that addresses recommendation 34 from Successful Futures, schools have begun</w:t>
      </w:r>
      <w:r w:rsidR="002D1872">
        <w:rPr>
          <w:rFonts w:ascii="Calibri" w:eastAsia="Calibri" w:hAnsi="Calibri" w:cs="Calibri"/>
          <w:sz w:val="24"/>
          <w:szCs w:val="24"/>
        </w:rPr>
        <w:t xml:space="preserve"> providing experiences and opportunities for learners to gain skills and understanding in expertise they would not no</w:t>
      </w:r>
      <w:r>
        <w:rPr>
          <w:rFonts w:ascii="Calibri" w:eastAsia="Calibri" w:hAnsi="Calibri" w:cs="Calibri"/>
          <w:sz w:val="24"/>
          <w:szCs w:val="24"/>
        </w:rPr>
        <w:t>rmally have in a school setting.  They</w:t>
      </w:r>
      <w:r w:rsidR="002D1872">
        <w:rPr>
          <w:rFonts w:ascii="Calibri" w:eastAsia="Calibri" w:hAnsi="Calibri" w:cs="Calibri"/>
          <w:sz w:val="24"/>
          <w:szCs w:val="24"/>
        </w:rPr>
        <w:t xml:space="preserve"> have begun</w:t>
      </w:r>
      <w:r>
        <w:rPr>
          <w:rFonts w:ascii="Calibri" w:eastAsia="Calibri" w:hAnsi="Calibri" w:cs="Calibri"/>
          <w:sz w:val="24"/>
          <w:szCs w:val="24"/>
        </w:rPr>
        <w:t xml:space="preserve"> this by</w:t>
      </w:r>
      <w:r w:rsidR="002D1872">
        <w:rPr>
          <w:rFonts w:ascii="Calibri" w:eastAsia="Calibri" w:hAnsi="Calibri" w:cs="Calibri"/>
          <w:sz w:val="24"/>
          <w:szCs w:val="24"/>
        </w:rPr>
        <w:t xml:space="preserve"> utilising learning ambassadors, skilled-visitors commonly invited in to the school setting, while also affording similar opportunities during educational visits.  School A took the opportunity to invite learning ambassadors into the school on three occasions this past year, once a term, with the feedback from learners highlighting how positive this experience was, one Year 4 boy noting ‘I particularly enjoyed when the accident investigator told us about friction’ in an end of year report feedback.  Another useful example was during a theme week spent studying another country, with a grandparent who had visited the country coming into the classroom and explaining their experiences to the learners, an account of personal experience they would not have had previously.  Through providing these opportunities, School A is incorporating two of the purposes for their learners to benefit from (ethical, informed citizens and ambitious, capable learners), should they be utilised effectively.  Further to developing these two purposes, the school is also fulfilling recommendation 34 from the review</w:t>
      </w:r>
      <w:r>
        <w:rPr>
          <w:rFonts w:ascii="Calibri" w:eastAsia="Calibri" w:hAnsi="Calibri" w:cs="Calibri"/>
          <w:sz w:val="24"/>
          <w:szCs w:val="24"/>
        </w:rPr>
        <w:t>, as they have through other avenues</w:t>
      </w:r>
      <w:r w:rsidR="002D1872">
        <w:rPr>
          <w:rFonts w:ascii="Calibri" w:eastAsia="Calibri" w:hAnsi="Calibri" w:cs="Calibri"/>
          <w:sz w:val="24"/>
          <w:szCs w:val="24"/>
        </w:rPr>
        <w:t>.</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Through a ‘Night Out’ scheme offered by the Arts Council of Wales, School A also took the opportunity to benefit from organising a show performed by professionals, this including writing letters of </w:t>
      </w:r>
      <w:r w:rsidR="00703734">
        <w:rPr>
          <w:rFonts w:ascii="Calibri" w:eastAsia="Calibri" w:hAnsi="Calibri" w:cs="Calibri"/>
          <w:sz w:val="24"/>
          <w:szCs w:val="24"/>
        </w:rPr>
        <w:t>invitation</w:t>
      </w:r>
      <w:r>
        <w:rPr>
          <w:rFonts w:ascii="Calibri" w:eastAsia="Calibri" w:hAnsi="Calibri" w:cs="Calibri"/>
          <w:sz w:val="24"/>
          <w:szCs w:val="24"/>
        </w:rPr>
        <w:t xml:space="preserve">, deciding on ticket costs and raffle prices to </w:t>
      </w:r>
      <w:r>
        <w:rPr>
          <w:rFonts w:ascii="Calibri" w:eastAsia="Calibri" w:hAnsi="Calibri" w:cs="Calibri"/>
          <w:sz w:val="24"/>
          <w:szCs w:val="24"/>
        </w:rPr>
        <w:lastRenderedPageBreak/>
        <w:t>budget the finances of the events, creating posters and handling the backstage running of the event on the day of the performance</w:t>
      </w:r>
    </w:p>
    <w:p w:rsidR="00355AC5" w:rsidRDefault="00355AC5" w:rsidP="003D0B7D">
      <w:pPr>
        <w:spacing w:line="360" w:lineRule="auto"/>
        <w:contextualSpacing w:val="0"/>
        <w:rPr>
          <w:rFonts w:ascii="Calibri" w:eastAsia="Calibri" w:hAnsi="Calibri" w:cs="Calibri"/>
          <w:sz w:val="24"/>
          <w:szCs w:val="24"/>
        </w:rPr>
      </w:pPr>
    </w:p>
    <w:p w:rsidR="00BC191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Educational visits</w:t>
      </w:r>
      <w:r w:rsidR="00BC1915">
        <w:rPr>
          <w:rFonts w:ascii="Calibri" w:eastAsia="Calibri" w:hAnsi="Calibri" w:cs="Calibri"/>
          <w:sz w:val="24"/>
          <w:szCs w:val="24"/>
        </w:rPr>
        <w:t xml:space="preserve"> can also fulfil recommendation 34 as they</w:t>
      </w:r>
      <w:r>
        <w:rPr>
          <w:rFonts w:ascii="Calibri" w:eastAsia="Calibri" w:hAnsi="Calibri" w:cs="Calibri"/>
          <w:sz w:val="24"/>
          <w:szCs w:val="24"/>
        </w:rPr>
        <w:t xml:space="preserve"> can be utilised in a variety of ways to impact on the learning taking place, with these including experiences to stimulate the learners in a topic at the beginning of the theme or to bring the learning together at the end of the theme; learners often remember the opportunities provided to them outside of the classroom in greater detail.</w:t>
      </w:r>
      <w:r w:rsidR="00BC1915">
        <w:rPr>
          <w:rFonts w:ascii="Calibri" w:eastAsia="Calibri" w:hAnsi="Calibri" w:cs="Calibri"/>
          <w:sz w:val="24"/>
          <w:szCs w:val="24"/>
        </w:rPr>
        <w:t xml:space="preserve">  Most educational visits involve a presentation given by a person of specialist knowledge and can involve the learners getting into character, adopting the role and responsibilities of a person.</w:t>
      </w:r>
    </w:p>
    <w:p w:rsidR="00BC1915" w:rsidRDefault="00BC1915" w:rsidP="003D0B7D">
      <w:pPr>
        <w:spacing w:line="360" w:lineRule="auto"/>
        <w:contextualSpacing w:val="0"/>
        <w:rPr>
          <w:rFonts w:ascii="Calibri" w:eastAsia="Calibri" w:hAnsi="Calibri" w:cs="Calibri"/>
          <w:sz w:val="24"/>
          <w:szCs w:val="24"/>
        </w:rPr>
      </w:pPr>
    </w:p>
    <w:p w:rsidR="00355AC5" w:rsidRDefault="00BC1915" w:rsidP="00BC1915">
      <w:pPr>
        <w:spacing w:line="360" w:lineRule="auto"/>
        <w:contextualSpacing w:val="0"/>
        <w:rPr>
          <w:rFonts w:ascii="Calibri" w:eastAsia="Calibri" w:hAnsi="Calibri" w:cs="Calibri"/>
          <w:sz w:val="24"/>
          <w:szCs w:val="24"/>
        </w:rPr>
      </w:pPr>
      <w:r>
        <w:rPr>
          <w:rFonts w:ascii="Calibri" w:eastAsia="Calibri" w:hAnsi="Calibri" w:cs="Calibri"/>
          <w:sz w:val="24"/>
          <w:szCs w:val="24"/>
        </w:rPr>
        <w:t>Though Donaldson does not specifically give detailed explanation of how to teach the forthcoming Curriculum for Wales, with the time given to trial elements and the extensive research available, the educational establishments should be well prepared to deliver an education most appropriate for their learners for September 2022, enabling the young people of Wales to be ambitious, capable learners who are healthy and confident individuals, enterprising and creative contributors that are ethical and informed citizens of Wales and the world</w:t>
      </w:r>
      <w:r w:rsidR="009249D0">
        <w:rPr>
          <w:rFonts w:ascii="Calibri" w:eastAsia="Calibri" w:hAnsi="Calibri" w:cs="Calibri"/>
          <w:sz w:val="24"/>
          <w:szCs w:val="24"/>
        </w:rPr>
        <w:t>, ready for the world in which they will live and work</w:t>
      </w:r>
      <w:r>
        <w:rPr>
          <w:rFonts w:ascii="Calibri" w:eastAsia="Calibri" w:hAnsi="Calibri" w:cs="Calibri"/>
          <w:sz w:val="24"/>
          <w:szCs w:val="24"/>
        </w:rPr>
        <w:t xml:space="preserve">. </w:t>
      </w:r>
    </w:p>
    <w:p w:rsidR="00355AC5" w:rsidRDefault="002D1872" w:rsidP="003D0B7D">
      <w:pPr>
        <w:spacing w:line="360" w:lineRule="auto"/>
        <w:contextualSpacing w:val="0"/>
        <w:rPr>
          <w:rFonts w:ascii="Calibri" w:eastAsia="Calibri" w:hAnsi="Calibri" w:cs="Calibri"/>
          <w:b/>
          <w:sz w:val="24"/>
          <w:szCs w:val="24"/>
        </w:rPr>
      </w:pPr>
      <w:r>
        <w:br w:type="page"/>
      </w:r>
    </w:p>
    <w:p w:rsidR="00355AC5" w:rsidRDefault="002D1872" w:rsidP="003D0B7D">
      <w:pPr>
        <w:spacing w:line="360" w:lineRule="auto"/>
        <w:contextualSpacing w:val="0"/>
        <w:rPr>
          <w:rFonts w:ascii="Calibri" w:eastAsia="Calibri" w:hAnsi="Calibri" w:cs="Calibri"/>
          <w:b/>
          <w:sz w:val="24"/>
          <w:szCs w:val="24"/>
        </w:rPr>
      </w:pPr>
      <w:r>
        <w:rPr>
          <w:rFonts w:ascii="Calibri" w:eastAsia="Calibri" w:hAnsi="Calibri" w:cs="Calibri"/>
          <w:b/>
          <w:sz w:val="24"/>
          <w:szCs w:val="24"/>
        </w:rPr>
        <w:lastRenderedPageBreak/>
        <w:t xml:space="preserve">Section 2 - SWOT Analysis and Strategic Plan for School A  </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While the pioneer schools test and develop elements of the forthcoming Curriculum for Wales, School A has begun taking steps to prepare for its implementation also.  To further this and enable the school to continue driving forward and be ready to successfully implement the new curriculum on its arrival, a SWOT analysis was carried out to identify the current Strengths, Weaknesses, Opportunities and Threats at this stage of development:</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Fig.1 School A SWOT Analysis.</w:t>
      </w:r>
    </w:p>
    <w:tbl>
      <w:tblPr>
        <w:tblStyle w:val="a0"/>
        <w:tblW w:w="8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19"/>
        <w:gridCol w:w="5386"/>
      </w:tblGrid>
      <w:tr w:rsidR="00355AC5" w:rsidTr="00703734">
        <w:tc>
          <w:tcPr>
            <w:tcW w:w="3219"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b/>
                <w:sz w:val="24"/>
                <w:szCs w:val="24"/>
              </w:rPr>
            </w:pPr>
            <w:r>
              <w:rPr>
                <w:rFonts w:ascii="Calibri" w:eastAsia="Calibri" w:hAnsi="Calibri" w:cs="Calibri"/>
                <w:b/>
                <w:sz w:val="24"/>
                <w:szCs w:val="24"/>
              </w:rPr>
              <w:t>S - Strengths</w:t>
            </w: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Consistency of teaching staff.</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Shared vision of the Curriculum for Wales.</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703734" w:rsidRDefault="00703734"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LNF and DCF already in use.</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703734" w:rsidRDefault="00703734"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Use of Pupil Voice.</w:t>
            </w:r>
          </w:p>
        </w:tc>
        <w:tc>
          <w:tcPr>
            <w:tcW w:w="5386" w:type="dxa"/>
            <w:shd w:val="clear" w:color="auto" w:fill="auto"/>
            <w:tcMar>
              <w:top w:w="100" w:type="dxa"/>
              <w:left w:w="100" w:type="dxa"/>
              <w:bottom w:w="100" w:type="dxa"/>
              <w:right w:w="100" w:type="dxa"/>
            </w:tcMar>
          </w:tcPr>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Owing to consistency of teaching staff, a largely unchanged team of at least 5 years, the staff are all aware of individual strengths and were noted in a recent inspection as ‘an inclusive and effective learning community with a strong ethos of co-operation and teamwork’ and making ‘effective use of the valuable opportunities offered by the school to learn from each other’. (ESTYN 2017 pg13)</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Staff have all attended courses over the past 2 years and produced feedback for colleagues based on how these can support the implementation of the new curriculum.</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As documents are being phased out and made available to schools, School A have taken an approach to implement them across the whole-school quickly, with these uses then reviewed and tracked.</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An area of particular importance in developing interest in learning, especially with underachieving boys, how the ideas of the pupils can be used to develop the motivation in their learning is a strength </w:t>
            </w:r>
            <w:r>
              <w:rPr>
                <w:rFonts w:ascii="Calibri" w:eastAsia="Calibri" w:hAnsi="Calibri" w:cs="Calibri"/>
                <w:sz w:val="24"/>
                <w:szCs w:val="24"/>
              </w:rPr>
              <w:lastRenderedPageBreak/>
              <w:t>of School A.</w:t>
            </w:r>
          </w:p>
        </w:tc>
      </w:tr>
      <w:tr w:rsidR="00355AC5" w:rsidTr="00703734">
        <w:tc>
          <w:tcPr>
            <w:tcW w:w="3219"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b/>
                <w:sz w:val="24"/>
                <w:szCs w:val="24"/>
              </w:rPr>
            </w:pPr>
            <w:r>
              <w:rPr>
                <w:rFonts w:ascii="Calibri" w:eastAsia="Calibri" w:hAnsi="Calibri" w:cs="Calibri"/>
                <w:b/>
                <w:sz w:val="24"/>
                <w:szCs w:val="24"/>
              </w:rPr>
              <w:lastRenderedPageBreak/>
              <w:t>W - Weaknesses</w:t>
            </w: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Time.</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703734" w:rsidRDefault="00703734"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Budget and enhancing resources.</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Learner confidence and esteem.</w:t>
            </w:r>
          </w:p>
        </w:tc>
        <w:tc>
          <w:tcPr>
            <w:tcW w:w="5386" w:type="dxa"/>
            <w:shd w:val="clear" w:color="auto" w:fill="auto"/>
            <w:tcMar>
              <w:top w:w="100" w:type="dxa"/>
              <w:left w:w="100" w:type="dxa"/>
              <w:bottom w:w="100" w:type="dxa"/>
              <w:right w:w="100" w:type="dxa"/>
            </w:tcMar>
          </w:tcPr>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Time is not always available and this can impact on how effectively ideas and initiatives are implemented.  For example, the time needed to provide feedback from courses and develop an agreed action plan to successfully implement changes across the school.</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With only 13% eFSM, the budget available to the school is restrictive in terms of updating and enhancing resources, requiring skilled management.</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As demonstrated by the PASS survey results collected from the responses of learners from Years 2 to 6, the confidence and self-esteem of the learners does not match their current levels of achievement.</w:t>
            </w:r>
          </w:p>
        </w:tc>
      </w:tr>
      <w:tr w:rsidR="00355AC5" w:rsidTr="00703734">
        <w:tc>
          <w:tcPr>
            <w:tcW w:w="3219"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b/>
                <w:sz w:val="24"/>
                <w:szCs w:val="24"/>
              </w:rPr>
            </w:pPr>
            <w:r>
              <w:rPr>
                <w:rFonts w:ascii="Calibri" w:eastAsia="Calibri" w:hAnsi="Calibri" w:cs="Calibri"/>
                <w:b/>
                <w:sz w:val="24"/>
                <w:szCs w:val="24"/>
              </w:rPr>
              <w:t>O - Opportunities</w:t>
            </w: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New Curriculum for Wales.</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Courses in preparation for the Curriculum for Wales.</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New management team.</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Involving the community.</w:t>
            </w:r>
          </w:p>
        </w:tc>
        <w:tc>
          <w:tcPr>
            <w:tcW w:w="5386" w:type="dxa"/>
            <w:shd w:val="clear" w:color="auto" w:fill="auto"/>
            <w:tcMar>
              <w:top w:w="100" w:type="dxa"/>
              <w:left w:w="100" w:type="dxa"/>
              <w:bottom w:w="100" w:type="dxa"/>
              <w:right w:w="100" w:type="dxa"/>
            </w:tcMar>
          </w:tcPr>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With the new curriculum forthcoming and elements being tested within the school, the opportunities and freedom to develop a purposeful curriculum that fulfils the four purposes are available.</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As a staff that is eager to continue in developing professionally, there are many opportunities being offered, particularly from the educational consortia within Wales, to enable staff and schools to be fully prepared for the forthcoming curriculum.</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While the loss of the Head and Deputy Head can cause issues in progress towards continued </w:t>
            </w:r>
            <w:r>
              <w:rPr>
                <w:rFonts w:ascii="Calibri" w:eastAsia="Calibri" w:hAnsi="Calibri" w:cs="Calibri"/>
                <w:sz w:val="24"/>
                <w:szCs w:val="24"/>
              </w:rPr>
              <w:lastRenderedPageBreak/>
              <w:t>implementation of the new curriculum, it also provides an opportunity to breathe fresh ideas and views on interpreting the new curriculum and how it should be delivered most effectively in School A.</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Involving the community in the learning can enable the learners to see the purpose of their learning and how it will be useful in their future, adding to their interest.</w:t>
            </w:r>
          </w:p>
        </w:tc>
      </w:tr>
      <w:tr w:rsidR="00355AC5" w:rsidTr="00703734">
        <w:tc>
          <w:tcPr>
            <w:tcW w:w="3219"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b/>
                <w:sz w:val="24"/>
                <w:szCs w:val="24"/>
              </w:rPr>
            </w:pPr>
            <w:r>
              <w:rPr>
                <w:rFonts w:ascii="Calibri" w:eastAsia="Calibri" w:hAnsi="Calibri" w:cs="Calibri"/>
                <w:b/>
                <w:sz w:val="24"/>
                <w:szCs w:val="24"/>
              </w:rPr>
              <w:lastRenderedPageBreak/>
              <w:t>T - Threats</w:t>
            </w: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Departing management team.</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703734" w:rsidRDefault="00703734"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Linking Areas of Learning and Experience within theme-approach.</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703734" w:rsidRDefault="00703734"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703734" w:rsidRDefault="00703734"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Too much.</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703734" w:rsidRDefault="00703734"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703734" w:rsidRDefault="00703734"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Transition.</w:t>
            </w:r>
          </w:p>
        </w:tc>
        <w:tc>
          <w:tcPr>
            <w:tcW w:w="5386" w:type="dxa"/>
            <w:shd w:val="clear" w:color="auto" w:fill="auto"/>
            <w:tcMar>
              <w:top w:w="100" w:type="dxa"/>
              <w:left w:w="100" w:type="dxa"/>
              <w:bottom w:w="100" w:type="dxa"/>
              <w:right w:w="100" w:type="dxa"/>
            </w:tcMar>
          </w:tcPr>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The current leadership and management team (Head, Deputy Head and SENCo) have begun leading and implementing phases towards the introduction of the new curriculum, however both the Head and Deputy Head have departed their roles in the school at the end of the summer term. </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As the school undertakes movements in preparation for the new curriculum, they have made the change from individualised subjects to Areas of Learning and Experience, developing how these can be incorporated within themes or topics to be taught effectively across the Foundation Phase and Key Stage 2.</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As all schools explore how they can introduce the Curriculum for Wales effectively, there is a threat that they can try to put too many initiatives and changes in place, not allowing them to embed and maximising the opportunity for them to be successful.</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For the learning of each child to be successful, how </w:t>
            </w:r>
            <w:r>
              <w:rPr>
                <w:rFonts w:ascii="Calibri" w:eastAsia="Calibri" w:hAnsi="Calibri" w:cs="Calibri"/>
                <w:sz w:val="24"/>
                <w:szCs w:val="24"/>
              </w:rPr>
              <w:lastRenderedPageBreak/>
              <w:t>they move between phases and year groups needs to be as seamless as possible for continued learning to be effective, hence how transition between schools is managed is particularly important and challenging.</w:t>
            </w:r>
          </w:p>
        </w:tc>
      </w:tr>
    </w:tbl>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Based on the conclusions of the conducted SWOT Analysis for School A, below is a plan of actions in order of current priority aimed at overcoming issues identified:</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Fig 2. School A Action Plan</w:t>
      </w:r>
    </w:p>
    <w:tbl>
      <w:tblPr>
        <w:tblStyle w:val="a1"/>
        <w:tblW w:w="8647" w:type="dxa"/>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8"/>
        <w:gridCol w:w="1611"/>
        <w:gridCol w:w="2500"/>
        <w:gridCol w:w="3118"/>
      </w:tblGrid>
      <w:tr w:rsidR="00355AC5" w:rsidTr="00703734">
        <w:tc>
          <w:tcPr>
            <w:tcW w:w="1418" w:type="dxa"/>
            <w:shd w:val="clear" w:color="auto" w:fill="CCCCCC"/>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jc w:val="center"/>
              <w:rPr>
                <w:rFonts w:ascii="Calibri" w:eastAsia="Calibri" w:hAnsi="Calibri" w:cs="Calibri"/>
                <w:b/>
                <w:sz w:val="24"/>
                <w:szCs w:val="24"/>
              </w:rPr>
            </w:pPr>
            <w:r>
              <w:rPr>
                <w:rFonts w:ascii="Calibri" w:eastAsia="Calibri" w:hAnsi="Calibri" w:cs="Calibri"/>
                <w:b/>
                <w:sz w:val="24"/>
                <w:szCs w:val="24"/>
              </w:rPr>
              <w:t>Action</w:t>
            </w:r>
          </w:p>
        </w:tc>
        <w:tc>
          <w:tcPr>
            <w:tcW w:w="1611" w:type="dxa"/>
            <w:shd w:val="clear" w:color="auto" w:fill="CCCCCC"/>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jc w:val="center"/>
              <w:rPr>
                <w:rFonts w:ascii="Calibri" w:eastAsia="Calibri" w:hAnsi="Calibri" w:cs="Calibri"/>
                <w:b/>
                <w:sz w:val="24"/>
                <w:szCs w:val="24"/>
              </w:rPr>
            </w:pPr>
            <w:r>
              <w:rPr>
                <w:rFonts w:ascii="Calibri" w:eastAsia="Calibri" w:hAnsi="Calibri" w:cs="Calibri"/>
                <w:b/>
                <w:sz w:val="24"/>
                <w:szCs w:val="24"/>
              </w:rPr>
              <w:t>Area(s) Addressed</w:t>
            </w:r>
          </w:p>
        </w:tc>
        <w:tc>
          <w:tcPr>
            <w:tcW w:w="2500" w:type="dxa"/>
            <w:shd w:val="clear" w:color="auto" w:fill="CCCCCC"/>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jc w:val="center"/>
              <w:rPr>
                <w:rFonts w:ascii="Calibri" w:eastAsia="Calibri" w:hAnsi="Calibri" w:cs="Calibri"/>
                <w:b/>
                <w:sz w:val="24"/>
                <w:szCs w:val="24"/>
              </w:rPr>
            </w:pPr>
            <w:r>
              <w:rPr>
                <w:rFonts w:ascii="Calibri" w:eastAsia="Calibri" w:hAnsi="Calibri" w:cs="Calibri"/>
                <w:b/>
                <w:sz w:val="24"/>
                <w:szCs w:val="24"/>
              </w:rPr>
              <w:t xml:space="preserve">Purpose </w:t>
            </w:r>
          </w:p>
        </w:tc>
        <w:tc>
          <w:tcPr>
            <w:tcW w:w="3118" w:type="dxa"/>
            <w:shd w:val="clear" w:color="auto" w:fill="CCCCCC"/>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jc w:val="center"/>
              <w:rPr>
                <w:rFonts w:ascii="Calibri" w:eastAsia="Calibri" w:hAnsi="Calibri" w:cs="Calibri"/>
                <w:b/>
                <w:sz w:val="24"/>
                <w:szCs w:val="24"/>
              </w:rPr>
            </w:pPr>
            <w:r>
              <w:rPr>
                <w:rFonts w:ascii="Calibri" w:eastAsia="Calibri" w:hAnsi="Calibri" w:cs="Calibri"/>
                <w:b/>
                <w:sz w:val="24"/>
                <w:szCs w:val="24"/>
              </w:rPr>
              <w:t>Success Criteria</w:t>
            </w:r>
          </w:p>
        </w:tc>
      </w:tr>
      <w:tr w:rsidR="00355AC5" w:rsidTr="00703734">
        <w:tc>
          <w:tcPr>
            <w:tcW w:w="1418" w:type="dxa"/>
            <w:shd w:val="clear" w:color="auto" w:fill="auto"/>
            <w:tcMar>
              <w:top w:w="100" w:type="dxa"/>
              <w:left w:w="100" w:type="dxa"/>
              <w:bottom w:w="100" w:type="dxa"/>
              <w:right w:w="100" w:type="dxa"/>
            </w:tcMar>
          </w:tcPr>
          <w:p w:rsidR="00355AC5" w:rsidRDefault="002D1872" w:rsidP="003D0B7D">
            <w:pPr>
              <w:widowControl w:val="0"/>
              <w:spacing w:line="360" w:lineRule="auto"/>
              <w:contextualSpacing w:val="0"/>
              <w:rPr>
                <w:rFonts w:ascii="Calibri" w:eastAsia="Calibri" w:hAnsi="Calibri" w:cs="Calibri"/>
                <w:sz w:val="24"/>
                <w:szCs w:val="24"/>
              </w:rPr>
            </w:pPr>
            <w:r>
              <w:rPr>
                <w:rFonts w:ascii="Calibri" w:eastAsia="Calibri" w:hAnsi="Calibri" w:cs="Calibri"/>
                <w:sz w:val="24"/>
                <w:szCs w:val="24"/>
              </w:rPr>
              <w:t>Develop whole-school vision for the introduction of the new curriculum.</w:t>
            </w:r>
          </w:p>
        </w:tc>
        <w:tc>
          <w:tcPr>
            <w:tcW w:w="1611"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Departing management team.</w:t>
            </w: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Too much.</w:t>
            </w:r>
          </w:p>
          <w:p w:rsidR="00355AC5" w:rsidRDefault="002D1872" w:rsidP="003D0B7D">
            <w:pPr>
              <w:widowControl w:val="0"/>
              <w:spacing w:line="360" w:lineRule="auto"/>
              <w:contextualSpacing w:val="0"/>
              <w:rPr>
                <w:rFonts w:ascii="Calibri" w:eastAsia="Calibri" w:hAnsi="Calibri" w:cs="Calibri"/>
                <w:sz w:val="24"/>
                <w:szCs w:val="24"/>
              </w:rPr>
            </w:pPr>
            <w:r>
              <w:rPr>
                <w:rFonts w:ascii="Calibri" w:eastAsia="Calibri" w:hAnsi="Calibri" w:cs="Calibri"/>
                <w:sz w:val="24"/>
                <w:szCs w:val="24"/>
              </w:rPr>
              <w:t>Budget and enhancing resources.</w:t>
            </w:r>
          </w:p>
        </w:tc>
        <w:tc>
          <w:tcPr>
            <w:tcW w:w="2500"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This action will allow for the new leadership team and current staff to be able to create a shared vision for the new curriculum, making the new leadership team aware of the steps already taken and developing a plan to build on these.</w:t>
            </w:r>
          </w:p>
        </w:tc>
        <w:tc>
          <w:tcPr>
            <w:tcW w:w="3118" w:type="dxa"/>
            <w:shd w:val="clear" w:color="auto" w:fill="auto"/>
            <w:tcMar>
              <w:top w:w="100" w:type="dxa"/>
              <w:left w:w="100" w:type="dxa"/>
              <w:bottom w:w="100" w:type="dxa"/>
              <w:right w:w="100" w:type="dxa"/>
            </w:tcMar>
          </w:tcPr>
          <w:p w:rsidR="00355AC5" w:rsidRDefault="002D1872" w:rsidP="003D0B7D">
            <w:pPr>
              <w:widowControl w:val="0"/>
              <w:numPr>
                <w:ilvl w:val="0"/>
                <w:numId w:val="3"/>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 xml:space="preserve">Previous </w:t>
            </w:r>
            <w:r w:rsidR="00A54E47">
              <w:rPr>
                <w:rFonts w:ascii="Calibri" w:eastAsia="Calibri" w:hAnsi="Calibri" w:cs="Calibri"/>
                <w:sz w:val="24"/>
                <w:szCs w:val="24"/>
              </w:rPr>
              <w:t>School Development</w:t>
            </w:r>
            <w:r>
              <w:rPr>
                <w:rFonts w:ascii="Calibri" w:eastAsia="Calibri" w:hAnsi="Calibri" w:cs="Calibri"/>
                <w:sz w:val="24"/>
                <w:szCs w:val="24"/>
              </w:rPr>
              <w:t xml:space="preserve"> Plan (SDP) reviewed as a staff.</w:t>
            </w:r>
          </w:p>
          <w:p w:rsidR="00355AC5" w:rsidRDefault="002D1872" w:rsidP="003D0B7D">
            <w:pPr>
              <w:widowControl w:val="0"/>
              <w:numPr>
                <w:ilvl w:val="0"/>
                <w:numId w:val="3"/>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New SDP created as a staff.</w:t>
            </w:r>
          </w:p>
          <w:p w:rsidR="00355AC5" w:rsidRDefault="002D1872" w:rsidP="003D0B7D">
            <w:pPr>
              <w:widowControl w:val="0"/>
              <w:numPr>
                <w:ilvl w:val="0"/>
                <w:numId w:val="3"/>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 xml:space="preserve">Priority Resources listed and purchased. </w:t>
            </w:r>
          </w:p>
          <w:p w:rsidR="00355AC5" w:rsidRDefault="002D1872" w:rsidP="003D0B7D">
            <w:pPr>
              <w:widowControl w:val="0"/>
              <w:numPr>
                <w:ilvl w:val="0"/>
                <w:numId w:val="3"/>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Actions reviewed by set staff teams at mid-point (February 2019) and feedback shared, including further actions if required.</w:t>
            </w:r>
          </w:p>
          <w:p w:rsidR="00355AC5" w:rsidRDefault="002D1872" w:rsidP="003D0B7D">
            <w:pPr>
              <w:widowControl w:val="0"/>
              <w:numPr>
                <w:ilvl w:val="0"/>
                <w:numId w:val="3"/>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End of Year SDP review completed (June 2019)</w:t>
            </w:r>
          </w:p>
        </w:tc>
      </w:tr>
      <w:tr w:rsidR="00355AC5" w:rsidTr="00703734">
        <w:tc>
          <w:tcPr>
            <w:tcW w:w="1418" w:type="dxa"/>
            <w:shd w:val="clear" w:color="auto" w:fill="auto"/>
            <w:tcMar>
              <w:top w:w="100" w:type="dxa"/>
              <w:left w:w="100" w:type="dxa"/>
              <w:bottom w:w="100" w:type="dxa"/>
              <w:right w:w="100" w:type="dxa"/>
            </w:tcMar>
          </w:tcPr>
          <w:p w:rsidR="00355AC5" w:rsidRDefault="002D1872" w:rsidP="003D0B7D">
            <w:pPr>
              <w:widowControl w:val="0"/>
              <w:spacing w:line="360" w:lineRule="auto"/>
              <w:contextualSpacing w:val="0"/>
              <w:rPr>
                <w:rFonts w:ascii="Calibri" w:eastAsia="Calibri" w:hAnsi="Calibri" w:cs="Calibri"/>
                <w:sz w:val="24"/>
                <w:szCs w:val="24"/>
              </w:rPr>
            </w:pPr>
            <w:r>
              <w:rPr>
                <w:rFonts w:ascii="Calibri" w:eastAsia="Calibri" w:hAnsi="Calibri" w:cs="Calibri"/>
                <w:sz w:val="24"/>
                <w:szCs w:val="24"/>
              </w:rPr>
              <w:t>Embed the purposes of the curriculum in classroom practice.</w:t>
            </w:r>
          </w:p>
        </w:tc>
        <w:tc>
          <w:tcPr>
            <w:tcW w:w="1611"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New Curriculum for Wales.</w:t>
            </w:r>
          </w:p>
        </w:tc>
        <w:tc>
          <w:tcPr>
            <w:tcW w:w="2500"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Through embedding the four purposes of the curriculum, the learners will be better prepared for the future world they will be living and working in.</w:t>
            </w:r>
          </w:p>
        </w:tc>
        <w:tc>
          <w:tcPr>
            <w:tcW w:w="3118" w:type="dxa"/>
            <w:shd w:val="clear" w:color="auto" w:fill="auto"/>
            <w:tcMar>
              <w:top w:w="100" w:type="dxa"/>
              <w:left w:w="100" w:type="dxa"/>
              <w:bottom w:w="100" w:type="dxa"/>
              <w:right w:w="100" w:type="dxa"/>
            </w:tcMar>
          </w:tcPr>
          <w:p w:rsidR="00355AC5" w:rsidRDefault="002D1872" w:rsidP="003D0B7D">
            <w:pPr>
              <w:widowControl w:val="0"/>
              <w:numPr>
                <w:ilvl w:val="0"/>
                <w:numId w:val="10"/>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Curriculum purposes displayed in each classroom.</w:t>
            </w:r>
          </w:p>
          <w:p w:rsidR="00355AC5" w:rsidRDefault="002D1872" w:rsidP="003D0B7D">
            <w:pPr>
              <w:widowControl w:val="0"/>
              <w:numPr>
                <w:ilvl w:val="0"/>
                <w:numId w:val="10"/>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Curriculum purposes discussed and explained when used in learning activities.</w:t>
            </w:r>
          </w:p>
          <w:p w:rsidR="00355AC5" w:rsidRDefault="002D1872" w:rsidP="003D0B7D">
            <w:pPr>
              <w:widowControl w:val="0"/>
              <w:numPr>
                <w:ilvl w:val="0"/>
                <w:numId w:val="10"/>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lastRenderedPageBreak/>
              <w:t>Curriculum purposes</w:t>
            </w:r>
            <w:r w:rsidR="00703734">
              <w:rPr>
                <w:rFonts w:ascii="Calibri" w:eastAsia="Calibri" w:hAnsi="Calibri" w:cs="Calibri"/>
                <w:sz w:val="24"/>
                <w:szCs w:val="24"/>
              </w:rPr>
              <w:t xml:space="preserve"> identified on Success Criteria</w:t>
            </w:r>
            <w:r>
              <w:rPr>
                <w:rFonts w:ascii="Calibri" w:eastAsia="Calibri" w:hAnsi="Calibri" w:cs="Calibri"/>
                <w:sz w:val="24"/>
                <w:szCs w:val="24"/>
              </w:rPr>
              <w:t xml:space="preserve"> for each session when appropriate with a #, learners evaluating success.</w:t>
            </w:r>
          </w:p>
          <w:p w:rsidR="00355AC5" w:rsidRDefault="00703734" w:rsidP="003D0B7D">
            <w:pPr>
              <w:widowControl w:val="0"/>
              <w:numPr>
                <w:ilvl w:val="0"/>
                <w:numId w:val="10"/>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Curriculum</w:t>
            </w:r>
            <w:r w:rsidR="002D1872">
              <w:rPr>
                <w:rFonts w:ascii="Calibri" w:eastAsia="Calibri" w:hAnsi="Calibri" w:cs="Calibri"/>
                <w:sz w:val="24"/>
                <w:szCs w:val="24"/>
              </w:rPr>
              <w:t xml:space="preserve"> purposes </w:t>
            </w:r>
            <w:r>
              <w:rPr>
                <w:rFonts w:ascii="Calibri" w:eastAsia="Calibri" w:hAnsi="Calibri" w:cs="Calibri"/>
                <w:sz w:val="24"/>
                <w:szCs w:val="24"/>
              </w:rPr>
              <w:t>identified</w:t>
            </w:r>
            <w:r w:rsidR="002D1872">
              <w:rPr>
                <w:rFonts w:ascii="Calibri" w:eastAsia="Calibri" w:hAnsi="Calibri" w:cs="Calibri"/>
                <w:sz w:val="24"/>
                <w:szCs w:val="24"/>
              </w:rPr>
              <w:t xml:space="preserve"> on ‘Theme Plans’.</w:t>
            </w:r>
          </w:p>
          <w:p w:rsidR="00355AC5" w:rsidRDefault="002D1872" w:rsidP="003D0B7D">
            <w:pPr>
              <w:widowControl w:val="0"/>
              <w:numPr>
                <w:ilvl w:val="0"/>
                <w:numId w:val="10"/>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Appropriate curriculum purposes presented by the work displayed in classes and around the school.</w:t>
            </w:r>
          </w:p>
        </w:tc>
      </w:tr>
      <w:tr w:rsidR="00355AC5" w:rsidTr="00703734">
        <w:tc>
          <w:tcPr>
            <w:tcW w:w="1418"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lastRenderedPageBreak/>
              <w:t>Develop use of growth mindset across the school.</w:t>
            </w:r>
          </w:p>
        </w:tc>
        <w:tc>
          <w:tcPr>
            <w:tcW w:w="1611"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Use of Pupil Voice.</w:t>
            </w:r>
          </w:p>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Confidence and Self-esteem of learners.</w:t>
            </w:r>
          </w:p>
        </w:tc>
        <w:tc>
          <w:tcPr>
            <w:tcW w:w="2500"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By learners being introduced and using growth mindset techniques and displays, they will be able to develop their confidence and self-esteem allowing the school and staff to use the ideas given during pupil voice sessions more effectively.</w:t>
            </w:r>
          </w:p>
        </w:tc>
        <w:tc>
          <w:tcPr>
            <w:tcW w:w="3118" w:type="dxa"/>
            <w:shd w:val="clear" w:color="auto" w:fill="auto"/>
            <w:tcMar>
              <w:top w:w="100" w:type="dxa"/>
              <w:left w:w="100" w:type="dxa"/>
              <w:bottom w:w="100" w:type="dxa"/>
              <w:right w:w="100" w:type="dxa"/>
            </w:tcMar>
          </w:tcPr>
          <w:p w:rsidR="00355AC5" w:rsidRDefault="002D1872" w:rsidP="003D0B7D">
            <w:pPr>
              <w:widowControl w:val="0"/>
              <w:numPr>
                <w:ilvl w:val="0"/>
                <w:numId w:val="1"/>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Each class to have a Growth Mindset display.</w:t>
            </w:r>
          </w:p>
          <w:p w:rsidR="00355AC5" w:rsidRDefault="002D1872" w:rsidP="003D0B7D">
            <w:pPr>
              <w:widowControl w:val="0"/>
              <w:numPr>
                <w:ilvl w:val="0"/>
                <w:numId w:val="1"/>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Nearly all learners to be able to explain where they are on a Growth Mindset display, explaining why and how to get to the next step.</w:t>
            </w:r>
          </w:p>
          <w:p w:rsidR="00355AC5" w:rsidRDefault="002D1872" w:rsidP="003D0B7D">
            <w:pPr>
              <w:widowControl w:val="0"/>
              <w:numPr>
                <w:ilvl w:val="0"/>
                <w:numId w:val="1"/>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Improved scores on the PASS survey based on confidence and self-esteem.</w:t>
            </w:r>
          </w:p>
        </w:tc>
      </w:tr>
      <w:tr w:rsidR="00355AC5" w:rsidTr="00703734">
        <w:tc>
          <w:tcPr>
            <w:tcW w:w="1418"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Develop visible learning across the school.</w:t>
            </w:r>
          </w:p>
        </w:tc>
        <w:tc>
          <w:tcPr>
            <w:tcW w:w="1611"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Confidence and Self-esteem of learners.</w:t>
            </w:r>
          </w:p>
        </w:tc>
        <w:tc>
          <w:tcPr>
            <w:tcW w:w="2500"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Through encouraging the teacher to see through the eyes of the learner and develop usable classroom supports that enable the learners to see the </w:t>
            </w:r>
            <w:r>
              <w:rPr>
                <w:rFonts w:ascii="Calibri" w:eastAsia="Calibri" w:hAnsi="Calibri" w:cs="Calibri"/>
                <w:sz w:val="24"/>
                <w:szCs w:val="24"/>
              </w:rPr>
              <w:lastRenderedPageBreak/>
              <w:t>learning that is taking place, learners will become increasingly confident and independent.</w:t>
            </w:r>
          </w:p>
        </w:tc>
        <w:tc>
          <w:tcPr>
            <w:tcW w:w="3118" w:type="dxa"/>
            <w:shd w:val="clear" w:color="auto" w:fill="auto"/>
            <w:tcMar>
              <w:top w:w="100" w:type="dxa"/>
              <w:left w:w="100" w:type="dxa"/>
              <w:bottom w:w="100" w:type="dxa"/>
              <w:right w:w="100" w:type="dxa"/>
            </w:tcMar>
          </w:tcPr>
          <w:p w:rsidR="00355AC5" w:rsidRDefault="002D1872" w:rsidP="003D0B7D">
            <w:pPr>
              <w:widowControl w:val="0"/>
              <w:numPr>
                <w:ilvl w:val="0"/>
                <w:numId w:val="1"/>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lastRenderedPageBreak/>
              <w:t>Develop personalised learning pit displays in each classroom.</w:t>
            </w:r>
          </w:p>
          <w:p w:rsidR="00355AC5" w:rsidRDefault="002D1872" w:rsidP="003D0B7D">
            <w:pPr>
              <w:widowControl w:val="0"/>
              <w:numPr>
                <w:ilvl w:val="0"/>
                <w:numId w:val="1"/>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Embed the use of the displays in classroom practice.</w:t>
            </w:r>
          </w:p>
          <w:p w:rsidR="00355AC5" w:rsidRDefault="002D1872" w:rsidP="003D0B7D">
            <w:pPr>
              <w:widowControl w:val="0"/>
              <w:numPr>
                <w:ilvl w:val="0"/>
                <w:numId w:val="1"/>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 xml:space="preserve">Develop skill ladders for </w:t>
            </w:r>
            <w:r>
              <w:rPr>
                <w:rFonts w:ascii="Calibri" w:eastAsia="Calibri" w:hAnsi="Calibri" w:cs="Calibri"/>
                <w:sz w:val="24"/>
                <w:szCs w:val="24"/>
              </w:rPr>
              <w:lastRenderedPageBreak/>
              <w:t>literacy, numeracy and digital competence to be used to explain and reflect on work, identifying steps forward in learning.</w:t>
            </w:r>
          </w:p>
          <w:p w:rsidR="00355AC5" w:rsidRDefault="002D1872" w:rsidP="003D0B7D">
            <w:pPr>
              <w:widowControl w:val="0"/>
              <w:numPr>
                <w:ilvl w:val="0"/>
                <w:numId w:val="1"/>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Embed the use of skills ladders to self- and peer-assess learning.</w:t>
            </w:r>
          </w:p>
        </w:tc>
      </w:tr>
      <w:tr w:rsidR="00355AC5" w:rsidTr="00703734">
        <w:tc>
          <w:tcPr>
            <w:tcW w:w="1418"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lastRenderedPageBreak/>
              <w:t>Develop effective transition plan in collaboration with local cluster of schools.</w:t>
            </w:r>
          </w:p>
        </w:tc>
        <w:tc>
          <w:tcPr>
            <w:tcW w:w="1611"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Transition.</w:t>
            </w:r>
          </w:p>
        </w:tc>
        <w:tc>
          <w:tcPr>
            <w:tcW w:w="2500"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This will ensure the learning journey between local cluster of schools is as seamless as possible for the learners and effective, purposeful learning is continued.</w:t>
            </w:r>
          </w:p>
        </w:tc>
        <w:tc>
          <w:tcPr>
            <w:tcW w:w="3118" w:type="dxa"/>
            <w:shd w:val="clear" w:color="auto" w:fill="auto"/>
            <w:tcMar>
              <w:top w:w="100" w:type="dxa"/>
              <w:left w:w="100" w:type="dxa"/>
              <w:bottom w:w="100" w:type="dxa"/>
              <w:right w:w="100" w:type="dxa"/>
            </w:tcMar>
          </w:tcPr>
          <w:p w:rsidR="00355AC5" w:rsidRDefault="002D1872" w:rsidP="003D0B7D">
            <w:pPr>
              <w:widowControl w:val="0"/>
              <w:numPr>
                <w:ilvl w:val="0"/>
                <w:numId w:val="9"/>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Secondary school staff visit cluster primary schools to observe learning.</w:t>
            </w:r>
          </w:p>
          <w:p w:rsidR="00355AC5" w:rsidRDefault="002D1872" w:rsidP="003D0B7D">
            <w:pPr>
              <w:widowControl w:val="0"/>
              <w:numPr>
                <w:ilvl w:val="0"/>
                <w:numId w:val="9"/>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Primary school staff, particularly year 6 teachers, visit secondary schools to observe learning.</w:t>
            </w:r>
          </w:p>
          <w:p w:rsidR="00355AC5" w:rsidRDefault="002D1872" w:rsidP="003D0B7D">
            <w:pPr>
              <w:widowControl w:val="0"/>
              <w:numPr>
                <w:ilvl w:val="0"/>
                <w:numId w:val="9"/>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Transition plan to be developed, including activities to be carried out in year 6 through to year 7.</w:t>
            </w:r>
          </w:p>
        </w:tc>
      </w:tr>
      <w:tr w:rsidR="00355AC5" w:rsidTr="00703734">
        <w:tc>
          <w:tcPr>
            <w:tcW w:w="1418"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Increase opportunities for parent engagement in the new curriculum.</w:t>
            </w: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p w:rsidR="00355AC5" w:rsidRDefault="00355AC5"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p>
        </w:tc>
        <w:tc>
          <w:tcPr>
            <w:tcW w:w="1611"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Involving the community.</w:t>
            </w:r>
          </w:p>
        </w:tc>
        <w:tc>
          <w:tcPr>
            <w:tcW w:w="2500"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By carrying out this action School A will be involving the parents in the journey towards the new curriculum, increasing their awareness in the changes in education and how, and why, learning is being made </w:t>
            </w:r>
            <w:r>
              <w:rPr>
                <w:rFonts w:ascii="Calibri" w:eastAsia="Calibri" w:hAnsi="Calibri" w:cs="Calibri"/>
                <w:sz w:val="24"/>
                <w:szCs w:val="24"/>
              </w:rPr>
              <w:lastRenderedPageBreak/>
              <w:t>purposeful for the learners.</w:t>
            </w:r>
          </w:p>
        </w:tc>
        <w:tc>
          <w:tcPr>
            <w:tcW w:w="3118" w:type="dxa"/>
            <w:shd w:val="clear" w:color="auto" w:fill="auto"/>
            <w:tcMar>
              <w:top w:w="100" w:type="dxa"/>
              <w:left w:w="100" w:type="dxa"/>
              <w:bottom w:w="100" w:type="dxa"/>
              <w:right w:w="100" w:type="dxa"/>
            </w:tcMar>
          </w:tcPr>
          <w:p w:rsidR="00355AC5" w:rsidRDefault="002D1872" w:rsidP="003D0B7D">
            <w:pPr>
              <w:widowControl w:val="0"/>
              <w:numPr>
                <w:ilvl w:val="0"/>
                <w:numId w:val="8"/>
              </w:numPr>
              <w:spacing w:line="360" w:lineRule="auto"/>
              <w:ind w:left="283"/>
              <w:rPr>
                <w:rFonts w:ascii="Calibri" w:eastAsia="Calibri" w:hAnsi="Calibri" w:cs="Calibri"/>
                <w:sz w:val="24"/>
                <w:szCs w:val="24"/>
              </w:rPr>
            </w:pPr>
            <w:r>
              <w:rPr>
                <w:rFonts w:ascii="Calibri" w:eastAsia="Calibri" w:hAnsi="Calibri" w:cs="Calibri"/>
                <w:sz w:val="24"/>
                <w:szCs w:val="24"/>
              </w:rPr>
              <w:lastRenderedPageBreak/>
              <w:t>Host a Curriculum Open Day each term, demonstrating and promoting the different Areas of Learning and Experience.</w:t>
            </w:r>
          </w:p>
          <w:p w:rsidR="00355AC5" w:rsidRDefault="002D1872" w:rsidP="003D0B7D">
            <w:pPr>
              <w:widowControl w:val="0"/>
              <w:numPr>
                <w:ilvl w:val="0"/>
                <w:numId w:val="8"/>
              </w:numPr>
              <w:spacing w:line="360" w:lineRule="auto"/>
              <w:ind w:left="283"/>
              <w:rPr>
                <w:rFonts w:ascii="Calibri" w:eastAsia="Calibri" w:hAnsi="Calibri" w:cs="Calibri"/>
                <w:sz w:val="24"/>
                <w:szCs w:val="24"/>
              </w:rPr>
            </w:pPr>
            <w:r>
              <w:rPr>
                <w:rFonts w:ascii="Calibri" w:eastAsia="Calibri" w:hAnsi="Calibri" w:cs="Calibri"/>
                <w:sz w:val="24"/>
                <w:szCs w:val="24"/>
              </w:rPr>
              <w:t xml:space="preserve">Incorporate the local community within each theme e.g. visit local businesses, host a show </w:t>
            </w:r>
            <w:r>
              <w:rPr>
                <w:rFonts w:ascii="Calibri" w:eastAsia="Calibri" w:hAnsi="Calibri" w:cs="Calibri"/>
                <w:sz w:val="24"/>
                <w:szCs w:val="24"/>
              </w:rPr>
              <w:lastRenderedPageBreak/>
              <w:t>etc.</w:t>
            </w:r>
          </w:p>
        </w:tc>
      </w:tr>
      <w:tr w:rsidR="00355AC5" w:rsidTr="00703734">
        <w:tc>
          <w:tcPr>
            <w:tcW w:w="1418"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lastRenderedPageBreak/>
              <w:t>All Areas of Learning and Experience are satisfactorily covered across the themes throughout the academic year.</w:t>
            </w:r>
          </w:p>
        </w:tc>
        <w:tc>
          <w:tcPr>
            <w:tcW w:w="1611" w:type="dxa"/>
            <w:shd w:val="clear" w:color="auto" w:fill="auto"/>
            <w:tcMar>
              <w:top w:w="100" w:type="dxa"/>
              <w:left w:w="100" w:type="dxa"/>
              <w:bottom w:w="100" w:type="dxa"/>
              <w:right w:w="100" w:type="dxa"/>
            </w:tcMar>
          </w:tcPr>
          <w:p w:rsidR="00355AC5" w:rsidRDefault="002D1872" w:rsidP="003D0B7D">
            <w:pPr>
              <w:widowControl w:val="0"/>
              <w:spacing w:line="360" w:lineRule="auto"/>
              <w:contextualSpacing w:val="0"/>
              <w:rPr>
                <w:rFonts w:ascii="Calibri" w:eastAsia="Calibri" w:hAnsi="Calibri" w:cs="Calibri"/>
                <w:sz w:val="24"/>
                <w:szCs w:val="24"/>
              </w:rPr>
            </w:pPr>
            <w:r>
              <w:rPr>
                <w:rFonts w:ascii="Calibri" w:eastAsia="Calibri" w:hAnsi="Calibri" w:cs="Calibri"/>
                <w:sz w:val="24"/>
                <w:szCs w:val="24"/>
              </w:rPr>
              <w:t>Linking Areas of Learning and Experience within theme-approach.</w:t>
            </w:r>
          </w:p>
        </w:tc>
        <w:tc>
          <w:tcPr>
            <w:tcW w:w="2500" w:type="dxa"/>
            <w:shd w:val="clear" w:color="auto" w:fill="auto"/>
            <w:tcMar>
              <w:top w:w="100" w:type="dxa"/>
              <w:left w:w="100" w:type="dxa"/>
              <w:bottom w:w="100" w:type="dxa"/>
              <w:right w:w="100" w:type="dxa"/>
            </w:tcMar>
          </w:tcPr>
          <w:p w:rsidR="00355AC5" w:rsidRDefault="002D1872" w:rsidP="003D0B7D">
            <w:pPr>
              <w:widowControl w:val="0"/>
              <w:pBdr>
                <w:top w:val="nil"/>
                <w:left w:val="nil"/>
                <w:bottom w:val="nil"/>
                <w:right w:val="nil"/>
                <w:between w:val="nil"/>
              </w:pBdr>
              <w:spacing w:line="360" w:lineRule="auto"/>
              <w:contextualSpacing w:val="0"/>
              <w:rPr>
                <w:rFonts w:ascii="Calibri" w:eastAsia="Calibri" w:hAnsi="Calibri" w:cs="Calibri"/>
                <w:sz w:val="24"/>
                <w:szCs w:val="24"/>
              </w:rPr>
            </w:pPr>
            <w:r>
              <w:rPr>
                <w:rFonts w:ascii="Calibri" w:eastAsia="Calibri" w:hAnsi="Calibri" w:cs="Calibri"/>
                <w:sz w:val="24"/>
                <w:szCs w:val="24"/>
              </w:rPr>
              <w:t>This action will include linking the LNF (Literacy and Numeracy Framework) and DCF (Digital Competency Framework) in sessions in a cross-curricular manner with the Areas of Learning and Experience, these covered by overriding themes and/or theme weeks.</w:t>
            </w:r>
          </w:p>
        </w:tc>
        <w:tc>
          <w:tcPr>
            <w:tcW w:w="3118" w:type="dxa"/>
            <w:shd w:val="clear" w:color="auto" w:fill="auto"/>
            <w:tcMar>
              <w:top w:w="100" w:type="dxa"/>
              <w:left w:w="100" w:type="dxa"/>
              <w:bottom w:w="100" w:type="dxa"/>
              <w:right w:w="100" w:type="dxa"/>
            </w:tcMar>
          </w:tcPr>
          <w:p w:rsidR="00355AC5" w:rsidRDefault="002D1872" w:rsidP="003D0B7D">
            <w:pPr>
              <w:widowControl w:val="0"/>
              <w:numPr>
                <w:ilvl w:val="0"/>
                <w:numId w:val="2"/>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Each class to develop a theme for the learning for each term, creating mindmaps of how the areas of learning could be covered.</w:t>
            </w:r>
          </w:p>
          <w:p w:rsidR="00355AC5" w:rsidRDefault="002D1872" w:rsidP="003D0B7D">
            <w:pPr>
              <w:widowControl w:val="0"/>
              <w:numPr>
                <w:ilvl w:val="0"/>
                <w:numId w:val="2"/>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Evaluate the theme at the end of each term.</w:t>
            </w:r>
          </w:p>
          <w:p w:rsidR="00355AC5" w:rsidRDefault="00703734" w:rsidP="003D0B7D">
            <w:pPr>
              <w:widowControl w:val="0"/>
              <w:numPr>
                <w:ilvl w:val="0"/>
                <w:numId w:val="2"/>
              </w:numPr>
              <w:pBdr>
                <w:top w:val="nil"/>
                <w:left w:val="nil"/>
                <w:bottom w:val="nil"/>
                <w:right w:val="nil"/>
                <w:between w:val="nil"/>
              </w:pBdr>
              <w:spacing w:line="360" w:lineRule="auto"/>
              <w:ind w:left="283"/>
              <w:rPr>
                <w:rFonts w:ascii="Calibri" w:eastAsia="Calibri" w:hAnsi="Calibri" w:cs="Calibri"/>
                <w:sz w:val="24"/>
                <w:szCs w:val="24"/>
              </w:rPr>
            </w:pPr>
            <w:r>
              <w:rPr>
                <w:rFonts w:ascii="Calibri" w:eastAsia="Calibri" w:hAnsi="Calibri" w:cs="Calibri"/>
                <w:sz w:val="24"/>
                <w:szCs w:val="24"/>
              </w:rPr>
              <w:t xml:space="preserve">Hold Theme Weeks each term </w:t>
            </w:r>
            <w:r w:rsidR="002D1872">
              <w:rPr>
                <w:rFonts w:ascii="Calibri" w:eastAsia="Calibri" w:hAnsi="Calibri" w:cs="Calibri"/>
                <w:sz w:val="24"/>
                <w:szCs w:val="24"/>
              </w:rPr>
              <w:t>for a chosen Area of Learning and Experience.</w:t>
            </w:r>
          </w:p>
          <w:p w:rsidR="00355AC5" w:rsidRDefault="002D1872" w:rsidP="003D0B7D">
            <w:pPr>
              <w:widowControl w:val="0"/>
              <w:numPr>
                <w:ilvl w:val="0"/>
                <w:numId w:val="2"/>
              </w:numPr>
              <w:spacing w:line="360" w:lineRule="auto"/>
              <w:ind w:left="283"/>
              <w:rPr>
                <w:rFonts w:ascii="Calibri" w:eastAsia="Calibri" w:hAnsi="Calibri" w:cs="Calibri"/>
                <w:sz w:val="24"/>
                <w:szCs w:val="24"/>
              </w:rPr>
            </w:pPr>
            <w:r>
              <w:rPr>
                <w:rFonts w:ascii="Calibri" w:eastAsia="Calibri" w:hAnsi="Calibri" w:cs="Calibri"/>
                <w:sz w:val="24"/>
                <w:szCs w:val="24"/>
              </w:rPr>
              <w:t>LNF and DCF links</w:t>
            </w:r>
            <w:r w:rsidR="00703734">
              <w:rPr>
                <w:rFonts w:ascii="Calibri" w:eastAsia="Calibri" w:hAnsi="Calibri" w:cs="Calibri"/>
                <w:sz w:val="24"/>
                <w:szCs w:val="24"/>
              </w:rPr>
              <w:t xml:space="preserve"> identified on Success Criteria</w:t>
            </w:r>
            <w:r>
              <w:rPr>
                <w:rFonts w:ascii="Calibri" w:eastAsia="Calibri" w:hAnsi="Calibri" w:cs="Calibri"/>
                <w:sz w:val="24"/>
                <w:szCs w:val="24"/>
              </w:rPr>
              <w:t xml:space="preserve"> for each session when appropriate with a yellow highlighter, learners evaluating success.</w:t>
            </w:r>
          </w:p>
        </w:tc>
      </w:tr>
    </w:tbl>
    <w:p w:rsidR="00355AC5" w:rsidRDefault="00355AC5" w:rsidP="003D0B7D">
      <w:pPr>
        <w:spacing w:line="360" w:lineRule="auto"/>
        <w:contextualSpacing w:val="0"/>
        <w:rPr>
          <w:rFonts w:ascii="Calibri" w:eastAsia="Calibri" w:hAnsi="Calibri" w:cs="Calibri"/>
          <w:sz w:val="24"/>
          <w:szCs w:val="24"/>
        </w:rPr>
      </w:pPr>
    </w:p>
    <w:p w:rsidR="00355AC5" w:rsidRDefault="00355AC5" w:rsidP="003D0B7D">
      <w:pPr>
        <w:spacing w:line="360" w:lineRule="auto"/>
        <w:contextualSpacing w:val="0"/>
        <w:rPr>
          <w:rFonts w:ascii="Calibri" w:eastAsia="Calibri" w:hAnsi="Calibri" w:cs="Calibri"/>
          <w:sz w:val="24"/>
          <w:szCs w:val="24"/>
        </w:rPr>
      </w:pP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b/>
          <w:sz w:val="24"/>
          <w:szCs w:val="24"/>
        </w:rPr>
      </w:pPr>
      <w:r>
        <w:br w:type="page"/>
      </w:r>
    </w:p>
    <w:p w:rsidR="00355AC5" w:rsidRDefault="002D1872" w:rsidP="003D0B7D">
      <w:pPr>
        <w:spacing w:line="360" w:lineRule="auto"/>
        <w:contextualSpacing w:val="0"/>
        <w:rPr>
          <w:rFonts w:ascii="Calibri" w:eastAsia="Calibri" w:hAnsi="Calibri" w:cs="Calibri"/>
          <w:b/>
          <w:sz w:val="24"/>
          <w:szCs w:val="24"/>
        </w:rPr>
      </w:pPr>
      <w:r>
        <w:rPr>
          <w:rFonts w:ascii="Calibri" w:eastAsia="Calibri" w:hAnsi="Calibri" w:cs="Calibri"/>
          <w:b/>
          <w:sz w:val="24"/>
          <w:szCs w:val="24"/>
        </w:rPr>
        <w:lastRenderedPageBreak/>
        <w:t xml:space="preserve">Section 3 - Poster to Engage Dialogue </w:t>
      </w:r>
      <w:proofErr w:type="gramStart"/>
      <w:r>
        <w:rPr>
          <w:rFonts w:ascii="Calibri" w:eastAsia="Calibri" w:hAnsi="Calibri" w:cs="Calibri"/>
          <w:b/>
          <w:sz w:val="24"/>
          <w:szCs w:val="24"/>
        </w:rPr>
        <w:t>Around</w:t>
      </w:r>
      <w:proofErr w:type="gramEnd"/>
      <w:r>
        <w:rPr>
          <w:rFonts w:ascii="Calibri" w:eastAsia="Calibri" w:hAnsi="Calibri" w:cs="Calibri"/>
          <w:b/>
          <w:sz w:val="24"/>
          <w:szCs w:val="24"/>
        </w:rPr>
        <w:t xml:space="preserve"> Successful Futures</w:t>
      </w:r>
    </w:p>
    <w:p w:rsidR="00E777B7" w:rsidRDefault="00E777B7" w:rsidP="003D0B7D">
      <w:pPr>
        <w:spacing w:line="360" w:lineRule="auto"/>
        <w:contextualSpacing w:val="0"/>
        <w:rPr>
          <w:rFonts w:ascii="Calibri" w:eastAsia="Calibri" w:hAnsi="Calibri" w:cs="Calibri"/>
          <w:sz w:val="24"/>
          <w:szCs w:val="24"/>
        </w:rPr>
      </w:pPr>
    </w:p>
    <w:p w:rsidR="00703734" w:rsidRDefault="00E777B7" w:rsidP="003D0B7D">
      <w:pPr>
        <w:spacing w:line="360" w:lineRule="auto"/>
        <w:contextualSpacing w:val="0"/>
        <w:rPr>
          <w:rFonts w:ascii="Calibri" w:eastAsia="Calibri" w:hAnsi="Calibri" w:cs="Calibri"/>
          <w:sz w:val="24"/>
          <w:szCs w:val="24"/>
        </w:rPr>
      </w:pPr>
      <w:r>
        <w:rPr>
          <w:noProof/>
        </w:rPr>
        <w:lastRenderedPageBreak/>
        <w:drawing>
          <wp:inline distT="0" distB="0" distL="0" distR="0" wp14:anchorId="7EDA84B2" wp14:editId="00D64D4D">
            <wp:extent cx="9638160" cy="5473523"/>
            <wp:effectExtent l="6032" t="0" r="7303" b="7302"/>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7408" t="20282" r="49736" b="18871"/>
                    <a:stretch/>
                  </pic:blipFill>
                  <pic:spPr bwMode="auto">
                    <a:xfrm rot="16200000">
                      <a:off x="0" y="0"/>
                      <a:ext cx="9646595" cy="5478314"/>
                    </a:xfrm>
                    <a:prstGeom prst="rect">
                      <a:avLst/>
                    </a:prstGeom>
                    <a:ln>
                      <a:noFill/>
                    </a:ln>
                    <a:extLst>
                      <a:ext uri="{53640926-AAD7-44D8-BBD7-CCE9431645EC}">
                        <a14:shadowObscured xmlns:a14="http://schemas.microsoft.com/office/drawing/2010/main"/>
                      </a:ext>
                    </a:extLst>
                  </pic:spPr>
                </pic:pic>
              </a:graphicData>
            </a:graphic>
          </wp:inline>
        </w:drawing>
      </w:r>
      <w:bookmarkStart w:id="2" w:name="_GoBack"/>
      <w:bookmarkEnd w:id="2"/>
    </w:p>
    <w:p w:rsidR="00355AC5" w:rsidRDefault="002D1872" w:rsidP="003D0B7D">
      <w:pPr>
        <w:spacing w:line="360" w:lineRule="auto"/>
        <w:contextualSpacing w:val="0"/>
        <w:rPr>
          <w:rFonts w:ascii="Calibri" w:eastAsia="Calibri" w:hAnsi="Calibri" w:cs="Calibri"/>
          <w:b/>
          <w:sz w:val="24"/>
          <w:szCs w:val="24"/>
        </w:rPr>
      </w:pPr>
      <w:r>
        <w:rPr>
          <w:rFonts w:ascii="Calibri" w:eastAsia="Calibri" w:hAnsi="Calibri" w:cs="Calibri"/>
          <w:b/>
          <w:sz w:val="24"/>
          <w:szCs w:val="24"/>
        </w:rPr>
        <w:lastRenderedPageBreak/>
        <w:t>Rationale for the Poster and Critical Evaluation of Work</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The purpose of the poster is to keep the Successful Futures review and the forthcoming Curriculum for Wales at the forefront of the mind of the staff members at School A, a constant reminder that the learning opportunities provided at the school are required to be purposeful for the learners and support in preparing them for the future world they will be living and working in.  The poster has the aim of being informative and to promote discussion on the progress made by the school across all classes and Areas of Learning and Experience in light of the soon-to-be compulsory Curriculum for Wales.</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The poster is entitled ‘Unlocking Excellence in the Curriculum for Wales’, identifying the school aim of maintaining the motto of ‘Unlocking Excellence’ in learners while linking this with the new curriculum, creating a new overriding aim of unlocking excellence in learners through the use of the Curriculum for Wales.  This will allow School A to promote the school motto as chosen by the learners and identify that the school expects the highest achievements possible from the attending learners as the new curriculum is implemented.</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With the staff having studied the Successful Futures review and the school already progressing through plans over the previous 2 years, with staff now working in Area of Learning and Experience teams rather than Curriculum Subject Leaders, the next step is to develop the understanding and use of the four purposes, embedding this in the teaching delivered in the school to the level where the learners are able to explain the purposes and understand the reasoning between the work they are undertaking.  By highlighting the four purposes with their explanations, the poster also supports the School Development Plan (SDP) for School A over the next two academic years as the school aims to embed two purposes in each year through the learning opportunities offered; ambitious, capable learners being developed in 2018/2019 with ethical, informed citizens while the SDP for 2019/2020 will include the embedding of enterprising, creative contributors and healthy, confident individuals among its set targets.  Whilst only two purposes are being embedded during this academic year, all four have been promoted on the poster to encourage further exploration on how the teaching and learning in the school can be developed to incorporate these, also allowing staff to form links between the purposes where possible.</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The inclusion of the explanations for each of the purposes is important at this stage for School A as staff are required to become familiar with the terminology and, as the poster will be stored in the room where staff plan, it can be directly used to plan opportunities where they are included in the learning, allowing staff to train the learners in their understanding of the purposes also.</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A QR code has been added to the poster to allow staff to access a copy of the education review ‘Successful Futures’, enabling the poster to be used interactively and support staff in locating the document for use and reference at any time.  Further to this the specific pedagogy targets are included as well, continually emphasising how the teaching should be evolving to best prepare the learners for their future and allowing them to be used to support reasons in discussions.</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The key questions displayed around the poster are pertinent to the new curriculum and aimed to be thought-provoking when the poster is viewed, reinforcing for the staff the importance of being reflective of their own practice, questioning how we can begin to and continue developing how the four purposes could be utilised within all learning opportunities.  To prompt self-reflection, the following questions have been included:</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How purposeful was the learning in your classroom today?</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Did you TEACH today or did you FACILITATE learning?</w:t>
      </w: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Is your practice changing?</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sz w:val="24"/>
          <w:szCs w:val="24"/>
        </w:rPr>
      </w:pPr>
      <w:r>
        <w:rPr>
          <w:rFonts w:ascii="Calibri" w:eastAsia="Calibri" w:hAnsi="Calibri" w:cs="Calibri"/>
          <w:sz w:val="24"/>
          <w:szCs w:val="24"/>
        </w:rPr>
        <w:t xml:space="preserve">The responses to these questions could be an internal thought process, questioning if the learners gained a sense of purpose from the activities they have been involved in (Question 1), if the learners would be able to use the skill taught independently and purposefully, understanding why (Question 2) and how their own practice is evolving to be able to fulfil the new curriculum and the four purposes (Question 3).  Although the responses for questions 1 and 2 could be immediate and impact on planning directly as a consequence, the solution to question 3 may take more time to be formed, with a bank of examples and reasons how these exemplify change possible.  Though the term ‘facilitate’ may be somewhat different to the language used to describe how the staff teach at present, and a definition of its meaning could be </w:t>
      </w:r>
      <w:r>
        <w:rPr>
          <w:rFonts w:ascii="Calibri" w:eastAsia="Calibri" w:hAnsi="Calibri" w:cs="Calibri"/>
          <w:sz w:val="24"/>
          <w:szCs w:val="24"/>
        </w:rPr>
        <w:lastRenderedPageBreak/>
        <w:t>included on the poster, the professional dialogue the question is planned to prompt would be of a greater benefit for the staff and allow them to develop their understanding of what it means in the school together.</w:t>
      </w:r>
    </w:p>
    <w:p w:rsidR="00355AC5" w:rsidRDefault="00355AC5" w:rsidP="003D0B7D">
      <w:pPr>
        <w:spacing w:line="360" w:lineRule="auto"/>
        <w:contextualSpacing w:val="0"/>
        <w:rPr>
          <w:rFonts w:ascii="Calibri" w:eastAsia="Calibri" w:hAnsi="Calibri" w:cs="Calibri"/>
          <w:sz w:val="24"/>
          <w:szCs w:val="24"/>
        </w:rPr>
      </w:pPr>
    </w:p>
    <w:p w:rsidR="00355AC5" w:rsidRDefault="002D1872" w:rsidP="003D0B7D">
      <w:pPr>
        <w:spacing w:line="360" w:lineRule="auto"/>
        <w:contextualSpacing w:val="0"/>
        <w:rPr>
          <w:rFonts w:ascii="Calibri" w:eastAsia="Calibri" w:hAnsi="Calibri" w:cs="Calibri"/>
          <w:b/>
          <w:sz w:val="24"/>
          <w:szCs w:val="24"/>
        </w:rPr>
      </w:pPr>
      <w:r>
        <w:rPr>
          <w:rFonts w:ascii="Calibri" w:eastAsia="Calibri" w:hAnsi="Calibri" w:cs="Calibri"/>
          <w:sz w:val="24"/>
          <w:szCs w:val="24"/>
        </w:rPr>
        <w:t>With the ‘How are we progressing?’ question remaining, this would encourage most discussion as it refers to the school as an entity, a constant evaluation of how the school is progressing in its implementation of the Curriculum for Wales and its aims.  If staff have taken the time to think about, or even discuss, the first three questions previously mentioned, the responses could be used to form the evaluation of how School A is moving forward while even being useful for identifying what has not worked and reasons for this, enabling the staff to put plans into place to overcome this.  This question has the aim of stimulating ‘appreciative inquiry’ in the form of a reflection, as Watkins, Carnell and Lodge (pg4) acknowledged the aim of a ‘positive approach that does not seek to find fault or emphasise negative aspects’.  As this poster will be supporting the SDP for School A, identifying what works and how this can be made more effective to drive the school forward will be more beneficial than a focus on what did not work and a negative view.</w:t>
      </w:r>
    </w:p>
    <w:p w:rsidR="00406317" w:rsidRDefault="00406317">
      <w:pPr>
        <w:rPr>
          <w:rFonts w:ascii="Calibri" w:eastAsia="Calibri" w:hAnsi="Calibri" w:cs="Calibri"/>
          <w:sz w:val="24"/>
          <w:szCs w:val="24"/>
        </w:rPr>
      </w:pPr>
      <w:r>
        <w:rPr>
          <w:rFonts w:ascii="Calibri" w:eastAsia="Calibri" w:hAnsi="Calibri" w:cs="Calibri"/>
          <w:sz w:val="24"/>
          <w:szCs w:val="24"/>
        </w:rPr>
        <w:br w:type="page"/>
      </w:r>
    </w:p>
    <w:sdt>
      <w:sdtPr>
        <w:rPr>
          <w:sz w:val="22"/>
          <w:szCs w:val="22"/>
        </w:rPr>
        <w:id w:val="826094898"/>
        <w:docPartObj>
          <w:docPartGallery w:val="Bibliographies"/>
          <w:docPartUnique/>
        </w:docPartObj>
      </w:sdtPr>
      <w:sdtEndPr/>
      <w:sdtContent>
        <w:p w:rsidR="003A47C6" w:rsidRDefault="003A47C6">
          <w:pPr>
            <w:pStyle w:val="Heading1"/>
          </w:pPr>
          <w:r>
            <w:t>References</w:t>
          </w:r>
        </w:p>
        <w:sdt>
          <w:sdtPr>
            <w:id w:val="-573587230"/>
            <w:bibliography/>
          </w:sdtPr>
          <w:sdtEndPr/>
          <w:sdtContent>
            <w:p w:rsidR="003A47C6" w:rsidRDefault="003A47C6" w:rsidP="003A47C6">
              <w:pPr>
                <w:pStyle w:val="Bibliography"/>
                <w:ind w:left="720" w:hanging="720"/>
                <w:rPr>
                  <w:noProof/>
                  <w:sz w:val="24"/>
                  <w:szCs w:val="24"/>
                </w:rPr>
              </w:pPr>
              <w:r>
                <w:fldChar w:fldCharType="begin"/>
              </w:r>
              <w:r>
                <w:instrText xml:space="preserve"> BIBLIOGRAPHY </w:instrText>
              </w:r>
              <w:r>
                <w:fldChar w:fldCharType="separate"/>
              </w:r>
              <w:r>
                <w:rPr>
                  <w:noProof/>
                </w:rPr>
                <w:t xml:space="preserve">Beetlestone, F. (1998). </w:t>
              </w:r>
              <w:r>
                <w:rPr>
                  <w:i/>
                  <w:iCs/>
                  <w:noProof/>
                </w:rPr>
                <w:t>Creative Children, Imaginative Teaching.</w:t>
              </w:r>
              <w:r>
                <w:rPr>
                  <w:noProof/>
                </w:rPr>
                <w:t xml:space="preserve"> London: Open University Press.</w:t>
              </w:r>
            </w:p>
            <w:p w:rsidR="003A47C6" w:rsidRDefault="003A47C6" w:rsidP="003A47C6">
              <w:pPr>
                <w:pStyle w:val="Bibliography"/>
                <w:ind w:left="720" w:hanging="720"/>
                <w:rPr>
                  <w:noProof/>
                </w:rPr>
              </w:pPr>
              <w:r>
                <w:rPr>
                  <w:noProof/>
                </w:rPr>
                <w:t xml:space="preserve">Boud, D., Keogh, R., &amp; Walker, D. (1985). </w:t>
              </w:r>
              <w:r>
                <w:rPr>
                  <w:i/>
                  <w:iCs/>
                  <w:noProof/>
                </w:rPr>
                <w:t>Reflection; Turning Experience Into Learning.</w:t>
              </w:r>
              <w:r>
                <w:rPr>
                  <w:noProof/>
                </w:rPr>
                <w:t xml:space="preserve"> London: Kogan Page.</w:t>
              </w:r>
            </w:p>
            <w:p w:rsidR="003A47C6" w:rsidRDefault="003A47C6" w:rsidP="003A47C6">
              <w:pPr>
                <w:pStyle w:val="Bibliography"/>
                <w:ind w:left="720" w:hanging="720"/>
                <w:rPr>
                  <w:noProof/>
                </w:rPr>
              </w:pPr>
              <w:r>
                <w:rPr>
                  <w:noProof/>
                </w:rPr>
                <w:t xml:space="preserve">Claxton, G., Chambers, M., Powell, G., &amp; Lucas, B. (2011). </w:t>
              </w:r>
              <w:r>
                <w:rPr>
                  <w:i/>
                  <w:iCs/>
                  <w:noProof/>
                </w:rPr>
                <w:t>The Learning Powered School: Pioneering 21st Century Education.</w:t>
              </w:r>
              <w:r>
                <w:rPr>
                  <w:noProof/>
                </w:rPr>
                <w:t xml:space="preserve"> Bristol: TLO Limited.</w:t>
              </w:r>
            </w:p>
            <w:p w:rsidR="003A47C6" w:rsidRDefault="003A47C6" w:rsidP="003A47C6">
              <w:pPr>
                <w:pStyle w:val="Bibliography"/>
                <w:ind w:left="720" w:hanging="720"/>
                <w:rPr>
                  <w:noProof/>
                </w:rPr>
              </w:pPr>
              <w:r>
                <w:rPr>
                  <w:noProof/>
                </w:rPr>
                <w:t xml:space="preserve">Donaldson, G. (2015). Pedagogy. In </w:t>
              </w:r>
              <w:r>
                <w:rPr>
                  <w:i/>
                  <w:iCs/>
                  <w:noProof/>
                </w:rPr>
                <w:t>Successful Futures; Independent Review of Curriculum and Assessment Arrangements in Wales</w:t>
              </w:r>
              <w:r>
                <w:rPr>
                  <w:noProof/>
                </w:rPr>
                <w:t xml:space="preserve"> (p. 63). OGL.</w:t>
              </w:r>
            </w:p>
            <w:p w:rsidR="003A47C6" w:rsidRDefault="003A47C6" w:rsidP="003A47C6">
              <w:pPr>
                <w:pStyle w:val="Bibliography"/>
                <w:ind w:left="720" w:hanging="720"/>
                <w:rPr>
                  <w:noProof/>
                </w:rPr>
              </w:pPr>
              <w:r>
                <w:rPr>
                  <w:noProof/>
                </w:rPr>
                <w:t xml:space="preserve">Dweck, C. (2006). </w:t>
              </w:r>
              <w:r>
                <w:rPr>
                  <w:i/>
                  <w:iCs/>
                  <w:noProof/>
                </w:rPr>
                <w:t>Mindset: The New Psychology of Success.</w:t>
              </w:r>
              <w:r>
                <w:rPr>
                  <w:noProof/>
                </w:rPr>
                <w:t xml:space="preserve"> Ballantine Books.</w:t>
              </w:r>
            </w:p>
            <w:p w:rsidR="003A47C6" w:rsidRDefault="003A47C6" w:rsidP="003A47C6">
              <w:pPr>
                <w:pStyle w:val="Bibliography"/>
                <w:ind w:left="720" w:hanging="720"/>
                <w:rPr>
                  <w:noProof/>
                </w:rPr>
              </w:pPr>
              <w:r>
                <w:rPr>
                  <w:noProof/>
                </w:rPr>
                <w:t xml:space="preserve">Government, S. (2016, December 6). </w:t>
              </w:r>
              <w:r>
                <w:rPr>
                  <w:i/>
                  <w:iCs/>
                  <w:noProof/>
                </w:rPr>
                <w:t>Programme for International Student Assessment (PISA) 2015: Highlights from Scotland's results</w:t>
              </w:r>
              <w:r>
                <w:rPr>
                  <w:noProof/>
                </w:rPr>
                <w:t>. Retrieved from Scottish Government gov.scot: https://www.gov.scot/Publications/2016/12/7252</w:t>
              </w:r>
            </w:p>
            <w:p w:rsidR="003A47C6" w:rsidRDefault="003A47C6" w:rsidP="003A47C6">
              <w:pPr>
                <w:pStyle w:val="Bibliography"/>
                <w:ind w:left="720" w:hanging="720"/>
                <w:rPr>
                  <w:noProof/>
                </w:rPr>
              </w:pPr>
              <w:r>
                <w:rPr>
                  <w:noProof/>
                </w:rPr>
                <w:t xml:space="preserve">Hansen, A. (2012). </w:t>
              </w:r>
              <w:r>
                <w:rPr>
                  <w:i/>
                  <w:iCs/>
                  <w:noProof/>
                </w:rPr>
                <w:t>Reflective Learning and Teaching in Primary Schools.</w:t>
              </w:r>
              <w:r>
                <w:rPr>
                  <w:noProof/>
                </w:rPr>
                <w:t xml:space="preserve"> London: Learning Matters.</w:t>
              </w:r>
            </w:p>
            <w:p w:rsidR="003A47C6" w:rsidRDefault="003A47C6" w:rsidP="003A47C6">
              <w:pPr>
                <w:pStyle w:val="Bibliography"/>
                <w:ind w:left="720" w:hanging="720"/>
                <w:rPr>
                  <w:noProof/>
                </w:rPr>
              </w:pPr>
              <w:r>
                <w:rPr>
                  <w:noProof/>
                </w:rPr>
                <w:t xml:space="preserve">Hattie, J., &amp; Yates, G. C. (2014). </w:t>
              </w:r>
              <w:r>
                <w:rPr>
                  <w:i/>
                  <w:iCs/>
                  <w:noProof/>
                </w:rPr>
                <w:t>Visible Learning and the Science of How We Learn.</w:t>
              </w:r>
              <w:r>
                <w:rPr>
                  <w:noProof/>
                </w:rPr>
                <w:t xml:space="preserve"> Abingdon: Routledge.</w:t>
              </w:r>
            </w:p>
            <w:p w:rsidR="003A47C6" w:rsidRDefault="003A47C6" w:rsidP="003A47C6">
              <w:pPr>
                <w:pStyle w:val="Bibliography"/>
                <w:ind w:left="720" w:hanging="720"/>
                <w:rPr>
                  <w:noProof/>
                </w:rPr>
              </w:pPr>
              <w:r>
                <w:rPr>
                  <w:noProof/>
                </w:rPr>
                <w:t xml:space="preserve">Hattie, J., &amp; Zierer, K. (2018). </w:t>
              </w:r>
              <w:r>
                <w:rPr>
                  <w:i/>
                  <w:iCs/>
                  <w:noProof/>
                </w:rPr>
                <w:t>10 Mindframes for Visible Learning; Teaching for Success.</w:t>
              </w:r>
              <w:r>
                <w:rPr>
                  <w:noProof/>
                </w:rPr>
                <w:t xml:space="preserve"> London: Routledge.</w:t>
              </w:r>
            </w:p>
            <w:p w:rsidR="003A47C6" w:rsidRDefault="003A47C6" w:rsidP="003A47C6">
              <w:pPr>
                <w:pStyle w:val="Bibliography"/>
                <w:ind w:left="720" w:hanging="720"/>
                <w:rPr>
                  <w:noProof/>
                </w:rPr>
              </w:pPr>
              <w:r>
                <w:rPr>
                  <w:noProof/>
                </w:rPr>
                <w:t xml:space="preserve">Moon, J. (2004). </w:t>
              </w:r>
              <w:r>
                <w:rPr>
                  <w:i/>
                  <w:iCs/>
                  <w:noProof/>
                </w:rPr>
                <w:t>A Handbook of Reflective and Experiential Learning; Theory and Practice.</w:t>
              </w:r>
              <w:r>
                <w:rPr>
                  <w:noProof/>
                </w:rPr>
                <w:t xml:space="preserve"> Abingdon: Routledge.</w:t>
              </w:r>
            </w:p>
            <w:p w:rsidR="003A47C6" w:rsidRDefault="003A47C6" w:rsidP="003A47C6">
              <w:pPr>
                <w:pStyle w:val="Bibliography"/>
                <w:ind w:left="720" w:hanging="720"/>
                <w:rPr>
                  <w:noProof/>
                </w:rPr>
              </w:pPr>
              <w:r>
                <w:rPr>
                  <w:noProof/>
                </w:rPr>
                <w:t xml:space="preserve">Priestly, M., &amp; Minty, S. (2013). Curriculum for Excellence: 'A brilliant idea, but...'. </w:t>
              </w:r>
              <w:r>
                <w:rPr>
                  <w:i/>
                  <w:iCs/>
                  <w:noProof/>
                </w:rPr>
                <w:t>Scottish Educational Review 45</w:t>
              </w:r>
              <w:r>
                <w:rPr>
                  <w:noProof/>
                </w:rPr>
                <w:t>.</w:t>
              </w:r>
            </w:p>
            <w:p w:rsidR="003A47C6" w:rsidRDefault="003A47C6" w:rsidP="003A47C6">
              <w:pPr>
                <w:pStyle w:val="Bibliography"/>
                <w:ind w:left="720" w:hanging="720"/>
                <w:rPr>
                  <w:noProof/>
                </w:rPr>
              </w:pPr>
              <w:r>
                <w:rPr>
                  <w:noProof/>
                </w:rPr>
                <w:t xml:space="preserve">Warrington, M., &amp; Younger, M. B. (2006). </w:t>
              </w:r>
              <w:r>
                <w:rPr>
                  <w:i/>
                  <w:iCs/>
                  <w:noProof/>
                </w:rPr>
                <w:t>Raising Boys' Achievement in Primary Schools; Towards an Holistic Approach.</w:t>
              </w:r>
              <w:r>
                <w:rPr>
                  <w:noProof/>
                </w:rPr>
                <w:t xml:space="preserve"> Maidenhead: Open University Press.</w:t>
              </w:r>
            </w:p>
            <w:p w:rsidR="003A47C6" w:rsidRDefault="003A47C6" w:rsidP="003A47C6">
              <w:pPr>
                <w:pStyle w:val="Bibliography"/>
                <w:ind w:left="720" w:hanging="720"/>
                <w:rPr>
                  <w:noProof/>
                </w:rPr>
              </w:pPr>
              <w:r>
                <w:rPr>
                  <w:noProof/>
                </w:rPr>
                <w:t xml:space="preserve">Watkins, C., Carnell, E., &amp; Lodge, C. (2007). </w:t>
              </w:r>
              <w:r>
                <w:rPr>
                  <w:i/>
                  <w:iCs/>
                  <w:noProof/>
                </w:rPr>
                <w:t>Effective Learning in Classrooms.</w:t>
              </w:r>
              <w:r>
                <w:rPr>
                  <w:noProof/>
                </w:rPr>
                <w:t xml:space="preserve"> London: Paul Chapman Publishing.</w:t>
              </w:r>
            </w:p>
            <w:p w:rsidR="003A47C6" w:rsidRDefault="003A47C6" w:rsidP="003A47C6">
              <w:pPr>
                <w:pStyle w:val="Bibliography"/>
                <w:rPr>
                  <w:noProof/>
                </w:rPr>
              </w:pPr>
            </w:p>
            <w:p w:rsidR="003A47C6" w:rsidRDefault="003A47C6" w:rsidP="003A47C6">
              <w:r>
                <w:rPr>
                  <w:b/>
                  <w:bCs/>
                  <w:noProof/>
                </w:rPr>
                <w:fldChar w:fldCharType="end"/>
              </w:r>
            </w:p>
          </w:sdtContent>
        </w:sdt>
      </w:sdtContent>
    </w:sdt>
    <w:p w:rsidR="00355AC5" w:rsidRDefault="00355AC5" w:rsidP="003D0B7D">
      <w:pPr>
        <w:spacing w:line="360" w:lineRule="auto"/>
        <w:contextualSpacing w:val="0"/>
        <w:rPr>
          <w:rFonts w:ascii="Calibri" w:eastAsia="Calibri" w:hAnsi="Calibri" w:cs="Calibri"/>
          <w:sz w:val="24"/>
          <w:szCs w:val="24"/>
        </w:rPr>
      </w:pPr>
    </w:p>
    <w:sectPr w:rsidR="00355AC5" w:rsidSect="003D0B7D">
      <w:footerReference w:type="default" r:id="rId10"/>
      <w:pgSz w:w="11906" w:h="16838"/>
      <w:pgMar w:top="567" w:right="1134" w:bottom="567" w:left="2268"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26B" w:rsidRDefault="0020326B" w:rsidP="00406317">
      <w:pPr>
        <w:spacing w:line="240" w:lineRule="auto"/>
      </w:pPr>
      <w:r>
        <w:separator/>
      </w:r>
    </w:p>
  </w:endnote>
  <w:endnote w:type="continuationSeparator" w:id="0">
    <w:p w:rsidR="0020326B" w:rsidRDefault="0020326B" w:rsidP="004063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321281"/>
      <w:docPartObj>
        <w:docPartGallery w:val="Page Numbers (Bottom of Page)"/>
        <w:docPartUnique/>
      </w:docPartObj>
    </w:sdtPr>
    <w:sdtEndPr>
      <w:rPr>
        <w:noProof/>
      </w:rPr>
    </w:sdtEndPr>
    <w:sdtContent>
      <w:p w:rsidR="00406317" w:rsidRDefault="00406317">
        <w:pPr>
          <w:pStyle w:val="Footer"/>
          <w:jc w:val="center"/>
        </w:pPr>
        <w:r>
          <w:fldChar w:fldCharType="begin"/>
        </w:r>
        <w:r>
          <w:instrText xml:space="preserve"> PAGE   \* MERGEFORMAT </w:instrText>
        </w:r>
        <w:r>
          <w:fldChar w:fldCharType="separate"/>
        </w:r>
        <w:r w:rsidR="00E777B7">
          <w:rPr>
            <w:noProof/>
          </w:rPr>
          <w:t>23</w:t>
        </w:r>
        <w:r>
          <w:rPr>
            <w:noProof/>
          </w:rPr>
          <w:fldChar w:fldCharType="end"/>
        </w:r>
      </w:p>
    </w:sdtContent>
  </w:sdt>
  <w:p w:rsidR="00406317" w:rsidRDefault="004063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26B" w:rsidRDefault="0020326B" w:rsidP="00406317">
      <w:pPr>
        <w:spacing w:line="240" w:lineRule="auto"/>
      </w:pPr>
      <w:r>
        <w:separator/>
      </w:r>
    </w:p>
  </w:footnote>
  <w:footnote w:type="continuationSeparator" w:id="0">
    <w:p w:rsidR="0020326B" w:rsidRDefault="0020326B" w:rsidP="0040631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64783"/>
    <w:multiLevelType w:val="multilevel"/>
    <w:tmpl w:val="7F4E3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B7C4A07"/>
    <w:multiLevelType w:val="multilevel"/>
    <w:tmpl w:val="5A2A76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9CA067C"/>
    <w:multiLevelType w:val="multilevel"/>
    <w:tmpl w:val="05CA5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37C0195"/>
    <w:multiLevelType w:val="multilevel"/>
    <w:tmpl w:val="D59EB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5C211F4"/>
    <w:multiLevelType w:val="multilevel"/>
    <w:tmpl w:val="E51E3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61F6F53"/>
    <w:multiLevelType w:val="multilevel"/>
    <w:tmpl w:val="06A66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F513835"/>
    <w:multiLevelType w:val="multilevel"/>
    <w:tmpl w:val="16A061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0FF51F6"/>
    <w:multiLevelType w:val="multilevel"/>
    <w:tmpl w:val="33CA1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59554FE"/>
    <w:multiLevelType w:val="multilevel"/>
    <w:tmpl w:val="D708D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CF52345"/>
    <w:multiLevelType w:val="multilevel"/>
    <w:tmpl w:val="7A28E1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5"/>
  </w:num>
  <w:num w:numId="4">
    <w:abstractNumId w:val="6"/>
  </w:num>
  <w:num w:numId="5">
    <w:abstractNumId w:val="1"/>
  </w:num>
  <w:num w:numId="6">
    <w:abstractNumId w:val="9"/>
  </w:num>
  <w:num w:numId="7">
    <w:abstractNumId w:val="4"/>
  </w:num>
  <w:num w:numId="8">
    <w:abstractNumId w:val="0"/>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55AC5"/>
    <w:rsid w:val="000133CA"/>
    <w:rsid w:val="0009584C"/>
    <w:rsid w:val="00141911"/>
    <w:rsid w:val="001B698C"/>
    <w:rsid w:val="001E3B79"/>
    <w:rsid w:val="0020326B"/>
    <w:rsid w:val="00206D4B"/>
    <w:rsid w:val="002D1872"/>
    <w:rsid w:val="00336498"/>
    <w:rsid w:val="00355AC5"/>
    <w:rsid w:val="003824B2"/>
    <w:rsid w:val="003A47C6"/>
    <w:rsid w:val="003B452B"/>
    <w:rsid w:val="003D0B7D"/>
    <w:rsid w:val="003F2867"/>
    <w:rsid w:val="00406317"/>
    <w:rsid w:val="00426C2A"/>
    <w:rsid w:val="004B0E8F"/>
    <w:rsid w:val="004D61C5"/>
    <w:rsid w:val="0051264D"/>
    <w:rsid w:val="005710B8"/>
    <w:rsid w:val="00703734"/>
    <w:rsid w:val="007C1956"/>
    <w:rsid w:val="008A7CD7"/>
    <w:rsid w:val="009249D0"/>
    <w:rsid w:val="00933E79"/>
    <w:rsid w:val="009709D8"/>
    <w:rsid w:val="00981148"/>
    <w:rsid w:val="009D0BAD"/>
    <w:rsid w:val="009F41C3"/>
    <w:rsid w:val="00A5154D"/>
    <w:rsid w:val="00A54E47"/>
    <w:rsid w:val="00AA573A"/>
    <w:rsid w:val="00BC1915"/>
    <w:rsid w:val="00C21A20"/>
    <w:rsid w:val="00D23A79"/>
    <w:rsid w:val="00D53640"/>
    <w:rsid w:val="00E36B54"/>
    <w:rsid w:val="00E50B23"/>
    <w:rsid w:val="00E777B7"/>
    <w:rsid w:val="00F14E16"/>
    <w:rsid w:val="00F23D2E"/>
    <w:rsid w:val="00FB1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D0B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B7D"/>
    <w:rPr>
      <w:rFonts w:ascii="Tahoma" w:hAnsi="Tahoma" w:cs="Tahoma"/>
      <w:sz w:val="16"/>
      <w:szCs w:val="16"/>
    </w:rPr>
  </w:style>
  <w:style w:type="character" w:customStyle="1" w:styleId="Heading1Char">
    <w:name w:val="Heading 1 Char"/>
    <w:basedOn w:val="DefaultParagraphFont"/>
    <w:link w:val="Heading1"/>
    <w:uiPriority w:val="9"/>
    <w:rsid w:val="009709D8"/>
    <w:rPr>
      <w:sz w:val="40"/>
      <w:szCs w:val="40"/>
    </w:rPr>
  </w:style>
  <w:style w:type="paragraph" w:styleId="Header">
    <w:name w:val="header"/>
    <w:basedOn w:val="Normal"/>
    <w:link w:val="HeaderChar"/>
    <w:uiPriority w:val="99"/>
    <w:unhideWhenUsed/>
    <w:rsid w:val="00406317"/>
    <w:pPr>
      <w:tabs>
        <w:tab w:val="center" w:pos="4513"/>
        <w:tab w:val="right" w:pos="9026"/>
      </w:tabs>
      <w:spacing w:line="240" w:lineRule="auto"/>
    </w:pPr>
  </w:style>
  <w:style w:type="character" w:customStyle="1" w:styleId="HeaderChar">
    <w:name w:val="Header Char"/>
    <w:basedOn w:val="DefaultParagraphFont"/>
    <w:link w:val="Header"/>
    <w:uiPriority w:val="99"/>
    <w:rsid w:val="00406317"/>
  </w:style>
  <w:style w:type="paragraph" w:styleId="Footer">
    <w:name w:val="footer"/>
    <w:basedOn w:val="Normal"/>
    <w:link w:val="FooterChar"/>
    <w:uiPriority w:val="99"/>
    <w:unhideWhenUsed/>
    <w:rsid w:val="00406317"/>
    <w:pPr>
      <w:tabs>
        <w:tab w:val="center" w:pos="4513"/>
        <w:tab w:val="right" w:pos="9026"/>
      </w:tabs>
      <w:spacing w:line="240" w:lineRule="auto"/>
    </w:pPr>
  </w:style>
  <w:style w:type="character" w:customStyle="1" w:styleId="FooterChar">
    <w:name w:val="Footer Char"/>
    <w:basedOn w:val="DefaultParagraphFont"/>
    <w:link w:val="Footer"/>
    <w:uiPriority w:val="99"/>
    <w:rsid w:val="00406317"/>
  </w:style>
  <w:style w:type="paragraph" w:styleId="Bibliography">
    <w:name w:val="Bibliography"/>
    <w:basedOn w:val="Normal"/>
    <w:next w:val="Normal"/>
    <w:uiPriority w:val="37"/>
    <w:unhideWhenUsed/>
    <w:rsid w:val="003A47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D0B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B7D"/>
    <w:rPr>
      <w:rFonts w:ascii="Tahoma" w:hAnsi="Tahoma" w:cs="Tahoma"/>
      <w:sz w:val="16"/>
      <w:szCs w:val="16"/>
    </w:rPr>
  </w:style>
  <w:style w:type="character" w:customStyle="1" w:styleId="Heading1Char">
    <w:name w:val="Heading 1 Char"/>
    <w:basedOn w:val="DefaultParagraphFont"/>
    <w:link w:val="Heading1"/>
    <w:uiPriority w:val="9"/>
    <w:rsid w:val="009709D8"/>
    <w:rPr>
      <w:sz w:val="40"/>
      <w:szCs w:val="40"/>
    </w:rPr>
  </w:style>
  <w:style w:type="paragraph" w:styleId="Header">
    <w:name w:val="header"/>
    <w:basedOn w:val="Normal"/>
    <w:link w:val="HeaderChar"/>
    <w:uiPriority w:val="99"/>
    <w:unhideWhenUsed/>
    <w:rsid w:val="00406317"/>
    <w:pPr>
      <w:tabs>
        <w:tab w:val="center" w:pos="4513"/>
        <w:tab w:val="right" w:pos="9026"/>
      </w:tabs>
      <w:spacing w:line="240" w:lineRule="auto"/>
    </w:pPr>
  </w:style>
  <w:style w:type="character" w:customStyle="1" w:styleId="HeaderChar">
    <w:name w:val="Header Char"/>
    <w:basedOn w:val="DefaultParagraphFont"/>
    <w:link w:val="Header"/>
    <w:uiPriority w:val="99"/>
    <w:rsid w:val="00406317"/>
  </w:style>
  <w:style w:type="paragraph" w:styleId="Footer">
    <w:name w:val="footer"/>
    <w:basedOn w:val="Normal"/>
    <w:link w:val="FooterChar"/>
    <w:uiPriority w:val="99"/>
    <w:unhideWhenUsed/>
    <w:rsid w:val="00406317"/>
    <w:pPr>
      <w:tabs>
        <w:tab w:val="center" w:pos="4513"/>
        <w:tab w:val="right" w:pos="9026"/>
      </w:tabs>
      <w:spacing w:line="240" w:lineRule="auto"/>
    </w:pPr>
  </w:style>
  <w:style w:type="character" w:customStyle="1" w:styleId="FooterChar">
    <w:name w:val="Footer Char"/>
    <w:basedOn w:val="DefaultParagraphFont"/>
    <w:link w:val="Footer"/>
    <w:uiPriority w:val="99"/>
    <w:rsid w:val="00406317"/>
  </w:style>
  <w:style w:type="paragraph" w:styleId="Bibliography">
    <w:name w:val="Bibliography"/>
    <w:basedOn w:val="Normal"/>
    <w:next w:val="Normal"/>
    <w:uiPriority w:val="37"/>
    <w:unhideWhenUsed/>
    <w:rsid w:val="003A4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1302">
      <w:bodyDiv w:val="1"/>
      <w:marLeft w:val="0"/>
      <w:marRight w:val="0"/>
      <w:marTop w:val="0"/>
      <w:marBottom w:val="0"/>
      <w:divBdr>
        <w:top w:val="none" w:sz="0" w:space="0" w:color="auto"/>
        <w:left w:val="none" w:sz="0" w:space="0" w:color="auto"/>
        <w:bottom w:val="none" w:sz="0" w:space="0" w:color="auto"/>
        <w:right w:val="none" w:sz="0" w:space="0" w:color="auto"/>
      </w:divBdr>
    </w:div>
    <w:div w:id="20977263">
      <w:bodyDiv w:val="1"/>
      <w:marLeft w:val="0"/>
      <w:marRight w:val="0"/>
      <w:marTop w:val="0"/>
      <w:marBottom w:val="0"/>
      <w:divBdr>
        <w:top w:val="none" w:sz="0" w:space="0" w:color="auto"/>
        <w:left w:val="none" w:sz="0" w:space="0" w:color="auto"/>
        <w:bottom w:val="none" w:sz="0" w:space="0" w:color="auto"/>
        <w:right w:val="none" w:sz="0" w:space="0" w:color="auto"/>
      </w:divBdr>
    </w:div>
    <w:div w:id="34239092">
      <w:bodyDiv w:val="1"/>
      <w:marLeft w:val="0"/>
      <w:marRight w:val="0"/>
      <w:marTop w:val="0"/>
      <w:marBottom w:val="0"/>
      <w:divBdr>
        <w:top w:val="none" w:sz="0" w:space="0" w:color="auto"/>
        <w:left w:val="none" w:sz="0" w:space="0" w:color="auto"/>
        <w:bottom w:val="none" w:sz="0" w:space="0" w:color="auto"/>
        <w:right w:val="none" w:sz="0" w:space="0" w:color="auto"/>
      </w:divBdr>
    </w:div>
    <w:div w:id="48767338">
      <w:bodyDiv w:val="1"/>
      <w:marLeft w:val="0"/>
      <w:marRight w:val="0"/>
      <w:marTop w:val="0"/>
      <w:marBottom w:val="0"/>
      <w:divBdr>
        <w:top w:val="none" w:sz="0" w:space="0" w:color="auto"/>
        <w:left w:val="none" w:sz="0" w:space="0" w:color="auto"/>
        <w:bottom w:val="none" w:sz="0" w:space="0" w:color="auto"/>
        <w:right w:val="none" w:sz="0" w:space="0" w:color="auto"/>
      </w:divBdr>
    </w:div>
    <w:div w:id="72548601">
      <w:bodyDiv w:val="1"/>
      <w:marLeft w:val="0"/>
      <w:marRight w:val="0"/>
      <w:marTop w:val="0"/>
      <w:marBottom w:val="0"/>
      <w:divBdr>
        <w:top w:val="none" w:sz="0" w:space="0" w:color="auto"/>
        <w:left w:val="none" w:sz="0" w:space="0" w:color="auto"/>
        <w:bottom w:val="none" w:sz="0" w:space="0" w:color="auto"/>
        <w:right w:val="none" w:sz="0" w:space="0" w:color="auto"/>
      </w:divBdr>
    </w:div>
    <w:div w:id="119155733">
      <w:bodyDiv w:val="1"/>
      <w:marLeft w:val="0"/>
      <w:marRight w:val="0"/>
      <w:marTop w:val="0"/>
      <w:marBottom w:val="0"/>
      <w:divBdr>
        <w:top w:val="none" w:sz="0" w:space="0" w:color="auto"/>
        <w:left w:val="none" w:sz="0" w:space="0" w:color="auto"/>
        <w:bottom w:val="none" w:sz="0" w:space="0" w:color="auto"/>
        <w:right w:val="none" w:sz="0" w:space="0" w:color="auto"/>
      </w:divBdr>
    </w:div>
    <w:div w:id="125392262">
      <w:bodyDiv w:val="1"/>
      <w:marLeft w:val="0"/>
      <w:marRight w:val="0"/>
      <w:marTop w:val="0"/>
      <w:marBottom w:val="0"/>
      <w:divBdr>
        <w:top w:val="none" w:sz="0" w:space="0" w:color="auto"/>
        <w:left w:val="none" w:sz="0" w:space="0" w:color="auto"/>
        <w:bottom w:val="none" w:sz="0" w:space="0" w:color="auto"/>
        <w:right w:val="none" w:sz="0" w:space="0" w:color="auto"/>
      </w:divBdr>
    </w:div>
    <w:div w:id="163203867">
      <w:bodyDiv w:val="1"/>
      <w:marLeft w:val="0"/>
      <w:marRight w:val="0"/>
      <w:marTop w:val="0"/>
      <w:marBottom w:val="0"/>
      <w:divBdr>
        <w:top w:val="none" w:sz="0" w:space="0" w:color="auto"/>
        <w:left w:val="none" w:sz="0" w:space="0" w:color="auto"/>
        <w:bottom w:val="none" w:sz="0" w:space="0" w:color="auto"/>
        <w:right w:val="none" w:sz="0" w:space="0" w:color="auto"/>
      </w:divBdr>
    </w:div>
    <w:div w:id="172691477">
      <w:bodyDiv w:val="1"/>
      <w:marLeft w:val="0"/>
      <w:marRight w:val="0"/>
      <w:marTop w:val="0"/>
      <w:marBottom w:val="0"/>
      <w:divBdr>
        <w:top w:val="none" w:sz="0" w:space="0" w:color="auto"/>
        <w:left w:val="none" w:sz="0" w:space="0" w:color="auto"/>
        <w:bottom w:val="none" w:sz="0" w:space="0" w:color="auto"/>
        <w:right w:val="none" w:sz="0" w:space="0" w:color="auto"/>
      </w:divBdr>
    </w:div>
    <w:div w:id="188839565">
      <w:bodyDiv w:val="1"/>
      <w:marLeft w:val="0"/>
      <w:marRight w:val="0"/>
      <w:marTop w:val="0"/>
      <w:marBottom w:val="0"/>
      <w:divBdr>
        <w:top w:val="none" w:sz="0" w:space="0" w:color="auto"/>
        <w:left w:val="none" w:sz="0" w:space="0" w:color="auto"/>
        <w:bottom w:val="none" w:sz="0" w:space="0" w:color="auto"/>
        <w:right w:val="none" w:sz="0" w:space="0" w:color="auto"/>
      </w:divBdr>
    </w:div>
    <w:div w:id="300231403">
      <w:bodyDiv w:val="1"/>
      <w:marLeft w:val="0"/>
      <w:marRight w:val="0"/>
      <w:marTop w:val="0"/>
      <w:marBottom w:val="0"/>
      <w:divBdr>
        <w:top w:val="none" w:sz="0" w:space="0" w:color="auto"/>
        <w:left w:val="none" w:sz="0" w:space="0" w:color="auto"/>
        <w:bottom w:val="none" w:sz="0" w:space="0" w:color="auto"/>
        <w:right w:val="none" w:sz="0" w:space="0" w:color="auto"/>
      </w:divBdr>
    </w:div>
    <w:div w:id="304548887">
      <w:bodyDiv w:val="1"/>
      <w:marLeft w:val="0"/>
      <w:marRight w:val="0"/>
      <w:marTop w:val="0"/>
      <w:marBottom w:val="0"/>
      <w:divBdr>
        <w:top w:val="none" w:sz="0" w:space="0" w:color="auto"/>
        <w:left w:val="none" w:sz="0" w:space="0" w:color="auto"/>
        <w:bottom w:val="none" w:sz="0" w:space="0" w:color="auto"/>
        <w:right w:val="none" w:sz="0" w:space="0" w:color="auto"/>
      </w:divBdr>
    </w:div>
    <w:div w:id="384839303">
      <w:bodyDiv w:val="1"/>
      <w:marLeft w:val="0"/>
      <w:marRight w:val="0"/>
      <w:marTop w:val="0"/>
      <w:marBottom w:val="0"/>
      <w:divBdr>
        <w:top w:val="none" w:sz="0" w:space="0" w:color="auto"/>
        <w:left w:val="none" w:sz="0" w:space="0" w:color="auto"/>
        <w:bottom w:val="none" w:sz="0" w:space="0" w:color="auto"/>
        <w:right w:val="none" w:sz="0" w:space="0" w:color="auto"/>
      </w:divBdr>
    </w:div>
    <w:div w:id="445664232">
      <w:bodyDiv w:val="1"/>
      <w:marLeft w:val="0"/>
      <w:marRight w:val="0"/>
      <w:marTop w:val="0"/>
      <w:marBottom w:val="0"/>
      <w:divBdr>
        <w:top w:val="none" w:sz="0" w:space="0" w:color="auto"/>
        <w:left w:val="none" w:sz="0" w:space="0" w:color="auto"/>
        <w:bottom w:val="none" w:sz="0" w:space="0" w:color="auto"/>
        <w:right w:val="none" w:sz="0" w:space="0" w:color="auto"/>
      </w:divBdr>
    </w:div>
    <w:div w:id="508955282">
      <w:bodyDiv w:val="1"/>
      <w:marLeft w:val="0"/>
      <w:marRight w:val="0"/>
      <w:marTop w:val="0"/>
      <w:marBottom w:val="0"/>
      <w:divBdr>
        <w:top w:val="none" w:sz="0" w:space="0" w:color="auto"/>
        <w:left w:val="none" w:sz="0" w:space="0" w:color="auto"/>
        <w:bottom w:val="none" w:sz="0" w:space="0" w:color="auto"/>
        <w:right w:val="none" w:sz="0" w:space="0" w:color="auto"/>
      </w:divBdr>
    </w:div>
    <w:div w:id="532613129">
      <w:bodyDiv w:val="1"/>
      <w:marLeft w:val="0"/>
      <w:marRight w:val="0"/>
      <w:marTop w:val="0"/>
      <w:marBottom w:val="0"/>
      <w:divBdr>
        <w:top w:val="none" w:sz="0" w:space="0" w:color="auto"/>
        <w:left w:val="none" w:sz="0" w:space="0" w:color="auto"/>
        <w:bottom w:val="none" w:sz="0" w:space="0" w:color="auto"/>
        <w:right w:val="none" w:sz="0" w:space="0" w:color="auto"/>
      </w:divBdr>
    </w:div>
    <w:div w:id="606085751">
      <w:bodyDiv w:val="1"/>
      <w:marLeft w:val="0"/>
      <w:marRight w:val="0"/>
      <w:marTop w:val="0"/>
      <w:marBottom w:val="0"/>
      <w:divBdr>
        <w:top w:val="none" w:sz="0" w:space="0" w:color="auto"/>
        <w:left w:val="none" w:sz="0" w:space="0" w:color="auto"/>
        <w:bottom w:val="none" w:sz="0" w:space="0" w:color="auto"/>
        <w:right w:val="none" w:sz="0" w:space="0" w:color="auto"/>
      </w:divBdr>
    </w:div>
    <w:div w:id="620839786">
      <w:bodyDiv w:val="1"/>
      <w:marLeft w:val="0"/>
      <w:marRight w:val="0"/>
      <w:marTop w:val="0"/>
      <w:marBottom w:val="0"/>
      <w:divBdr>
        <w:top w:val="none" w:sz="0" w:space="0" w:color="auto"/>
        <w:left w:val="none" w:sz="0" w:space="0" w:color="auto"/>
        <w:bottom w:val="none" w:sz="0" w:space="0" w:color="auto"/>
        <w:right w:val="none" w:sz="0" w:space="0" w:color="auto"/>
      </w:divBdr>
    </w:div>
    <w:div w:id="645083997">
      <w:bodyDiv w:val="1"/>
      <w:marLeft w:val="0"/>
      <w:marRight w:val="0"/>
      <w:marTop w:val="0"/>
      <w:marBottom w:val="0"/>
      <w:divBdr>
        <w:top w:val="none" w:sz="0" w:space="0" w:color="auto"/>
        <w:left w:val="none" w:sz="0" w:space="0" w:color="auto"/>
        <w:bottom w:val="none" w:sz="0" w:space="0" w:color="auto"/>
        <w:right w:val="none" w:sz="0" w:space="0" w:color="auto"/>
      </w:divBdr>
    </w:div>
    <w:div w:id="647712005">
      <w:bodyDiv w:val="1"/>
      <w:marLeft w:val="0"/>
      <w:marRight w:val="0"/>
      <w:marTop w:val="0"/>
      <w:marBottom w:val="0"/>
      <w:divBdr>
        <w:top w:val="none" w:sz="0" w:space="0" w:color="auto"/>
        <w:left w:val="none" w:sz="0" w:space="0" w:color="auto"/>
        <w:bottom w:val="none" w:sz="0" w:space="0" w:color="auto"/>
        <w:right w:val="none" w:sz="0" w:space="0" w:color="auto"/>
      </w:divBdr>
    </w:div>
    <w:div w:id="712121662">
      <w:bodyDiv w:val="1"/>
      <w:marLeft w:val="0"/>
      <w:marRight w:val="0"/>
      <w:marTop w:val="0"/>
      <w:marBottom w:val="0"/>
      <w:divBdr>
        <w:top w:val="none" w:sz="0" w:space="0" w:color="auto"/>
        <w:left w:val="none" w:sz="0" w:space="0" w:color="auto"/>
        <w:bottom w:val="none" w:sz="0" w:space="0" w:color="auto"/>
        <w:right w:val="none" w:sz="0" w:space="0" w:color="auto"/>
      </w:divBdr>
    </w:div>
    <w:div w:id="750200954">
      <w:bodyDiv w:val="1"/>
      <w:marLeft w:val="0"/>
      <w:marRight w:val="0"/>
      <w:marTop w:val="0"/>
      <w:marBottom w:val="0"/>
      <w:divBdr>
        <w:top w:val="none" w:sz="0" w:space="0" w:color="auto"/>
        <w:left w:val="none" w:sz="0" w:space="0" w:color="auto"/>
        <w:bottom w:val="none" w:sz="0" w:space="0" w:color="auto"/>
        <w:right w:val="none" w:sz="0" w:space="0" w:color="auto"/>
      </w:divBdr>
    </w:div>
    <w:div w:id="786047232">
      <w:bodyDiv w:val="1"/>
      <w:marLeft w:val="0"/>
      <w:marRight w:val="0"/>
      <w:marTop w:val="0"/>
      <w:marBottom w:val="0"/>
      <w:divBdr>
        <w:top w:val="none" w:sz="0" w:space="0" w:color="auto"/>
        <w:left w:val="none" w:sz="0" w:space="0" w:color="auto"/>
        <w:bottom w:val="none" w:sz="0" w:space="0" w:color="auto"/>
        <w:right w:val="none" w:sz="0" w:space="0" w:color="auto"/>
      </w:divBdr>
    </w:div>
    <w:div w:id="828521333">
      <w:bodyDiv w:val="1"/>
      <w:marLeft w:val="0"/>
      <w:marRight w:val="0"/>
      <w:marTop w:val="0"/>
      <w:marBottom w:val="0"/>
      <w:divBdr>
        <w:top w:val="none" w:sz="0" w:space="0" w:color="auto"/>
        <w:left w:val="none" w:sz="0" w:space="0" w:color="auto"/>
        <w:bottom w:val="none" w:sz="0" w:space="0" w:color="auto"/>
        <w:right w:val="none" w:sz="0" w:space="0" w:color="auto"/>
      </w:divBdr>
    </w:div>
    <w:div w:id="932739556">
      <w:bodyDiv w:val="1"/>
      <w:marLeft w:val="0"/>
      <w:marRight w:val="0"/>
      <w:marTop w:val="0"/>
      <w:marBottom w:val="0"/>
      <w:divBdr>
        <w:top w:val="none" w:sz="0" w:space="0" w:color="auto"/>
        <w:left w:val="none" w:sz="0" w:space="0" w:color="auto"/>
        <w:bottom w:val="none" w:sz="0" w:space="0" w:color="auto"/>
        <w:right w:val="none" w:sz="0" w:space="0" w:color="auto"/>
      </w:divBdr>
    </w:div>
    <w:div w:id="1022901099">
      <w:bodyDiv w:val="1"/>
      <w:marLeft w:val="0"/>
      <w:marRight w:val="0"/>
      <w:marTop w:val="0"/>
      <w:marBottom w:val="0"/>
      <w:divBdr>
        <w:top w:val="none" w:sz="0" w:space="0" w:color="auto"/>
        <w:left w:val="none" w:sz="0" w:space="0" w:color="auto"/>
        <w:bottom w:val="none" w:sz="0" w:space="0" w:color="auto"/>
        <w:right w:val="none" w:sz="0" w:space="0" w:color="auto"/>
      </w:divBdr>
    </w:div>
    <w:div w:id="1037316477">
      <w:bodyDiv w:val="1"/>
      <w:marLeft w:val="0"/>
      <w:marRight w:val="0"/>
      <w:marTop w:val="0"/>
      <w:marBottom w:val="0"/>
      <w:divBdr>
        <w:top w:val="none" w:sz="0" w:space="0" w:color="auto"/>
        <w:left w:val="none" w:sz="0" w:space="0" w:color="auto"/>
        <w:bottom w:val="none" w:sz="0" w:space="0" w:color="auto"/>
        <w:right w:val="none" w:sz="0" w:space="0" w:color="auto"/>
      </w:divBdr>
    </w:div>
    <w:div w:id="1089428327">
      <w:bodyDiv w:val="1"/>
      <w:marLeft w:val="0"/>
      <w:marRight w:val="0"/>
      <w:marTop w:val="0"/>
      <w:marBottom w:val="0"/>
      <w:divBdr>
        <w:top w:val="none" w:sz="0" w:space="0" w:color="auto"/>
        <w:left w:val="none" w:sz="0" w:space="0" w:color="auto"/>
        <w:bottom w:val="none" w:sz="0" w:space="0" w:color="auto"/>
        <w:right w:val="none" w:sz="0" w:space="0" w:color="auto"/>
      </w:divBdr>
    </w:div>
    <w:div w:id="1136679485">
      <w:bodyDiv w:val="1"/>
      <w:marLeft w:val="0"/>
      <w:marRight w:val="0"/>
      <w:marTop w:val="0"/>
      <w:marBottom w:val="0"/>
      <w:divBdr>
        <w:top w:val="none" w:sz="0" w:space="0" w:color="auto"/>
        <w:left w:val="none" w:sz="0" w:space="0" w:color="auto"/>
        <w:bottom w:val="none" w:sz="0" w:space="0" w:color="auto"/>
        <w:right w:val="none" w:sz="0" w:space="0" w:color="auto"/>
      </w:divBdr>
    </w:div>
    <w:div w:id="1150096568">
      <w:bodyDiv w:val="1"/>
      <w:marLeft w:val="0"/>
      <w:marRight w:val="0"/>
      <w:marTop w:val="0"/>
      <w:marBottom w:val="0"/>
      <w:divBdr>
        <w:top w:val="none" w:sz="0" w:space="0" w:color="auto"/>
        <w:left w:val="none" w:sz="0" w:space="0" w:color="auto"/>
        <w:bottom w:val="none" w:sz="0" w:space="0" w:color="auto"/>
        <w:right w:val="none" w:sz="0" w:space="0" w:color="auto"/>
      </w:divBdr>
    </w:div>
    <w:div w:id="1152941453">
      <w:bodyDiv w:val="1"/>
      <w:marLeft w:val="0"/>
      <w:marRight w:val="0"/>
      <w:marTop w:val="0"/>
      <w:marBottom w:val="0"/>
      <w:divBdr>
        <w:top w:val="none" w:sz="0" w:space="0" w:color="auto"/>
        <w:left w:val="none" w:sz="0" w:space="0" w:color="auto"/>
        <w:bottom w:val="none" w:sz="0" w:space="0" w:color="auto"/>
        <w:right w:val="none" w:sz="0" w:space="0" w:color="auto"/>
      </w:divBdr>
    </w:div>
    <w:div w:id="1183130984">
      <w:bodyDiv w:val="1"/>
      <w:marLeft w:val="0"/>
      <w:marRight w:val="0"/>
      <w:marTop w:val="0"/>
      <w:marBottom w:val="0"/>
      <w:divBdr>
        <w:top w:val="none" w:sz="0" w:space="0" w:color="auto"/>
        <w:left w:val="none" w:sz="0" w:space="0" w:color="auto"/>
        <w:bottom w:val="none" w:sz="0" w:space="0" w:color="auto"/>
        <w:right w:val="none" w:sz="0" w:space="0" w:color="auto"/>
      </w:divBdr>
    </w:div>
    <w:div w:id="1184052032">
      <w:bodyDiv w:val="1"/>
      <w:marLeft w:val="0"/>
      <w:marRight w:val="0"/>
      <w:marTop w:val="0"/>
      <w:marBottom w:val="0"/>
      <w:divBdr>
        <w:top w:val="none" w:sz="0" w:space="0" w:color="auto"/>
        <w:left w:val="none" w:sz="0" w:space="0" w:color="auto"/>
        <w:bottom w:val="none" w:sz="0" w:space="0" w:color="auto"/>
        <w:right w:val="none" w:sz="0" w:space="0" w:color="auto"/>
      </w:divBdr>
    </w:div>
    <w:div w:id="1184441827">
      <w:bodyDiv w:val="1"/>
      <w:marLeft w:val="0"/>
      <w:marRight w:val="0"/>
      <w:marTop w:val="0"/>
      <w:marBottom w:val="0"/>
      <w:divBdr>
        <w:top w:val="none" w:sz="0" w:space="0" w:color="auto"/>
        <w:left w:val="none" w:sz="0" w:space="0" w:color="auto"/>
        <w:bottom w:val="none" w:sz="0" w:space="0" w:color="auto"/>
        <w:right w:val="none" w:sz="0" w:space="0" w:color="auto"/>
      </w:divBdr>
    </w:div>
    <w:div w:id="1199658593">
      <w:bodyDiv w:val="1"/>
      <w:marLeft w:val="0"/>
      <w:marRight w:val="0"/>
      <w:marTop w:val="0"/>
      <w:marBottom w:val="0"/>
      <w:divBdr>
        <w:top w:val="none" w:sz="0" w:space="0" w:color="auto"/>
        <w:left w:val="none" w:sz="0" w:space="0" w:color="auto"/>
        <w:bottom w:val="none" w:sz="0" w:space="0" w:color="auto"/>
        <w:right w:val="none" w:sz="0" w:space="0" w:color="auto"/>
      </w:divBdr>
    </w:div>
    <w:div w:id="1239831472">
      <w:bodyDiv w:val="1"/>
      <w:marLeft w:val="0"/>
      <w:marRight w:val="0"/>
      <w:marTop w:val="0"/>
      <w:marBottom w:val="0"/>
      <w:divBdr>
        <w:top w:val="none" w:sz="0" w:space="0" w:color="auto"/>
        <w:left w:val="none" w:sz="0" w:space="0" w:color="auto"/>
        <w:bottom w:val="none" w:sz="0" w:space="0" w:color="auto"/>
        <w:right w:val="none" w:sz="0" w:space="0" w:color="auto"/>
      </w:divBdr>
    </w:div>
    <w:div w:id="1309243475">
      <w:bodyDiv w:val="1"/>
      <w:marLeft w:val="0"/>
      <w:marRight w:val="0"/>
      <w:marTop w:val="0"/>
      <w:marBottom w:val="0"/>
      <w:divBdr>
        <w:top w:val="none" w:sz="0" w:space="0" w:color="auto"/>
        <w:left w:val="none" w:sz="0" w:space="0" w:color="auto"/>
        <w:bottom w:val="none" w:sz="0" w:space="0" w:color="auto"/>
        <w:right w:val="none" w:sz="0" w:space="0" w:color="auto"/>
      </w:divBdr>
    </w:div>
    <w:div w:id="1314333416">
      <w:bodyDiv w:val="1"/>
      <w:marLeft w:val="0"/>
      <w:marRight w:val="0"/>
      <w:marTop w:val="0"/>
      <w:marBottom w:val="0"/>
      <w:divBdr>
        <w:top w:val="none" w:sz="0" w:space="0" w:color="auto"/>
        <w:left w:val="none" w:sz="0" w:space="0" w:color="auto"/>
        <w:bottom w:val="none" w:sz="0" w:space="0" w:color="auto"/>
        <w:right w:val="none" w:sz="0" w:space="0" w:color="auto"/>
      </w:divBdr>
    </w:div>
    <w:div w:id="1380283562">
      <w:bodyDiv w:val="1"/>
      <w:marLeft w:val="0"/>
      <w:marRight w:val="0"/>
      <w:marTop w:val="0"/>
      <w:marBottom w:val="0"/>
      <w:divBdr>
        <w:top w:val="none" w:sz="0" w:space="0" w:color="auto"/>
        <w:left w:val="none" w:sz="0" w:space="0" w:color="auto"/>
        <w:bottom w:val="none" w:sz="0" w:space="0" w:color="auto"/>
        <w:right w:val="none" w:sz="0" w:space="0" w:color="auto"/>
      </w:divBdr>
    </w:div>
    <w:div w:id="1469980654">
      <w:bodyDiv w:val="1"/>
      <w:marLeft w:val="0"/>
      <w:marRight w:val="0"/>
      <w:marTop w:val="0"/>
      <w:marBottom w:val="0"/>
      <w:divBdr>
        <w:top w:val="none" w:sz="0" w:space="0" w:color="auto"/>
        <w:left w:val="none" w:sz="0" w:space="0" w:color="auto"/>
        <w:bottom w:val="none" w:sz="0" w:space="0" w:color="auto"/>
        <w:right w:val="none" w:sz="0" w:space="0" w:color="auto"/>
      </w:divBdr>
    </w:div>
    <w:div w:id="1498113217">
      <w:bodyDiv w:val="1"/>
      <w:marLeft w:val="0"/>
      <w:marRight w:val="0"/>
      <w:marTop w:val="0"/>
      <w:marBottom w:val="0"/>
      <w:divBdr>
        <w:top w:val="none" w:sz="0" w:space="0" w:color="auto"/>
        <w:left w:val="none" w:sz="0" w:space="0" w:color="auto"/>
        <w:bottom w:val="none" w:sz="0" w:space="0" w:color="auto"/>
        <w:right w:val="none" w:sz="0" w:space="0" w:color="auto"/>
      </w:divBdr>
    </w:div>
    <w:div w:id="1643122750">
      <w:bodyDiv w:val="1"/>
      <w:marLeft w:val="0"/>
      <w:marRight w:val="0"/>
      <w:marTop w:val="0"/>
      <w:marBottom w:val="0"/>
      <w:divBdr>
        <w:top w:val="none" w:sz="0" w:space="0" w:color="auto"/>
        <w:left w:val="none" w:sz="0" w:space="0" w:color="auto"/>
        <w:bottom w:val="none" w:sz="0" w:space="0" w:color="auto"/>
        <w:right w:val="none" w:sz="0" w:space="0" w:color="auto"/>
      </w:divBdr>
    </w:div>
    <w:div w:id="1726641075">
      <w:bodyDiv w:val="1"/>
      <w:marLeft w:val="0"/>
      <w:marRight w:val="0"/>
      <w:marTop w:val="0"/>
      <w:marBottom w:val="0"/>
      <w:divBdr>
        <w:top w:val="none" w:sz="0" w:space="0" w:color="auto"/>
        <w:left w:val="none" w:sz="0" w:space="0" w:color="auto"/>
        <w:bottom w:val="none" w:sz="0" w:space="0" w:color="auto"/>
        <w:right w:val="none" w:sz="0" w:space="0" w:color="auto"/>
      </w:divBdr>
    </w:div>
    <w:div w:id="1793547500">
      <w:bodyDiv w:val="1"/>
      <w:marLeft w:val="0"/>
      <w:marRight w:val="0"/>
      <w:marTop w:val="0"/>
      <w:marBottom w:val="0"/>
      <w:divBdr>
        <w:top w:val="none" w:sz="0" w:space="0" w:color="auto"/>
        <w:left w:val="none" w:sz="0" w:space="0" w:color="auto"/>
        <w:bottom w:val="none" w:sz="0" w:space="0" w:color="auto"/>
        <w:right w:val="none" w:sz="0" w:space="0" w:color="auto"/>
      </w:divBdr>
    </w:div>
    <w:div w:id="1834297617">
      <w:bodyDiv w:val="1"/>
      <w:marLeft w:val="0"/>
      <w:marRight w:val="0"/>
      <w:marTop w:val="0"/>
      <w:marBottom w:val="0"/>
      <w:divBdr>
        <w:top w:val="none" w:sz="0" w:space="0" w:color="auto"/>
        <w:left w:val="none" w:sz="0" w:space="0" w:color="auto"/>
        <w:bottom w:val="none" w:sz="0" w:space="0" w:color="auto"/>
        <w:right w:val="none" w:sz="0" w:space="0" w:color="auto"/>
      </w:divBdr>
    </w:div>
    <w:div w:id="1869416013">
      <w:bodyDiv w:val="1"/>
      <w:marLeft w:val="0"/>
      <w:marRight w:val="0"/>
      <w:marTop w:val="0"/>
      <w:marBottom w:val="0"/>
      <w:divBdr>
        <w:top w:val="none" w:sz="0" w:space="0" w:color="auto"/>
        <w:left w:val="none" w:sz="0" w:space="0" w:color="auto"/>
        <w:bottom w:val="none" w:sz="0" w:space="0" w:color="auto"/>
        <w:right w:val="none" w:sz="0" w:space="0" w:color="auto"/>
      </w:divBdr>
    </w:div>
    <w:div w:id="1873036168">
      <w:bodyDiv w:val="1"/>
      <w:marLeft w:val="0"/>
      <w:marRight w:val="0"/>
      <w:marTop w:val="0"/>
      <w:marBottom w:val="0"/>
      <w:divBdr>
        <w:top w:val="none" w:sz="0" w:space="0" w:color="auto"/>
        <w:left w:val="none" w:sz="0" w:space="0" w:color="auto"/>
        <w:bottom w:val="none" w:sz="0" w:space="0" w:color="auto"/>
        <w:right w:val="none" w:sz="0" w:space="0" w:color="auto"/>
      </w:divBdr>
    </w:div>
    <w:div w:id="1874729859">
      <w:bodyDiv w:val="1"/>
      <w:marLeft w:val="0"/>
      <w:marRight w:val="0"/>
      <w:marTop w:val="0"/>
      <w:marBottom w:val="0"/>
      <w:divBdr>
        <w:top w:val="none" w:sz="0" w:space="0" w:color="auto"/>
        <w:left w:val="none" w:sz="0" w:space="0" w:color="auto"/>
        <w:bottom w:val="none" w:sz="0" w:space="0" w:color="auto"/>
        <w:right w:val="none" w:sz="0" w:space="0" w:color="auto"/>
      </w:divBdr>
    </w:div>
    <w:div w:id="1908372882">
      <w:bodyDiv w:val="1"/>
      <w:marLeft w:val="0"/>
      <w:marRight w:val="0"/>
      <w:marTop w:val="0"/>
      <w:marBottom w:val="0"/>
      <w:divBdr>
        <w:top w:val="none" w:sz="0" w:space="0" w:color="auto"/>
        <w:left w:val="none" w:sz="0" w:space="0" w:color="auto"/>
        <w:bottom w:val="none" w:sz="0" w:space="0" w:color="auto"/>
        <w:right w:val="none" w:sz="0" w:space="0" w:color="auto"/>
      </w:divBdr>
    </w:div>
    <w:div w:id="1919902331">
      <w:bodyDiv w:val="1"/>
      <w:marLeft w:val="0"/>
      <w:marRight w:val="0"/>
      <w:marTop w:val="0"/>
      <w:marBottom w:val="0"/>
      <w:divBdr>
        <w:top w:val="none" w:sz="0" w:space="0" w:color="auto"/>
        <w:left w:val="none" w:sz="0" w:space="0" w:color="auto"/>
        <w:bottom w:val="none" w:sz="0" w:space="0" w:color="auto"/>
        <w:right w:val="none" w:sz="0" w:space="0" w:color="auto"/>
      </w:divBdr>
    </w:div>
    <w:div w:id="1953324313">
      <w:bodyDiv w:val="1"/>
      <w:marLeft w:val="0"/>
      <w:marRight w:val="0"/>
      <w:marTop w:val="0"/>
      <w:marBottom w:val="0"/>
      <w:divBdr>
        <w:top w:val="none" w:sz="0" w:space="0" w:color="auto"/>
        <w:left w:val="none" w:sz="0" w:space="0" w:color="auto"/>
        <w:bottom w:val="none" w:sz="0" w:space="0" w:color="auto"/>
        <w:right w:val="none" w:sz="0" w:space="0" w:color="auto"/>
      </w:divBdr>
    </w:div>
    <w:div w:id="1979610629">
      <w:bodyDiv w:val="1"/>
      <w:marLeft w:val="0"/>
      <w:marRight w:val="0"/>
      <w:marTop w:val="0"/>
      <w:marBottom w:val="0"/>
      <w:divBdr>
        <w:top w:val="none" w:sz="0" w:space="0" w:color="auto"/>
        <w:left w:val="none" w:sz="0" w:space="0" w:color="auto"/>
        <w:bottom w:val="none" w:sz="0" w:space="0" w:color="auto"/>
        <w:right w:val="none" w:sz="0" w:space="0" w:color="auto"/>
      </w:divBdr>
    </w:div>
    <w:div w:id="2048869787">
      <w:bodyDiv w:val="1"/>
      <w:marLeft w:val="0"/>
      <w:marRight w:val="0"/>
      <w:marTop w:val="0"/>
      <w:marBottom w:val="0"/>
      <w:divBdr>
        <w:top w:val="none" w:sz="0" w:space="0" w:color="auto"/>
        <w:left w:val="none" w:sz="0" w:space="0" w:color="auto"/>
        <w:bottom w:val="none" w:sz="0" w:space="0" w:color="auto"/>
        <w:right w:val="none" w:sz="0" w:space="0" w:color="auto"/>
      </w:divBdr>
    </w:div>
    <w:div w:id="2090736781">
      <w:bodyDiv w:val="1"/>
      <w:marLeft w:val="0"/>
      <w:marRight w:val="0"/>
      <w:marTop w:val="0"/>
      <w:marBottom w:val="0"/>
      <w:divBdr>
        <w:top w:val="none" w:sz="0" w:space="0" w:color="auto"/>
        <w:left w:val="none" w:sz="0" w:space="0" w:color="auto"/>
        <w:bottom w:val="none" w:sz="0" w:space="0" w:color="auto"/>
        <w:right w:val="none" w:sz="0" w:space="0" w:color="auto"/>
      </w:divBdr>
    </w:div>
    <w:div w:id="2112897607">
      <w:bodyDiv w:val="1"/>
      <w:marLeft w:val="0"/>
      <w:marRight w:val="0"/>
      <w:marTop w:val="0"/>
      <w:marBottom w:val="0"/>
      <w:divBdr>
        <w:top w:val="none" w:sz="0" w:space="0" w:color="auto"/>
        <w:left w:val="none" w:sz="0" w:space="0" w:color="auto"/>
        <w:bottom w:val="none" w:sz="0" w:space="0" w:color="auto"/>
        <w:right w:val="none" w:sz="0" w:space="0" w:color="auto"/>
      </w:divBdr>
    </w:div>
    <w:div w:id="2113354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Don15</b:Tag>
    <b:SourceType>Report</b:SourceType>
    <b:Guid>{2CA818B8-4C63-454B-A53C-7065ABBBEDB3}</b:Guid>
    <b:Title>Successful Futures</b:Title>
    <b:Year>2015</b:Year>
    <b:Publisher>OGL</b:Publisher>
    <b:Author>
      <b:Author>
        <b:NameList>
          <b:Person>
            <b:Last>Donaldson</b:Last>
            <b:First>Graham:</b:First>
          </b:Person>
        </b:NameList>
      </b:Author>
    </b:Author>
    <b:RefOrder>1</b:RefOrder>
  </b:Source>
  <b:Source>
    <b:Tag>Pri13</b:Tag>
    <b:SourceType>JournalArticle</b:SourceType>
    <b:Guid>{CF351C40-F457-4097-A8BD-39F09ADBA5A3}</b:Guid>
    <b:Title>Curriculum for Excellence: 'A brilliant idea, but...'</b:Title>
    <b:Year>2013</b:Year>
    <b:Author>
      <b:Author>
        <b:NameList>
          <b:Person>
            <b:Last>Priestly</b:Last>
            <b:First>Mark</b:First>
          </b:Person>
          <b:Person>
            <b:Last>Minty</b:Last>
            <b:First>Sarah</b:First>
          </b:Person>
        </b:NameList>
      </b:Author>
    </b:Author>
    <b:JournalName>Scottish Educational Review 45</b:JournalName>
    <b:RefOrder>2</b:RefOrder>
  </b:Source>
  <b:Source>
    <b:Tag>Sco16</b:Tag>
    <b:SourceType>InternetSite</b:SourceType>
    <b:Guid>{0D5FC522-4E12-4CDF-BA02-FCEA8AC00895}</b:Guid>
    <b:Title>Programme for International Student Assessment (PISA) 2015: Highlights from Scotland's results</b:Title>
    <b:Year>2016</b:Year>
    <b:Author>
      <b:Author>
        <b:NameList>
          <b:Person>
            <b:Last>Government</b:Last>
            <b:First>Scottish</b:First>
          </b:Person>
        </b:NameList>
      </b:Author>
    </b:Author>
    <b:InternetSiteTitle>Scottish Government gov.scot</b:InternetSiteTitle>
    <b:Month>December</b:Month>
    <b:Day>6</b:Day>
    <b:URL>https://www.gov.scot/Publications/2016/12/7252</b:URL>
    <b:RefOrder>3</b:RefOrder>
  </b:Source>
  <b:Source>
    <b:Tag>Don1563</b:Tag>
    <b:SourceType>BookSection</b:SourceType>
    <b:Guid>{368B5712-98B9-4233-84B8-4FA935F5F78C}</b:Guid>
    <b:Title>Pedagogy</b:Title>
    <b:Year>2015</b:Year>
    <b:Author>
      <b:Author>
        <b:NameList>
          <b:Person>
            <b:Last>Donaldson</b:Last>
            <b:First>Graham</b:First>
          </b:Person>
        </b:NameList>
      </b:Author>
    </b:Author>
    <b:BookTitle>Successful Futures; Independent Review of Curriculum and Assessment Arrangements in Wales</b:BookTitle>
    <b:Pages>63</b:Pages>
    <b:Publisher>OGL</b:Publisher>
    <b:RefOrder>4</b:RefOrder>
  </b:Source>
  <b:Source>
    <b:Tag>Hat14</b:Tag>
    <b:SourceType>Book</b:SourceType>
    <b:Guid>{35CD5813-1144-4C14-93AD-DC6D2E69A6FB}</b:Guid>
    <b:Title>Visible Learning and the Science of How We Learn</b:Title>
    <b:Year>2014</b:Year>
    <b:Pages>11</b:Pages>
    <b:City>Abingdon</b:City>
    <b:Publisher>Routledge</b:Publisher>
    <b:Author>
      <b:Author>
        <b:NameList>
          <b:Person>
            <b:Last>Hattie</b:Last>
            <b:First>John</b:First>
          </b:Person>
          <b:Person>
            <b:Last>Yates</b:Last>
            <b:First>Gregory</b:First>
            <b:Middle>C R</b:Middle>
          </b:Person>
        </b:NameList>
      </b:Author>
    </b:Author>
    <b:RefOrder>5</b:RefOrder>
  </b:Source>
  <b:Source>
    <b:Tag>Hat141</b:Tag>
    <b:SourceType>Book</b:SourceType>
    <b:Guid>{D1A92BA6-A34C-4E75-8BDF-B29A8532EA82}</b:Guid>
    <b:Author>
      <b:Author>
        <b:NameList>
          <b:Person>
            <b:Last>Hattie</b:Last>
            <b:First>John</b:First>
          </b:Person>
          <b:Person>
            <b:Last>Yates</b:Last>
            <b:First>Gregory</b:First>
            <b:Middle>C R</b:Middle>
          </b:Person>
        </b:NameList>
      </b:Author>
    </b:Author>
    <b:Title>Visible Learning and the Science of How We Learn</b:Title>
    <b:Year>2014</b:Year>
    <b:City>Abingdon</b:City>
    <b:Publisher>Routledge</b:Publisher>
    <b:Pages>xi</b:Pages>
    <b:RefOrder>9</b:RefOrder>
  </b:Source>
  <b:Source>
    <b:Tag>Wat07</b:Tag>
    <b:SourceType>Book</b:SourceType>
    <b:Guid>{E94B4649-9661-4EA7-A6C3-0AB0F04162B8}</b:Guid>
    <b:Author>
      <b:Author>
        <b:NameList>
          <b:Person>
            <b:Last>Watkins</b:Last>
            <b:First>Chris</b:First>
          </b:Person>
          <b:Person>
            <b:Last>Carnell</b:Last>
            <b:First>Eileen</b:First>
          </b:Person>
          <b:Person>
            <b:Last>Lodge</b:Last>
            <b:First>Caroline</b:First>
          </b:Person>
        </b:NameList>
      </b:Author>
    </b:Author>
    <b:Title>Effective Learning in Classrooms</b:Title>
    <b:Year>2007</b:Year>
    <b:City>London</b:City>
    <b:Publisher>Paul Chapman Publishing</b:Publisher>
    <b:Pages>5</b:Pages>
    <b:RefOrder>6</b:RefOrder>
  </b:Source>
  <b:Source>
    <b:Tag>Wat071</b:Tag>
    <b:SourceType>Book</b:SourceType>
    <b:Guid>{9B6A359A-A3A9-4283-828C-1A639F0EDDD4}</b:Guid>
    <b:Author>
      <b:Author>
        <b:NameList>
          <b:Person>
            <b:Last>Watkins</b:Last>
            <b:First>Chris</b:First>
          </b:Person>
          <b:Person>
            <b:Last>Carnell</b:Last>
            <b:First>Eileen</b:First>
          </b:Person>
          <b:Person>
            <b:Last>Lodge</b:Last>
            <b:First>Caroline</b:First>
          </b:Person>
        </b:NameList>
      </b:Author>
    </b:Author>
    <b:Title>Effective Learning in Classrooms</b:Title>
    <b:Year>2007</b:Year>
    <b:City>London</b:City>
    <b:Publisher>Paul Chapman Publishing</b:Publisher>
    <b:Pages>107</b:Pages>
    <b:RefOrder>7</b:RefOrder>
  </b:Source>
  <b:Source>
    <b:Tag>Hat142</b:Tag>
    <b:SourceType>Book</b:SourceType>
    <b:Guid>{E8B218C8-6208-4484-9C2B-0CB868DAFD18}</b:Guid>
    <b:Author>
      <b:Author>
        <b:NameList>
          <b:Person>
            <b:Last>Hattie</b:Last>
            <b:First>John</b:First>
          </b:Person>
          <b:Person>
            <b:Last>Yates</b:Last>
            <b:First>Gregory</b:First>
            <b:Middle>C R</b:Middle>
          </b:Person>
        </b:NameList>
      </b:Author>
    </b:Author>
    <b:Title>Visible Learning and the Science of How We Learn</b:Title>
    <b:Year>2014</b:Year>
    <b:City>London</b:City>
    <b:Publisher>Routledge</b:Publisher>
    <b:Pages>44-45</b:Pages>
    <b:RefOrder>8</b:RefOrder>
  </b:Source>
  <b:Source>
    <b:Tag>War06</b:Tag>
    <b:SourceType>Book</b:SourceType>
    <b:Guid>{16F63190-ECCC-4C6A-A0D4-79D1D6FF2BA6}</b:Guid>
    <b:Author>
      <b:Author>
        <b:NameList>
          <b:Person>
            <b:Last>Warrington</b:Last>
            <b:First>Molly</b:First>
          </b:Person>
          <b:Person>
            <b:Last>Younger</b:Last>
            <b:First>Mike,</b:First>
            <b:Middle>Bearne, Eve</b:Middle>
          </b:Person>
        </b:NameList>
      </b:Author>
    </b:Author>
    <b:Title>Raising Boys' Achievement in Primary Schools; Towards an Holistic Approach</b:Title>
    <b:Year>2006</b:Year>
    <b:City>Maidenhead</b:City>
    <b:Publisher>Open University Press</b:Publisher>
    <b:Pages>11, 194-95</b:Pages>
    <b:RefOrder>10</b:RefOrder>
  </b:Source>
  <b:Source>
    <b:Tag>Han12</b:Tag>
    <b:SourceType>Book</b:SourceType>
    <b:Guid>{784F1AE7-7378-4457-A20F-8E1199AF4F41}</b:Guid>
    <b:Author>
      <b:Author>
        <b:NameList>
          <b:Person>
            <b:Last>Hansen</b:Last>
            <b:First>Alice</b:First>
          </b:Person>
        </b:NameList>
      </b:Author>
    </b:Author>
    <b:Title>Reflective Learning and Teaching in Primary Schools</b:Title>
    <b:Year>2012</b:Year>
    <b:City>London</b:City>
    <b:Publisher>Learning Matters</b:Publisher>
    <b:Pages>16</b:Pages>
    <b:RefOrder>11</b:RefOrder>
  </b:Source>
  <b:Source>
    <b:Tag>Bou85</b:Tag>
    <b:SourceType>Book</b:SourceType>
    <b:Guid>{FEF9A188-12C4-4F11-BA3F-6508A4525D8F}</b:Guid>
    <b:Author>
      <b:Author>
        <b:NameList>
          <b:Person>
            <b:Last>Boud</b:Last>
            <b:First>David</b:First>
          </b:Person>
          <b:Person>
            <b:Last>Keogh</b:Last>
            <b:First>Rosemary</b:First>
          </b:Person>
          <b:Person>
            <b:Last>Walker</b:Last>
            <b:First>David</b:First>
          </b:Person>
        </b:NameList>
      </b:Author>
    </b:Author>
    <b:Title>Reflection; Turning Experience Into Learning</b:Title>
    <b:Year>1985</b:Year>
    <b:City>London</b:City>
    <b:Publisher>Kogan Page</b:Publisher>
    <b:Pages>141</b:Pages>
    <b:RefOrder>12</b:RefOrder>
  </b:Source>
  <b:Source>
    <b:Tag>Moo04</b:Tag>
    <b:SourceType>Book</b:SourceType>
    <b:Guid>{501BA5D3-1239-441F-97BE-B3CE6BEBDE2E}</b:Guid>
    <b:Author>
      <b:Author>
        <b:NameList>
          <b:Person>
            <b:Last>Moon</b:Last>
            <b:First>Jennifer</b:First>
          </b:Person>
        </b:NameList>
      </b:Author>
    </b:Author>
    <b:Title>A Handbook of Reflective and Experiential Learning; Theory and Practice</b:Title>
    <b:Year>2004</b:Year>
    <b:City>Abingdon</b:City>
    <b:Publisher>Routledge</b:Publisher>
    <b:RefOrder>13</b:RefOrder>
  </b:Source>
  <b:Source>
    <b:Tag>Bee98</b:Tag>
    <b:SourceType>Book</b:SourceType>
    <b:Guid>{4AD51CC7-856F-48B4-967D-B04694690A62}</b:Guid>
    <b:Author>
      <b:Author>
        <b:NameList>
          <b:Person>
            <b:Last>Beetlestone</b:Last>
            <b:First>Florence</b:First>
          </b:Person>
        </b:NameList>
      </b:Author>
    </b:Author>
    <b:Title>Creative Children, Imaginative Teaching</b:Title>
    <b:Year>1998</b:Year>
    <b:City>London</b:City>
    <b:Publisher>Open University Press</b:Publisher>
    <b:RefOrder>14</b:RefOrder>
  </b:Source>
  <b:Source>
    <b:Tag>Cla11</b:Tag>
    <b:SourceType>Book</b:SourceType>
    <b:Guid>{02CCA0A6-01BA-4076-B5A6-528DD0B4BA4C}</b:Guid>
    <b:Author>
      <b:Author>
        <b:NameList>
          <b:Person>
            <b:Last>Claxton</b:Last>
            <b:First>Guy</b:First>
          </b:Person>
          <b:Person>
            <b:Last>Chambers</b:Last>
            <b:First>Maryl</b:First>
          </b:Person>
          <b:Person>
            <b:Last>Powell</b:Last>
            <b:First>Graham</b:First>
          </b:Person>
          <b:Person>
            <b:Last>Lucas</b:Last>
            <b:First>Bill</b:First>
          </b:Person>
        </b:NameList>
      </b:Author>
    </b:Author>
    <b:Title>The Learning Powered School: Pioneering 21st Century Education</b:Title>
    <b:Year>2011</b:Year>
    <b:City>Bristol</b:City>
    <b:Publisher>TLO Limited</b:Publisher>
    <b:RefOrder>15</b:RefOrder>
  </b:Source>
  <b:Source>
    <b:Tag>Dwe06</b:Tag>
    <b:SourceType>Book</b:SourceType>
    <b:Guid>{5397EA90-BB2D-466C-871C-696CFAD866A4}</b:Guid>
    <b:Author>
      <b:Author>
        <b:NameList>
          <b:Person>
            <b:Last>Dweck</b:Last>
            <b:First>Carol</b:First>
          </b:Person>
        </b:NameList>
      </b:Author>
    </b:Author>
    <b:Title>Mindset: The New Psychology of Success</b:Title>
    <b:Year>2006</b:Year>
    <b:Publisher>Ballantine Books</b:Publisher>
    <b:RefOrder>16</b:RefOrder>
  </b:Source>
  <b:Source>
    <b:Tag>Hat18</b:Tag>
    <b:SourceType>Book</b:SourceType>
    <b:Guid>{3310B7A0-8FC6-4058-A93B-DE27BD7AC07F}</b:Guid>
    <b:Author>
      <b:Author>
        <b:NameList>
          <b:Person>
            <b:Last>Hattie</b:Last>
            <b:First>John</b:First>
          </b:Person>
          <b:Person>
            <b:Last>Zierer</b:Last>
            <b:First>Klaus</b:First>
          </b:Person>
        </b:NameList>
      </b:Author>
    </b:Author>
    <b:Title>10 Mindframes for Visible Learning; Teaching for Success</b:Title>
    <b:Year>2018</b:Year>
    <b:City>London</b:City>
    <b:Publisher>Routledge</b:Publisher>
    <b:RefOrder>17</b:RefOrder>
  </b:Source>
</b:Sources>
</file>

<file path=customXml/itemProps1.xml><?xml version="1.0" encoding="utf-8"?>
<ds:datastoreItem xmlns:ds="http://schemas.openxmlformats.org/officeDocument/2006/customXml" ds:itemID="{C5B57962-C139-418A-AB67-63754FC59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Pages>
  <Words>6241</Words>
  <Characters>35577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41735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mcewac</dc:creator>
  <cp:lastModifiedBy>Jacquelyn</cp:lastModifiedBy>
  <cp:revision>15</cp:revision>
  <cp:lastPrinted>2018-09-06T19:50:00Z</cp:lastPrinted>
  <dcterms:created xsi:type="dcterms:W3CDTF">2018-09-06T11:22:00Z</dcterms:created>
  <dcterms:modified xsi:type="dcterms:W3CDTF">2018-09-06T19:51:00Z</dcterms:modified>
</cp:coreProperties>
</file>