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F2FE1" w14:textId="77777777" w:rsidR="00560EF6" w:rsidRDefault="00000000">
      <w:pPr>
        <w:spacing w:line="480" w:lineRule="auto"/>
        <w:jc w:val="center"/>
        <w:rPr>
          <w:rFonts w:ascii="Arial" w:hAnsi="Arial" w:cs="Arial"/>
          <w:sz w:val="24"/>
          <w:szCs w:val="24"/>
        </w:rPr>
      </w:pPr>
      <w:r>
        <w:rPr>
          <w:rFonts w:ascii="Arial" w:hAnsi="Arial" w:cs="Arial"/>
          <w:noProof/>
          <w:sz w:val="24"/>
          <w:szCs w:val="24"/>
        </w:rPr>
        <w:drawing>
          <wp:inline distT="0" distB="0" distL="0" distR="0" wp14:anchorId="08CBE46A" wp14:editId="11065BAD">
            <wp:extent cx="3968750" cy="2204861"/>
            <wp:effectExtent l="0" t="0" r="0" b="5080"/>
            <wp:docPr id="1026" name="Picture 2" descr="Tarek Associat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7" cstate="print"/>
                    <a:srcRect/>
                    <a:stretch/>
                  </pic:blipFill>
                  <pic:spPr>
                    <a:xfrm>
                      <a:off x="0" y="0"/>
                      <a:ext cx="3968750" cy="2204861"/>
                    </a:xfrm>
                    <a:prstGeom prst="rect">
                      <a:avLst/>
                    </a:prstGeom>
                    <a:ln>
                      <a:noFill/>
                    </a:ln>
                  </pic:spPr>
                </pic:pic>
              </a:graphicData>
            </a:graphic>
          </wp:inline>
        </w:drawing>
      </w:r>
    </w:p>
    <w:p w14:paraId="699CB463" w14:textId="77777777" w:rsidR="00560EF6" w:rsidRDefault="00000000">
      <w:pPr>
        <w:spacing w:line="480" w:lineRule="auto"/>
        <w:jc w:val="center"/>
        <w:rPr>
          <w:rFonts w:ascii="Arial" w:hAnsi="Arial" w:cs="Arial"/>
          <w:sz w:val="24"/>
          <w:szCs w:val="24"/>
        </w:rPr>
      </w:pPr>
      <w:r>
        <w:rPr>
          <w:rFonts w:ascii="Arial" w:hAnsi="Arial" w:cs="Arial"/>
          <w:sz w:val="24"/>
          <w:szCs w:val="24"/>
        </w:rPr>
        <w:t>Master of Business Administration</w:t>
      </w:r>
    </w:p>
    <w:p w14:paraId="3BC1239D" w14:textId="5702DAE5" w:rsidR="00560EF6" w:rsidRDefault="00000000">
      <w:pPr>
        <w:spacing w:line="480" w:lineRule="auto"/>
        <w:jc w:val="center"/>
        <w:rPr>
          <w:rFonts w:ascii="Arial" w:hAnsi="Arial" w:cs="Arial"/>
          <w:sz w:val="24"/>
          <w:szCs w:val="24"/>
        </w:rPr>
      </w:pPr>
      <w:r>
        <w:rPr>
          <w:rFonts w:ascii="Arial" w:hAnsi="Arial" w:cs="Arial"/>
          <w:sz w:val="24"/>
          <w:szCs w:val="24"/>
        </w:rPr>
        <w:t>Market</w:t>
      </w:r>
      <w:r w:rsidR="0014455F">
        <w:rPr>
          <w:rFonts w:ascii="Arial" w:hAnsi="Arial" w:cs="Arial"/>
          <w:sz w:val="24"/>
          <w:szCs w:val="24"/>
        </w:rPr>
        <w:t>ing</w:t>
      </w:r>
      <w:r>
        <w:rPr>
          <w:rFonts w:ascii="Arial" w:hAnsi="Arial" w:cs="Arial"/>
          <w:sz w:val="24"/>
          <w:szCs w:val="24"/>
        </w:rPr>
        <w:t xml:space="preserve"> Management</w:t>
      </w:r>
    </w:p>
    <w:p w14:paraId="7B801C37" w14:textId="77777777" w:rsidR="00560EF6" w:rsidRDefault="00000000">
      <w:pPr>
        <w:spacing w:line="480" w:lineRule="auto"/>
        <w:jc w:val="center"/>
        <w:rPr>
          <w:rFonts w:ascii="Arial" w:hAnsi="Arial" w:cs="Arial"/>
          <w:sz w:val="24"/>
          <w:szCs w:val="24"/>
        </w:rPr>
      </w:pPr>
      <w:r>
        <w:rPr>
          <w:rFonts w:ascii="Arial" w:hAnsi="Arial" w:cs="Arial"/>
          <w:sz w:val="24"/>
          <w:szCs w:val="24"/>
        </w:rPr>
        <w:t>LCMB7024</w:t>
      </w:r>
    </w:p>
    <w:p w14:paraId="7CC7768B" w14:textId="77777777" w:rsidR="00560EF6" w:rsidRDefault="00560EF6">
      <w:pPr>
        <w:spacing w:line="480" w:lineRule="auto"/>
        <w:jc w:val="center"/>
        <w:rPr>
          <w:rFonts w:ascii="Arial" w:hAnsi="Arial" w:cs="Arial"/>
          <w:sz w:val="24"/>
          <w:szCs w:val="24"/>
        </w:rPr>
      </w:pPr>
    </w:p>
    <w:p w14:paraId="0B1BA969" w14:textId="77777777" w:rsidR="00560EF6" w:rsidRDefault="00560EF6">
      <w:pPr>
        <w:spacing w:line="480" w:lineRule="auto"/>
        <w:jc w:val="center"/>
        <w:rPr>
          <w:rFonts w:ascii="Arial" w:hAnsi="Arial" w:cs="Arial"/>
          <w:sz w:val="24"/>
          <w:szCs w:val="24"/>
        </w:rPr>
      </w:pPr>
    </w:p>
    <w:p w14:paraId="3F3EDED0" w14:textId="77777777" w:rsidR="00560EF6" w:rsidRDefault="00560EF6">
      <w:pPr>
        <w:spacing w:line="480" w:lineRule="auto"/>
        <w:jc w:val="center"/>
        <w:rPr>
          <w:rFonts w:ascii="Arial" w:hAnsi="Arial" w:cs="Arial"/>
          <w:sz w:val="24"/>
          <w:szCs w:val="24"/>
        </w:rPr>
      </w:pPr>
    </w:p>
    <w:p w14:paraId="69F697D8" w14:textId="77777777" w:rsidR="00560EF6" w:rsidRDefault="00000000">
      <w:pPr>
        <w:spacing w:line="480" w:lineRule="auto"/>
        <w:jc w:val="center"/>
        <w:rPr>
          <w:rFonts w:ascii="Arial" w:hAnsi="Arial" w:cs="Arial"/>
          <w:sz w:val="24"/>
          <w:szCs w:val="24"/>
        </w:rPr>
      </w:pPr>
      <w:r>
        <w:rPr>
          <w:rFonts w:ascii="Arial" w:hAnsi="Arial" w:cs="Arial"/>
          <w:sz w:val="24"/>
          <w:szCs w:val="24"/>
        </w:rPr>
        <w:t>Name: Rathla Rajesh</w:t>
      </w:r>
    </w:p>
    <w:p w14:paraId="342C21D8" w14:textId="77777777" w:rsidR="00560EF6" w:rsidRDefault="00000000">
      <w:pPr>
        <w:spacing w:line="480" w:lineRule="auto"/>
        <w:jc w:val="center"/>
        <w:rPr>
          <w:rFonts w:ascii="Arial" w:hAnsi="Arial" w:cs="Arial"/>
          <w:sz w:val="24"/>
          <w:szCs w:val="24"/>
        </w:rPr>
      </w:pPr>
      <w:r>
        <w:rPr>
          <w:rFonts w:ascii="Arial" w:hAnsi="Arial" w:cs="Arial"/>
          <w:sz w:val="24"/>
          <w:szCs w:val="24"/>
        </w:rPr>
        <w:t>Student Number: 2415125</w:t>
      </w:r>
    </w:p>
    <w:p w14:paraId="1C1B3649" w14:textId="77777777" w:rsidR="00560EF6" w:rsidRDefault="00000000">
      <w:pPr>
        <w:spacing w:line="480" w:lineRule="auto"/>
        <w:jc w:val="center"/>
        <w:rPr>
          <w:rFonts w:ascii="Arial" w:hAnsi="Arial" w:cs="Arial"/>
          <w:sz w:val="24"/>
          <w:szCs w:val="24"/>
        </w:rPr>
      </w:pPr>
      <w:r>
        <w:rPr>
          <w:rFonts w:ascii="Arial" w:hAnsi="Arial" w:cs="Arial"/>
          <w:sz w:val="24"/>
          <w:szCs w:val="24"/>
        </w:rPr>
        <w:t>Name of the Lecturer: Dr. Laila Maazouz</w:t>
      </w:r>
    </w:p>
    <w:p w14:paraId="5AFE47B0" w14:textId="77777777" w:rsidR="00560EF6" w:rsidRDefault="00000000">
      <w:pPr>
        <w:spacing w:line="480" w:lineRule="auto"/>
        <w:jc w:val="center"/>
        <w:rPr>
          <w:rFonts w:ascii="Arial" w:hAnsi="Arial" w:cs="Arial"/>
          <w:sz w:val="24"/>
          <w:szCs w:val="24"/>
        </w:rPr>
      </w:pPr>
      <w:r>
        <w:rPr>
          <w:rFonts w:ascii="Arial" w:hAnsi="Arial" w:cs="Arial"/>
          <w:sz w:val="24"/>
          <w:szCs w:val="24"/>
        </w:rPr>
        <w:t>Date of Submission: 27</w:t>
      </w:r>
      <w:r>
        <w:rPr>
          <w:rFonts w:ascii="Arial" w:hAnsi="Arial" w:cs="Arial"/>
          <w:sz w:val="24"/>
          <w:szCs w:val="24"/>
          <w:vertAlign w:val="superscript"/>
        </w:rPr>
        <w:t>th</w:t>
      </w:r>
      <w:r>
        <w:rPr>
          <w:rFonts w:ascii="Arial" w:hAnsi="Arial" w:cs="Arial"/>
          <w:sz w:val="24"/>
          <w:szCs w:val="24"/>
        </w:rPr>
        <w:t xml:space="preserve"> March 2025</w:t>
      </w:r>
    </w:p>
    <w:p w14:paraId="68111B7A" w14:textId="77777777" w:rsidR="00560EF6" w:rsidRDefault="00000000">
      <w:pPr>
        <w:spacing w:line="480" w:lineRule="auto"/>
        <w:jc w:val="center"/>
        <w:rPr>
          <w:rFonts w:ascii="Arial" w:hAnsi="Arial" w:cs="Arial"/>
          <w:sz w:val="24"/>
          <w:szCs w:val="24"/>
        </w:rPr>
      </w:pPr>
      <w:r>
        <w:rPr>
          <w:rFonts w:ascii="Arial" w:hAnsi="Arial" w:cs="Arial"/>
          <w:sz w:val="24"/>
          <w:szCs w:val="24"/>
        </w:rPr>
        <w:t>Word Count: 2570</w:t>
      </w:r>
    </w:p>
    <w:p w14:paraId="735810C7" w14:textId="77777777" w:rsidR="00560EF6" w:rsidRDefault="00000000">
      <w:pPr>
        <w:rPr>
          <w:rFonts w:ascii="Arial" w:hAnsi="Arial" w:cs="Arial"/>
          <w:sz w:val="24"/>
          <w:szCs w:val="24"/>
        </w:rPr>
      </w:pPr>
      <w:r>
        <w:rPr>
          <w:rFonts w:ascii="Arial" w:hAnsi="Arial" w:cs="Arial"/>
          <w:sz w:val="24"/>
          <w:szCs w:val="24"/>
        </w:rPr>
        <w:br w:type="page"/>
      </w:r>
    </w:p>
    <w:p w14:paraId="14888CFE" w14:textId="77777777" w:rsidR="00560EF6" w:rsidRDefault="00000000">
      <w:pPr>
        <w:pStyle w:val="TOCHeading"/>
        <w:rPr>
          <w:rFonts w:ascii="Arial" w:hAnsi="Arial" w:cs="Arial"/>
          <w:sz w:val="24"/>
          <w:szCs w:val="24"/>
        </w:rPr>
      </w:pPr>
      <w:r>
        <w:rPr>
          <w:rFonts w:ascii="Arial" w:hAnsi="Arial" w:cs="Arial"/>
          <w:sz w:val="24"/>
          <w:szCs w:val="24"/>
        </w:rPr>
        <w:lastRenderedPageBreak/>
        <w:t>Table of Contents</w:t>
      </w:r>
    </w:p>
    <w:p w14:paraId="5595B8ED" w14:textId="77777777" w:rsidR="00560EF6" w:rsidRDefault="00000000">
      <w:pPr>
        <w:pStyle w:val="TOC1"/>
        <w:tabs>
          <w:tab w:val="right" w:leader="dot" w:pos="9016"/>
        </w:tabs>
        <w:rPr>
          <w:rFonts w:eastAsia="SimSun"/>
          <w:noProof/>
        </w:rPr>
      </w:pPr>
      <w:r>
        <w:rPr>
          <w:rFonts w:ascii="Arial" w:hAnsi="Arial" w:cs="Arial"/>
          <w:sz w:val="24"/>
          <w:szCs w:val="24"/>
        </w:rPr>
        <w:fldChar w:fldCharType="begin"/>
      </w:r>
      <w:r>
        <w:rPr>
          <w:rFonts w:ascii="Arial" w:hAnsi="Arial" w:cs="Arial"/>
          <w:sz w:val="24"/>
          <w:szCs w:val="24"/>
        </w:rPr>
        <w:instrText xml:space="preserve"> TOC \o "1-3" \h \z \u </w:instrText>
      </w:r>
      <w:r>
        <w:rPr>
          <w:rFonts w:ascii="Arial" w:hAnsi="Arial" w:cs="Arial"/>
          <w:sz w:val="24"/>
          <w:szCs w:val="24"/>
        </w:rPr>
        <w:fldChar w:fldCharType="separate"/>
      </w:r>
      <w:hyperlink w:anchor="_Toc193978101" w:history="1">
        <w:r>
          <w:rPr>
            <w:rStyle w:val="Hyperlink"/>
            <w:rFonts w:ascii="Arial" w:eastAsia="Times New Roman" w:hAnsi="Arial" w:cs="Arial"/>
            <w:noProof/>
          </w:rPr>
          <w:t>Introduction</w:t>
        </w:r>
        <w:r>
          <w:rPr>
            <w:noProof/>
            <w:webHidden/>
          </w:rPr>
          <w:tab/>
        </w:r>
        <w:r>
          <w:rPr>
            <w:noProof/>
            <w:webHidden/>
          </w:rPr>
          <w:fldChar w:fldCharType="begin"/>
        </w:r>
        <w:r>
          <w:rPr>
            <w:noProof/>
            <w:webHidden/>
          </w:rPr>
          <w:instrText xml:space="preserve"> PAGEREF _Toc193978101 \h </w:instrText>
        </w:r>
        <w:r>
          <w:rPr>
            <w:noProof/>
            <w:webHidden/>
          </w:rPr>
        </w:r>
        <w:r>
          <w:rPr>
            <w:noProof/>
            <w:webHidden/>
          </w:rPr>
          <w:fldChar w:fldCharType="separate"/>
        </w:r>
        <w:r>
          <w:rPr>
            <w:noProof/>
            <w:webHidden/>
          </w:rPr>
          <w:t>3</w:t>
        </w:r>
        <w:r>
          <w:rPr>
            <w:noProof/>
            <w:webHidden/>
          </w:rPr>
          <w:fldChar w:fldCharType="end"/>
        </w:r>
      </w:hyperlink>
    </w:p>
    <w:p w14:paraId="6BE42EF7" w14:textId="77777777" w:rsidR="00560EF6" w:rsidRDefault="00000000">
      <w:pPr>
        <w:pStyle w:val="TOC1"/>
        <w:tabs>
          <w:tab w:val="right" w:leader="dot" w:pos="9016"/>
        </w:tabs>
        <w:rPr>
          <w:rFonts w:eastAsia="SimSun"/>
          <w:noProof/>
        </w:rPr>
      </w:pPr>
      <w:hyperlink w:anchor="_Toc193978102" w:history="1">
        <w:r>
          <w:rPr>
            <w:rStyle w:val="Hyperlink"/>
            <w:rFonts w:ascii="Arial" w:eastAsia="Times New Roman" w:hAnsi="Arial" w:cs="Arial"/>
            <w:noProof/>
          </w:rPr>
          <w:t>Pros of being a Pioneer Company</w:t>
        </w:r>
        <w:r>
          <w:rPr>
            <w:noProof/>
            <w:webHidden/>
          </w:rPr>
          <w:tab/>
        </w:r>
        <w:r>
          <w:rPr>
            <w:noProof/>
            <w:webHidden/>
          </w:rPr>
          <w:fldChar w:fldCharType="begin"/>
        </w:r>
        <w:r>
          <w:rPr>
            <w:noProof/>
            <w:webHidden/>
          </w:rPr>
          <w:instrText xml:space="preserve"> PAGEREF _Toc193978102 \h </w:instrText>
        </w:r>
        <w:r>
          <w:rPr>
            <w:noProof/>
            <w:webHidden/>
          </w:rPr>
        </w:r>
        <w:r>
          <w:rPr>
            <w:noProof/>
            <w:webHidden/>
          </w:rPr>
          <w:fldChar w:fldCharType="separate"/>
        </w:r>
        <w:r>
          <w:rPr>
            <w:noProof/>
            <w:webHidden/>
          </w:rPr>
          <w:t>4</w:t>
        </w:r>
        <w:r>
          <w:rPr>
            <w:noProof/>
            <w:webHidden/>
          </w:rPr>
          <w:fldChar w:fldCharType="end"/>
        </w:r>
      </w:hyperlink>
    </w:p>
    <w:p w14:paraId="2BEAB5E3" w14:textId="77777777" w:rsidR="00560EF6" w:rsidRDefault="00000000">
      <w:pPr>
        <w:pStyle w:val="TOC1"/>
        <w:tabs>
          <w:tab w:val="right" w:leader="dot" w:pos="9016"/>
        </w:tabs>
        <w:rPr>
          <w:rFonts w:eastAsia="SimSun"/>
          <w:noProof/>
        </w:rPr>
      </w:pPr>
      <w:hyperlink w:anchor="_Toc193978103" w:history="1">
        <w:r>
          <w:rPr>
            <w:rStyle w:val="Hyperlink"/>
            <w:rFonts w:ascii="Arial" w:eastAsia="Times New Roman" w:hAnsi="Arial" w:cs="Arial"/>
            <w:noProof/>
          </w:rPr>
          <w:t>Benefits of Being a Follower Company</w:t>
        </w:r>
        <w:r>
          <w:rPr>
            <w:noProof/>
            <w:webHidden/>
          </w:rPr>
          <w:tab/>
        </w:r>
        <w:r>
          <w:rPr>
            <w:noProof/>
            <w:webHidden/>
          </w:rPr>
          <w:fldChar w:fldCharType="begin"/>
        </w:r>
        <w:r>
          <w:rPr>
            <w:noProof/>
            <w:webHidden/>
          </w:rPr>
          <w:instrText xml:space="preserve"> PAGEREF _Toc193978103 \h </w:instrText>
        </w:r>
        <w:r>
          <w:rPr>
            <w:noProof/>
            <w:webHidden/>
          </w:rPr>
        </w:r>
        <w:r>
          <w:rPr>
            <w:noProof/>
            <w:webHidden/>
          </w:rPr>
          <w:fldChar w:fldCharType="separate"/>
        </w:r>
        <w:r>
          <w:rPr>
            <w:noProof/>
            <w:webHidden/>
          </w:rPr>
          <w:t>6</w:t>
        </w:r>
        <w:r>
          <w:rPr>
            <w:noProof/>
            <w:webHidden/>
          </w:rPr>
          <w:fldChar w:fldCharType="end"/>
        </w:r>
      </w:hyperlink>
    </w:p>
    <w:p w14:paraId="66509E8D" w14:textId="77777777" w:rsidR="00560EF6" w:rsidRDefault="00000000">
      <w:pPr>
        <w:pStyle w:val="TOC1"/>
        <w:tabs>
          <w:tab w:val="right" w:leader="dot" w:pos="9016"/>
        </w:tabs>
        <w:rPr>
          <w:rFonts w:eastAsia="SimSun"/>
          <w:noProof/>
        </w:rPr>
      </w:pPr>
      <w:hyperlink w:anchor="_Toc193978104" w:history="1">
        <w:r>
          <w:rPr>
            <w:rStyle w:val="Hyperlink"/>
            <w:rFonts w:ascii="Arial" w:eastAsia="Times New Roman" w:hAnsi="Arial" w:cs="Arial"/>
            <w:noProof/>
          </w:rPr>
          <w:t>Pioneer Companies' PLC Strategies</w:t>
        </w:r>
        <w:r>
          <w:rPr>
            <w:noProof/>
            <w:webHidden/>
          </w:rPr>
          <w:tab/>
        </w:r>
        <w:r>
          <w:rPr>
            <w:noProof/>
            <w:webHidden/>
          </w:rPr>
          <w:fldChar w:fldCharType="begin"/>
        </w:r>
        <w:r>
          <w:rPr>
            <w:noProof/>
            <w:webHidden/>
          </w:rPr>
          <w:instrText xml:space="preserve"> PAGEREF _Toc193978104 \h </w:instrText>
        </w:r>
        <w:r>
          <w:rPr>
            <w:noProof/>
            <w:webHidden/>
          </w:rPr>
        </w:r>
        <w:r>
          <w:rPr>
            <w:noProof/>
            <w:webHidden/>
          </w:rPr>
          <w:fldChar w:fldCharType="separate"/>
        </w:r>
        <w:r>
          <w:rPr>
            <w:noProof/>
            <w:webHidden/>
          </w:rPr>
          <w:t>9</w:t>
        </w:r>
        <w:r>
          <w:rPr>
            <w:noProof/>
            <w:webHidden/>
          </w:rPr>
          <w:fldChar w:fldCharType="end"/>
        </w:r>
      </w:hyperlink>
    </w:p>
    <w:p w14:paraId="3DDF864D" w14:textId="77777777" w:rsidR="00560EF6" w:rsidRDefault="00000000">
      <w:pPr>
        <w:pStyle w:val="TOC1"/>
        <w:tabs>
          <w:tab w:val="right" w:leader="dot" w:pos="9016"/>
        </w:tabs>
        <w:rPr>
          <w:rFonts w:eastAsia="SimSun"/>
          <w:noProof/>
        </w:rPr>
      </w:pPr>
      <w:hyperlink w:anchor="_Toc193978105" w:history="1">
        <w:r>
          <w:rPr>
            <w:rStyle w:val="Hyperlink"/>
            <w:rFonts w:ascii="Arial" w:eastAsia="Times New Roman" w:hAnsi="Arial" w:cs="Arial"/>
            <w:noProof/>
          </w:rPr>
          <w:t>Follower Companies' PLC Strategies</w:t>
        </w:r>
        <w:r>
          <w:rPr>
            <w:noProof/>
            <w:webHidden/>
          </w:rPr>
          <w:tab/>
        </w:r>
        <w:r>
          <w:rPr>
            <w:noProof/>
            <w:webHidden/>
          </w:rPr>
          <w:fldChar w:fldCharType="begin"/>
        </w:r>
        <w:r>
          <w:rPr>
            <w:noProof/>
            <w:webHidden/>
          </w:rPr>
          <w:instrText xml:space="preserve"> PAGEREF _Toc193978105 \h </w:instrText>
        </w:r>
        <w:r>
          <w:rPr>
            <w:noProof/>
            <w:webHidden/>
          </w:rPr>
        </w:r>
        <w:r>
          <w:rPr>
            <w:noProof/>
            <w:webHidden/>
          </w:rPr>
          <w:fldChar w:fldCharType="separate"/>
        </w:r>
        <w:r>
          <w:rPr>
            <w:noProof/>
            <w:webHidden/>
          </w:rPr>
          <w:t>10</w:t>
        </w:r>
        <w:r>
          <w:rPr>
            <w:noProof/>
            <w:webHidden/>
          </w:rPr>
          <w:fldChar w:fldCharType="end"/>
        </w:r>
      </w:hyperlink>
    </w:p>
    <w:p w14:paraId="43301436" w14:textId="77777777" w:rsidR="00560EF6" w:rsidRDefault="00000000">
      <w:pPr>
        <w:pStyle w:val="TOC1"/>
        <w:tabs>
          <w:tab w:val="right" w:leader="dot" w:pos="9016"/>
        </w:tabs>
        <w:rPr>
          <w:rFonts w:eastAsia="SimSun"/>
          <w:noProof/>
        </w:rPr>
      </w:pPr>
      <w:hyperlink w:anchor="_Toc193978106" w:history="1">
        <w:r>
          <w:rPr>
            <w:rStyle w:val="Hyperlink"/>
            <w:rFonts w:ascii="Arial" w:eastAsia="Times New Roman" w:hAnsi="Arial" w:cs="Arial"/>
            <w:noProof/>
          </w:rPr>
          <w:t>Conclusion</w:t>
        </w:r>
        <w:r>
          <w:rPr>
            <w:noProof/>
            <w:webHidden/>
          </w:rPr>
          <w:tab/>
        </w:r>
        <w:r>
          <w:rPr>
            <w:noProof/>
            <w:webHidden/>
          </w:rPr>
          <w:fldChar w:fldCharType="begin"/>
        </w:r>
        <w:r>
          <w:rPr>
            <w:noProof/>
            <w:webHidden/>
          </w:rPr>
          <w:instrText xml:space="preserve"> PAGEREF _Toc193978106 \h </w:instrText>
        </w:r>
        <w:r>
          <w:rPr>
            <w:noProof/>
            <w:webHidden/>
          </w:rPr>
        </w:r>
        <w:r>
          <w:rPr>
            <w:noProof/>
            <w:webHidden/>
          </w:rPr>
          <w:fldChar w:fldCharType="separate"/>
        </w:r>
        <w:r>
          <w:rPr>
            <w:noProof/>
            <w:webHidden/>
          </w:rPr>
          <w:t>12</w:t>
        </w:r>
        <w:r>
          <w:rPr>
            <w:noProof/>
            <w:webHidden/>
          </w:rPr>
          <w:fldChar w:fldCharType="end"/>
        </w:r>
      </w:hyperlink>
    </w:p>
    <w:p w14:paraId="26842619" w14:textId="77777777" w:rsidR="00560EF6" w:rsidRDefault="00000000">
      <w:pPr>
        <w:pStyle w:val="TOC1"/>
        <w:tabs>
          <w:tab w:val="right" w:leader="dot" w:pos="9016"/>
        </w:tabs>
        <w:rPr>
          <w:rFonts w:eastAsia="SimSun"/>
          <w:noProof/>
        </w:rPr>
      </w:pPr>
      <w:hyperlink w:anchor="_Toc193978107" w:history="1">
        <w:r>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_Toc193978107 \h </w:instrText>
        </w:r>
        <w:r>
          <w:rPr>
            <w:noProof/>
            <w:webHidden/>
          </w:rPr>
        </w:r>
        <w:r>
          <w:rPr>
            <w:noProof/>
            <w:webHidden/>
          </w:rPr>
          <w:fldChar w:fldCharType="separate"/>
        </w:r>
        <w:r>
          <w:rPr>
            <w:noProof/>
            <w:webHidden/>
          </w:rPr>
          <w:t>13</w:t>
        </w:r>
        <w:r>
          <w:rPr>
            <w:noProof/>
            <w:webHidden/>
          </w:rPr>
          <w:fldChar w:fldCharType="end"/>
        </w:r>
      </w:hyperlink>
    </w:p>
    <w:p w14:paraId="36B655B0" w14:textId="77777777" w:rsidR="00560EF6" w:rsidRDefault="00000000">
      <w:pPr>
        <w:rPr>
          <w:rFonts w:ascii="Arial" w:hAnsi="Arial" w:cs="Arial"/>
          <w:sz w:val="24"/>
          <w:szCs w:val="24"/>
        </w:rPr>
      </w:pPr>
      <w:r>
        <w:rPr>
          <w:rFonts w:ascii="Arial" w:hAnsi="Arial" w:cs="Arial"/>
          <w:b/>
          <w:bCs/>
          <w:noProof/>
          <w:sz w:val="24"/>
          <w:szCs w:val="24"/>
        </w:rPr>
        <w:fldChar w:fldCharType="end"/>
      </w:r>
    </w:p>
    <w:p w14:paraId="0C021B28" w14:textId="77777777" w:rsidR="00560EF6" w:rsidRDefault="00560EF6">
      <w:pPr>
        <w:spacing w:line="480" w:lineRule="auto"/>
        <w:jc w:val="center"/>
        <w:rPr>
          <w:rFonts w:ascii="Arial" w:eastAsia="Times New Roman" w:hAnsi="Arial" w:cs="Arial"/>
          <w:sz w:val="24"/>
          <w:szCs w:val="24"/>
        </w:rPr>
      </w:pPr>
    </w:p>
    <w:p w14:paraId="47D87551" w14:textId="77777777" w:rsidR="00560EF6" w:rsidRDefault="00560EF6">
      <w:pPr>
        <w:spacing w:line="480" w:lineRule="auto"/>
        <w:jc w:val="center"/>
        <w:rPr>
          <w:rFonts w:ascii="Arial" w:eastAsia="Times New Roman" w:hAnsi="Arial" w:cs="Arial"/>
          <w:sz w:val="24"/>
          <w:szCs w:val="24"/>
        </w:rPr>
      </w:pPr>
    </w:p>
    <w:p w14:paraId="56198F92" w14:textId="77777777" w:rsidR="00560EF6" w:rsidRDefault="00560EF6">
      <w:pPr>
        <w:spacing w:line="480" w:lineRule="auto"/>
        <w:jc w:val="center"/>
        <w:rPr>
          <w:rFonts w:ascii="Arial" w:eastAsia="Times New Roman" w:hAnsi="Arial" w:cs="Arial"/>
          <w:sz w:val="24"/>
          <w:szCs w:val="24"/>
        </w:rPr>
      </w:pPr>
    </w:p>
    <w:p w14:paraId="2DA5CA81" w14:textId="77777777" w:rsidR="00560EF6" w:rsidRDefault="00560EF6">
      <w:pPr>
        <w:spacing w:line="480" w:lineRule="auto"/>
        <w:jc w:val="center"/>
        <w:rPr>
          <w:rFonts w:ascii="Arial" w:eastAsia="Times New Roman" w:hAnsi="Arial" w:cs="Arial"/>
          <w:sz w:val="24"/>
          <w:szCs w:val="24"/>
        </w:rPr>
      </w:pPr>
    </w:p>
    <w:p w14:paraId="4C567102" w14:textId="77777777" w:rsidR="00560EF6" w:rsidRDefault="00560EF6">
      <w:pPr>
        <w:spacing w:line="480" w:lineRule="auto"/>
        <w:jc w:val="center"/>
        <w:rPr>
          <w:rFonts w:ascii="Arial" w:eastAsia="Times New Roman" w:hAnsi="Arial" w:cs="Arial"/>
          <w:sz w:val="24"/>
          <w:szCs w:val="24"/>
        </w:rPr>
      </w:pPr>
    </w:p>
    <w:p w14:paraId="2B3A31C5" w14:textId="77777777" w:rsidR="00560EF6" w:rsidRDefault="00560EF6">
      <w:pPr>
        <w:spacing w:line="480" w:lineRule="auto"/>
        <w:jc w:val="center"/>
        <w:rPr>
          <w:rFonts w:ascii="Arial" w:eastAsia="Times New Roman" w:hAnsi="Arial" w:cs="Arial"/>
          <w:sz w:val="24"/>
          <w:szCs w:val="24"/>
        </w:rPr>
      </w:pPr>
    </w:p>
    <w:p w14:paraId="72941673" w14:textId="77777777" w:rsidR="00560EF6" w:rsidRDefault="00560EF6">
      <w:pPr>
        <w:spacing w:line="480" w:lineRule="auto"/>
        <w:jc w:val="center"/>
        <w:rPr>
          <w:rFonts w:ascii="Arial" w:eastAsia="Times New Roman" w:hAnsi="Arial" w:cs="Arial"/>
          <w:sz w:val="24"/>
          <w:szCs w:val="24"/>
        </w:rPr>
      </w:pPr>
    </w:p>
    <w:p w14:paraId="362E2959" w14:textId="77777777" w:rsidR="00560EF6" w:rsidRDefault="00560EF6">
      <w:pPr>
        <w:spacing w:line="480" w:lineRule="auto"/>
        <w:jc w:val="center"/>
        <w:rPr>
          <w:rFonts w:ascii="Arial" w:eastAsia="Times New Roman" w:hAnsi="Arial" w:cs="Arial"/>
          <w:sz w:val="24"/>
          <w:szCs w:val="24"/>
        </w:rPr>
      </w:pPr>
    </w:p>
    <w:p w14:paraId="23F500A5" w14:textId="77777777" w:rsidR="00560EF6" w:rsidRDefault="00560EF6">
      <w:pPr>
        <w:spacing w:line="480" w:lineRule="auto"/>
        <w:jc w:val="center"/>
        <w:rPr>
          <w:rFonts w:ascii="Arial" w:eastAsia="Times New Roman" w:hAnsi="Arial" w:cs="Arial"/>
          <w:sz w:val="24"/>
          <w:szCs w:val="24"/>
        </w:rPr>
      </w:pPr>
    </w:p>
    <w:p w14:paraId="09266E18" w14:textId="77777777" w:rsidR="00560EF6" w:rsidRDefault="00560EF6">
      <w:pPr>
        <w:spacing w:line="480" w:lineRule="auto"/>
        <w:jc w:val="center"/>
        <w:rPr>
          <w:rFonts w:ascii="Arial" w:eastAsia="Times New Roman" w:hAnsi="Arial" w:cs="Arial"/>
          <w:sz w:val="24"/>
          <w:szCs w:val="24"/>
        </w:rPr>
      </w:pPr>
    </w:p>
    <w:p w14:paraId="225A5262" w14:textId="77777777" w:rsidR="00560EF6" w:rsidRDefault="00560EF6">
      <w:pPr>
        <w:spacing w:line="480" w:lineRule="auto"/>
        <w:jc w:val="center"/>
        <w:rPr>
          <w:rFonts w:ascii="Arial" w:eastAsia="Times New Roman" w:hAnsi="Arial" w:cs="Arial"/>
          <w:sz w:val="24"/>
          <w:szCs w:val="24"/>
        </w:rPr>
      </w:pPr>
    </w:p>
    <w:p w14:paraId="7E172DE6" w14:textId="77777777" w:rsidR="00560EF6" w:rsidRDefault="00560EF6">
      <w:pPr>
        <w:spacing w:line="480" w:lineRule="auto"/>
        <w:jc w:val="center"/>
        <w:rPr>
          <w:rFonts w:ascii="Arial" w:eastAsia="Times New Roman" w:hAnsi="Arial" w:cs="Arial"/>
          <w:sz w:val="24"/>
          <w:szCs w:val="24"/>
        </w:rPr>
      </w:pPr>
    </w:p>
    <w:p w14:paraId="5A48C883" w14:textId="77777777" w:rsidR="00560EF6" w:rsidRDefault="00560EF6">
      <w:pPr>
        <w:spacing w:line="480" w:lineRule="auto"/>
        <w:jc w:val="center"/>
        <w:rPr>
          <w:rFonts w:ascii="Arial" w:eastAsia="Times New Roman" w:hAnsi="Arial" w:cs="Arial"/>
          <w:sz w:val="24"/>
          <w:szCs w:val="24"/>
        </w:rPr>
      </w:pPr>
    </w:p>
    <w:p w14:paraId="35414273" w14:textId="77777777" w:rsidR="00560EF6" w:rsidRDefault="00560EF6">
      <w:pPr>
        <w:spacing w:line="480" w:lineRule="auto"/>
        <w:jc w:val="center"/>
        <w:rPr>
          <w:rFonts w:ascii="Arial" w:eastAsia="Times New Roman" w:hAnsi="Arial" w:cs="Arial"/>
          <w:sz w:val="24"/>
          <w:szCs w:val="24"/>
        </w:rPr>
      </w:pPr>
    </w:p>
    <w:p w14:paraId="239F0F18" w14:textId="77777777" w:rsidR="00560EF6" w:rsidRDefault="00560EF6">
      <w:pPr>
        <w:spacing w:line="480" w:lineRule="auto"/>
        <w:jc w:val="center"/>
        <w:rPr>
          <w:rFonts w:ascii="Arial" w:eastAsia="Times New Roman" w:hAnsi="Arial" w:cs="Arial"/>
          <w:sz w:val="24"/>
          <w:szCs w:val="24"/>
        </w:rPr>
      </w:pPr>
    </w:p>
    <w:p w14:paraId="2812D2FA" w14:textId="77777777" w:rsidR="00560EF6" w:rsidRDefault="00000000">
      <w:pPr>
        <w:spacing w:line="480" w:lineRule="auto"/>
        <w:jc w:val="center"/>
        <w:rPr>
          <w:rFonts w:ascii="Arial" w:hAnsi="Arial" w:cs="Arial"/>
          <w:sz w:val="24"/>
          <w:szCs w:val="24"/>
        </w:rPr>
      </w:pPr>
      <w:r>
        <w:rPr>
          <w:rFonts w:ascii="Arial" w:eastAsia="Times New Roman" w:hAnsi="Arial" w:cs="Arial"/>
          <w:sz w:val="24"/>
          <w:szCs w:val="24"/>
        </w:rPr>
        <w:lastRenderedPageBreak/>
        <w:t>Advantages Of Being a Pioneer and Follower Company</w:t>
      </w:r>
    </w:p>
    <w:p w14:paraId="753490B1" w14:textId="77777777" w:rsidR="00560EF6" w:rsidRDefault="00000000">
      <w:pPr>
        <w:pStyle w:val="Heading1"/>
        <w:rPr>
          <w:rFonts w:ascii="Arial" w:hAnsi="Arial" w:cs="Arial"/>
          <w:sz w:val="24"/>
          <w:szCs w:val="24"/>
        </w:rPr>
      </w:pPr>
      <w:bookmarkStart w:id="0" w:name="_Toc193978101"/>
      <w:r>
        <w:rPr>
          <w:rFonts w:ascii="Arial" w:eastAsia="Times New Roman" w:hAnsi="Arial" w:cs="Arial"/>
          <w:sz w:val="24"/>
          <w:szCs w:val="24"/>
        </w:rPr>
        <w:t>Introduction</w:t>
      </w:r>
      <w:bookmarkEnd w:id="0"/>
    </w:p>
    <w:p w14:paraId="7C9FC843"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t>Whether to be a pioneer or a follower is a significant issue for organizations that introduce new goods or services or enter new markets. The pioneers, or first entry, try to attain a competitive advantage by introducing the first products into the market, while followers, or second entry, capitalize on the advantages offered by the pioneers and minimize risks. This decision is strategic as it determines a company's positioning strategy, resource utilization, and growth in the long run. The timing of the strategy, the markets in which the strategy is to be implemented, and the capabilities of the internal organization also influence the strategy. This paper looks at the opportunities associated with being a pioneer or follower in the market while also analyzing their product life cycle methods.</w:t>
      </w:r>
    </w:p>
    <w:p w14:paraId="18D2BD2F"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t>A pioneer company establishes a new product, service or technology in the market for the first time. These companies accept the challenge and uncertainty of the new environment by investing large sums in research and development (R&amp;D) and promotion (Barbieri and Santos, 2020). They build brand associations, consumer attachment and lock-in, and establish the benchmarks to gain market dominance before competitors arrive. For instance, Tesla established itself in the market for electric vehicles and solidified new standards of environmentally friendly transportation to push traditional car manufacturers out of their comfort zones (Chen et al., 2021). Companies that operate in these sectors have the advantage of being able to pioneer, meaning they are well-established brands that, by and large, already benefit from customer awareness but have to bear with the costs of educating the market, always being the one that highlights the value of the innovation to the market.</w:t>
      </w:r>
    </w:p>
    <w:p w14:paraId="67B07DE0"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lastRenderedPageBreak/>
        <w:t>On the other hand, a follower enters a market after the pioneers have already initiated the market. They see the trailblazers' achievements and drawbacks, enabling them to hone their products, minimize losses, and focus on untapped opportunities (Cirik and Makadok, 2023). As an illustration, Samsung joined the smartphone market after Apple, focusing on producing a vast number of different devices that meet the needs of different customers in terms of hardware and cost. Such companies gain low cost of implementation, high awareness of future product requirements from consumers, and mistakes made by pioneers (Dreiling and Bican, 2022). However, they often need to distinguish themselves from others and compete with pioneers and the other followers.</w:t>
      </w:r>
    </w:p>
    <w:p w14:paraId="78D9F75A" w14:textId="77777777" w:rsidR="00560EF6" w:rsidRDefault="00000000">
      <w:pPr>
        <w:pStyle w:val="Heading1"/>
        <w:rPr>
          <w:rFonts w:ascii="Arial" w:eastAsia="Times New Roman" w:hAnsi="Arial" w:cs="Arial"/>
          <w:sz w:val="24"/>
          <w:szCs w:val="24"/>
        </w:rPr>
      </w:pPr>
      <w:bookmarkStart w:id="1" w:name="_Toc193978102"/>
      <w:r>
        <w:rPr>
          <w:rFonts w:ascii="Arial" w:eastAsia="Times New Roman" w:hAnsi="Arial" w:cs="Arial"/>
          <w:sz w:val="24"/>
          <w:szCs w:val="24"/>
        </w:rPr>
        <w:t>Pros of being a Pioneer Company</w:t>
      </w:r>
      <w:bookmarkEnd w:id="1"/>
    </w:p>
    <w:p w14:paraId="5CF336FF"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t>The first pro is the first-mover advantage, which impacts a firm's revenue streams and market position before competitors enter the market. This is because the brand image of a pioneer tends to be the image of the product or service that is nailed for good in the minds of the consumers (Giachetti and Pira, 2022). For instance, the Coca-Cola Company has continued to lead the soft drink industry for over a century due to early market entry and unrelenting brand management. Market pioneers gain a competitive advantage because very few competitors enter the market initially, and therefore, few build a customer base that can be quickly challenged (Gómez, Perez-Aradros, and Salazar, 2022). This early brand equity is another competitive advantage which new entrants cannot offset when they decide to compete.</w:t>
      </w:r>
    </w:p>
    <w:p w14:paraId="7991C5DA"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t xml:space="preserve">Further, first-movers gain a technological competitive advantage by setting standards and acquiring patents that safeguard their inventions. Through this kind of leadership, they can dictate the market's flow and thus limit competition from other </w:t>
      </w:r>
      <w:r>
        <w:rPr>
          <w:rFonts w:ascii="Arial" w:eastAsia="Times New Roman" w:hAnsi="Arial" w:cs="Arial"/>
          <w:sz w:val="24"/>
          <w:szCs w:val="24"/>
        </w:rPr>
        <w:lastRenderedPageBreak/>
        <w:t>players (Markard, 2020). For instance, Apple has remained a market leader in smartphone production through innovations like the trending App Store and Face ID. Thus, pioneers can control their innovations through patents, excluding competitors and holding market domination (Pantano, Pedeliento, and Christodoulides, 2022). It also contributes significantly to their image and gives them a strong base they can build regarding technology.</w:t>
      </w:r>
    </w:p>
    <w:p w14:paraId="686027A4"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t>Moreover, one can acquire important resources before competitors invade the market. This entails the selection of the right locations, vendors, and performers (Piila et al., 2022). For instance, Amazon built up a broad initial presence in e-commerce to build out a vast distribution network and logistics well ahead of many competitors. By committing these resources early, the pioneers can achieve economies of scale and grow faster than late entrants (Rusch, Schöggl, and Baumgartner, 2023). The same applies to partnerships and supplier relations, whose control is important for consolidating market dominance.</w:t>
      </w:r>
    </w:p>
    <w:p w14:paraId="4BDDAAB3"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t>Also, generally, pioneers can have more significant profit margins because there are no competitors with similar products in the market at this stage. Newly established companies with a new product or service can afford to set prices at a premium since there are no similar competitors (Schaltegger, Loorbach, and Hörisch, 2023). For instance, Dyson used its unique technology in vacuum cleaners to charge higher prices for home appliances. Although competition inevitably appears, the high raw margins enable pioneers to generate the necessary funds to introduce new, extended, protective elements to their business (Wambsganss et al., 2023). This favourable position can allow a firm to weather different changes within the market space.</w:t>
      </w:r>
    </w:p>
    <w:p w14:paraId="11EA72FE"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lastRenderedPageBreak/>
        <w:t>Additionally, the pioneers can invest in barriers to entry or switching costs, which make it hard for customers to switch to competitors. This is well illustrated by observing technology industries such as Apple, which has developed a closed loop of related devices, software, and services (Barbieri and Santos, 2020). Apple makes its products sticky for consumers once they decide to embrace it in their daily usage, for instance, iPhones, MacBooks, and watches, whereby the system offers the greatest conveniences that make the consumer stick with Apple companies. They also help limit competition since customers will not easily switch to another system they have not invested in (Chen et al., 2021). Making such ecosystems allows pioneers to guarantee they will stick around for the long haul to enjoy multiple revenue streams.</w:t>
      </w:r>
    </w:p>
    <w:p w14:paraId="6A4A2535" w14:textId="77777777" w:rsidR="00560EF6" w:rsidRDefault="00000000">
      <w:pPr>
        <w:pStyle w:val="Heading1"/>
        <w:rPr>
          <w:rFonts w:ascii="Arial" w:eastAsia="Times New Roman" w:hAnsi="Arial" w:cs="Arial"/>
          <w:sz w:val="24"/>
          <w:szCs w:val="24"/>
        </w:rPr>
      </w:pPr>
      <w:bookmarkStart w:id="2" w:name="_Toc193978103"/>
      <w:r>
        <w:rPr>
          <w:rFonts w:ascii="Arial" w:eastAsia="Times New Roman" w:hAnsi="Arial" w:cs="Arial"/>
          <w:sz w:val="24"/>
          <w:szCs w:val="24"/>
        </w:rPr>
        <w:t>Benefits of Being a Follower Company</w:t>
      </w:r>
      <w:bookmarkEnd w:id="2"/>
    </w:p>
    <w:p w14:paraId="39823F2A"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t xml:space="preserve">An important benefit is that opportunities signify lower risks and costs because individuals can see the strengths and weaknesses of the early entries. They also benefit from reduced need to invest much money in research and development, which pioneers must do to develop the product and bring it to market (Cirik and Makadok, 2023). For instance, after Apple developed the revolutionary iPhone, Samsung ventured into the smartphone business. Samsung was also able to follow the innovations of Apple and customer response in the shape of larger screens and customizable features without having to invest in the initial research and development costs (Dreiling and Bican, 2022). This enables the followers to direct resources where they are most beneficial— on enhancing the technology they already possess rather than researching new technologies they need. </w:t>
      </w:r>
    </w:p>
    <w:p w14:paraId="54BE1116"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t xml:space="preserve">Additionally, followers can reap the rewards of market recognition, as pioneers assume the trial and error of market testing consumers' demand and </w:t>
      </w:r>
      <w:r>
        <w:rPr>
          <w:rFonts w:ascii="Arial" w:eastAsia="Times New Roman" w:hAnsi="Arial" w:cs="Arial"/>
          <w:sz w:val="24"/>
          <w:szCs w:val="24"/>
        </w:rPr>
        <w:lastRenderedPageBreak/>
        <w:t xml:space="preserve">receptiveness to specific commodities. Getting into the market after pioneers have discovered its potential means that followers' risk is mitigated as they can now work on making improvements and presenting products (Giachetti and Pira, 2022). For example, Facebook came to the scene after MySpace had set the tone in the social media platform sector. To that end, rapidly learning from MySpace's mistakes, Facebook could quickly build itself to be more user-friendly and expandable, essentially passing up MySpace in the process, which is an approach that assists the followers in entering markets armed with the consumers' needs and challenges (Gómez, Perez-Aradros, and Salazar, 2022). Hence, this makes their strategies more effective. </w:t>
      </w:r>
    </w:p>
    <w:p w14:paraId="1AA2693D"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t>Furthermore, followers are more flexible when reacting to industry changes and customer expectations. When pioneers stick with their chosen innovations, followers can easily switch gears (Markard, 2020). For instance, Google threatened to challenge Yahoo only after the latter had created a niche for itself in the market, but however, being able to perfect its algorithms and adjust its aims towards giving the users the best experience, Google outcompeted Yahoo both in utility and demand. Followers can also 'flip' more quickly if a product or strategy is unsuccessful since they do not have to commit to a particular path (Pantano, Pedeliento, and Christodoulides, 2022). This helps followers remain relevant in constantly changing markets because the tastes of consumers and available technologies are constantly changing.</w:t>
      </w:r>
    </w:p>
    <w:p w14:paraId="63AC0061"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t xml:space="preserve">By following such pioneers, followers can grow and learn from their mistakes and triumphs and create better products to combat flaws in previous products. For example, Microsoft intruded into the operating systems after other firms had already produced primitive GUIs (Piila et al., 2022). Thus, observing the shortcomings of </w:t>
      </w:r>
      <w:r>
        <w:rPr>
          <w:rFonts w:ascii="Arial" w:eastAsia="Times New Roman" w:hAnsi="Arial" w:cs="Arial"/>
          <w:sz w:val="24"/>
          <w:szCs w:val="24"/>
        </w:rPr>
        <w:lastRenderedPageBreak/>
        <w:t xml:space="preserve">such systems, Microsoft improved its Windows OS, making it stable and offering functionalities that became the standard in the industry. Likewise, Dell built upon the first generation of personal computers developed by IBM and many others and sought to provide more affordable computers that could be customized and sold to the general public </w:t>
      </w:r>
      <w:bookmarkStart w:id="3" w:name="_Hlk192922324"/>
      <w:r>
        <w:rPr>
          <w:rFonts w:ascii="Arial" w:eastAsia="Times New Roman" w:hAnsi="Arial" w:cs="Arial"/>
          <w:sz w:val="24"/>
          <w:szCs w:val="24"/>
        </w:rPr>
        <w:t>(Rusch, Schöggl, and Baumgartner, 2023)</w:t>
      </w:r>
      <w:bookmarkEnd w:id="3"/>
      <w:r>
        <w:rPr>
          <w:rFonts w:ascii="Arial" w:eastAsia="Times New Roman" w:hAnsi="Arial" w:cs="Arial"/>
          <w:sz w:val="24"/>
          <w:szCs w:val="24"/>
        </w:rPr>
        <w:t>. This ability to apply both technology and understanding the customers' pain points makes the followers offer better quality goods, sometimes cheaper than their competitors, putting them in a vantage position.</w:t>
      </w:r>
    </w:p>
    <w:p w14:paraId="5897846B"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t>Followers also benefit from higher prices by entering the market after the pioneers set it at premium levels. When the value proposition of a new product reaches maturity, followers can be cheaper in line with consumers' price sensitivity (Schaltegger, Loorbach, and Hörisch, 2023). For instance, Xiaomi produced smartphones when Apple and Samsung had established high price thresholds for premium phones. Xiaomi gained a significant market share by selling its smartphones at a relatively low price while maintaining quality standards, especially in emerging markets (Wambsganss et al., 2023). In the same way, pricing can also become a way to establish a competitive advantage, enabling followers to market their products competitively without cutting prices incessantly, ensuring that they are not rendered unprofitable.</w:t>
      </w:r>
    </w:p>
    <w:p w14:paraId="47BFEE63" w14:textId="77777777" w:rsidR="00560EF6" w:rsidRDefault="00000000">
      <w:pPr>
        <w:spacing w:line="480" w:lineRule="auto"/>
        <w:jc w:val="center"/>
        <w:rPr>
          <w:rFonts w:ascii="Arial" w:eastAsia="Times New Roman" w:hAnsi="Arial" w:cs="Arial"/>
          <w:sz w:val="24"/>
          <w:szCs w:val="24"/>
        </w:rPr>
      </w:pPr>
      <w:r>
        <w:rPr>
          <w:rFonts w:ascii="Arial" w:eastAsia="Times New Roman" w:hAnsi="Arial" w:cs="Arial"/>
          <w:sz w:val="24"/>
          <w:szCs w:val="24"/>
        </w:rPr>
        <w:t>Product Life Cycle Strategies for Pioneer and Follower Companies</w:t>
      </w:r>
    </w:p>
    <w:p w14:paraId="29292CEC"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t xml:space="preserve">The Product Life Cycle (PLC) stages are Introduction, Growth, Maturity and Decline. Different behaviours are considered appropriate for pioneers and followers at each stage (Barbieri and Santos, 2020). Pioneers invest in innovation and market development during the establishment phase, while followers join during the growth </w:t>
      </w:r>
      <w:r>
        <w:rPr>
          <w:rFonts w:ascii="Arial" w:eastAsia="Times New Roman" w:hAnsi="Arial" w:cs="Arial"/>
          <w:sz w:val="24"/>
          <w:szCs w:val="24"/>
        </w:rPr>
        <w:lastRenderedPageBreak/>
        <w:t>or maturity phase, employing improved technology and competitively priced products. In maturity, pioneers may protect their market share through brand loyalty; followers, on the other hand, focus on product cost (Chen et al., 2021). Both may innovate or exit the market in decline, but followers are known to pivot faster than leaders, and generally, understanding PLC as an organization growth concept enables managers to design strategies that will most effectively achieve the intended goals and objectives.</w:t>
      </w:r>
    </w:p>
    <w:p w14:paraId="2BAD3539" w14:textId="77777777" w:rsidR="00560EF6" w:rsidRDefault="00000000">
      <w:pPr>
        <w:pStyle w:val="Heading1"/>
        <w:rPr>
          <w:rFonts w:ascii="Arial" w:eastAsia="Times New Roman" w:hAnsi="Arial" w:cs="Arial"/>
          <w:sz w:val="24"/>
          <w:szCs w:val="24"/>
        </w:rPr>
      </w:pPr>
      <w:bookmarkStart w:id="4" w:name="_Toc193978104"/>
      <w:r>
        <w:rPr>
          <w:rFonts w:ascii="Arial" w:eastAsia="Times New Roman" w:hAnsi="Arial" w:cs="Arial"/>
          <w:sz w:val="24"/>
          <w:szCs w:val="24"/>
        </w:rPr>
        <w:t>Pioneer Companies' PLC Strategies</w:t>
      </w:r>
      <w:bookmarkEnd w:id="4"/>
    </w:p>
    <w:p w14:paraId="2EDF9D3B"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t>In the introduction, the pioneers invested much money in R&amp;D and advertising to develop demand for new products. For instance, Tesla promoted and developed electric vehicle (EV) technology and market awareness early in the EV market (Cirik and Makadok, 2023). First movers often employ a skimming pricing strategy for the product, setting high prices to recover high costs. Apple used this strategy with the iPhone, setting a high price to appeal to early adopters and build the brand image of innovation (Dreiling and Bican, 2022). These are important for pioneers to create adoption and prepare the ground for future improvements.</w:t>
      </w:r>
    </w:p>
    <w:p w14:paraId="539FABE3"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t xml:space="preserve">During Growth, pioneers strategize to take advantage of the growing market through vertical integration and market expansion. For example, Amazon started as an online book store and gradually became a platform for virtually every type of product and service (Giachetti and Pira, 2022). Pioneers also pay much attention to brand loyalty, which is achieved through integrating unique features in the market. Netflix, for instance, heavily invested in new content to maintain the existing clientele base and get new ones, thus establishing itself in the streaming niche (Gómez, Perez-Aradros, and Salazar, 2022). These strategies make it easier for </w:t>
      </w:r>
      <w:r>
        <w:rPr>
          <w:rFonts w:ascii="Arial" w:eastAsia="Times New Roman" w:hAnsi="Arial" w:cs="Arial"/>
          <w:sz w:val="24"/>
          <w:szCs w:val="24"/>
        </w:rPr>
        <w:lastRenderedPageBreak/>
        <w:t>pioneers to sustain their competitive advantage when the market evolves and competition increases.</w:t>
      </w:r>
    </w:p>
    <w:p w14:paraId="2F91F9EF"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t>In Maturity, pioneers employ cost repercussions strategies to cut costs by adopting economies of scale and efficiency gains. Pioneers also focus on growth through diversification and market development, taking advantage of the opportunities to enter new markets, a good example being Coca-Cola, which has branched out to different regions by modifying its products to fit the different markets (Markard, 2020). Such intensifications enable pioneers to achieve optimal profitability and prolong the key product lifespan when other participants enter the market.</w:t>
      </w:r>
    </w:p>
    <w:p w14:paraId="0E2E10D5"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t>During the Decline, pioneers face the challenge of adapting or starting a new product line. Apple overcame this stage by moving from iPods to iPhones, using knowledge of consumer electronics to enter the smart phone market, and likewise, IBM let go of its hardware division and sought to reinvent itself as an artificial intelligence and cloud computing giant (Pantano, Pedeliento, and Christodoulides, 2022). They can thus adapt and renew themselves and remain dominant while their products become less popular overtime due to changing trends and innovation.</w:t>
      </w:r>
    </w:p>
    <w:p w14:paraId="1848680A" w14:textId="77777777" w:rsidR="00560EF6" w:rsidRDefault="00000000">
      <w:pPr>
        <w:pStyle w:val="Heading1"/>
        <w:rPr>
          <w:rFonts w:ascii="Arial" w:eastAsia="Times New Roman" w:hAnsi="Arial" w:cs="Arial"/>
          <w:sz w:val="24"/>
          <w:szCs w:val="24"/>
        </w:rPr>
      </w:pPr>
      <w:bookmarkStart w:id="5" w:name="_Toc193978105"/>
      <w:r>
        <w:rPr>
          <w:rFonts w:ascii="Arial" w:eastAsia="Times New Roman" w:hAnsi="Arial" w:cs="Arial"/>
          <w:sz w:val="24"/>
          <w:szCs w:val="24"/>
        </w:rPr>
        <w:t>Follower Companies' PLC Strategies</w:t>
      </w:r>
      <w:bookmarkEnd w:id="5"/>
    </w:p>
    <w:p w14:paraId="2CCC0500"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t>During the introduction, followers tended to use the market penetration pricing strategy to outcompete pioneers in the market, hence attracting price-sensitive customers. For instance, Xiaomi initially offered cheap smartphones with enhanced features targeting customers who may have formerly used industry pioneers such as Apple (Piila et al., 2022). They also learn from the mistakes pioneers made earlier, thus improving the products or even overall strategies, helping them to mobilize and effectively challenge pioneers in the market quickly.</w:t>
      </w:r>
    </w:p>
    <w:p w14:paraId="29E8A1C6"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lastRenderedPageBreak/>
        <w:t>The Growth stage is characterized by followers attempting to expand quickly on the foundation and research done by pioneers. For instance, after recognizing the iPhone's success, Samsung quickly rushed to popularize its Galaxy line of smartphones, leveraging existing manufacturing muscles to expand the product (Rusch, Schöggl, and Baumgartner, 2023). They also add value to features made by pioneers to capture customers who may be unhappy with superior services, hence utilizing the market opportunities and increasing their market size while benefiting from lower expenses incurred in research and development.</w:t>
      </w:r>
    </w:p>
    <w:p w14:paraId="5C92FB6D"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t>Unlike the earlier stages, the Maturity Stage determents broad followers based on cost advantage and customization to carve a niche in a saturated market. For example, OnePlus sells smartphones with features often associated with luxurious brands but at mid-market prices, catering to people who wish to own a high-end device but do not wish to pay a high price (Schaltegger, Loorbach, and Hörisch, 2023). Followers also look for other sources of income to support growth, which helps followers sustain their profitability and market standards as the market evolves and gets more competitive.</w:t>
      </w:r>
    </w:p>
    <w:p w14:paraId="0DC45DEA" w14:textId="77777777" w:rsidR="00560EF6" w:rsidRDefault="00000000">
      <w:pPr>
        <w:spacing w:line="480" w:lineRule="auto"/>
        <w:ind w:firstLine="720"/>
        <w:rPr>
          <w:rFonts w:ascii="Arial" w:eastAsia="Times New Roman" w:hAnsi="Arial" w:cs="Arial"/>
          <w:sz w:val="24"/>
          <w:szCs w:val="24"/>
        </w:rPr>
      </w:pPr>
      <w:r>
        <w:rPr>
          <w:rFonts w:ascii="Arial" w:eastAsia="Times New Roman" w:hAnsi="Arial" w:cs="Arial"/>
          <w:sz w:val="24"/>
          <w:szCs w:val="24"/>
        </w:rPr>
        <w:t>In Decline, shareholders redirect their products to offer niche markets or invest in ancillary industries. For instance, after struggling for several years, Nokia decided to reclaim the market share by targeting cheap smartphones and affordable feature phones to regions that could not afford high-end models (Wambsganss et al., 2023). Thus, rebranding and market diversification allow followers to prolong the product's usage and search for new opportunities while its base markets become less attractive.</w:t>
      </w:r>
    </w:p>
    <w:p w14:paraId="4153A144" w14:textId="77777777" w:rsidR="00560EF6" w:rsidRDefault="00000000">
      <w:pPr>
        <w:pStyle w:val="Heading1"/>
        <w:rPr>
          <w:rFonts w:ascii="Arial" w:eastAsia="Times New Roman" w:hAnsi="Arial" w:cs="Arial"/>
          <w:sz w:val="24"/>
          <w:szCs w:val="24"/>
        </w:rPr>
      </w:pPr>
      <w:bookmarkStart w:id="6" w:name="_Toc193978106"/>
      <w:r>
        <w:rPr>
          <w:rFonts w:ascii="Arial" w:eastAsia="Times New Roman" w:hAnsi="Arial" w:cs="Arial"/>
          <w:sz w:val="24"/>
          <w:szCs w:val="24"/>
        </w:rPr>
        <w:lastRenderedPageBreak/>
        <w:t>Conclusion</w:t>
      </w:r>
      <w:bookmarkEnd w:id="6"/>
    </w:p>
    <w:p w14:paraId="405E7D94" w14:textId="77777777" w:rsidR="00560EF6" w:rsidRDefault="00000000">
      <w:pPr>
        <w:spacing w:line="480" w:lineRule="auto"/>
        <w:ind w:firstLine="720"/>
        <w:rPr>
          <w:rFonts w:ascii="Arial" w:hAnsi="Arial" w:cs="Arial"/>
          <w:sz w:val="24"/>
          <w:szCs w:val="24"/>
        </w:rPr>
      </w:pPr>
      <w:r>
        <w:rPr>
          <w:rFonts w:ascii="Arial" w:eastAsia="Times New Roman" w:hAnsi="Arial" w:cs="Arial"/>
          <w:sz w:val="24"/>
          <w:szCs w:val="24"/>
        </w:rPr>
        <w:t>Overall, being a pioneer or a follower has merits and drawbacks. Pioneers like Apple and Tesla attain market control and brand loyalty while sustaining high costs and risk, whereas followers, including Samsung and Xiaomi, modify and improve established innovations. However, they lag behind in terms of differentiation. It also has implications for product life cycle strategies since the pioneers concentrate on creating the market and innovations. In contrast, followers focus on improving and making the product as cheap as possible. Overall, both strategies are possible, provided the specific industry and manner of operation are considered. This means that competition is no longer a question of getting there first but a race of organizing resources efficiently.</w:t>
      </w:r>
    </w:p>
    <w:p w14:paraId="0404625F" w14:textId="77777777" w:rsidR="00560EF6" w:rsidRDefault="00560EF6">
      <w:pPr>
        <w:spacing w:line="480" w:lineRule="auto"/>
        <w:rPr>
          <w:rFonts w:ascii="Arial" w:hAnsi="Arial" w:cs="Arial"/>
          <w:sz w:val="24"/>
          <w:szCs w:val="24"/>
        </w:rPr>
      </w:pPr>
    </w:p>
    <w:p w14:paraId="373E948E" w14:textId="77777777" w:rsidR="00560EF6" w:rsidRDefault="00000000">
      <w:pPr>
        <w:rPr>
          <w:rFonts w:ascii="Arial" w:hAnsi="Arial" w:cs="Arial"/>
          <w:sz w:val="24"/>
          <w:szCs w:val="24"/>
        </w:rPr>
      </w:pPr>
      <w:r>
        <w:rPr>
          <w:rFonts w:ascii="Arial" w:hAnsi="Arial" w:cs="Arial"/>
          <w:sz w:val="24"/>
          <w:szCs w:val="24"/>
        </w:rPr>
        <w:br w:type="page"/>
      </w:r>
    </w:p>
    <w:p w14:paraId="76D5CE58" w14:textId="77777777" w:rsidR="00560EF6" w:rsidRDefault="00000000">
      <w:pPr>
        <w:pStyle w:val="Heading1"/>
        <w:rPr>
          <w:rFonts w:ascii="Arial" w:hAnsi="Arial" w:cs="Arial"/>
          <w:sz w:val="24"/>
          <w:szCs w:val="24"/>
        </w:rPr>
      </w:pPr>
      <w:bookmarkStart w:id="7" w:name="_Toc193978107"/>
      <w:r>
        <w:rPr>
          <w:rFonts w:ascii="Arial" w:hAnsi="Arial" w:cs="Arial"/>
          <w:sz w:val="24"/>
          <w:szCs w:val="24"/>
        </w:rPr>
        <w:lastRenderedPageBreak/>
        <w:t>Reference List</w:t>
      </w:r>
      <w:bookmarkEnd w:id="7"/>
    </w:p>
    <w:p w14:paraId="035A001B" w14:textId="77777777" w:rsidR="00560EF6" w:rsidRDefault="00000000">
      <w:pPr>
        <w:spacing w:line="480" w:lineRule="auto"/>
        <w:rPr>
          <w:rFonts w:ascii="Arial" w:hAnsi="Arial" w:cs="Arial"/>
          <w:sz w:val="24"/>
          <w:szCs w:val="24"/>
        </w:rPr>
      </w:pPr>
      <w:r>
        <w:rPr>
          <w:rFonts w:ascii="Arial" w:hAnsi="Arial" w:cs="Arial"/>
          <w:sz w:val="24"/>
          <w:szCs w:val="24"/>
        </w:rPr>
        <w:t>Barbieri, R. and Santos, D.F.L., 2020. Sustainable business models and eco-innovation: A life cycle assessment. </w:t>
      </w:r>
      <w:r>
        <w:rPr>
          <w:rFonts w:ascii="Arial" w:hAnsi="Arial" w:cs="Arial"/>
          <w:i/>
          <w:iCs/>
          <w:sz w:val="24"/>
          <w:szCs w:val="24"/>
        </w:rPr>
        <w:t>Journal of Cleaner Production</w:t>
      </w:r>
      <w:r>
        <w:rPr>
          <w:rFonts w:ascii="Arial" w:hAnsi="Arial" w:cs="Arial"/>
          <w:sz w:val="24"/>
          <w:szCs w:val="24"/>
        </w:rPr>
        <w:t>, </w:t>
      </w:r>
      <w:r>
        <w:rPr>
          <w:rFonts w:ascii="Arial" w:hAnsi="Arial" w:cs="Arial"/>
          <w:i/>
          <w:iCs/>
          <w:sz w:val="24"/>
          <w:szCs w:val="24"/>
        </w:rPr>
        <w:t>266</w:t>
      </w:r>
      <w:r>
        <w:rPr>
          <w:rFonts w:ascii="Arial" w:hAnsi="Arial" w:cs="Arial"/>
          <w:sz w:val="24"/>
          <w:szCs w:val="24"/>
        </w:rPr>
        <w:t>, p.121954.</w:t>
      </w:r>
      <w:hyperlink r:id="rId8" w:history="1">
        <w:r>
          <w:rPr>
            <w:rStyle w:val="Hyperlink"/>
            <w:rFonts w:ascii="Arial" w:hAnsi="Arial" w:cs="Arial"/>
            <w:sz w:val="24"/>
            <w:szCs w:val="24"/>
          </w:rPr>
          <w:t>https://doi.org/10.1016/j.jclepro.2020.121954</w:t>
        </w:r>
      </w:hyperlink>
      <w:r>
        <w:rPr>
          <w:rFonts w:ascii="Arial" w:hAnsi="Arial" w:cs="Arial"/>
          <w:sz w:val="24"/>
          <w:szCs w:val="24"/>
        </w:rPr>
        <w:t xml:space="preserve"> </w:t>
      </w:r>
    </w:p>
    <w:p w14:paraId="2EC2C248" w14:textId="77777777" w:rsidR="00560EF6" w:rsidRDefault="00000000">
      <w:pPr>
        <w:spacing w:line="480" w:lineRule="auto"/>
        <w:rPr>
          <w:rFonts w:ascii="Arial" w:hAnsi="Arial" w:cs="Arial"/>
          <w:sz w:val="24"/>
          <w:szCs w:val="24"/>
        </w:rPr>
      </w:pPr>
      <w:r>
        <w:rPr>
          <w:rFonts w:ascii="Arial" w:hAnsi="Arial" w:cs="Arial"/>
          <w:sz w:val="24"/>
          <w:szCs w:val="24"/>
        </w:rPr>
        <w:t>Chen, L., Wang, M., Cui, L. and Li, S., 2021. Experience base, strategy</w:t>
      </w:r>
      <w:r>
        <w:rPr>
          <w:rFonts w:ascii="Cambria Math" w:hAnsi="Cambria Math" w:cs="Cambria Math"/>
          <w:sz w:val="24"/>
          <w:szCs w:val="24"/>
        </w:rPr>
        <w:t>‐</w:t>
      </w:r>
      <w:r>
        <w:rPr>
          <w:rFonts w:ascii="Arial" w:hAnsi="Arial" w:cs="Arial"/>
          <w:sz w:val="24"/>
          <w:szCs w:val="24"/>
        </w:rPr>
        <w:t>by</w:t>
      </w:r>
      <w:r>
        <w:rPr>
          <w:rFonts w:ascii="Cambria Math" w:hAnsi="Cambria Math" w:cs="Cambria Math"/>
          <w:sz w:val="24"/>
          <w:szCs w:val="24"/>
        </w:rPr>
        <w:t>‐</w:t>
      </w:r>
      <w:r>
        <w:rPr>
          <w:rFonts w:ascii="Arial" w:hAnsi="Arial" w:cs="Arial"/>
          <w:sz w:val="24"/>
          <w:szCs w:val="24"/>
        </w:rPr>
        <w:t>doing and new product performance. </w:t>
      </w:r>
      <w:r>
        <w:rPr>
          <w:rFonts w:ascii="Arial" w:hAnsi="Arial" w:cs="Arial"/>
          <w:i/>
          <w:iCs/>
          <w:sz w:val="24"/>
          <w:szCs w:val="24"/>
        </w:rPr>
        <w:t>Strategic Management Journal</w:t>
      </w:r>
      <w:r>
        <w:rPr>
          <w:rFonts w:ascii="Arial" w:hAnsi="Arial" w:cs="Arial"/>
          <w:sz w:val="24"/>
          <w:szCs w:val="24"/>
        </w:rPr>
        <w:t>, </w:t>
      </w:r>
      <w:r>
        <w:rPr>
          <w:rFonts w:ascii="Arial" w:hAnsi="Arial" w:cs="Arial"/>
          <w:i/>
          <w:iCs/>
          <w:sz w:val="24"/>
          <w:szCs w:val="24"/>
        </w:rPr>
        <w:t>42</w:t>
      </w:r>
      <w:r>
        <w:rPr>
          <w:rFonts w:ascii="Arial" w:hAnsi="Arial" w:cs="Arial"/>
          <w:sz w:val="24"/>
          <w:szCs w:val="24"/>
        </w:rPr>
        <w:t>(7), pp.1379-1398.</w:t>
      </w:r>
      <w:hyperlink r:id="rId9" w:history="1">
        <w:r>
          <w:rPr>
            <w:rStyle w:val="Hyperlink"/>
            <w:rFonts w:ascii="Arial" w:hAnsi="Arial" w:cs="Arial"/>
            <w:sz w:val="24"/>
            <w:szCs w:val="24"/>
          </w:rPr>
          <w:t>https://doi.org/10.1002/smj.3262</w:t>
        </w:r>
      </w:hyperlink>
      <w:r>
        <w:rPr>
          <w:rFonts w:ascii="Arial" w:hAnsi="Arial" w:cs="Arial"/>
          <w:sz w:val="24"/>
          <w:szCs w:val="24"/>
        </w:rPr>
        <w:t xml:space="preserve"> </w:t>
      </w:r>
    </w:p>
    <w:p w14:paraId="00A42006" w14:textId="77777777" w:rsidR="00560EF6" w:rsidRDefault="00000000">
      <w:pPr>
        <w:spacing w:line="480" w:lineRule="auto"/>
        <w:rPr>
          <w:rFonts w:ascii="Arial" w:hAnsi="Arial" w:cs="Arial"/>
          <w:sz w:val="24"/>
          <w:szCs w:val="24"/>
        </w:rPr>
      </w:pPr>
      <w:r>
        <w:rPr>
          <w:rFonts w:ascii="Arial" w:hAnsi="Arial" w:cs="Arial"/>
          <w:sz w:val="24"/>
          <w:szCs w:val="24"/>
        </w:rPr>
        <w:t>Cirik, K. and Makadok, R., 2023. First-mover advantages versus first-mover benefits: What’s the difference and why does it matter?. </w:t>
      </w:r>
      <w:r>
        <w:rPr>
          <w:rFonts w:ascii="Arial" w:hAnsi="Arial" w:cs="Arial"/>
          <w:i/>
          <w:iCs/>
          <w:sz w:val="24"/>
          <w:szCs w:val="24"/>
        </w:rPr>
        <w:t>Academy of Management Review</w:t>
      </w:r>
      <w:r>
        <w:rPr>
          <w:rFonts w:ascii="Arial" w:hAnsi="Arial" w:cs="Arial"/>
          <w:sz w:val="24"/>
          <w:szCs w:val="24"/>
        </w:rPr>
        <w:t>, </w:t>
      </w:r>
      <w:r>
        <w:rPr>
          <w:rFonts w:ascii="Arial" w:hAnsi="Arial" w:cs="Arial"/>
          <w:i/>
          <w:iCs/>
          <w:sz w:val="24"/>
          <w:szCs w:val="24"/>
        </w:rPr>
        <w:t>48</w:t>
      </w:r>
      <w:r>
        <w:rPr>
          <w:rFonts w:ascii="Arial" w:hAnsi="Arial" w:cs="Arial"/>
          <w:sz w:val="24"/>
          <w:szCs w:val="24"/>
        </w:rPr>
        <w:t>(3), pp.409-431.</w:t>
      </w:r>
      <w:hyperlink r:id="rId10" w:history="1">
        <w:r>
          <w:rPr>
            <w:rStyle w:val="Hyperlink"/>
            <w:rFonts w:ascii="Arial" w:hAnsi="Arial" w:cs="Arial"/>
            <w:sz w:val="24"/>
            <w:szCs w:val="24"/>
          </w:rPr>
          <w:t>https://doi.org/10.5465/amr.2017.0499</w:t>
        </w:r>
      </w:hyperlink>
      <w:r>
        <w:rPr>
          <w:rFonts w:ascii="Arial" w:hAnsi="Arial" w:cs="Arial"/>
          <w:sz w:val="24"/>
          <w:szCs w:val="24"/>
        </w:rPr>
        <w:t xml:space="preserve"> </w:t>
      </w:r>
    </w:p>
    <w:p w14:paraId="336D2DD1" w14:textId="77777777" w:rsidR="00560EF6" w:rsidRDefault="00000000">
      <w:pPr>
        <w:spacing w:line="480" w:lineRule="auto"/>
        <w:rPr>
          <w:rFonts w:ascii="Arial" w:hAnsi="Arial" w:cs="Arial"/>
          <w:sz w:val="24"/>
          <w:szCs w:val="24"/>
        </w:rPr>
      </w:pPr>
      <w:r>
        <w:rPr>
          <w:rFonts w:ascii="Arial" w:hAnsi="Arial" w:cs="Arial"/>
          <w:sz w:val="24"/>
          <w:szCs w:val="24"/>
        </w:rPr>
        <w:t>Dreiling, A. and Bican, P.M., 2022. Pioneer or follower: Which strategy to choose?. In </w:t>
      </w:r>
      <w:r>
        <w:rPr>
          <w:rFonts w:ascii="Arial" w:hAnsi="Arial" w:cs="Arial"/>
          <w:i/>
          <w:iCs/>
          <w:sz w:val="24"/>
          <w:szCs w:val="24"/>
        </w:rPr>
        <w:t>The Routledge companion to technology management</w:t>
      </w:r>
      <w:r>
        <w:rPr>
          <w:rFonts w:ascii="Arial" w:hAnsi="Arial" w:cs="Arial"/>
          <w:sz w:val="24"/>
          <w:szCs w:val="24"/>
        </w:rPr>
        <w:t> (pp. 100-115). Routledge.</w:t>
      </w:r>
      <w:hyperlink r:id="rId11" w:history="1">
        <w:r>
          <w:rPr>
            <w:rStyle w:val="Hyperlink"/>
            <w:rFonts w:ascii="Arial" w:hAnsi="Arial" w:cs="Arial"/>
            <w:sz w:val="24"/>
            <w:szCs w:val="24"/>
          </w:rPr>
          <w:t>https://doi.org/10.4324/9781003046899</w:t>
        </w:r>
      </w:hyperlink>
    </w:p>
    <w:p w14:paraId="7E838822" w14:textId="77777777" w:rsidR="00560EF6" w:rsidRDefault="00000000">
      <w:pPr>
        <w:spacing w:line="480" w:lineRule="auto"/>
        <w:rPr>
          <w:rFonts w:ascii="Arial" w:hAnsi="Arial" w:cs="Arial"/>
          <w:sz w:val="24"/>
          <w:szCs w:val="24"/>
        </w:rPr>
      </w:pPr>
      <w:r>
        <w:rPr>
          <w:rFonts w:ascii="Arial" w:hAnsi="Arial" w:cs="Arial"/>
          <w:sz w:val="24"/>
          <w:szCs w:val="24"/>
        </w:rPr>
        <w:t>Giachetti, C. and Pira, S.L., 2022. Catching up with the market leader: Does it pay to rapidly imitate its innovations?. </w:t>
      </w:r>
      <w:r>
        <w:rPr>
          <w:rFonts w:ascii="Arial" w:hAnsi="Arial" w:cs="Arial"/>
          <w:i/>
          <w:iCs/>
          <w:sz w:val="24"/>
          <w:szCs w:val="24"/>
        </w:rPr>
        <w:t>Research Policy</w:t>
      </w:r>
      <w:r>
        <w:rPr>
          <w:rFonts w:ascii="Arial" w:hAnsi="Arial" w:cs="Arial"/>
          <w:sz w:val="24"/>
          <w:szCs w:val="24"/>
        </w:rPr>
        <w:t>, </w:t>
      </w:r>
      <w:r>
        <w:rPr>
          <w:rFonts w:ascii="Arial" w:hAnsi="Arial" w:cs="Arial"/>
          <w:i/>
          <w:iCs/>
          <w:sz w:val="24"/>
          <w:szCs w:val="24"/>
        </w:rPr>
        <w:t>51</w:t>
      </w:r>
      <w:r>
        <w:rPr>
          <w:rFonts w:ascii="Arial" w:hAnsi="Arial" w:cs="Arial"/>
          <w:sz w:val="24"/>
          <w:szCs w:val="24"/>
        </w:rPr>
        <w:t>(5), p.104505.</w:t>
      </w:r>
      <w:hyperlink r:id="rId12" w:history="1">
        <w:r>
          <w:rPr>
            <w:rStyle w:val="Hyperlink"/>
            <w:rFonts w:ascii="Arial" w:hAnsi="Arial" w:cs="Arial"/>
            <w:sz w:val="24"/>
            <w:szCs w:val="24"/>
          </w:rPr>
          <w:t>https://doi.org/10.1016/j.respol.2022.104505</w:t>
        </w:r>
      </w:hyperlink>
      <w:r>
        <w:rPr>
          <w:rFonts w:ascii="Arial" w:hAnsi="Arial" w:cs="Arial"/>
          <w:sz w:val="24"/>
          <w:szCs w:val="24"/>
        </w:rPr>
        <w:t xml:space="preserve"> </w:t>
      </w:r>
    </w:p>
    <w:p w14:paraId="170A8A8F" w14:textId="77777777" w:rsidR="00560EF6" w:rsidRDefault="00000000">
      <w:pPr>
        <w:spacing w:line="480" w:lineRule="auto"/>
        <w:rPr>
          <w:rFonts w:ascii="Arial" w:hAnsi="Arial" w:cs="Arial"/>
          <w:sz w:val="24"/>
          <w:szCs w:val="24"/>
        </w:rPr>
      </w:pPr>
      <w:r>
        <w:rPr>
          <w:rFonts w:ascii="Arial" w:hAnsi="Arial" w:cs="Arial"/>
          <w:sz w:val="24"/>
          <w:szCs w:val="24"/>
        </w:rPr>
        <w:t>Gómez, J., Perez-Aradros, B. and Salazar, I., 2022. How to beat early movers: The role of competitive strategy and industry dynamism on followers’ performance in the telecommunications industry. </w:t>
      </w:r>
      <w:r>
        <w:rPr>
          <w:rFonts w:ascii="Arial" w:hAnsi="Arial" w:cs="Arial"/>
          <w:i/>
          <w:iCs/>
          <w:sz w:val="24"/>
          <w:szCs w:val="24"/>
        </w:rPr>
        <w:t>Long Range Planning</w:t>
      </w:r>
      <w:r>
        <w:rPr>
          <w:rFonts w:ascii="Arial" w:hAnsi="Arial" w:cs="Arial"/>
          <w:sz w:val="24"/>
          <w:szCs w:val="24"/>
        </w:rPr>
        <w:t>, </w:t>
      </w:r>
      <w:r>
        <w:rPr>
          <w:rFonts w:ascii="Arial" w:hAnsi="Arial" w:cs="Arial"/>
          <w:i/>
          <w:iCs/>
          <w:sz w:val="24"/>
          <w:szCs w:val="24"/>
        </w:rPr>
        <w:t>55</w:t>
      </w:r>
      <w:r>
        <w:rPr>
          <w:rFonts w:ascii="Arial" w:hAnsi="Arial" w:cs="Arial"/>
          <w:sz w:val="24"/>
          <w:szCs w:val="24"/>
        </w:rPr>
        <w:t>(5), p.102244.</w:t>
      </w:r>
      <w:hyperlink r:id="rId13" w:history="1">
        <w:r>
          <w:rPr>
            <w:rStyle w:val="Hyperlink"/>
            <w:rFonts w:ascii="Arial" w:hAnsi="Arial" w:cs="Arial"/>
            <w:sz w:val="24"/>
            <w:szCs w:val="24"/>
          </w:rPr>
          <w:t>https://doi.org/10.1016/j.lrp.2022.102244</w:t>
        </w:r>
      </w:hyperlink>
      <w:r>
        <w:rPr>
          <w:rFonts w:ascii="Arial" w:hAnsi="Arial" w:cs="Arial"/>
          <w:sz w:val="24"/>
          <w:szCs w:val="24"/>
        </w:rPr>
        <w:t xml:space="preserve"> </w:t>
      </w:r>
    </w:p>
    <w:p w14:paraId="0A72581C" w14:textId="77777777" w:rsidR="00560EF6" w:rsidRDefault="00000000">
      <w:pPr>
        <w:spacing w:line="480" w:lineRule="auto"/>
        <w:rPr>
          <w:rFonts w:ascii="Arial" w:hAnsi="Arial" w:cs="Arial"/>
          <w:sz w:val="24"/>
          <w:szCs w:val="24"/>
        </w:rPr>
      </w:pPr>
      <w:r>
        <w:rPr>
          <w:rFonts w:ascii="Arial" w:hAnsi="Arial" w:cs="Arial"/>
          <w:sz w:val="24"/>
          <w:szCs w:val="24"/>
        </w:rPr>
        <w:t>Markard, J., 2020. The life cycle of technological innovation systems. </w:t>
      </w:r>
      <w:r>
        <w:rPr>
          <w:rFonts w:ascii="Arial" w:hAnsi="Arial" w:cs="Arial"/>
          <w:i/>
          <w:iCs/>
          <w:sz w:val="24"/>
          <w:szCs w:val="24"/>
        </w:rPr>
        <w:t>Technological forecasting and social change</w:t>
      </w:r>
      <w:r>
        <w:rPr>
          <w:rFonts w:ascii="Arial" w:hAnsi="Arial" w:cs="Arial"/>
          <w:sz w:val="24"/>
          <w:szCs w:val="24"/>
        </w:rPr>
        <w:t>, </w:t>
      </w:r>
      <w:r>
        <w:rPr>
          <w:rFonts w:ascii="Arial" w:hAnsi="Arial" w:cs="Arial"/>
          <w:i/>
          <w:iCs/>
          <w:sz w:val="24"/>
          <w:szCs w:val="24"/>
        </w:rPr>
        <w:t>153</w:t>
      </w:r>
      <w:r>
        <w:rPr>
          <w:rFonts w:ascii="Arial" w:hAnsi="Arial" w:cs="Arial"/>
          <w:sz w:val="24"/>
          <w:szCs w:val="24"/>
        </w:rPr>
        <w:t>, p.119407.</w:t>
      </w:r>
      <w:hyperlink r:id="rId14" w:history="1">
        <w:r>
          <w:rPr>
            <w:rStyle w:val="Hyperlink"/>
            <w:rFonts w:ascii="Arial" w:hAnsi="Arial" w:cs="Arial"/>
            <w:sz w:val="24"/>
            <w:szCs w:val="24"/>
          </w:rPr>
          <w:t>https://doi.org/10.1016/j.techfore.2018.07.045</w:t>
        </w:r>
      </w:hyperlink>
      <w:r>
        <w:rPr>
          <w:rFonts w:ascii="Arial" w:hAnsi="Arial" w:cs="Arial"/>
          <w:sz w:val="24"/>
          <w:szCs w:val="24"/>
        </w:rPr>
        <w:t xml:space="preserve"> </w:t>
      </w:r>
    </w:p>
    <w:p w14:paraId="5FAADA93" w14:textId="77777777" w:rsidR="00560EF6" w:rsidRDefault="00000000">
      <w:pPr>
        <w:spacing w:line="480" w:lineRule="auto"/>
        <w:rPr>
          <w:rFonts w:ascii="Arial" w:hAnsi="Arial" w:cs="Arial"/>
          <w:sz w:val="24"/>
          <w:szCs w:val="24"/>
        </w:rPr>
      </w:pPr>
      <w:r>
        <w:rPr>
          <w:rFonts w:ascii="Arial" w:hAnsi="Arial" w:cs="Arial"/>
          <w:sz w:val="24"/>
          <w:szCs w:val="24"/>
        </w:rPr>
        <w:lastRenderedPageBreak/>
        <w:t>Pantano, E., Pedeliento, G. and Christodoulides, G., 2022. A strategic framework for technological innovations in support of the customer experience: A focus on luxury retailers. </w:t>
      </w:r>
      <w:r>
        <w:rPr>
          <w:rFonts w:ascii="Arial" w:hAnsi="Arial" w:cs="Arial"/>
          <w:i/>
          <w:iCs/>
          <w:sz w:val="24"/>
          <w:szCs w:val="24"/>
        </w:rPr>
        <w:t>Journal of Retailing and Consumer Services</w:t>
      </w:r>
      <w:r>
        <w:rPr>
          <w:rFonts w:ascii="Arial" w:hAnsi="Arial" w:cs="Arial"/>
          <w:sz w:val="24"/>
          <w:szCs w:val="24"/>
        </w:rPr>
        <w:t>, </w:t>
      </w:r>
      <w:r>
        <w:rPr>
          <w:rFonts w:ascii="Arial" w:hAnsi="Arial" w:cs="Arial"/>
          <w:i/>
          <w:iCs/>
          <w:sz w:val="24"/>
          <w:szCs w:val="24"/>
        </w:rPr>
        <w:t>66</w:t>
      </w:r>
      <w:r>
        <w:rPr>
          <w:rFonts w:ascii="Arial" w:hAnsi="Arial" w:cs="Arial"/>
          <w:sz w:val="24"/>
          <w:szCs w:val="24"/>
        </w:rPr>
        <w:t>, p.102959.</w:t>
      </w:r>
      <w:hyperlink r:id="rId15" w:history="1">
        <w:r>
          <w:rPr>
            <w:rStyle w:val="Hyperlink"/>
            <w:rFonts w:ascii="Arial" w:hAnsi="Arial" w:cs="Arial"/>
            <w:sz w:val="24"/>
            <w:szCs w:val="24"/>
          </w:rPr>
          <w:t>https://doi.org/10.1016/j.jretconser.2022.102959</w:t>
        </w:r>
      </w:hyperlink>
      <w:r>
        <w:rPr>
          <w:rFonts w:ascii="Arial" w:hAnsi="Arial" w:cs="Arial"/>
          <w:sz w:val="24"/>
          <w:szCs w:val="24"/>
        </w:rPr>
        <w:t xml:space="preserve"> </w:t>
      </w:r>
    </w:p>
    <w:p w14:paraId="38902048" w14:textId="77777777" w:rsidR="00560EF6" w:rsidRDefault="00000000">
      <w:pPr>
        <w:spacing w:line="480" w:lineRule="auto"/>
        <w:rPr>
          <w:rFonts w:ascii="Arial" w:hAnsi="Arial" w:cs="Arial"/>
          <w:sz w:val="24"/>
          <w:szCs w:val="24"/>
        </w:rPr>
      </w:pPr>
      <w:r>
        <w:rPr>
          <w:rFonts w:ascii="Arial" w:hAnsi="Arial" w:cs="Arial"/>
          <w:sz w:val="24"/>
          <w:szCs w:val="24"/>
        </w:rPr>
        <w:t>Piila, N., Sarja, M., Onkila, T. and Mäkelä, M., 2022. Organisational drivers and challenges in circular economy implementation: An issue life cycle approach. </w:t>
      </w:r>
      <w:r>
        <w:rPr>
          <w:rFonts w:ascii="Arial" w:hAnsi="Arial" w:cs="Arial"/>
          <w:i/>
          <w:iCs/>
          <w:sz w:val="24"/>
          <w:szCs w:val="24"/>
        </w:rPr>
        <w:t>Organization &amp; Environment</w:t>
      </w:r>
      <w:r>
        <w:rPr>
          <w:rFonts w:ascii="Arial" w:hAnsi="Arial" w:cs="Arial"/>
          <w:sz w:val="24"/>
          <w:szCs w:val="24"/>
        </w:rPr>
        <w:t>, </w:t>
      </w:r>
      <w:r>
        <w:rPr>
          <w:rFonts w:ascii="Arial" w:hAnsi="Arial" w:cs="Arial"/>
          <w:i/>
          <w:iCs/>
          <w:sz w:val="24"/>
          <w:szCs w:val="24"/>
        </w:rPr>
        <w:t>35</w:t>
      </w:r>
      <w:r>
        <w:rPr>
          <w:rFonts w:ascii="Arial" w:hAnsi="Arial" w:cs="Arial"/>
          <w:sz w:val="24"/>
          <w:szCs w:val="24"/>
        </w:rPr>
        <w:t>(4), pp.523-550.</w:t>
      </w:r>
      <w:hyperlink r:id="rId16" w:history="1">
        <w:r>
          <w:rPr>
            <w:rStyle w:val="Hyperlink"/>
            <w:rFonts w:ascii="Arial" w:hAnsi="Arial" w:cs="Arial"/>
            <w:sz w:val="24"/>
            <w:szCs w:val="24"/>
          </w:rPr>
          <w:t>https://doi.org/10.1177/10860266221099658</w:t>
        </w:r>
      </w:hyperlink>
      <w:r>
        <w:rPr>
          <w:rFonts w:ascii="Arial" w:hAnsi="Arial" w:cs="Arial"/>
          <w:sz w:val="24"/>
          <w:szCs w:val="24"/>
        </w:rPr>
        <w:t xml:space="preserve"> </w:t>
      </w:r>
    </w:p>
    <w:p w14:paraId="0C332CB2" w14:textId="77777777" w:rsidR="00560EF6" w:rsidRDefault="00000000">
      <w:pPr>
        <w:spacing w:line="480" w:lineRule="auto"/>
        <w:rPr>
          <w:rFonts w:ascii="Arial" w:hAnsi="Arial" w:cs="Arial"/>
          <w:sz w:val="24"/>
          <w:szCs w:val="24"/>
        </w:rPr>
      </w:pPr>
      <w:r>
        <w:rPr>
          <w:rFonts w:ascii="Arial" w:hAnsi="Arial" w:cs="Arial"/>
          <w:sz w:val="24"/>
          <w:szCs w:val="24"/>
        </w:rPr>
        <w:t>Rusch, M., Schöggl, J.P. and Baumgartner, R.J., 2023. Application of digital technologies for sustainable product management in a circular economy: A review. </w:t>
      </w:r>
      <w:r>
        <w:rPr>
          <w:rFonts w:ascii="Arial" w:hAnsi="Arial" w:cs="Arial"/>
          <w:i/>
          <w:iCs/>
          <w:sz w:val="24"/>
          <w:szCs w:val="24"/>
        </w:rPr>
        <w:t>Business strategy and the environment</w:t>
      </w:r>
      <w:r>
        <w:rPr>
          <w:rFonts w:ascii="Arial" w:hAnsi="Arial" w:cs="Arial"/>
          <w:sz w:val="24"/>
          <w:szCs w:val="24"/>
        </w:rPr>
        <w:t>, </w:t>
      </w:r>
      <w:r>
        <w:rPr>
          <w:rFonts w:ascii="Arial" w:hAnsi="Arial" w:cs="Arial"/>
          <w:i/>
          <w:iCs/>
          <w:sz w:val="24"/>
          <w:szCs w:val="24"/>
        </w:rPr>
        <w:t>32</w:t>
      </w:r>
      <w:r>
        <w:rPr>
          <w:rFonts w:ascii="Arial" w:hAnsi="Arial" w:cs="Arial"/>
          <w:sz w:val="24"/>
          <w:szCs w:val="24"/>
        </w:rPr>
        <w:t>(3), pp.1159-1174.</w:t>
      </w:r>
      <w:hyperlink r:id="rId17" w:history="1">
        <w:r>
          <w:rPr>
            <w:rStyle w:val="Hyperlink"/>
            <w:rFonts w:ascii="Arial" w:hAnsi="Arial" w:cs="Arial"/>
            <w:sz w:val="24"/>
            <w:szCs w:val="24"/>
          </w:rPr>
          <w:t>https://doi.org/10.1002/bse.3099</w:t>
        </w:r>
      </w:hyperlink>
      <w:r>
        <w:rPr>
          <w:rFonts w:ascii="Arial" w:hAnsi="Arial" w:cs="Arial"/>
          <w:sz w:val="24"/>
          <w:szCs w:val="24"/>
        </w:rPr>
        <w:t xml:space="preserve"> </w:t>
      </w:r>
    </w:p>
    <w:p w14:paraId="22466788" w14:textId="77777777" w:rsidR="00560EF6" w:rsidRDefault="00000000">
      <w:pPr>
        <w:spacing w:line="480" w:lineRule="auto"/>
        <w:rPr>
          <w:rFonts w:ascii="Arial" w:hAnsi="Arial" w:cs="Arial"/>
          <w:sz w:val="24"/>
          <w:szCs w:val="24"/>
        </w:rPr>
      </w:pPr>
      <w:r>
        <w:rPr>
          <w:rFonts w:ascii="Arial" w:hAnsi="Arial" w:cs="Arial"/>
          <w:sz w:val="24"/>
          <w:szCs w:val="24"/>
        </w:rPr>
        <w:t>Schaltegger, S., Loorbach, D. and Hörisch, J., 2023. Managing entrepreneurial and corporate contributions to sustainability transitions. </w:t>
      </w:r>
      <w:r>
        <w:rPr>
          <w:rFonts w:ascii="Arial" w:hAnsi="Arial" w:cs="Arial"/>
          <w:i/>
          <w:iCs/>
          <w:sz w:val="24"/>
          <w:szCs w:val="24"/>
        </w:rPr>
        <w:t>Business Strategy and the Environment</w:t>
      </w:r>
      <w:r>
        <w:rPr>
          <w:rFonts w:ascii="Arial" w:hAnsi="Arial" w:cs="Arial"/>
          <w:sz w:val="24"/>
          <w:szCs w:val="24"/>
        </w:rPr>
        <w:t>, </w:t>
      </w:r>
      <w:r>
        <w:rPr>
          <w:rFonts w:ascii="Arial" w:hAnsi="Arial" w:cs="Arial"/>
          <w:i/>
          <w:iCs/>
          <w:sz w:val="24"/>
          <w:szCs w:val="24"/>
        </w:rPr>
        <w:t>32</w:t>
      </w:r>
      <w:r>
        <w:rPr>
          <w:rFonts w:ascii="Arial" w:hAnsi="Arial" w:cs="Arial"/>
          <w:sz w:val="24"/>
          <w:szCs w:val="24"/>
        </w:rPr>
        <w:t>(2), pp.891-902.</w:t>
      </w:r>
      <w:hyperlink r:id="rId18" w:history="1">
        <w:r>
          <w:rPr>
            <w:rStyle w:val="Hyperlink"/>
            <w:rFonts w:ascii="Arial" w:hAnsi="Arial" w:cs="Arial"/>
            <w:sz w:val="24"/>
            <w:szCs w:val="24"/>
          </w:rPr>
          <w:t>https://doi.org/10.1002/bse.3080</w:t>
        </w:r>
      </w:hyperlink>
      <w:r>
        <w:rPr>
          <w:rFonts w:ascii="Arial" w:hAnsi="Arial" w:cs="Arial"/>
          <w:sz w:val="24"/>
          <w:szCs w:val="24"/>
        </w:rPr>
        <w:t xml:space="preserve"> </w:t>
      </w:r>
    </w:p>
    <w:p w14:paraId="01FE8F19" w14:textId="77777777" w:rsidR="00560EF6" w:rsidRDefault="00000000">
      <w:pPr>
        <w:spacing w:line="480" w:lineRule="auto"/>
        <w:rPr>
          <w:rFonts w:ascii="Arial" w:hAnsi="Arial" w:cs="Arial"/>
          <w:sz w:val="24"/>
          <w:szCs w:val="24"/>
        </w:rPr>
      </w:pPr>
      <w:r>
        <w:rPr>
          <w:rFonts w:ascii="Arial" w:hAnsi="Arial" w:cs="Arial"/>
          <w:sz w:val="24"/>
          <w:szCs w:val="24"/>
        </w:rPr>
        <w:t>Wambsganss, A., Bröring, S., Salomo, S. and Sick, N., 2023. Technology strategies in converging technology systems: Evidence from printed electronics. </w:t>
      </w:r>
      <w:r>
        <w:rPr>
          <w:rFonts w:ascii="Arial" w:hAnsi="Arial" w:cs="Arial"/>
          <w:i/>
          <w:iCs/>
          <w:sz w:val="24"/>
          <w:szCs w:val="24"/>
        </w:rPr>
        <w:t>Journal of Product Innovation Management</w:t>
      </w:r>
      <w:r>
        <w:rPr>
          <w:rFonts w:ascii="Arial" w:hAnsi="Arial" w:cs="Arial"/>
          <w:sz w:val="24"/>
          <w:szCs w:val="24"/>
        </w:rPr>
        <w:t>, </w:t>
      </w:r>
      <w:r>
        <w:rPr>
          <w:rFonts w:ascii="Arial" w:hAnsi="Arial" w:cs="Arial"/>
          <w:i/>
          <w:iCs/>
          <w:sz w:val="24"/>
          <w:szCs w:val="24"/>
        </w:rPr>
        <w:t>40</w:t>
      </w:r>
      <w:r>
        <w:rPr>
          <w:rFonts w:ascii="Arial" w:hAnsi="Arial" w:cs="Arial"/>
          <w:sz w:val="24"/>
          <w:szCs w:val="24"/>
        </w:rPr>
        <w:t>(5), pp.705-732.</w:t>
      </w:r>
      <w:hyperlink r:id="rId19" w:history="1">
        <w:r>
          <w:rPr>
            <w:rStyle w:val="Hyperlink"/>
            <w:rFonts w:ascii="Arial" w:hAnsi="Arial" w:cs="Arial"/>
            <w:sz w:val="24"/>
            <w:szCs w:val="24"/>
          </w:rPr>
          <w:t>https://doi.org/10.1111/jpim.12693</w:t>
        </w:r>
      </w:hyperlink>
      <w:r>
        <w:rPr>
          <w:rFonts w:ascii="Arial" w:hAnsi="Arial" w:cs="Arial"/>
          <w:sz w:val="24"/>
          <w:szCs w:val="24"/>
        </w:rPr>
        <w:t xml:space="preserve"> </w:t>
      </w:r>
    </w:p>
    <w:p w14:paraId="1DC45886" w14:textId="77777777" w:rsidR="00560EF6" w:rsidRDefault="00560EF6">
      <w:pPr>
        <w:spacing w:line="480" w:lineRule="auto"/>
        <w:rPr>
          <w:rFonts w:ascii="Arial" w:hAnsi="Arial" w:cs="Arial"/>
          <w:sz w:val="24"/>
          <w:szCs w:val="24"/>
        </w:rPr>
      </w:pPr>
    </w:p>
    <w:p w14:paraId="1084C721" w14:textId="77777777" w:rsidR="00560EF6" w:rsidRDefault="00560EF6">
      <w:pPr>
        <w:spacing w:line="480" w:lineRule="auto"/>
        <w:rPr>
          <w:rFonts w:ascii="Arial" w:hAnsi="Arial" w:cs="Arial"/>
          <w:sz w:val="24"/>
          <w:szCs w:val="24"/>
        </w:rPr>
      </w:pPr>
    </w:p>
    <w:p w14:paraId="50D7FB2E" w14:textId="77777777" w:rsidR="00560EF6" w:rsidRDefault="00560EF6">
      <w:pPr>
        <w:spacing w:line="480" w:lineRule="auto"/>
        <w:rPr>
          <w:rFonts w:ascii="Arial" w:hAnsi="Arial" w:cs="Arial"/>
          <w:sz w:val="24"/>
          <w:szCs w:val="24"/>
        </w:rPr>
      </w:pPr>
    </w:p>
    <w:sectPr w:rsidR="00560EF6">
      <w:head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CEEB5" w14:textId="77777777" w:rsidR="00E06FBE" w:rsidRDefault="00E06FBE">
      <w:pPr>
        <w:spacing w:after="0" w:line="240" w:lineRule="auto"/>
      </w:pPr>
      <w:r>
        <w:separator/>
      </w:r>
    </w:p>
  </w:endnote>
  <w:endnote w:type="continuationSeparator" w:id="0">
    <w:p w14:paraId="06DAD207" w14:textId="77777777" w:rsidR="00E06FBE" w:rsidRDefault="00E06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040F0" w14:textId="77777777" w:rsidR="00E06FBE" w:rsidRDefault="00E06FBE">
      <w:pPr>
        <w:spacing w:after="0" w:line="240" w:lineRule="auto"/>
      </w:pPr>
      <w:r>
        <w:separator/>
      </w:r>
    </w:p>
  </w:footnote>
  <w:footnote w:type="continuationSeparator" w:id="0">
    <w:p w14:paraId="4EA5C4A3" w14:textId="77777777" w:rsidR="00E06FBE" w:rsidRDefault="00E06F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F8F06" w14:textId="77777777" w:rsidR="00560EF6" w:rsidRDefault="00000000">
    <w:pPr>
      <w:pStyle w:val="Header"/>
      <w:jc w:val="right"/>
    </w:pPr>
    <w:r>
      <w:t xml:space="preserve">   </w:t>
    </w:r>
    <w:r>
      <w:fldChar w:fldCharType="begin"/>
    </w:r>
    <w:r>
      <w:instrText xml:space="preserve"> PAGE   \* MERGEFORMAT </w:instrText>
    </w:r>
    <w:r>
      <w:fldChar w:fldCharType="separate"/>
    </w:r>
    <w:r>
      <w:rPr>
        <w:noProof/>
      </w:rPr>
      <w:t>13</w:t>
    </w:r>
    <w:r>
      <w:rPr>
        <w:noProof/>
      </w:rPr>
      <w:fldChar w:fldCharType="end"/>
    </w:r>
  </w:p>
  <w:p w14:paraId="588EAD2C" w14:textId="77777777" w:rsidR="00560EF6" w:rsidRDefault="00560E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EF6"/>
    <w:rsid w:val="0014455F"/>
    <w:rsid w:val="00151BAC"/>
    <w:rsid w:val="00560EF6"/>
    <w:rsid w:val="00E06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FCB9DF"/>
  <w15:docId w15:val="{41D7895E-8A81-4BBA-AECC-DC769705E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rPr>
      <w:color w:val="0563C1"/>
      <w:u w:val="single"/>
    </w:rPr>
  </w:style>
  <w:style w:type="character" w:customStyle="1" w:styleId="UnresolvedMention1">
    <w:name w:val="Unresolved Mention1"/>
    <w:basedOn w:val="DefaultParagraphFont"/>
    <w:uiPriority w:val="99"/>
    <w:rPr>
      <w:color w:val="605E5C"/>
      <w:shd w:val="clear" w:color="auto" w:fill="E1DFDD"/>
    </w:rPr>
  </w:style>
  <w:style w:type="character" w:customStyle="1" w:styleId="Heading1Char">
    <w:name w:val="Heading 1 Char"/>
    <w:basedOn w:val="DefaultParagraphFont"/>
    <w:link w:val="Heading1"/>
    <w:uiPriority w:val="9"/>
    <w:rPr>
      <w:rFonts w:ascii="Calibri Light" w:eastAsia="SimSun" w:hAnsi="Calibri Light" w:cs="SimSun"/>
      <w:color w:val="2F5496"/>
      <w:sz w:val="32"/>
      <w:szCs w:val="32"/>
    </w:rPr>
  </w:style>
  <w:style w:type="paragraph" w:styleId="TOCHeading">
    <w:name w:val="TOC Heading"/>
    <w:basedOn w:val="Heading1"/>
    <w:next w:val="Normal"/>
    <w:uiPriority w:val="39"/>
    <w:qFormat/>
    <w:pPr>
      <w:outlineLvl w:val="9"/>
    </w:pPr>
  </w:style>
  <w:style w:type="paragraph" w:styleId="TOC1">
    <w:name w:val="toc 1"/>
    <w:basedOn w:val="Normal"/>
    <w:next w:val="Normal"/>
    <w:uiPriority w:val="3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16/j.jclepro.2020.121954" TargetMode="External"/><Relationship Id="rId13" Type="http://schemas.openxmlformats.org/officeDocument/2006/relationships/hyperlink" Target="https://doi.org/10.1016/j.lrp.2022.102244" TargetMode="External"/><Relationship Id="rId18" Type="http://schemas.openxmlformats.org/officeDocument/2006/relationships/hyperlink" Target="https://doi.org/10.1002/bse.308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i.org/10.1016/j.respol.2022.104505" TargetMode="External"/><Relationship Id="rId17" Type="http://schemas.openxmlformats.org/officeDocument/2006/relationships/hyperlink" Target="https://doi.org/10.1002/bse.3099" TargetMode="External"/><Relationship Id="rId2" Type="http://schemas.openxmlformats.org/officeDocument/2006/relationships/styles" Target="styles.xml"/><Relationship Id="rId16" Type="http://schemas.openxmlformats.org/officeDocument/2006/relationships/hyperlink" Target="https://doi.org/10.1177/108602662210996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4324/9781003046899" TargetMode="External"/><Relationship Id="rId5" Type="http://schemas.openxmlformats.org/officeDocument/2006/relationships/footnotes" Target="footnotes.xml"/><Relationship Id="rId15" Type="http://schemas.openxmlformats.org/officeDocument/2006/relationships/hyperlink" Target="https://doi.org/10.1016/j.jretconser.2022.102959" TargetMode="External"/><Relationship Id="rId10" Type="http://schemas.openxmlformats.org/officeDocument/2006/relationships/hyperlink" Target="https://doi.org/10.5465/amr.2017.0499" TargetMode="External"/><Relationship Id="rId19" Type="http://schemas.openxmlformats.org/officeDocument/2006/relationships/hyperlink" Target="https://doi.org/10.1111/jpim.12693" TargetMode="External"/><Relationship Id="rId4" Type="http://schemas.openxmlformats.org/officeDocument/2006/relationships/webSettings" Target="webSettings.xml"/><Relationship Id="rId9" Type="http://schemas.openxmlformats.org/officeDocument/2006/relationships/hyperlink" Target="https://doi.org/10.1002/smj.3262" TargetMode="External"/><Relationship Id="rId14" Type="http://schemas.openxmlformats.org/officeDocument/2006/relationships/hyperlink" Target="https://doi.org/10.1016/j.techfore.2018.07.04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EFEC0-DC42-4ABB-87FD-14DC20C17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3116</Words>
  <Characters>18419</Characters>
  <Application>Microsoft Office Word</Application>
  <DocSecurity>0</DocSecurity>
  <Lines>334</Lines>
  <Paragraphs>74</Paragraphs>
  <ScaleCrop>false</ScaleCrop>
  <Company/>
  <LinksUpToDate>false</LinksUpToDate>
  <CharactersWithSpaces>21461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rathla rajesh</cp:lastModifiedBy>
  <cp:revision>3</cp:revision>
  <dcterms:created xsi:type="dcterms:W3CDTF">2025-03-27T11:28:00Z</dcterms:created>
  <dcterms:modified xsi:type="dcterms:W3CDTF">2025-03-27T11:45:00Z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2d97043a23774ea9980878ce21269642</vt:lpwstr>
  </property>
  <property fmtid="{D5CDD505-2E9C-101B-9397-08002B2CF9AE}" pid="3" name="GrammarlyDocumentId">
    <vt:lpwstr>eab09c8b5a53f43da5c96a30debfda9c08facffcf981588dee1b8f89f9098f97</vt:lpwstr>
  </property>
</Properties>
</file>