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2FFE2" w14:textId="1ED0B1B6" w:rsidR="0061579B" w:rsidRPr="0061579B" w:rsidRDefault="0061579B" w:rsidP="0061579B">
      <w:pPr>
        <w:rPr>
          <w:rFonts w:ascii="Arial" w:hAnsi="Arial" w:cs="Arial"/>
        </w:rPr>
      </w:pPr>
      <w:r w:rsidRPr="0061579B">
        <w:rPr>
          <w:rFonts w:ascii="Arial" w:hAnsi="Arial" w:cs="Arial"/>
        </w:rPr>
        <w:t xml:space="preserve">• Student Name: </w:t>
      </w:r>
      <w:r>
        <w:rPr>
          <w:rFonts w:ascii="Arial" w:hAnsi="Arial" w:cs="Arial"/>
        </w:rPr>
        <w:t>Nicolae Radan</w:t>
      </w:r>
    </w:p>
    <w:p w14:paraId="712F53AB" w14:textId="62389E27" w:rsidR="0061579B" w:rsidRPr="0061579B" w:rsidRDefault="0061579B" w:rsidP="0061579B">
      <w:pPr>
        <w:rPr>
          <w:rFonts w:ascii="Arial" w:hAnsi="Arial" w:cs="Arial"/>
        </w:rPr>
      </w:pPr>
      <w:r w:rsidRPr="0061579B">
        <w:rPr>
          <w:rFonts w:ascii="Arial" w:hAnsi="Arial" w:cs="Arial"/>
        </w:rPr>
        <w:t xml:space="preserve">• Student ID: </w:t>
      </w:r>
      <w:r w:rsidR="00770420" w:rsidRPr="00770420">
        <w:rPr>
          <w:rFonts w:ascii="Arial" w:hAnsi="Arial" w:cs="Arial"/>
        </w:rPr>
        <w:t>2510322</w:t>
      </w:r>
    </w:p>
    <w:p w14:paraId="3FA9CDC5" w14:textId="77777777" w:rsidR="0061579B" w:rsidRDefault="0061579B" w:rsidP="0061579B">
      <w:pPr>
        <w:rPr>
          <w:rFonts w:ascii="Arial" w:hAnsi="Arial" w:cs="Arial"/>
        </w:rPr>
      </w:pPr>
      <w:r w:rsidRPr="0061579B">
        <w:rPr>
          <w:rFonts w:ascii="Arial" w:hAnsi="Arial" w:cs="Arial"/>
        </w:rPr>
        <w:t>• Module Code: LCLM4006</w:t>
      </w:r>
    </w:p>
    <w:p w14:paraId="6FE9C684" w14:textId="4693F300" w:rsidR="00431B78" w:rsidRPr="0061579B" w:rsidRDefault="00837BDE" w:rsidP="0061579B">
      <w:pPr>
        <w:rPr>
          <w:rFonts w:ascii="Arial" w:hAnsi="Arial" w:cs="Arial"/>
        </w:rPr>
      </w:pPr>
      <w:r w:rsidRPr="00837BDE">
        <w:rPr>
          <w:rFonts w:ascii="Arial" w:hAnsi="Arial" w:cs="Arial"/>
        </w:rPr>
        <w:t>•</w:t>
      </w:r>
      <w:r w:rsidR="00060F3D">
        <w:rPr>
          <w:rFonts w:ascii="Arial" w:hAnsi="Arial" w:cs="Arial"/>
        </w:rPr>
        <w:t xml:space="preserve"> </w:t>
      </w:r>
      <w:r w:rsidR="00841C82" w:rsidRPr="00841C82">
        <w:rPr>
          <w:rFonts w:ascii="Arial" w:hAnsi="Arial" w:cs="Arial"/>
        </w:rPr>
        <w:t>Module Leader: Doreen Dai</w:t>
      </w:r>
    </w:p>
    <w:p w14:paraId="7047C1C6" w14:textId="77777777" w:rsidR="0061579B" w:rsidRPr="0061579B" w:rsidRDefault="0061579B" w:rsidP="0061579B">
      <w:pPr>
        <w:rPr>
          <w:rFonts w:ascii="Arial" w:hAnsi="Arial" w:cs="Arial"/>
        </w:rPr>
      </w:pPr>
      <w:r w:rsidRPr="0061579B">
        <w:rPr>
          <w:rFonts w:ascii="Arial" w:hAnsi="Arial" w:cs="Arial"/>
        </w:rPr>
        <w:t>• Module Title: Enterprise and Entrepreneurship</w:t>
      </w:r>
    </w:p>
    <w:p w14:paraId="0BE1C683" w14:textId="77777777" w:rsidR="0061579B" w:rsidRPr="0061579B" w:rsidRDefault="0061579B" w:rsidP="0061579B">
      <w:pPr>
        <w:rPr>
          <w:rFonts w:ascii="Arial" w:hAnsi="Arial" w:cs="Arial"/>
        </w:rPr>
      </w:pPr>
      <w:r w:rsidRPr="0061579B">
        <w:rPr>
          <w:rFonts w:ascii="Arial" w:hAnsi="Arial" w:cs="Arial"/>
        </w:rPr>
        <w:t>• Assignment Title: Task 1 - Individual Written Business Plan</w:t>
      </w:r>
    </w:p>
    <w:p w14:paraId="393FED7D" w14:textId="6D1DCFAC" w:rsidR="00BF79CF" w:rsidRDefault="0061579B">
      <w:pPr>
        <w:rPr>
          <w:rFonts w:ascii="Arial" w:hAnsi="Arial" w:cs="Arial"/>
        </w:rPr>
      </w:pPr>
      <w:r w:rsidRPr="0061579B">
        <w:rPr>
          <w:rFonts w:ascii="Arial" w:hAnsi="Arial" w:cs="Arial"/>
        </w:rPr>
        <w:t>• Date: October 202</w:t>
      </w:r>
      <w:r w:rsidR="0080184D">
        <w:rPr>
          <w:rFonts w:ascii="Arial" w:hAnsi="Arial" w:cs="Arial"/>
        </w:rPr>
        <w:t>6</w:t>
      </w:r>
    </w:p>
    <w:p w14:paraId="22B9CC48" w14:textId="60524480" w:rsidR="006A39BD" w:rsidRPr="006A39BD" w:rsidRDefault="00BF79CF" w:rsidP="006A39BD">
      <w:pPr>
        <w:rPr>
          <w:rFonts w:ascii="Arial" w:hAnsi="Arial" w:cs="Arial"/>
        </w:rPr>
      </w:pPr>
      <w:r>
        <w:rPr>
          <w:rFonts w:ascii="Arial" w:hAnsi="Arial" w:cs="Arial"/>
        </w:rPr>
        <w:br w:type="page"/>
      </w:r>
    </w:p>
    <w:p w14:paraId="4CDEBE0C" w14:textId="77777777" w:rsidR="006A39BD" w:rsidRPr="006A39BD" w:rsidRDefault="006A39BD" w:rsidP="006A39BD">
      <w:pPr>
        <w:rPr>
          <w:rFonts w:ascii="Arial" w:hAnsi="Arial" w:cs="Arial"/>
        </w:rPr>
      </w:pPr>
      <w:r w:rsidRPr="006A39BD">
        <w:rPr>
          <w:rFonts w:ascii="Arial" w:hAnsi="Arial" w:cs="Arial"/>
        </w:rPr>
        <w:t>2. Executive Summary</w:t>
      </w:r>
    </w:p>
    <w:p w14:paraId="182DAEAC" w14:textId="77777777" w:rsidR="006A39BD" w:rsidRPr="006A39BD" w:rsidRDefault="006A39BD" w:rsidP="006A39BD">
      <w:pPr>
        <w:rPr>
          <w:rFonts w:ascii="Arial" w:hAnsi="Arial" w:cs="Arial"/>
        </w:rPr>
      </w:pPr>
    </w:p>
    <w:p w14:paraId="2B92CDEF" w14:textId="77777777" w:rsidR="006A39BD" w:rsidRPr="006A39BD" w:rsidRDefault="65E59E39" w:rsidP="1E025CA9">
      <w:pPr>
        <w:spacing w:after="0" w:line="360" w:lineRule="auto"/>
      </w:pPr>
      <w:r w:rsidRPr="1E025CA9">
        <w:rPr>
          <w:rFonts w:ascii="Arial" w:hAnsi="Arial" w:cs="Arial"/>
          <w:lang w:val="en-US"/>
        </w:rPr>
        <w:t>VoltTaxi Ltd is a progressive urban transportation startup established as a private limited company in the UK. The business addresses the critical need for sustainable, zero-emission inner-city travel by launching an exclusive, 100% electric vehicle (EV) taxi and ride-sharing service. Strategically positioned to capture the expanding segment of eco-conscious daily commuters and local corporate partners, VoltTaxi Ltd mitigates rising urban pollution while bypassing fluctuating fossil fuel expenses.</w:t>
      </w:r>
    </w:p>
    <w:p w14:paraId="39E2D7DB" w14:textId="47725166" w:rsidR="1E025CA9" w:rsidRDefault="1E025CA9" w:rsidP="1E025CA9">
      <w:pPr>
        <w:spacing w:after="0" w:line="360" w:lineRule="auto"/>
        <w:rPr>
          <w:rFonts w:ascii="Arial" w:hAnsi="Arial" w:cs="Arial"/>
          <w:lang w:val="en-US"/>
        </w:rPr>
      </w:pPr>
    </w:p>
    <w:p w14:paraId="2173A8C2" w14:textId="2ED4D4E5" w:rsidR="00A81CFD" w:rsidRDefault="65E59E39" w:rsidP="1E025CA9">
      <w:pPr>
        <w:spacing w:after="0" w:line="360" w:lineRule="auto"/>
        <w:rPr>
          <w:rFonts w:ascii="Arial" w:hAnsi="Arial" w:cs="Arial"/>
          <w:lang w:val="en-US"/>
        </w:rPr>
      </w:pPr>
      <w:r w:rsidRPr="1E025CA9">
        <w:rPr>
          <w:rFonts w:ascii="Arial" w:hAnsi="Arial" w:cs="Arial"/>
          <w:lang w:val="en-US"/>
        </w:rPr>
        <w:t>The enterprise is governed by a streamlined executive team consisting of a Chief Executive Officer (CEO), a Fleet Operations Manager, and a Marketing and IT Manager. To finance initial fleet leasing, application deployment, licensing, and marketing campaigns, VoltTaxi Ltd requires a total startup capital of £50,000, structured through £10,000 in personal owner equity and a £40,000 UK Government Start Up Loan. In addition to delivering environmental value, the company supports the local community by rejecting exploitative gig-economy structures, providing stable and fair hourly wages for drivers, and reinvesting 2% of profits into regional urban reforestation projects.</w:t>
      </w:r>
    </w:p>
    <w:p w14:paraId="35F8219F" w14:textId="77777777" w:rsidR="00A81CFD" w:rsidRDefault="00A81CFD">
      <w:pPr>
        <w:rPr>
          <w:rFonts w:ascii="Arial" w:hAnsi="Arial" w:cs="Arial"/>
        </w:rPr>
      </w:pPr>
      <w:r>
        <w:rPr>
          <w:rFonts w:ascii="Arial" w:hAnsi="Arial" w:cs="Arial"/>
        </w:rPr>
        <w:br w:type="page"/>
      </w:r>
    </w:p>
    <w:p w14:paraId="5425724A" w14:textId="77777777" w:rsidR="002151B1" w:rsidRPr="002151B1" w:rsidRDefault="002151B1" w:rsidP="002151B1">
      <w:pPr>
        <w:rPr>
          <w:rFonts w:ascii="Arial" w:hAnsi="Arial" w:cs="Arial"/>
        </w:rPr>
      </w:pPr>
    </w:p>
    <w:p w14:paraId="3B9E52C8" w14:textId="77777777" w:rsidR="002151B1" w:rsidRPr="002151B1" w:rsidRDefault="002151B1" w:rsidP="002151B1">
      <w:pPr>
        <w:rPr>
          <w:rFonts w:ascii="Arial" w:hAnsi="Arial" w:cs="Arial"/>
        </w:rPr>
      </w:pPr>
      <w:r w:rsidRPr="002151B1">
        <w:rPr>
          <w:rFonts w:ascii="Arial" w:hAnsi="Arial" w:cs="Arial"/>
        </w:rPr>
        <w:t>3. Table of Contents</w:t>
      </w:r>
    </w:p>
    <w:p w14:paraId="320384B8" w14:textId="61BA551D" w:rsidR="002151B1" w:rsidRPr="002151B1" w:rsidRDefault="002151B1" w:rsidP="002151B1">
      <w:pPr>
        <w:rPr>
          <w:rFonts w:ascii="Arial" w:hAnsi="Arial" w:cs="Arial"/>
        </w:rPr>
      </w:pPr>
    </w:p>
    <w:p w14:paraId="4C0753B8" w14:textId="69DD7C02" w:rsidR="002151B1" w:rsidRPr="002151B1" w:rsidRDefault="00C91F76" w:rsidP="002151B1">
      <w:pPr>
        <w:rPr>
          <w:rFonts w:ascii="Arial" w:hAnsi="Arial" w:cs="Arial"/>
        </w:rPr>
      </w:pPr>
      <w:r>
        <w:rPr>
          <w:rFonts w:ascii="Arial" w:hAnsi="Arial" w:cs="Arial"/>
        </w:rPr>
        <w:t xml:space="preserve"> </w:t>
      </w:r>
      <w:r w:rsidR="002151B1" w:rsidRPr="002151B1">
        <w:rPr>
          <w:rFonts w:ascii="Arial" w:hAnsi="Arial" w:cs="Arial"/>
        </w:rPr>
        <w:t xml:space="preserve"> </w:t>
      </w:r>
      <w:r w:rsidR="00DC048A">
        <w:rPr>
          <w:rFonts w:ascii="Arial" w:hAnsi="Arial" w:cs="Arial"/>
        </w:rPr>
        <w:t xml:space="preserve">4.  </w:t>
      </w:r>
      <w:r w:rsidR="00B24A13">
        <w:rPr>
          <w:rFonts w:ascii="Arial" w:hAnsi="Arial" w:cs="Arial"/>
        </w:rPr>
        <w:t xml:space="preserve">Page 4 </w:t>
      </w:r>
      <w:r w:rsidR="002151B1" w:rsidRPr="002151B1">
        <w:rPr>
          <w:rFonts w:ascii="Arial" w:hAnsi="Arial" w:cs="Arial"/>
        </w:rPr>
        <w:t>Overview of the Business Idea ..............................................................</w:t>
      </w:r>
    </w:p>
    <w:p w14:paraId="5023A19E" w14:textId="509BE90D" w:rsidR="002151B1" w:rsidRPr="002151B1" w:rsidRDefault="002151B1" w:rsidP="002151B1">
      <w:pPr>
        <w:rPr>
          <w:rFonts w:ascii="Arial" w:hAnsi="Arial" w:cs="Arial"/>
        </w:rPr>
      </w:pPr>
    </w:p>
    <w:p w14:paraId="5C0423C1" w14:textId="0F1D948A" w:rsidR="00E5035F" w:rsidRDefault="0316A2EA" w:rsidP="1E025CA9">
      <w:pPr>
        <w:rPr>
          <w:rFonts w:ascii="Arial" w:hAnsi="Arial" w:cs="Arial"/>
          <w:lang w:val="en-US"/>
        </w:rPr>
      </w:pPr>
      <w:r w:rsidRPr="1E025CA9">
        <w:rPr>
          <w:rFonts w:ascii="Arial" w:hAnsi="Arial" w:cs="Arial"/>
          <w:lang w:val="en-US"/>
        </w:rPr>
        <w:t xml:space="preserve"> </w:t>
      </w:r>
      <w:r w:rsidR="0E11EC9D" w:rsidRPr="1E025CA9">
        <w:rPr>
          <w:rFonts w:ascii="Arial" w:hAnsi="Arial" w:cs="Arial"/>
          <w:lang w:val="en-US"/>
        </w:rPr>
        <w:t xml:space="preserve">5.  </w:t>
      </w:r>
      <w:r w:rsidR="65040512" w:rsidRPr="1E025CA9">
        <w:rPr>
          <w:rFonts w:ascii="Arial" w:hAnsi="Arial" w:cs="Arial"/>
          <w:lang w:val="en-US"/>
        </w:rPr>
        <w:t>Page</w:t>
      </w:r>
      <w:r w:rsidR="6E5695C1" w:rsidRPr="1E025CA9">
        <w:rPr>
          <w:rFonts w:ascii="Arial" w:hAnsi="Arial" w:cs="Arial"/>
          <w:lang w:val="en-US"/>
        </w:rPr>
        <w:t xml:space="preserve"> 5</w:t>
      </w:r>
      <w:r w:rsidR="6FD377DB" w:rsidRPr="1E025CA9">
        <w:rPr>
          <w:rFonts w:ascii="Arial" w:hAnsi="Arial" w:cs="Arial"/>
          <w:lang w:val="en-US"/>
        </w:rPr>
        <w:t xml:space="preserve"> Market Research ................................................................</w:t>
      </w:r>
    </w:p>
    <w:p w14:paraId="01FC1A32" w14:textId="17998714" w:rsidR="002151B1" w:rsidRPr="002151B1" w:rsidRDefault="002151B1" w:rsidP="002151B1">
      <w:pPr>
        <w:rPr>
          <w:rFonts w:ascii="Arial" w:hAnsi="Arial" w:cs="Arial"/>
        </w:rPr>
      </w:pPr>
    </w:p>
    <w:p w14:paraId="3F85A3F1" w14:textId="60055E4A" w:rsidR="002151B1" w:rsidRPr="002151B1" w:rsidRDefault="002151B1" w:rsidP="002151B1">
      <w:pPr>
        <w:rPr>
          <w:rFonts w:ascii="Arial" w:hAnsi="Arial" w:cs="Arial"/>
        </w:rPr>
      </w:pPr>
    </w:p>
    <w:p w14:paraId="04EF1BBD" w14:textId="093196FE" w:rsidR="002151B1" w:rsidRPr="002151B1" w:rsidRDefault="0E11EC9D" w:rsidP="1E025CA9">
      <w:pPr>
        <w:rPr>
          <w:rFonts w:ascii="Arial" w:hAnsi="Arial" w:cs="Arial"/>
          <w:lang w:val="en-US"/>
        </w:rPr>
      </w:pPr>
      <w:r w:rsidRPr="1E025CA9">
        <w:rPr>
          <w:rFonts w:ascii="Arial" w:hAnsi="Arial" w:cs="Arial"/>
          <w:lang w:val="en-US"/>
        </w:rPr>
        <w:t xml:space="preserve">6.  </w:t>
      </w:r>
      <w:r w:rsidR="0EBB3669" w:rsidRPr="1E025CA9">
        <w:rPr>
          <w:rFonts w:ascii="Arial" w:hAnsi="Arial" w:cs="Arial"/>
          <w:lang w:val="en-US"/>
        </w:rPr>
        <w:t>Page 6</w:t>
      </w:r>
      <w:r w:rsidR="6FD377DB" w:rsidRPr="1E025CA9">
        <w:rPr>
          <w:rFonts w:ascii="Arial" w:hAnsi="Arial" w:cs="Arial"/>
          <w:lang w:val="en-US"/>
        </w:rPr>
        <w:t xml:space="preserve"> Marketing Communications ................................................................</w:t>
      </w:r>
    </w:p>
    <w:p w14:paraId="6407DB34" w14:textId="01B213DC" w:rsidR="002151B1" w:rsidRPr="002151B1" w:rsidRDefault="002151B1" w:rsidP="002151B1">
      <w:pPr>
        <w:rPr>
          <w:rFonts w:ascii="Arial" w:hAnsi="Arial" w:cs="Arial"/>
        </w:rPr>
      </w:pPr>
    </w:p>
    <w:p w14:paraId="53C6ADB7" w14:textId="7CD82C6C" w:rsidR="00730645" w:rsidRDefault="006405D1" w:rsidP="002151B1">
      <w:pPr>
        <w:rPr>
          <w:rFonts w:ascii="Arial" w:hAnsi="Arial" w:cs="Arial"/>
        </w:rPr>
      </w:pPr>
      <w:r>
        <w:rPr>
          <w:rFonts w:ascii="Arial" w:hAnsi="Arial" w:cs="Arial"/>
        </w:rPr>
        <w:t xml:space="preserve">7.  </w:t>
      </w:r>
      <w:r w:rsidR="00715F38">
        <w:rPr>
          <w:rFonts w:ascii="Arial" w:hAnsi="Arial" w:cs="Arial"/>
        </w:rPr>
        <w:t xml:space="preserve">Page 7 </w:t>
      </w:r>
      <w:r w:rsidR="005A584E">
        <w:rPr>
          <w:rFonts w:ascii="Arial" w:hAnsi="Arial" w:cs="Arial"/>
        </w:rPr>
        <w:t>Financial</w:t>
      </w:r>
      <w:r w:rsidR="00676041">
        <w:rPr>
          <w:rFonts w:ascii="Arial" w:hAnsi="Arial" w:cs="Arial"/>
        </w:rPr>
        <w:t>s</w:t>
      </w:r>
    </w:p>
    <w:p w14:paraId="1C7146EA" w14:textId="6119442C" w:rsidR="002151B1" w:rsidRPr="002151B1" w:rsidRDefault="00676041" w:rsidP="002151B1">
      <w:pPr>
        <w:rPr>
          <w:rFonts w:ascii="Arial" w:hAnsi="Arial" w:cs="Arial"/>
        </w:rPr>
      </w:pPr>
      <w:r>
        <w:rPr>
          <w:rFonts w:ascii="Arial" w:hAnsi="Arial" w:cs="Arial"/>
        </w:rPr>
        <w:t>………………………</w:t>
      </w:r>
      <w:r w:rsidR="00730645">
        <w:rPr>
          <w:rFonts w:ascii="Arial" w:hAnsi="Arial" w:cs="Arial"/>
        </w:rPr>
        <w:t>…………………</w:t>
      </w:r>
      <w:r w:rsidR="00715F38">
        <w:rPr>
          <w:rFonts w:ascii="Arial" w:hAnsi="Arial" w:cs="Arial"/>
        </w:rPr>
        <w:t>…</w:t>
      </w:r>
    </w:p>
    <w:p w14:paraId="40BA3D80" w14:textId="27B0904D" w:rsidR="002151B1" w:rsidRPr="002151B1" w:rsidRDefault="002151B1" w:rsidP="002151B1">
      <w:pPr>
        <w:rPr>
          <w:rFonts w:ascii="Arial" w:hAnsi="Arial" w:cs="Arial"/>
        </w:rPr>
      </w:pPr>
      <w:r w:rsidRPr="002151B1">
        <w:rPr>
          <w:rFonts w:ascii="Arial" w:hAnsi="Arial" w:cs="Arial"/>
        </w:rPr>
        <w:t xml:space="preserve"> </w:t>
      </w:r>
    </w:p>
    <w:p w14:paraId="25F4790E" w14:textId="0C2D3794" w:rsidR="00A81CFD" w:rsidRDefault="0E11EC9D" w:rsidP="1E025CA9">
      <w:pPr>
        <w:rPr>
          <w:rFonts w:ascii="Arial" w:hAnsi="Arial" w:cs="Arial"/>
          <w:lang w:val="en-US"/>
        </w:rPr>
      </w:pPr>
      <w:r w:rsidRPr="1E025CA9">
        <w:rPr>
          <w:rFonts w:ascii="Arial" w:hAnsi="Arial" w:cs="Arial"/>
          <w:lang w:val="en-US"/>
        </w:rPr>
        <w:t xml:space="preserve">8.  </w:t>
      </w:r>
      <w:r w:rsidR="26133D64" w:rsidRPr="1E025CA9">
        <w:rPr>
          <w:rFonts w:ascii="Arial" w:hAnsi="Arial" w:cs="Arial"/>
          <w:lang w:val="en-US"/>
        </w:rPr>
        <w:t xml:space="preserve">Page 8 </w:t>
      </w:r>
      <w:r w:rsidR="6FD377DB" w:rsidRPr="1E025CA9">
        <w:rPr>
          <w:rFonts w:ascii="Arial" w:hAnsi="Arial" w:cs="Arial"/>
          <w:lang w:val="en-US"/>
        </w:rPr>
        <w:t xml:space="preserve"> Reference List ................................................................ </w:t>
      </w:r>
    </w:p>
    <w:p w14:paraId="0D68552F" w14:textId="70313BF1" w:rsidR="0071252C" w:rsidRDefault="0071252C">
      <w:pPr>
        <w:rPr>
          <w:rFonts w:ascii="Arial" w:hAnsi="Arial" w:cs="Arial"/>
        </w:rPr>
      </w:pPr>
    </w:p>
    <w:p w14:paraId="426649FB" w14:textId="08CDB8F2" w:rsidR="006E177A" w:rsidRPr="006E177A" w:rsidRDefault="0071252C" w:rsidP="006E177A">
      <w:pPr>
        <w:rPr>
          <w:rFonts w:ascii="Arial" w:hAnsi="Arial" w:cs="Arial"/>
        </w:rPr>
      </w:pPr>
      <w:r>
        <w:rPr>
          <w:rFonts w:ascii="Arial" w:hAnsi="Arial" w:cs="Arial"/>
        </w:rPr>
        <w:br w:type="page"/>
      </w:r>
    </w:p>
    <w:p w14:paraId="6930F2BB" w14:textId="77777777" w:rsidR="006E177A" w:rsidRPr="006E177A" w:rsidRDefault="006E177A" w:rsidP="006E177A">
      <w:pPr>
        <w:rPr>
          <w:rFonts w:ascii="Arial" w:hAnsi="Arial" w:cs="Arial"/>
        </w:rPr>
      </w:pPr>
      <w:r w:rsidRPr="006E177A">
        <w:rPr>
          <w:rFonts w:ascii="Arial" w:hAnsi="Arial" w:cs="Arial"/>
        </w:rPr>
        <w:t>4. Overview of the Business Idea</w:t>
      </w:r>
    </w:p>
    <w:p w14:paraId="15DCD3E4" w14:textId="77777777" w:rsidR="006E177A" w:rsidRPr="006E177A" w:rsidRDefault="006E177A" w:rsidP="006E177A">
      <w:pPr>
        <w:rPr>
          <w:rFonts w:ascii="Arial" w:hAnsi="Arial" w:cs="Arial"/>
        </w:rPr>
      </w:pPr>
    </w:p>
    <w:p w14:paraId="53B99124" w14:textId="77777777" w:rsidR="006E177A" w:rsidRPr="006E177A" w:rsidRDefault="15F72AB5" w:rsidP="1E025CA9">
      <w:pPr>
        <w:spacing w:after="0" w:line="360" w:lineRule="auto"/>
      </w:pPr>
      <w:r w:rsidRPr="1E025CA9">
        <w:rPr>
          <w:rFonts w:ascii="Arial" w:hAnsi="Arial" w:cs="Arial"/>
          <w:lang w:val="en-US"/>
        </w:rPr>
        <w:t>VoltTaxi Ltd is a newly established urban transportation company formatted as a private limited company. The core mission of the enterprise is to provide affordable, reliable, and 100% eco-friendly taxi and ride-sharing services within the metropolitan area. Unlike traditional taxi firms that rely on fossil fuels, VoltTaxi Ltd will operate an exclusive fleet of fully electric vehicles (EVs), such as the Nissan Leaf and Tesla Model 3.</w:t>
      </w:r>
    </w:p>
    <w:p w14:paraId="4D817EDB" w14:textId="5B9D9DBE" w:rsidR="1E025CA9" w:rsidRDefault="1E025CA9" w:rsidP="1E025CA9">
      <w:pPr>
        <w:spacing w:after="0" w:line="360" w:lineRule="auto"/>
        <w:rPr>
          <w:rFonts w:ascii="Arial" w:hAnsi="Arial" w:cs="Arial"/>
          <w:lang w:val="en-US"/>
        </w:rPr>
      </w:pPr>
    </w:p>
    <w:p w14:paraId="1101FE94" w14:textId="77777777" w:rsidR="006E177A" w:rsidRPr="006E177A" w:rsidRDefault="15F72AB5" w:rsidP="1E025CA9">
      <w:pPr>
        <w:spacing w:after="0" w:line="360" w:lineRule="auto"/>
      </w:pPr>
      <w:r w:rsidRPr="1E025CA9">
        <w:rPr>
          <w:rFonts w:ascii="Arial" w:hAnsi="Arial" w:cs="Arial"/>
          <w:lang w:val="en-US"/>
        </w:rPr>
        <w:t>The management structure is designed to be lean and efficient to minimize operational costs. The founder will serve as the Chief Executive Officer (CEO), overseeing strategic growth and investor relations. The executive team will also include a Fleet Operations Manager, responsible for vehicle maintenance and charging logistics, and a Marketing and IT Manager, who will manage the customer application and digital advertising campaigns.</w:t>
      </w:r>
    </w:p>
    <w:p w14:paraId="1A4A7956" w14:textId="1B4411F0" w:rsidR="1E025CA9" w:rsidRDefault="1E025CA9" w:rsidP="1E025CA9">
      <w:pPr>
        <w:spacing w:after="0" w:line="360" w:lineRule="auto"/>
        <w:rPr>
          <w:rFonts w:ascii="Arial" w:hAnsi="Arial" w:cs="Arial"/>
          <w:lang w:val="en-US"/>
        </w:rPr>
      </w:pPr>
    </w:p>
    <w:p w14:paraId="149027D8" w14:textId="77777777" w:rsidR="006E177A" w:rsidRPr="006E177A" w:rsidRDefault="15F72AB5" w:rsidP="1E025CA9">
      <w:pPr>
        <w:spacing w:after="0" w:line="360" w:lineRule="auto"/>
      </w:pPr>
      <w:r w:rsidRPr="1E025CA9">
        <w:rPr>
          <w:rFonts w:ascii="Arial" w:hAnsi="Arial" w:cs="Arial"/>
          <w:lang w:val="en-US"/>
        </w:rPr>
        <w:t>A fundamental pillar of VoltTaxi Ltd is its commitment to environmental sustainability and community support, aligning directly with modern consumer expectations. By utilizing an all-electric fleet, the business guarantees zero tailpipe emissions, significantly reducing the city’s air pollution and carbon footprint. Furthermore, the company will implement a green energy sourcing policy, ensuring that all vehicles are recharged using 100% renewable energy from local solar and wind providers.</w:t>
      </w:r>
    </w:p>
    <w:p w14:paraId="3473101E" w14:textId="64977757" w:rsidR="1E025CA9" w:rsidRDefault="1E025CA9" w:rsidP="1E025CA9">
      <w:pPr>
        <w:spacing w:after="0" w:line="360" w:lineRule="auto"/>
        <w:rPr>
          <w:rFonts w:ascii="Arial" w:hAnsi="Arial" w:cs="Arial"/>
          <w:lang w:val="en-US"/>
        </w:rPr>
      </w:pPr>
    </w:p>
    <w:p w14:paraId="61F4320E" w14:textId="15792730" w:rsidR="00F15937" w:rsidRDefault="15F72AB5" w:rsidP="1E025CA9">
      <w:pPr>
        <w:spacing w:after="0" w:line="360" w:lineRule="auto"/>
        <w:rPr>
          <w:rFonts w:ascii="Arial" w:hAnsi="Arial" w:cs="Arial"/>
          <w:lang w:val="en-US"/>
        </w:rPr>
      </w:pPr>
      <w:r w:rsidRPr="1E025CA9">
        <w:rPr>
          <w:rFonts w:ascii="Arial" w:hAnsi="Arial" w:cs="Arial"/>
          <w:lang w:val="en-US"/>
        </w:rPr>
        <w:t>In terms of community support, VoltTaxi Ltd will provide ethical employment opportunities by offering fair, guaranteed hourly wages to local drivers rather than exploiting the gig-economy model. Additionally, a dedicated 2% of monthly profits will be reinvested into local urban reforestation projects, reinforcing the company's tie to the community it serves.</w:t>
      </w:r>
    </w:p>
    <w:p w14:paraId="63E112C2" w14:textId="2A8B5A01" w:rsidR="00F15937" w:rsidRDefault="00F15937" w:rsidP="1E025CA9">
      <w:pPr>
        <w:spacing w:after="0" w:line="360" w:lineRule="auto"/>
        <w:rPr>
          <w:rFonts w:ascii="Arial" w:hAnsi="Arial" w:cs="Arial"/>
        </w:rPr>
      </w:pPr>
    </w:p>
    <w:p w14:paraId="4CD440CD" w14:textId="77777777" w:rsidR="008E6FC5" w:rsidRPr="008E6FC5" w:rsidRDefault="008E6FC5" w:rsidP="008E6FC5">
      <w:pPr>
        <w:rPr>
          <w:rFonts w:ascii="Arial" w:hAnsi="Arial" w:cs="Arial"/>
        </w:rPr>
      </w:pPr>
    </w:p>
    <w:p w14:paraId="05C6DA68" w14:textId="77777777" w:rsidR="008E6FC5" w:rsidRPr="008E6FC5" w:rsidRDefault="008E6FC5" w:rsidP="008E6FC5">
      <w:pPr>
        <w:rPr>
          <w:rFonts w:ascii="Arial" w:hAnsi="Arial" w:cs="Arial"/>
        </w:rPr>
      </w:pPr>
      <w:r w:rsidRPr="008E6FC5">
        <w:rPr>
          <w:rFonts w:ascii="Arial" w:hAnsi="Arial" w:cs="Arial"/>
        </w:rPr>
        <w:t>5. Market Research</w:t>
      </w:r>
    </w:p>
    <w:p w14:paraId="38B58AC5" w14:textId="77777777" w:rsidR="008E6FC5" w:rsidRPr="008E6FC5" w:rsidRDefault="008E6FC5" w:rsidP="008E6FC5">
      <w:pPr>
        <w:rPr>
          <w:rFonts w:ascii="Arial" w:hAnsi="Arial" w:cs="Arial"/>
        </w:rPr>
      </w:pPr>
    </w:p>
    <w:p w14:paraId="279969E1" w14:textId="77777777" w:rsidR="008E6FC5" w:rsidRPr="008E6FC5" w:rsidRDefault="795610BB" w:rsidP="1E025CA9">
      <w:pPr>
        <w:spacing w:after="0" w:line="360" w:lineRule="auto"/>
        <w:rPr>
          <w:rFonts w:ascii="Arial" w:hAnsi="Arial" w:cs="Arial"/>
          <w:lang w:val="en-US"/>
        </w:rPr>
      </w:pPr>
      <w:r w:rsidRPr="1E025CA9">
        <w:rPr>
          <w:rFonts w:ascii="Arial" w:hAnsi="Arial" w:cs="Arial"/>
          <w:lang w:val="en-US"/>
        </w:rPr>
        <w:t>To ensure the commercial viability of VoltTaxi Ltd, a comprehensive market research analysis was conducted. The target market encompasses daily commuters, eco-conscious professionals, and local corporate clients within the urban area who require premium yet affordable transportation.</w:t>
      </w:r>
    </w:p>
    <w:p w14:paraId="437FAD10" w14:textId="77777777" w:rsidR="008E6FC5" w:rsidRPr="008E6FC5" w:rsidRDefault="008E6FC5" w:rsidP="1E025CA9">
      <w:pPr>
        <w:spacing w:after="0" w:line="360" w:lineRule="auto"/>
        <w:rPr>
          <w:rFonts w:ascii="Arial" w:hAnsi="Arial" w:cs="Arial"/>
        </w:rPr>
      </w:pPr>
    </w:p>
    <w:p w14:paraId="141F0DDD" w14:textId="77777777" w:rsidR="008E6FC5" w:rsidRPr="008E6FC5" w:rsidRDefault="795610BB" w:rsidP="1E025CA9">
      <w:pPr>
        <w:spacing w:after="0" w:line="360" w:lineRule="auto"/>
        <w:rPr>
          <w:rFonts w:ascii="Arial" w:hAnsi="Arial" w:cs="Arial"/>
        </w:rPr>
      </w:pPr>
      <w:r w:rsidRPr="1E025CA9">
        <w:rPr>
          <w:rFonts w:ascii="Arial" w:hAnsi="Arial" w:cs="Arial"/>
        </w:rPr>
        <w:t>5.1. PESTEL Analysis</w:t>
      </w:r>
    </w:p>
    <w:p w14:paraId="0663A2F7" w14:textId="77777777" w:rsidR="008E6FC5" w:rsidRPr="008E6FC5" w:rsidRDefault="008E6FC5" w:rsidP="1E025CA9">
      <w:pPr>
        <w:spacing w:after="0" w:line="360" w:lineRule="auto"/>
        <w:rPr>
          <w:rFonts w:ascii="Arial" w:hAnsi="Arial" w:cs="Arial"/>
        </w:rPr>
      </w:pPr>
    </w:p>
    <w:p w14:paraId="376FA2BE" w14:textId="77777777" w:rsidR="008E6FC5" w:rsidRPr="008E6FC5" w:rsidRDefault="795610BB" w:rsidP="1E025CA9">
      <w:pPr>
        <w:spacing w:after="0" w:line="360" w:lineRule="auto"/>
        <w:rPr>
          <w:rFonts w:ascii="Arial" w:hAnsi="Arial" w:cs="Arial"/>
          <w:lang w:val="en-US"/>
        </w:rPr>
      </w:pPr>
      <w:r w:rsidRPr="1E025CA9">
        <w:rPr>
          <w:rFonts w:ascii="Arial" w:hAnsi="Arial" w:cs="Arial"/>
          <w:lang w:val="en-US"/>
        </w:rPr>
        <w:t>A PESTEL framework was utilized to evaluate the external macro-environment operating in the UK taxi industry:</w:t>
      </w:r>
    </w:p>
    <w:p w14:paraId="50C311AA" w14:textId="25E69210" w:rsidR="008E6FC5" w:rsidRPr="008E6FC5" w:rsidRDefault="795610BB" w:rsidP="1E025CA9">
      <w:pPr>
        <w:pStyle w:val="ListParagraph"/>
        <w:numPr>
          <w:ilvl w:val="0"/>
          <w:numId w:val="1"/>
        </w:numPr>
        <w:spacing w:after="0" w:line="360" w:lineRule="auto"/>
        <w:rPr>
          <w:rFonts w:ascii="Arial" w:hAnsi="Arial" w:cs="Arial"/>
        </w:rPr>
      </w:pPr>
      <w:r w:rsidRPr="1E025CA9">
        <w:rPr>
          <w:rFonts w:ascii="Arial" w:hAnsi="Arial" w:cs="Arial"/>
        </w:rPr>
        <w:t>Political: The UK government strongly supports the transition to net-zero carbon emissions. This includes strict regulations on air quality and mandates that favor electric vehicle (EV) adoption over internal combustion engines.</w:t>
      </w:r>
    </w:p>
    <w:p w14:paraId="66897AE6" w14:textId="2F4B7064" w:rsidR="008E6FC5" w:rsidRPr="008E6FC5" w:rsidRDefault="795610BB" w:rsidP="1E025CA9">
      <w:pPr>
        <w:pStyle w:val="ListParagraph"/>
        <w:numPr>
          <w:ilvl w:val="0"/>
          <w:numId w:val="1"/>
        </w:numPr>
        <w:spacing w:after="0" w:line="360" w:lineRule="auto"/>
        <w:rPr>
          <w:rFonts w:ascii="Arial" w:hAnsi="Arial" w:cs="Arial"/>
          <w:lang w:val="en-US"/>
        </w:rPr>
      </w:pPr>
      <w:r w:rsidRPr="1E025CA9">
        <w:rPr>
          <w:rFonts w:ascii="Arial" w:hAnsi="Arial" w:cs="Arial"/>
          <w:lang w:val="en-US"/>
        </w:rPr>
        <w:t>Economic: Fluctuating fossil fuel prices pose a severe risk to traditional taxi drivers. Operating an all-electric fleet significantly reduces charging costs per mile, offering VoltTaxi Ltd a predictable and resilient cost structure.</w:t>
      </w:r>
    </w:p>
    <w:p w14:paraId="433CC915" w14:textId="1F742F34" w:rsidR="008E6FC5" w:rsidRPr="008E6FC5" w:rsidRDefault="795610BB" w:rsidP="1E025CA9">
      <w:pPr>
        <w:pStyle w:val="ListParagraph"/>
        <w:numPr>
          <w:ilvl w:val="0"/>
          <w:numId w:val="1"/>
        </w:numPr>
        <w:spacing w:after="0" w:line="360" w:lineRule="auto"/>
        <w:rPr>
          <w:rFonts w:ascii="Arial" w:hAnsi="Arial" w:cs="Arial"/>
          <w:lang w:val="en-US"/>
        </w:rPr>
      </w:pPr>
      <w:r w:rsidRPr="1E025CA9">
        <w:rPr>
          <w:rFonts w:ascii="Arial" w:hAnsi="Arial" w:cs="Arial"/>
          <w:lang w:val="en-US"/>
        </w:rPr>
        <w:t>Social: Modern consumers exhibit an increasing preference for ethically managed and environmentally sustainable brands. There is a growing social consensus that urban transportation must evolve to reduce toxic inner-city emissions.</w:t>
      </w:r>
    </w:p>
    <w:p w14:paraId="0DFB0A51" w14:textId="6219DD2B" w:rsidR="008E6FC5" w:rsidRPr="008E6FC5" w:rsidRDefault="795610BB" w:rsidP="1E025CA9">
      <w:pPr>
        <w:pStyle w:val="ListParagraph"/>
        <w:numPr>
          <w:ilvl w:val="0"/>
          <w:numId w:val="1"/>
        </w:numPr>
        <w:spacing w:after="0" w:line="360" w:lineRule="auto"/>
        <w:rPr>
          <w:rFonts w:ascii="Arial" w:hAnsi="Arial" w:cs="Arial"/>
        </w:rPr>
      </w:pPr>
      <w:r w:rsidRPr="1E025CA9">
        <w:rPr>
          <w:rFonts w:ascii="Arial" w:hAnsi="Arial" w:cs="Arial"/>
        </w:rPr>
        <w:t>Technological: Rapid advancements in EV battery ranges and the expansion of urban rapid-charging infrastructure minimize vehicle downtime. Furthermore, sophisticated mobile app integration allows for real-time GPS tracking and cashless transactions.</w:t>
      </w:r>
    </w:p>
    <w:p w14:paraId="72C7772D" w14:textId="61AFC548" w:rsidR="008E6FC5" w:rsidRPr="008E6FC5" w:rsidRDefault="795610BB" w:rsidP="1E025CA9">
      <w:pPr>
        <w:pStyle w:val="ListParagraph"/>
        <w:numPr>
          <w:ilvl w:val="0"/>
          <w:numId w:val="1"/>
        </w:numPr>
        <w:spacing w:after="0" w:line="360" w:lineRule="auto"/>
        <w:rPr>
          <w:rFonts w:ascii="Arial" w:hAnsi="Arial" w:cs="Arial"/>
          <w:lang w:val="en-US"/>
        </w:rPr>
      </w:pPr>
      <w:r w:rsidRPr="1E025CA9">
        <w:rPr>
          <w:rFonts w:ascii="Arial" w:hAnsi="Arial" w:cs="Arial"/>
          <w:lang w:val="en-US"/>
        </w:rPr>
        <w:t>Environmental: Severe urban air pollution necessitates immediate private sector intervention. VoltTaxi Ltd directly mitigates this issue by guaranteeing zero tailpipe emissions across its entire operational footprint.</w:t>
      </w:r>
    </w:p>
    <w:p w14:paraId="6933EA90" w14:textId="6445B973" w:rsidR="008E6FC5" w:rsidRPr="008E6FC5" w:rsidRDefault="795610BB" w:rsidP="1E025CA9">
      <w:pPr>
        <w:pStyle w:val="ListParagraph"/>
        <w:numPr>
          <w:ilvl w:val="0"/>
          <w:numId w:val="1"/>
        </w:numPr>
        <w:spacing w:after="0" w:line="360" w:lineRule="auto"/>
        <w:rPr>
          <w:rFonts w:ascii="Arial" w:hAnsi="Arial" w:cs="Arial"/>
          <w:lang w:val="en-US"/>
        </w:rPr>
      </w:pPr>
      <w:r w:rsidRPr="1E025CA9">
        <w:rPr>
          <w:rFonts w:ascii="Arial" w:hAnsi="Arial" w:cs="Arial"/>
          <w:lang w:val="en-US"/>
        </w:rPr>
        <w:t>Legal: Compliance with the local licensing authorities, the Taxi and Private Hire Vehicle (PHV) regulations, and strict General Data Protection Regulation (GDPR) mandates for the mobile application is strictly required.</w:t>
      </w:r>
    </w:p>
    <w:p w14:paraId="07BA81D7" w14:textId="77777777" w:rsidR="008E6FC5" w:rsidRPr="008E6FC5" w:rsidRDefault="008E6FC5" w:rsidP="1E025CA9">
      <w:pPr>
        <w:spacing w:after="0" w:line="360" w:lineRule="auto"/>
        <w:rPr>
          <w:rFonts w:ascii="Arial" w:hAnsi="Arial" w:cs="Arial"/>
        </w:rPr>
      </w:pPr>
    </w:p>
    <w:p w14:paraId="1913BB52" w14:textId="77777777" w:rsidR="008E6FC5" w:rsidRPr="008E6FC5" w:rsidRDefault="795610BB" w:rsidP="1E025CA9">
      <w:pPr>
        <w:spacing w:after="0" w:line="360" w:lineRule="auto"/>
        <w:rPr>
          <w:rFonts w:ascii="Arial" w:hAnsi="Arial" w:cs="Arial"/>
        </w:rPr>
      </w:pPr>
      <w:r w:rsidRPr="1E025CA9">
        <w:rPr>
          <w:rFonts w:ascii="Arial" w:hAnsi="Arial" w:cs="Arial"/>
        </w:rPr>
        <w:t>5.2. Competitive Analysis</w:t>
      </w:r>
    </w:p>
    <w:p w14:paraId="250604B2" w14:textId="77777777" w:rsidR="008E6FC5" w:rsidRPr="008E6FC5" w:rsidRDefault="008E6FC5" w:rsidP="1E025CA9">
      <w:pPr>
        <w:spacing w:after="0" w:line="360" w:lineRule="auto"/>
        <w:rPr>
          <w:rFonts w:ascii="Arial" w:hAnsi="Arial" w:cs="Arial"/>
        </w:rPr>
      </w:pPr>
    </w:p>
    <w:p w14:paraId="72EED436" w14:textId="77777777" w:rsidR="008E6FC5" w:rsidRPr="008E6FC5" w:rsidRDefault="795610BB" w:rsidP="1E025CA9">
      <w:pPr>
        <w:spacing w:after="0" w:line="360" w:lineRule="auto"/>
        <w:rPr>
          <w:rFonts w:ascii="Arial" w:hAnsi="Arial" w:cs="Arial"/>
          <w:lang w:val="en-US"/>
        </w:rPr>
      </w:pPr>
      <w:r w:rsidRPr="1E025CA9">
        <w:rPr>
          <w:rFonts w:ascii="Arial" w:hAnsi="Arial" w:cs="Arial"/>
          <w:lang w:val="en-US"/>
        </w:rPr>
        <w:t>The urban market is highly competitive, dominated by massive ride-sharing conglomerates such as Uber and Bolt, alongside established local hackney carriage companies. Uber and Bolt possess immense brand awareness and massive market share; however, they rely heavily on the gig-economy model, which faces continuous public scrutiny regarding driver exploitation and dynamic "surge pricing" that alienates customers. Traditional taxi companies offer reliability but are severely lagging in converting their fleets to sustainable alternatives.</w:t>
      </w:r>
    </w:p>
    <w:p w14:paraId="5BD85671" w14:textId="4F501A9F" w:rsidR="00F15937" w:rsidRDefault="795610BB" w:rsidP="1E025CA9">
      <w:pPr>
        <w:spacing w:after="0" w:line="360" w:lineRule="auto"/>
        <w:rPr>
          <w:rFonts w:ascii="Arial" w:hAnsi="Arial" w:cs="Arial"/>
          <w:lang w:val="en-US"/>
        </w:rPr>
      </w:pPr>
      <w:r w:rsidRPr="1E025CA9">
        <w:rPr>
          <w:rFonts w:ascii="Arial" w:hAnsi="Arial" w:cs="Arial"/>
          <w:lang w:val="en-US"/>
        </w:rPr>
        <w:t>VoltTaxi Ltd establishes its unique competitive advantage by positioning itself as the premier 100% green alternative. Unlike competitors, the company offers a fixed pricing structure devoid of hidden surges and guarantees that every single journey actively contributes to lowering city pollution.</w:t>
      </w:r>
    </w:p>
    <w:p w14:paraId="423D4659" w14:textId="77777777" w:rsidR="00314628" w:rsidRDefault="00314628" w:rsidP="1E025CA9">
      <w:pPr>
        <w:spacing w:after="0" w:line="360" w:lineRule="auto"/>
        <w:rPr>
          <w:rFonts w:ascii="Arial" w:hAnsi="Arial" w:cs="Arial"/>
        </w:rPr>
      </w:pPr>
    </w:p>
    <w:p w14:paraId="4DC62392" w14:textId="77777777" w:rsidR="00314628" w:rsidRDefault="00314628" w:rsidP="1E025CA9">
      <w:pPr>
        <w:spacing w:after="0" w:line="360" w:lineRule="auto"/>
        <w:rPr>
          <w:rFonts w:ascii="Arial" w:hAnsi="Arial" w:cs="Arial"/>
        </w:rPr>
      </w:pPr>
    </w:p>
    <w:p w14:paraId="5D116B64" w14:textId="77777777" w:rsidR="00DB4B28" w:rsidRPr="00DB4B28" w:rsidRDefault="00DB4B28" w:rsidP="1E025CA9">
      <w:pPr>
        <w:spacing w:after="0" w:line="360" w:lineRule="auto"/>
        <w:rPr>
          <w:rFonts w:ascii="Arial" w:hAnsi="Arial" w:cs="Arial"/>
        </w:rPr>
      </w:pPr>
    </w:p>
    <w:p w14:paraId="0051BC4A" w14:textId="77777777" w:rsidR="00DB4B28" w:rsidRPr="00DB4B28" w:rsidRDefault="7E978E7B" w:rsidP="1E025CA9">
      <w:pPr>
        <w:spacing w:after="0" w:line="360" w:lineRule="auto"/>
        <w:rPr>
          <w:rFonts w:ascii="Arial" w:hAnsi="Arial" w:cs="Arial"/>
        </w:rPr>
      </w:pPr>
      <w:r w:rsidRPr="1E025CA9">
        <w:rPr>
          <w:rFonts w:ascii="Arial" w:hAnsi="Arial" w:cs="Arial"/>
        </w:rPr>
        <w:t>6. Marketing Communications</w:t>
      </w:r>
    </w:p>
    <w:p w14:paraId="5AB11801" w14:textId="77777777" w:rsidR="00DB4B28" w:rsidRPr="00DB4B28" w:rsidRDefault="00DB4B28" w:rsidP="1E025CA9">
      <w:pPr>
        <w:spacing w:after="0" w:line="360" w:lineRule="auto"/>
        <w:rPr>
          <w:rFonts w:ascii="Arial" w:hAnsi="Arial" w:cs="Arial"/>
        </w:rPr>
      </w:pPr>
    </w:p>
    <w:p w14:paraId="56F2D640" w14:textId="77777777" w:rsidR="00DB4B28" w:rsidRPr="00DB4B28" w:rsidRDefault="7E978E7B" w:rsidP="1E025CA9">
      <w:pPr>
        <w:spacing w:after="0" w:line="360" w:lineRule="auto"/>
        <w:rPr>
          <w:rFonts w:ascii="Arial" w:hAnsi="Arial" w:cs="Arial"/>
          <w:lang w:val="en-US"/>
        </w:rPr>
      </w:pPr>
      <w:r w:rsidRPr="1E025CA9">
        <w:rPr>
          <w:rFonts w:ascii="Arial" w:hAnsi="Arial" w:cs="Arial"/>
          <w:lang w:val="en-US"/>
        </w:rPr>
        <w:t>To establish a robust market presence and drive application downloads, VoltTaxi Ltd will deploy a targeted, multi-channel marketing communication strategy. The primary campaign objective is to articulate the brand's unique value proposition: seamless, premium urban transport with zero environmental impact.</w:t>
      </w:r>
    </w:p>
    <w:p w14:paraId="3D122F17" w14:textId="77777777" w:rsidR="00DB4B28" w:rsidRPr="00DB4B28" w:rsidRDefault="7E978E7B" w:rsidP="1E025CA9">
      <w:pPr>
        <w:spacing w:after="0" w:line="360" w:lineRule="auto"/>
        <w:rPr>
          <w:rFonts w:ascii="Arial" w:hAnsi="Arial" w:cs="Arial"/>
          <w:lang w:val="en-US"/>
        </w:rPr>
      </w:pPr>
      <w:r w:rsidRPr="1E025CA9">
        <w:rPr>
          <w:rFonts w:ascii="Arial" w:hAnsi="Arial" w:cs="Arial"/>
          <w:lang w:val="en-US"/>
        </w:rPr>
        <w:t>• Digital and Social Media Marketing: The company will launch high-visibility campaigns across platforms frequently used by daily urban commuters, specifically Instagram, LinkedIn, and TikTok. Content will focus on visually engaging story-telling, highlighting the amount of CO2 saved by choosing VoltTaxi Ltd. To incentivize early adoption, a "First Ride Free" promotional code will be heavily marketed to new application users.</w:t>
      </w:r>
    </w:p>
    <w:p w14:paraId="7DA55706" w14:textId="77777777" w:rsidR="00DB4B28" w:rsidRPr="00DB4B28" w:rsidRDefault="7E978E7B" w:rsidP="1E025CA9">
      <w:pPr>
        <w:spacing w:after="0" w:line="360" w:lineRule="auto"/>
        <w:rPr>
          <w:rFonts w:ascii="Arial" w:hAnsi="Arial" w:cs="Arial"/>
          <w:lang w:val="en-US"/>
        </w:rPr>
      </w:pPr>
      <w:r w:rsidRPr="1E025CA9">
        <w:rPr>
          <w:rFonts w:ascii="Arial" w:hAnsi="Arial" w:cs="Arial"/>
          <w:lang w:val="en-US"/>
        </w:rPr>
        <w:t>• Business-to-Business (B2B) Partnerships: A dedicated direct marketing campaign will target local corporate offices, hotels, and event venues. VoltTaxi Ltd will offer corporate accounts with fixed, monthly invoicing, allowing local businesses to offset their own corporate carbon footprints by utilizing 100% electric corporate travel solutions.</w:t>
      </w:r>
    </w:p>
    <w:p w14:paraId="16DE733C" w14:textId="4B0880EF" w:rsidR="00314628" w:rsidRDefault="7E978E7B" w:rsidP="1E025CA9">
      <w:pPr>
        <w:spacing w:after="0" w:line="360" w:lineRule="auto"/>
        <w:rPr>
          <w:rFonts w:ascii="Arial" w:hAnsi="Arial" w:cs="Arial"/>
        </w:rPr>
      </w:pPr>
      <w:r w:rsidRPr="1E025CA9">
        <w:rPr>
          <w:rFonts w:ascii="Arial" w:hAnsi="Arial" w:cs="Arial"/>
        </w:rPr>
        <w:t>• Guerrilla and Visual Marketing: The physical fleet itself will serve as a primary marketing tool. Every electric vehicle will feature clean, distinct, and vibrant eco-branding (using biodegradable vinyl wraps) that makes the cars instantly recognizable on city streets. Additionally, high-traffic charging hubs will feature physical signage to emphasize the brand's local infrastructure investment.</w:t>
      </w:r>
    </w:p>
    <w:p w14:paraId="6381E158" w14:textId="77777777" w:rsidR="00DB4B28" w:rsidRDefault="00DB4B28" w:rsidP="1E025CA9">
      <w:pPr>
        <w:spacing w:after="0" w:line="360" w:lineRule="auto"/>
        <w:rPr>
          <w:rFonts w:ascii="Arial" w:hAnsi="Arial" w:cs="Arial"/>
        </w:rPr>
      </w:pPr>
    </w:p>
    <w:p w14:paraId="371BA1B2" w14:textId="77777777" w:rsidR="00DB4B28" w:rsidRDefault="00DB4B28" w:rsidP="1E025CA9">
      <w:pPr>
        <w:spacing w:after="0" w:line="360" w:lineRule="auto"/>
        <w:rPr>
          <w:rFonts w:ascii="Arial" w:hAnsi="Arial" w:cs="Arial"/>
        </w:rPr>
      </w:pPr>
    </w:p>
    <w:p w14:paraId="0F05CD63" w14:textId="77777777" w:rsidR="007363BF" w:rsidRPr="007363BF" w:rsidRDefault="007363BF" w:rsidP="1E025CA9">
      <w:pPr>
        <w:spacing w:after="0" w:line="360" w:lineRule="auto"/>
        <w:rPr>
          <w:rFonts w:ascii="Arial" w:hAnsi="Arial" w:cs="Arial"/>
        </w:rPr>
      </w:pPr>
    </w:p>
    <w:p w14:paraId="6CA518C4" w14:textId="77777777" w:rsidR="007363BF" w:rsidRPr="007363BF" w:rsidRDefault="78B65209" w:rsidP="1E025CA9">
      <w:pPr>
        <w:spacing w:after="0" w:line="360" w:lineRule="auto"/>
        <w:rPr>
          <w:rFonts w:ascii="Arial" w:hAnsi="Arial" w:cs="Arial"/>
        </w:rPr>
      </w:pPr>
      <w:r w:rsidRPr="1E025CA9">
        <w:rPr>
          <w:rFonts w:ascii="Arial" w:hAnsi="Arial" w:cs="Arial"/>
        </w:rPr>
        <w:t>7. Financials</w:t>
      </w:r>
    </w:p>
    <w:p w14:paraId="14B41430" w14:textId="77777777" w:rsidR="007363BF" w:rsidRPr="007363BF" w:rsidRDefault="007363BF" w:rsidP="1E025CA9">
      <w:pPr>
        <w:spacing w:after="0" w:line="360" w:lineRule="auto"/>
        <w:rPr>
          <w:rFonts w:ascii="Arial" w:hAnsi="Arial" w:cs="Arial"/>
        </w:rPr>
      </w:pPr>
    </w:p>
    <w:p w14:paraId="5B772803" w14:textId="77777777" w:rsidR="007363BF" w:rsidRPr="007363BF" w:rsidRDefault="78B65209" w:rsidP="1E025CA9">
      <w:pPr>
        <w:spacing w:after="0" w:line="360" w:lineRule="auto"/>
        <w:rPr>
          <w:rFonts w:ascii="Arial" w:hAnsi="Arial" w:cs="Arial"/>
          <w:lang w:val="en-US"/>
        </w:rPr>
      </w:pPr>
      <w:r w:rsidRPr="1E025CA9">
        <w:rPr>
          <w:rFonts w:ascii="Arial" w:hAnsi="Arial" w:cs="Arial"/>
          <w:lang w:val="en-US"/>
        </w:rPr>
        <w:t>To successfully launch VoltTaxi Ltd, the business requires a total initial startup capital of £50,000. The funding structure will combine internal and external capital: the founder will inject £10,000 as personal equity, while the remaining £40,000 will be secured via a UK Government Start Up Loan, which offers competitive interest rates and mentoring support for sustainable enterprises.</w:t>
      </w:r>
    </w:p>
    <w:p w14:paraId="0546EC3C" w14:textId="77777777" w:rsidR="007363BF" w:rsidRPr="007363BF" w:rsidRDefault="78B65209" w:rsidP="1E025CA9">
      <w:pPr>
        <w:spacing w:after="0" w:line="360" w:lineRule="auto"/>
        <w:rPr>
          <w:rFonts w:ascii="Arial" w:hAnsi="Arial" w:cs="Arial"/>
          <w:lang w:val="en-US"/>
        </w:rPr>
      </w:pPr>
      <w:r w:rsidRPr="1E025CA9">
        <w:rPr>
          <w:rFonts w:ascii="Arial" w:hAnsi="Arial" w:cs="Arial"/>
          <w:lang w:val="en-US"/>
        </w:rPr>
        <w:t>The capital will be strictly allocated to cover key startup expenses required during the first month of operations:</w:t>
      </w:r>
    </w:p>
    <w:p w14:paraId="0CE177EA" w14:textId="77777777" w:rsidR="007363BF" w:rsidRPr="007363BF" w:rsidRDefault="78B65209" w:rsidP="1E025CA9">
      <w:pPr>
        <w:spacing w:after="0" w:line="360" w:lineRule="auto"/>
        <w:rPr>
          <w:rFonts w:ascii="Arial" w:hAnsi="Arial" w:cs="Arial"/>
          <w:lang w:val="en-US"/>
        </w:rPr>
      </w:pPr>
      <w:r w:rsidRPr="1E025CA9">
        <w:rPr>
          <w:rFonts w:ascii="Arial" w:hAnsi="Arial" w:cs="Arial"/>
          <w:lang w:val="en-US"/>
        </w:rPr>
        <w:t>• Fleet Procurement (Lease Deposits): £20,000 allocated for the upfront commercial leasing deposits for the initial fleet of electric vehicles.</w:t>
      </w:r>
    </w:p>
    <w:p w14:paraId="40C215BD" w14:textId="77777777" w:rsidR="007363BF" w:rsidRPr="007363BF" w:rsidRDefault="78B65209" w:rsidP="1E025CA9">
      <w:pPr>
        <w:spacing w:after="0" w:line="360" w:lineRule="auto"/>
        <w:rPr>
          <w:rFonts w:ascii="Arial" w:hAnsi="Arial" w:cs="Arial"/>
        </w:rPr>
      </w:pPr>
      <w:r w:rsidRPr="1E025CA9">
        <w:rPr>
          <w:rFonts w:ascii="Arial" w:hAnsi="Arial" w:cs="Arial"/>
        </w:rPr>
        <w:t>• Licensing and Legal Compliance: £8,000 dedicated to securing Private Hire Vehicle (PHV) operator licenses, fleet insurance policies (Taxi/Hire and Reward), and legal counsel.</w:t>
      </w:r>
    </w:p>
    <w:p w14:paraId="70C8C34E" w14:textId="77777777" w:rsidR="007363BF" w:rsidRPr="007363BF" w:rsidRDefault="78B65209" w:rsidP="1E025CA9">
      <w:pPr>
        <w:spacing w:after="0" w:line="360" w:lineRule="auto"/>
        <w:rPr>
          <w:rFonts w:ascii="Arial" w:hAnsi="Arial" w:cs="Arial"/>
        </w:rPr>
      </w:pPr>
      <w:r w:rsidRPr="1E025CA9">
        <w:rPr>
          <w:rFonts w:ascii="Arial" w:hAnsi="Arial" w:cs="Arial"/>
        </w:rPr>
        <w:t>• Technology and Software Integration: £12,000 for the localized deployment, testing, and cloud hosting setup of the custom customer mobile application and driver dispatch software.</w:t>
      </w:r>
    </w:p>
    <w:p w14:paraId="60F98AC2" w14:textId="77777777" w:rsidR="007363BF" w:rsidRPr="007363BF" w:rsidRDefault="78B65209" w:rsidP="1E025CA9">
      <w:pPr>
        <w:spacing w:after="0" w:line="360" w:lineRule="auto"/>
        <w:rPr>
          <w:rFonts w:ascii="Arial" w:hAnsi="Arial" w:cs="Arial"/>
          <w:lang w:val="en-US"/>
        </w:rPr>
      </w:pPr>
      <w:r w:rsidRPr="1E025CA9">
        <w:rPr>
          <w:rFonts w:ascii="Arial" w:hAnsi="Arial" w:cs="Arial"/>
          <w:lang w:val="en-US"/>
        </w:rPr>
        <w:t>• Marketing and Launch Campaigns: £5,000 allocated to execute the multi-channel digital and physical marketing strategy outlined in Section 6.</w:t>
      </w:r>
    </w:p>
    <w:p w14:paraId="3EA1E755" w14:textId="64348C6E" w:rsidR="00485F37" w:rsidRDefault="78B65209" w:rsidP="1E025CA9">
      <w:pPr>
        <w:spacing w:after="0" w:line="360" w:lineRule="auto"/>
        <w:rPr>
          <w:rFonts w:ascii="Arial" w:hAnsi="Arial" w:cs="Arial"/>
          <w:lang w:val="en-US"/>
        </w:rPr>
      </w:pPr>
      <w:r w:rsidRPr="1E025CA9">
        <w:rPr>
          <w:rFonts w:ascii="Arial" w:hAnsi="Arial" w:cs="Arial"/>
          <w:lang w:val="en-US"/>
        </w:rPr>
        <w:t>• Working Capital Buffer: £5,000 reserved to maintain operational liquidity, covering emergency maintenance and initial electric charging costs during the opening weeks</w:t>
      </w:r>
      <w:r w:rsidR="00485F37">
        <w:rPr>
          <w:rFonts w:ascii="Arial" w:hAnsi="Arial" w:cs="Arial"/>
          <w:lang w:val="en-US"/>
        </w:rPr>
        <w:t>.</w:t>
      </w:r>
    </w:p>
    <w:p w14:paraId="583538D4" w14:textId="77777777" w:rsidR="00733AA8" w:rsidRPr="00733AA8" w:rsidRDefault="00733AA8" w:rsidP="00733AA8">
      <w:pPr>
        <w:spacing w:after="0" w:line="360" w:lineRule="auto"/>
        <w:rPr>
          <w:rFonts w:ascii="Arial" w:hAnsi="Arial" w:cs="Arial"/>
          <w:lang w:val="en-US"/>
        </w:rPr>
      </w:pPr>
    </w:p>
    <w:p w14:paraId="0CD20FF6" w14:textId="77777777" w:rsidR="00733AA8" w:rsidRPr="00733AA8" w:rsidRDefault="00733AA8" w:rsidP="00733AA8">
      <w:pPr>
        <w:spacing w:after="0" w:line="360" w:lineRule="auto"/>
        <w:rPr>
          <w:rFonts w:ascii="Arial" w:hAnsi="Arial" w:cs="Arial"/>
          <w:lang w:val="en-US"/>
        </w:rPr>
      </w:pPr>
      <w:r w:rsidRPr="00733AA8">
        <w:rPr>
          <w:rFonts w:ascii="Arial" w:hAnsi="Arial" w:cs="Arial"/>
          <w:lang w:val="en-US"/>
        </w:rPr>
        <w:t>7.1. Financial Commentary and Cash Flow Justification</w:t>
      </w:r>
    </w:p>
    <w:p w14:paraId="71BAF5E7" w14:textId="77777777" w:rsidR="00733AA8" w:rsidRPr="00733AA8" w:rsidRDefault="00733AA8" w:rsidP="00733AA8">
      <w:pPr>
        <w:spacing w:after="0" w:line="360" w:lineRule="auto"/>
        <w:rPr>
          <w:rFonts w:ascii="Arial" w:hAnsi="Arial" w:cs="Arial"/>
          <w:lang w:val="en-US"/>
        </w:rPr>
      </w:pPr>
    </w:p>
    <w:p w14:paraId="2C789F32" w14:textId="77777777" w:rsidR="00733AA8" w:rsidRPr="00733AA8" w:rsidRDefault="00733AA8" w:rsidP="00733AA8">
      <w:pPr>
        <w:spacing w:after="0" w:line="360" w:lineRule="auto"/>
        <w:rPr>
          <w:rFonts w:ascii="Arial" w:hAnsi="Arial" w:cs="Arial"/>
          <w:lang w:val="en-US"/>
        </w:rPr>
      </w:pPr>
      <w:r w:rsidRPr="00733AA8">
        <w:rPr>
          <w:rFonts w:ascii="Arial" w:hAnsi="Arial" w:cs="Arial"/>
          <w:lang w:val="en-US"/>
        </w:rPr>
        <w:t>To provide a comprehensive understanding of the financial structure outlined in the cash flow forecast below, it is critical to contextualize the initial operational expenditures. VoltTaxi Ltd operates on a lean startup model, ensuring that the total capital inflow of £50,000 is systematically allocated to optimize initial operations, mitigate legal risks, and build a rapid market presence.</w:t>
      </w:r>
    </w:p>
    <w:p w14:paraId="2A8019CE" w14:textId="77777777" w:rsidR="00733AA8" w:rsidRPr="00733AA8" w:rsidRDefault="00733AA8" w:rsidP="00733AA8">
      <w:pPr>
        <w:spacing w:after="0" w:line="360" w:lineRule="auto"/>
        <w:rPr>
          <w:rFonts w:ascii="Arial" w:hAnsi="Arial" w:cs="Arial"/>
          <w:lang w:val="en-US"/>
        </w:rPr>
      </w:pPr>
      <w:r w:rsidRPr="00733AA8">
        <w:rPr>
          <w:rFonts w:ascii="Arial" w:hAnsi="Arial" w:cs="Arial"/>
          <w:lang w:val="en-US"/>
        </w:rPr>
        <w:t>The cash in-flow consists of a balanced mix of owner equity and external financing, creating a stable foundation for Month 1. The primary operational cash out-flows are heavily weighted towards capital assets and regulatory compliance. Equipment purchase and leasing requires an immediate outlay of £20,000, which covers the crucial upfront commercial lease deposits for the electric vehicle fleet. This is paired with £2,000 for specialized commercial taxi insurance and £6,000 in professional legal and accounting fees, which are absolutely mandatory to navigate the complex UK Private Hire Vehicle (PHV) licensing ecosystem.</w:t>
      </w:r>
    </w:p>
    <w:p w14:paraId="0F6AC91C" w14:textId="77777777" w:rsidR="00733AA8" w:rsidRPr="00733AA8" w:rsidRDefault="00733AA8" w:rsidP="00733AA8">
      <w:pPr>
        <w:spacing w:after="0" w:line="360" w:lineRule="auto"/>
        <w:rPr>
          <w:rFonts w:ascii="Arial" w:hAnsi="Arial" w:cs="Arial"/>
          <w:lang w:val="en-US"/>
        </w:rPr>
      </w:pPr>
      <w:r w:rsidRPr="00733AA8">
        <w:rPr>
          <w:rFonts w:ascii="Arial" w:hAnsi="Arial" w:cs="Arial"/>
          <w:lang w:val="en-US"/>
        </w:rPr>
        <w:t>Furthermore, technological infrastructure and market penetration represent significant investments in the opening month. Marketing and advertising expenses are projected at £6,000 to launch the multi-channel digital campaigns across social media, driving the critical volume of application downloads needed to generate steady consumer demand. To support this digital reach, software development, localized application testing, and server setup require an allocation within the operational framework to maintain stable GPS dispatch functions.</w:t>
      </w:r>
    </w:p>
    <w:p w14:paraId="1E9B0CCC" w14:textId="0EB1DF69" w:rsidR="00DB4B28" w:rsidRDefault="00733AA8" w:rsidP="1E025CA9">
      <w:pPr>
        <w:spacing w:after="0" w:line="360" w:lineRule="auto"/>
        <w:rPr>
          <w:rFonts w:ascii="Arial" w:hAnsi="Arial" w:cs="Arial"/>
          <w:lang w:val="en-US"/>
        </w:rPr>
      </w:pPr>
      <w:r w:rsidRPr="00733AA8">
        <w:rPr>
          <w:rFonts w:ascii="Arial" w:hAnsi="Arial" w:cs="Arial"/>
          <w:lang w:val="en-US"/>
        </w:rPr>
        <w:t>Operational overheads such as rent for premises (£500), basic utilities (£100), running costs (£400), and communications (£50) are strictly minimized to preserve capital efficiency. A substantial buffer of £12,000 is maintained under any other unexpected contingencies to safeguard the company’s liquidity against unforeseen rapid-charging variations or delayed corporate B2B clearings. As a result, the total cash out-flows for Month 1 sit at £47,200. This leaves VoltTaxi Ltd with a highly positive net cash flow of £2,800 at the end of its first operational cycle, proving the short-term liquidity, financial health, and commercial sustainability of the business model.</w:t>
      </w:r>
    </w:p>
    <w:p w14:paraId="0BB3B3EC" w14:textId="77777777" w:rsidR="002F6E14" w:rsidRDefault="002F6E14" w:rsidP="1E025CA9">
      <w:pPr>
        <w:spacing w:after="0" w:line="360" w:lineRule="auto"/>
        <w:rPr>
          <w:rFonts w:ascii="Arial" w:hAnsi="Arial" w:cs="Arial"/>
        </w:rPr>
      </w:pPr>
    </w:p>
    <w:tbl>
      <w:tblPr>
        <w:tblW w:w="0" w:type="auto"/>
        <w:tblLook w:val="06A0" w:firstRow="1" w:lastRow="0" w:firstColumn="1" w:lastColumn="0" w:noHBand="1" w:noVBand="1"/>
      </w:tblPr>
      <w:tblGrid>
        <w:gridCol w:w="5459"/>
        <w:gridCol w:w="3562"/>
      </w:tblGrid>
      <w:tr w:rsidR="1E025CA9" w14:paraId="15CAA915" w14:textId="77777777" w:rsidTr="1E025CA9">
        <w:trPr>
          <w:trHeight w:val="375"/>
        </w:trPr>
        <w:tc>
          <w:tcPr>
            <w:tcW w:w="5648" w:type="dxa"/>
            <w:tcBorders>
              <w:top w:val="nil"/>
              <w:left w:val="nil"/>
              <w:bottom w:val="nil"/>
              <w:right w:val="nil"/>
            </w:tcBorders>
            <w:shd w:val="clear" w:color="auto" w:fill="FFFFFF" w:themeFill="background1"/>
            <w:vAlign w:val="bottom"/>
          </w:tcPr>
          <w:p w14:paraId="695D78A3" w14:textId="1A602084" w:rsidR="1E025CA9" w:rsidRDefault="1E025CA9" w:rsidP="1E025CA9">
            <w:pPr>
              <w:spacing w:after="0" w:line="360" w:lineRule="auto"/>
              <w:rPr>
                <w:rFonts w:ascii="Arial" w:eastAsia="Arial" w:hAnsi="Arial" w:cs="Arial"/>
                <w:b/>
                <w:bCs/>
                <w:sz w:val="28"/>
                <w:szCs w:val="28"/>
              </w:rPr>
            </w:pPr>
          </w:p>
        </w:tc>
        <w:tc>
          <w:tcPr>
            <w:tcW w:w="367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4" w:space="0" w:color="595959" w:themeColor="text1" w:themeTint="A6"/>
            </w:tcBorders>
            <w:shd w:val="clear" w:color="auto" w:fill="3F8846"/>
            <w:vAlign w:val="center"/>
          </w:tcPr>
          <w:p w14:paraId="08B79D35" w14:textId="2DB807BB" w:rsidR="1E025CA9" w:rsidRDefault="1E025CA9" w:rsidP="1E025CA9">
            <w:pPr>
              <w:spacing w:after="0" w:line="360" w:lineRule="auto"/>
              <w:jc w:val="center"/>
            </w:pPr>
            <w:r w:rsidRPr="1E025CA9">
              <w:rPr>
                <w:rFonts w:ascii="Arial" w:eastAsia="Arial" w:hAnsi="Arial" w:cs="Arial"/>
                <w:b/>
                <w:bCs/>
                <w:color w:val="FFFFFF" w:themeColor="background1"/>
                <w:sz w:val="28"/>
                <w:szCs w:val="28"/>
              </w:rPr>
              <w:t>MONTH</w:t>
            </w:r>
          </w:p>
        </w:tc>
      </w:tr>
      <w:tr w:rsidR="1E025CA9" w14:paraId="259AB135" w14:textId="77777777" w:rsidTr="1E025CA9">
        <w:trPr>
          <w:trHeight w:val="630"/>
        </w:trPr>
        <w:tc>
          <w:tcPr>
            <w:tcW w:w="5648"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shd w:val="clear" w:color="auto" w:fill="3F8846"/>
            <w:vAlign w:val="center"/>
          </w:tcPr>
          <w:p w14:paraId="061AA835" w14:textId="26D6E2E5" w:rsidR="1E025CA9" w:rsidRDefault="1E025CA9" w:rsidP="1E025CA9">
            <w:pPr>
              <w:spacing w:after="0" w:line="360" w:lineRule="auto"/>
              <w:jc w:val="center"/>
            </w:pPr>
            <w:r w:rsidRPr="1E025CA9">
              <w:rPr>
                <w:rFonts w:ascii="Arial" w:eastAsia="Arial" w:hAnsi="Arial" w:cs="Arial"/>
                <w:b/>
                <w:bCs/>
                <w:color w:val="FFFFFF" w:themeColor="background1"/>
                <w:sz w:val="28"/>
                <w:szCs w:val="28"/>
              </w:rPr>
              <w:t>Cash in</w:t>
            </w:r>
          </w:p>
        </w:tc>
        <w:tc>
          <w:tcPr>
            <w:tcW w:w="3677"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3F8846"/>
            <w:vAlign w:val="center"/>
          </w:tcPr>
          <w:p w14:paraId="5263F2B3" w14:textId="53CF8219" w:rsidR="1E025CA9" w:rsidRDefault="1E025CA9" w:rsidP="1E025CA9">
            <w:pPr>
              <w:spacing w:after="0" w:line="360" w:lineRule="auto"/>
              <w:jc w:val="center"/>
            </w:pPr>
            <w:r w:rsidRPr="1E025CA9">
              <w:rPr>
                <w:rFonts w:ascii="Arial" w:eastAsia="Arial" w:hAnsi="Arial" w:cs="Arial"/>
                <w:b/>
                <w:bCs/>
                <w:color w:val="FFFFFF" w:themeColor="background1"/>
                <w:sz w:val="28"/>
                <w:szCs w:val="28"/>
              </w:rPr>
              <w:t>1</w:t>
            </w:r>
          </w:p>
        </w:tc>
      </w:tr>
      <w:tr w:rsidR="1E025CA9" w14:paraId="2B47BA36" w14:textId="77777777" w:rsidTr="1E025CA9">
        <w:trPr>
          <w:trHeight w:val="315"/>
        </w:trPr>
        <w:tc>
          <w:tcPr>
            <w:tcW w:w="5648"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shd w:val="clear" w:color="auto" w:fill="FCD5B4"/>
            <w:vAlign w:val="center"/>
          </w:tcPr>
          <w:p w14:paraId="0212E4D7" w14:textId="1C5905C2" w:rsidR="1E025CA9" w:rsidRDefault="1E025CA9" w:rsidP="1E025CA9">
            <w:pPr>
              <w:spacing w:after="0" w:line="360" w:lineRule="auto"/>
            </w:pPr>
            <w:r w:rsidRPr="1E025CA9">
              <w:rPr>
                <w:rFonts w:ascii="Arial" w:eastAsia="Arial" w:hAnsi="Arial" w:cs="Arial"/>
                <w:b/>
                <w:bCs/>
                <w:lang w:val="en-US"/>
              </w:rPr>
              <w:t>Loan- start up capital</w:t>
            </w:r>
          </w:p>
        </w:tc>
        <w:tc>
          <w:tcPr>
            <w:tcW w:w="36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CD5B4"/>
            <w:vAlign w:val="center"/>
          </w:tcPr>
          <w:p w14:paraId="6BAF5A45" w14:textId="4A1B27D5" w:rsidR="1E025CA9" w:rsidRDefault="1E025CA9" w:rsidP="1E025CA9">
            <w:pPr>
              <w:spacing w:after="0" w:line="360" w:lineRule="auto"/>
              <w:jc w:val="center"/>
              <w:rPr>
                <w:rFonts w:ascii="Arial" w:eastAsia="Arial" w:hAnsi="Arial" w:cs="Arial"/>
              </w:rPr>
            </w:pPr>
            <w:r w:rsidRPr="1E025CA9">
              <w:rPr>
                <w:rFonts w:ascii="Arial" w:eastAsia="Arial" w:hAnsi="Arial" w:cs="Arial"/>
              </w:rPr>
              <w:t>£</w:t>
            </w:r>
            <w:r w:rsidR="7594D180" w:rsidRPr="1E025CA9">
              <w:rPr>
                <w:rFonts w:ascii="Arial" w:eastAsia="Arial" w:hAnsi="Arial" w:cs="Arial"/>
              </w:rPr>
              <w:t>40.000</w:t>
            </w:r>
          </w:p>
        </w:tc>
      </w:tr>
      <w:tr w:rsidR="1E025CA9" w14:paraId="19835557" w14:textId="77777777" w:rsidTr="1E025CA9">
        <w:trPr>
          <w:trHeight w:val="330"/>
        </w:trPr>
        <w:tc>
          <w:tcPr>
            <w:tcW w:w="5648" w:type="dxa"/>
            <w:tcBorders>
              <w:top w:val="single" w:sz="4" w:space="0" w:color="808080" w:themeColor="background1" w:themeShade="80"/>
              <w:left w:val="single" w:sz="8" w:space="0" w:color="808080" w:themeColor="background1" w:themeShade="80"/>
              <w:bottom w:val="nil"/>
              <w:right w:val="single" w:sz="4" w:space="0" w:color="auto"/>
            </w:tcBorders>
            <w:shd w:val="clear" w:color="auto" w:fill="FCD5B4"/>
            <w:vAlign w:val="center"/>
          </w:tcPr>
          <w:p w14:paraId="15F4C155" w14:textId="223CCF56" w:rsidR="1E025CA9" w:rsidRDefault="1E025CA9" w:rsidP="1E025CA9">
            <w:pPr>
              <w:spacing w:after="0" w:line="360" w:lineRule="auto"/>
            </w:pPr>
            <w:r w:rsidRPr="1E025CA9">
              <w:rPr>
                <w:rFonts w:ascii="Arial" w:eastAsia="Arial" w:hAnsi="Arial" w:cs="Arial"/>
                <w:b/>
                <w:bCs/>
              </w:rPr>
              <w:t>Other</w:t>
            </w:r>
          </w:p>
        </w:tc>
        <w:tc>
          <w:tcPr>
            <w:tcW w:w="3677" w:type="dxa"/>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FCD5B4"/>
            <w:vAlign w:val="center"/>
          </w:tcPr>
          <w:p w14:paraId="5A006BDA" w14:textId="38DB8877" w:rsidR="1E025CA9" w:rsidRDefault="1E025CA9" w:rsidP="1E025CA9">
            <w:pPr>
              <w:spacing w:after="0" w:line="360" w:lineRule="auto"/>
              <w:jc w:val="center"/>
            </w:pPr>
            <w:r w:rsidRPr="1E025CA9">
              <w:rPr>
                <w:rFonts w:ascii="Arial" w:eastAsia="Arial" w:hAnsi="Arial" w:cs="Arial"/>
              </w:rPr>
              <w:t>£</w:t>
            </w:r>
            <w:r w:rsidR="05E7878D" w:rsidRPr="1E025CA9">
              <w:rPr>
                <w:rFonts w:ascii="Arial" w:eastAsia="Arial" w:hAnsi="Arial" w:cs="Arial"/>
              </w:rPr>
              <w:t>10.000</w:t>
            </w:r>
          </w:p>
        </w:tc>
      </w:tr>
      <w:tr w:rsidR="1E025CA9" w14:paraId="19718C33" w14:textId="77777777" w:rsidTr="1E025CA9">
        <w:trPr>
          <w:trHeight w:val="405"/>
        </w:trPr>
        <w:tc>
          <w:tcPr>
            <w:tcW w:w="5648" w:type="dxa"/>
            <w:tcBorders>
              <w:top w:val="single" w:sz="8" w:space="0" w:color="808080" w:themeColor="background1" w:themeShade="80"/>
              <w:left w:val="single" w:sz="8" w:space="0" w:color="808080" w:themeColor="background1" w:themeShade="80"/>
              <w:bottom w:val="single" w:sz="8" w:space="0" w:color="808080" w:themeColor="background1" w:themeShade="80"/>
              <w:right w:val="nil"/>
            </w:tcBorders>
            <w:shd w:val="clear" w:color="auto" w:fill="BFBFBF" w:themeFill="background1" w:themeFillShade="BF"/>
            <w:vAlign w:val="center"/>
          </w:tcPr>
          <w:p w14:paraId="3A52AC1F" w14:textId="263E1242" w:rsidR="1E025CA9" w:rsidRDefault="1E025CA9" w:rsidP="1E025CA9">
            <w:pPr>
              <w:spacing w:after="0" w:line="360" w:lineRule="auto"/>
            </w:pPr>
            <w:r w:rsidRPr="1E025CA9">
              <w:rPr>
                <w:rFonts w:ascii="Arial" w:eastAsia="Arial" w:hAnsi="Arial" w:cs="Arial"/>
                <w:b/>
                <w:bCs/>
              </w:rPr>
              <w:t>Total cash in-flows (A)</w:t>
            </w:r>
          </w:p>
        </w:tc>
        <w:tc>
          <w:tcPr>
            <w:tcW w:w="3677" w:type="dxa"/>
            <w:tcBorders>
              <w:top w:val="single" w:sz="8"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shd w:val="clear" w:color="auto" w:fill="D8E4BC"/>
            <w:vAlign w:val="center"/>
          </w:tcPr>
          <w:p w14:paraId="6D6E03B8" w14:textId="55974674" w:rsidR="1E025CA9" w:rsidRDefault="1E025CA9" w:rsidP="1E025CA9">
            <w:pPr>
              <w:spacing w:after="0" w:line="360" w:lineRule="auto"/>
              <w:jc w:val="center"/>
            </w:pPr>
            <w:r w:rsidRPr="1E025CA9">
              <w:rPr>
                <w:rFonts w:ascii="Arial" w:eastAsia="Arial" w:hAnsi="Arial" w:cs="Arial"/>
                <w:b/>
                <w:bCs/>
              </w:rPr>
              <w:t>£</w:t>
            </w:r>
            <w:r w:rsidR="0CD9F1E8" w:rsidRPr="1E025CA9">
              <w:rPr>
                <w:rFonts w:ascii="Arial" w:eastAsia="Arial" w:hAnsi="Arial" w:cs="Arial"/>
                <w:b/>
                <w:bCs/>
              </w:rPr>
              <w:t>5</w:t>
            </w:r>
            <w:r w:rsidRPr="1E025CA9">
              <w:rPr>
                <w:rFonts w:ascii="Arial" w:eastAsia="Arial" w:hAnsi="Arial" w:cs="Arial"/>
                <w:b/>
                <w:bCs/>
              </w:rPr>
              <w:t>0</w:t>
            </w:r>
            <w:r w:rsidR="41F7D138" w:rsidRPr="1E025CA9">
              <w:rPr>
                <w:rFonts w:ascii="Arial" w:eastAsia="Arial" w:hAnsi="Arial" w:cs="Arial"/>
                <w:b/>
                <w:bCs/>
              </w:rPr>
              <w:t>.000</w:t>
            </w:r>
          </w:p>
        </w:tc>
      </w:tr>
      <w:tr w:rsidR="1E025CA9" w14:paraId="1697812D" w14:textId="77777777" w:rsidTr="1E025CA9">
        <w:trPr>
          <w:trHeight w:val="615"/>
        </w:trPr>
        <w:tc>
          <w:tcPr>
            <w:tcW w:w="5648" w:type="dxa"/>
            <w:tcBorders>
              <w:top w:val="single" w:sz="8" w:space="0" w:color="808080" w:themeColor="background1" w:themeShade="80"/>
              <w:left w:val="nil"/>
              <w:bottom w:val="nil"/>
              <w:right w:val="nil"/>
            </w:tcBorders>
            <w:shd w:val="clear" w:color="auto" w:fill="FFFFFF" w:themeFill="background1"/>
            <w:vAlign w:val="bottom"/>
          </w:tcPr>
          <w:p w14:paraId="481A381A" w14:textId="51225C0C" w:rsidR="1E025CA9" w:rsidRDefault="1E025CA9" w:rsidP="1E025CA9">
            <w:pPr>
              <w:spacing w:after="0" w:line="360" w:lineRule="auto"/>
              <w:rPr>
                <w:rFonts w:ascii="Arial" w:eastAsia="Arial" w:hAnsi="Arial" w:cs="Arial"/>
                <w:sz w:val="22"/>
                <w:szCs w:val="22"/>
              </w:rPr>
            </w:pPr>
          </w:p>
        </w:tc>
        <w:tc>
          <w:tcPr>
            <w:tcW w:w="3677" w:type="dxa"/>
            <w:tcBorders>
              <w:top w:val="single" w:sz="8" w:space="0" w:color="808080" w:themeColor="background1" w:themeShade="80"/>
              <w:left w:val="nil"/>
              <w:bottom w:val="nil"/>
              <w:right w:val="nil"/>
            </w:tcBorders>
            <w:shd w:val="clear" w:color="auto" w:fill="FFFFFF" w:themeFill="background1"/>
            <w:vAlign w:val="bottom"/>
          </w:tcPr>
          <w:p w14:paraId="08DEAF0B" w14:textId="207BA629" w:rsidR="1E025CA9" w:rsidRDefault="1E025CA9" w:rsidP="1E025CA9">
            <w:pPr>
              <w:spacing w:after="0" w:line="360" w:lineRule="auto"/>
            </w:pPr>
            <w:r w:rsidRPr="1E025CA9">
              <w:rPr>
                <w:rFonts w:ascii="Arial" w:eastAsia="Arial" w:hAnsi="Arial" w:cs="Arial"/>
                <w:sz w:val="22"/>
                <w:szCs w:val="22"/>
              </w:rPr>
              <w:t xml:space="preserve"> </w:t>
            </w:r>
          </w:p>
        </w:tc>
      </w:tr>
      <w:tr w:rsidR="1E025CA9" w14:paraId="45DAB294" w14:textId="77777777" w:rsidTr="1E025CA9">
        <w:trPr>
          <w:trHeight w:val="615"/>
        </w:trPr>
        <w:tc>
          <w:tcPr>
            <w:tcW w:w="5648" w:type="dxa"/>
            <w:tcBorders>
              <w:top w:val="nil"/>
              <w:left w:val="nil"/>
              <w:bottom w:val="nil"/>
              <w:right w:val="nil"/>
            </w:tcBorders>
            <w:shd w:val="clear" w:color="auto" w:fill="FFFFFF" w:themeFill="background1"/>
            <w:vAlign w:val="bottom"/>
          </w:tcPr>
          <w:p w14:paraId="24F933D1" w14:textId="0087B413" w:rsidR="1E025CA9" w:rsidRDefault="1E025CA9" w:rsidP="1E025CA9">
            <w:pPr>
              <w:spacing w:after="0" w:line="360" w:lineRule="auto"/>
            </w:pPr>
            <w:r w:rsidRPr="1E025CA9">
              <w:rPr>
                <w:rFonts w:ascii="Arial" w:eastAsia="Arial" w:hAnsi="Arial" w:cs="Arial"/>
                <w:sz w:val="22"/>
                <w:szCs w:val="22"/>
              </w:rPr>
              <w:t xml:space="preserve"> </w:t>
            </w:r>
          </w:p>
        </w:tc>
        <w:tc>
          <w:tcPr>
            <w:tcW w:w="3677" w:type="dxa"/>
            <w:tcBorders>
              <w:top w:val="nil"/>
              <w:left w:val="nil"/>
              <w:bottom w:val="nil"/>
              <w:right w:val="nil"/>
            </w:tcBorders>
            <w:shd w:val="clear" w:color="auto" w:fill="FFFFFF" w:themeFill="background1"/>
            <w:vAlign w:val="bottom"/>
          </w:tcPr>
          <w:p w14:paraId="39D425DF" w14:textId="555E5D1A" w:rsidR="1E025CA9" w:rsidRDefault="1E025CA9" w:rsidP="1E025CA9">
            <w:pPr>
              <w:spacing w:after="0" w:line="360" w:lineRule="auto"/>
            </w:pPr>
            <w:r w:rsidRPr="1E025CA9">
              <w:rPr>
                <w:rFonts w:ascii="Arial" w:eastAsia="Arial" w:hAnsi="Arial" w:cs="Arial"/>
                <w:sz w:val="22"/>
                <w:szCs w:val="22"/>
              </w:rPr>
              <w:t xml:space="preserve"> </w:t>
            </w:r>
          </w:p>
        </w:tc>
      </w:tr>
      <w:tr w:rsidR="1E025CA9" w14:paraId="31386FC5" w14:textId="77777777" w:rsidTr="1E025CA9">
        <w:trPr>
          <w:trHeight w:val="375"/>
        </w:trPr>
        <w:tc>
          <w:tcPr>
            <w:tcW w:w="5648" w:type="dxa"/>
            <w:tcBorders>
              <w:top w:val="nil"/>
              <w:left w:val="nil"/>
              <w:bottom w:val="nil"/>
              <w:right w:val="nil"/>
            </w:tcBorders>
            <w:shd w:val="clear" w:color="auto" w:fill="FFFFFF" w:themeFill="background1"/>
            <w:vAlign w:val="bottom"/>
          </w:tcPr>
          <w:p w14:paraId="42D89DA3" w14:textId="3F1C4125" w:rsidR="1E025CA9" w:rsidRDefault="1E025CA9" w:rsidP="1E025CA9">
            <w:pPr>
              <w:spacing w:after="0" w:line="360" w:lineRule="auto"/>
            </w:pPr>
            <w:r w:rsidRPr="1E025CA9">
              <w:rPr>
                <w:rFonts w:ascii="Arial" w:eastAsia="Arial" w:hAnsi="Arial" w:cs="Arial"/>
                <w:sz w:val="22"/>
                <w:szCs w:val="22"/>
              </w:rPr>
              <w:t xml:space="preserve"> </w:t>
            </w:r>
          </w:p>
        </w:tc>
        <w:tc>
          <w:tcPr>
            <w:tcW w:w="367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4" w:space="0" w:color="595959" w:themeColor="text1" w:themeTint="A6"/>
            </w:tcBorders>
            <w:shd w:val="clear" w:color="auto" w:fill="3F8846"/>
            <w:vAlign w:val="center"/>
          </w:tcPr>
          <w:p w14:paraId="18416194" w14:textId="2253CEE9" w:rsidR="1E025CA9" w:rsidRDefault="1E025CA9" w:rsidP="1E025CA9">
            <w:pPr>
              <w:spacing w:after="0" w:line="360" w:lineRule="auto"/>
              <w:jc w:val="center"/>
            </w:pPr>
            <w:r w:rsidRPr="1E025CA9">
              <w:rPr>
                <w:rFonts w:ascii="Arial" w:eastAsia="Arial" w:hAnsi="Arial" w:cs="Arial"/>
                <w:b/>
                <w:bCs/>
                <w:color w:val="FFFFFF" w:themeColor="background1"/>
                <w:sz w:val="28"/>
                <w:szCs w:val="28"/>
              </w:rPr>
              <w:t>MONTH</w:t>
            </w:r>
          </w:p>
        </w:tc>
      </w:tr>
      <w:tr w:rsidR="1E025CA9" w14:paraId="70386C09" w14:textId="77777777" w:rsidTr="1E025CA9">
        <w:trPr>
          <w:trHeight w:val="630"/>
        </w:trPr>
        <w:tc>
          <w:tcPr>
            <w:tcW w:w="5648"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shd w:val="clear" w:color="auto" w:fill="3F8846"/>
            <w:vAlign w:val="center"/>
          </w:tcPr>
          <w:p w14:paraId="2C4DB3B2" w14:textId="010FD54E" w:rsidR="1E025CA9" w:rsidRDefault="1E025CA9" w:rsidP="1E025CA9">
            <w:pPr>
              <w:spacing w:after="0" w:line="360" w:lineRule="auto"/>
              <w:jc w:val="center"/>
            </w:pPr>
            <w:r w:rsidRPr="1E025CA9">
              <w:rPr>
                <w:rFonts w:ascii="Arial" w:eastAsia="Arial" w:hAnsi="Arial" w:cs="Arial"/>
                <w:b/>
                <w:bCs/>
                <w:color w:val="FFFFFF" w:themeColor="background1"/>
                <w:sz w:val="28"/>
                <w:szCs w:val="28"/>
              </w:rPr>
              <w:t>Cash out-expenses</w:t>
            </w:r>
          </w:p>
        </w:tc>
        <w:tc>
          <w:tcPr>
            <w:tcW w:w="3677"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3F8846"/>
            <w:vAlign w:val="center"/>
          </w:tcPr>
          <w:p w14:paraId="2EF58019" w14:textId="10BE53B7" w:rsidR="1E025CA9" w:rsidRDefault="1E025CA9" w:rsidP="1E025CA9">
            <w:pPr>
              <w:spacing w:after="0" w:line="360" w:lineRule="auto"/>
              <w:jc w:val="center"/>
            </w:pPr>
            <w:r w:rsidRPr="1E025CA9">
              <w:rPr>
                <w:rFonts w:ascii="Arial" w:eastAsia="Arial" w:hAnsi="Arial" w:cs="Arial"/>
                <w:b/>
                <w:bCs/>
                <w:color w:val="FFFFFF" w:themeColor="background1"/>
                <w:sz w:val="28"/>
                <w:szCs w:val="28"/>
              </w:rPr>
              <w:t>1</w:t>
            </w:r>
          </w:p>
        </w:tc>
      </w:tr>
      <w:tr w:rsidR="1E025CA9" w14:paraId="76EE446F" w14:textId="77777777" w:rsidTr="1E025CA9">
        <w:trPr>
          <w:trHeight w:val="285"/>
        </w:trPr>
        <w:tc>
          <w:tcPr>
            <w:tcW w:w="5648" w:type="dxa"/>
            <w:tcBorders>
              <w:top w:val="single" w:sz="4" w:space="0" w:color="auto"/>
              <w:left w:val="single" w:sz="4" w:space="0" w:color="auto"/>
              <w:bottom w:val="single" w:sz="4" w:space="0" w:color="auto"/>
              <w:right w:val="single" w:sz="4" w:space="0" w:color="auto"/>
            </w:tcBorders>
            <w:shd w:val="clear" w:color="auto" w:fill="FCD5B4"/>
            <w:vAlign w:val="center"/>
          </w:tcPr>
          <w:p w14:paraId="5AAF23A4" w14:textId="58AEA313" w:rsidR="1E025CA9" w:rsidRDefault="1E025CA9" w:rsidP="1E025CA9">
            <w:pPr>
              <w:spacing w:after="0" w:line="360" w:lineRule="auto"/>
            </w:pPr>
            <w:r w:rsidRPr="1E025CA9">
              <w:rPr>
                <w:rFonts w:ascii="Arial" w:eastAsia="Arial" w:hAnsi="Arial" w:cs="Arial"/>
                <w:b/>
                <w:bCs/>
                <w:color w:val="000000" w:themeColor="text1"/>
              </w:rPr>
              <w:t>Rent or premises costs</w:t>
            </w:r>
          </w:p>
        </w:tc>
        <w:tc>
          <w:tcPr>
            <w:tcW w:w="3677" w:type="dxa"/>
            <w:tcBorders>
              <w:top w:val="single" w:sz="4" w:space="0" w:color="auto"/>
              <w:left w:val="single" w:sz="4" w:space="0" w:color="auto"/>
              <w:bottom w:val="single" w:sz="4" w:space="0" w:color="auto"/>
              <w:right w:val="single" w:sz="4" w:space="0" w:color="auto"/>
            </w:tcBorders>
            <w:shd w:val="clear" w:color="auto" w:fill="FCD5B4"/>
            <w:vAlign w:val="center"/>
          </w:tcPr>
          <w:p w14:paraId="20C2FC97" w14:textId="7C3B32C4" w:rsidR="1E025CA9" w:rsidRDefault="1E025CA9" w:rsidP="1E025CA9">
            <w:pPr>
              <w:spacing w:after="0" w:line="360" w:lineRule="auto"/>
              <w:jc w:val="center"/>
            </w:pPr>
            <w:r w:rsidRPr="1E025CA9">
              <w:rPr>
                <w:rFonts w:ascii="Arial" w:eastAsia="Arial" w:hAnsi="Arial" w:cs="Arial"/>
              </w:rPr>
              <w:t>£</w:t>
            </w:r>
            <w:r w:rsidR="422F0761" w:rsidRPr="1E025CA9">
              <w:rPr>
                <w:rFonts w:ascii="Arial" w:eastAsia="Arial" w:hAnsi="Arial" w:cs="Arial"/>
              </w:rPr>
              <w:t>50</w:t>
            </w:r>
            <w:r w:rsidRPr="1E025CA9">
              <w:rPr>
                <w:rFonts w:ascii="Arial" w:eastAsia="Arial" w:hAnsi="Arial" w:cs="Arial"/>
              </w:rPr>
              <w:t>0</w:t>
            </w:r>
          </w:p>
        </w:tc>
      </w:tr>
      <w:tr w:rsidR="1E025CA9" w14:paraId="7AB890A3" w14:textId="77777777" w:rsidTr="1E025CA9">
        <w:trPr>
          <w:trHeight w:val="285"/>
        </w:trPr>
        <w:tc>
          <w:tcPr>
            <w:tcW w:w="5648" w:type="dxa"/>
            <w:tcBorders>
              <w:top w:val="single" w:sz="4" w:space="0" w:color="auto"/>
              <w:left w:val="single" w:sz="4" w:space="0" w:color="auto"/>
              <w:bottom w:val="single" w:sz="4" w:space="0" w:color="auto"/>
              <w:right w:val="single" w:sz="4" w:space="0" w:color="auto"/>
            </w:tcBorders>
            <w:shd w:val="clear" w:color="auto" w:fill="FCD5B4"/>
            <w:vAlign w:val="center"/>
          </w:tcPr>
          <w:p w14:paraId="62D015BE" w14:textId="3CAA2597" w:rsidR="1E025CA9" w:rsidRDefault="1E025CA9" w:rsidP="1E025CA9">
            <w:pPr>
              <w:spacing w:after="0" w:line="360" w:lineRule="auto"/>
            </w:pPr>
            <w:r w:rsidRPr="1E025CA9">
              <w:rPr>
                <w:rFonts w:ascii="Arial" w:eastAsia="Arial" w:hAnsi="Arial" w:cs="Arial"/>
                <w:b/>
                <w:bCs/>
                <w:color w:val="000000" w:themeColor="text1"/>
              </w:rPr>
              <w:t>Utilities (gas, electricity, water)</w:t>
            </w:r>
          </w:p>
        </w:tc>
        <w:tc>
          <w:tcPr>
            <w:tcW w:w="3677" w:type="dxa"/>
            <w:tcBorders>
              <w:top w:val="single" w:sz="4" w:space="0" w:color="auto"/>
              <w:left w:val="single" w:sz="4" w:space="0" w:color="auto"/>
              <w:bottom w:val="single" w:sz="4" w:space="0" w:color="auto"/>
              <w:right w:val="single" w:sz="4" w:space="0" w:color="auto"/>
            </w:tcBorders>
            <w:shd w:val="clear" w:color="auto" w:fill="FCD5B4"/>
            <w:vAlign w:val="center"/>
          </w:tcPr>
          <w:p w14:paraId="011B4698" w14:textId="1EE51CF3" w:rsidR="1E025CA9" w:rsidRDefault="1E025CA9" w:rsidP="1E025CA9">
            <w:pPr>
              <w:spacing w:after="0" w:line="360" w:lineRule="auto"/>
              <w:jc w:val="center"/>
            </w:pPr>
            <w:r w:rsidRPr="1E025CA9">
              <w:rPr>
                <w:rFonts w:ascii="Arial" w:eastAsia="Arial" w:hAnsi="Arial" w:cs="Arial"/>
              </w:rPr>
              <w:t>£</w:t>
            </w:r>
            <w:r w:rsidR="42612332" w:rsidRPr="1E025CA9">
              <w:rPr>
                <w:rFonts w:ascii="Arial" w:eastAsia="Arial" w:hAnsi="Arial" w:cs="Arial"/>
              </w:rPr>
              <w:t>100</w:t>
            </w:r>
          </w:p>
        </w:tc>
      </w:tr>
      <w:tr w:rsidR="1E025CA9" w14:paraId="1BFEBB7A" w14:textId="77777777" w:rsidTr="1E025CA9">
        <w:trPr>
          <w:trHeight w:val="315"/>
        </w:trPr>
        <w:tc>
          <w:tcPr>
            <w:tcW w:w="5648" w:type="dxa"/>
            <w:tcBorders>
              <w:top w:val="single" w:sz="4" w:space="0" w:color="auto"/>
              <w:left w:val="single" w:sz="4" w:space="0" w:color="auto"/>
              <w:bottom w:val="single" w:sz="4" w:space="0" w:color="auto"/>
              <w:right w:val="single" w:sz="4" w:space="0" w:color="auto"/>
            </w:tcBorders>
            <w:shd w:val="clear" w:color="auto" w:fill="FCD5B4"/>
            <w:vAlign w:val="center"/>
          </w:tcPr>
          <w:p w14:paraId="24B31508" w14:textId="4F42E458" w:rsidR="1E025CA9" w:rsidRDefault="1E025CA9" w:rsidP="1E025CA9">
            <w:pPr>
              <w:spacing w:after="0" w:line="360" w:lineRule="auto"/>
            </w:pPr>
            <w:r w:rsidRPr="1E025CA9">
              <w:rPr>
                <w:rFonts w:ascii="Arial" w:eastAsia="Arial" w:hAnsi="Arial" w:cs="Arial"/>
                <w:b/>
                <w:bCs/>
                <w:color w:val="000000" w:themeColor="text1"/>
              </w:rPr>
              <w:t>Insurance</w:t>
            </w:r>
          </w:p>
        </w:tc>
        <w:tc>
          <w:tcPr>
            <w:tcW w:w="3677" w:type="dxa"/>
            <w:tcBorders>
              <w:top w:val="single" w:sz="4" w:space="0" w:color="auto"/>
              <w:left w:val="single" w:sz="4" w:space="0" w:color="auto"/>
              <w:bottom w:val="single" w:sz="4" w:space="0" w:color="auto"/>
              <w:right w:val="single" w:sz="4" w:space="0" w:color="auto"/>
            </w:tcBorders>
            <w:shd w:val="clear" w:color="auto" w:fill="FCD5B4"/>
            <w:vAlign w:val="center"/>
          </w:tcPr>
          <w:p w14:paraId="3E202CB7" w14:textId="6A9598EE" w:rsidR="1E025CA9" w:rsidRDefault="1E025CA9" w:rsidP="1E025CA9">
            <w:pPr>
              <w:spacing w:after="0" w:line="360" w:lineRule="auto"/>
              <w:jc w:val="center"/>
            </w:pPr>
            <w:r w:rsidRPr="1E025CA9">
              <w:rPr>
                <w:rFonts w:ascii="Arial" w:eastAsia="Arial" w:hAnsi="Arial" w:cs="Arial"/>
              </w:rPr>
              <w:t>£</w:t>
            </w:r>
            <w:r w:rsidR="6643F068" w:rsidRPr="1E025CA9">
              <w:rPr>
                <w:rFonts w:ascii="Arial" w:eastAsia="Arial" w:hAnsi="Arial" w:cs="Arial"/>
              </w:rPr>
              <w:t>2.000</w:t>
            </w:r>
          </w:p>
        </w:tc>
      </w:tr>
      <w:tr w:rsidR="1E025CA9" w14:paraId="09434AD0" w14:textId="77777777" w:rsidTr="1E025CA9">
        <w:trPr>
          <w:trHeight w:val="315"/>
        </w:trPr>
        <w:tc>
          <w:tcPr>
            <w:tcW w:w="5648" w:type="dxa"/>
            <w:tcBorders>
              <w:top w:val="single" w:sz="4" w:space="0" w:color="auto"/>
              <w:left w:val="single" w:sz="4" w:space="0" w:color="auto"/>
              <w:bottom w:val="single" w:sz="4" w:space="0" w:color="auto"/>
              <w:right w:val="single" w:sz="4" w:space="0" w:color="auto"/>
            </w:tcBorders>
            <w:shd w:val="clear" w:color="auto" w:fill="FCD5B4"/>
            <w:vAlign w:val="center"/>
          </w:tcPr>
          <w:p w14:paraId="2811CC46" w14:textId="0D983EA8" w:rsidR="1E025CA9" w:rsidRDefault="1E025CA9" w:rsidP="1E025CA9">
            <w:pPr>
              <w:spacing w:after="0" w:line="360" w:lineRule="auto"/>
            </w:pPr>
            <w:r w:rsidRPr="1E025CA9">
              <w:rPr>
                <w:rFonts w:ascii="Arial" w:eastAsia="Arial" w:hAnsi="Arial" w:cs="Arial"/>
                <w:b/>
                <w:bCs/>
                <w:color w:val="000000" w:themeColor="text1"/>
              </w:rPr>
              <w:t>Telephone and internet</w:t>
            </w:r>
          </w:p>
        </w:tc>
        <w:tc>
          <w:tcPr>
            <w:tcW w:w="3677" w:type="dxa"/>
            <w:tcBorders>
              <w:top w:val="single" w:sz="4" w:space="0" w:color="auto"/>
              <w:left w:val="single" w:sz="4" w:space="0" w:color="auto"/>
              <w:bottom w:val="single" w:sz="4" w:space="0" w:color="auto"/>
              <w:right w:val="single" w:sz="4" w:space="0" w:color="auto"/>
            </w:tcBorders>
            <w:shd w:val="clear" w:color="auto" w:fill="FCD5B4"/>
            <w:vAlign w:val="center"/>
          </w:tcPr>
          <w:p w14:paraId="2B79CE6B" w14:textId="1598FB1B" w:rsidR="1E025CA9" w:rsidRDefault="1E025CA9" w:rsidP="1E025CA9">
            <w:pPr>
              <w:spacing w:after="0" w:line="360" w:lineRule="auto"/>
              <w:jc w:val="center"/>
              <w:rPr>
                <w:rFonts w:ascii="Arial" w:eastAsia="Arial" w:hAnsi="Arial" w:cs="Arial"/>
              </w:rPr>
            </w:pPr>
            <w:r w:rsidRPr="1E025CA9">
              <w:rPr>
                <w:rFonts w:ascii="Arial" w:eastAsia="Arial" w:hAnsi="Arial" w:cs="Arial"/>
              </w:rPr>
              <w:t>£</w:t>
            </w:r>
            <w:r w:rsidR="1874D001" w:rsidRPr="1E025CA9">
              <w:rPr>
                <w:rFonts w:ascii="Arial" w:eastAsia="Arial" w:hAnsi="Arial" w:cs="Arial"/>
              </w:rPr>
              <w:t>50</w:t>
            </w:r>
          </w:p>
        </w:tc>
      </w:tr>
      <w:tr w:rsidR="1E025CA9" w14:paraId="40BAAEA4" w14:textId="77777777" w:rsidTr="1E025CA9">
        <w:trPr>
          <w:trHeight w:val="315"/>
        </w:trPr>
        <w:tc>
          <w:tcPr>
            <w:tcW w:w="5648" w:type="dxa"/>
            <w:tcBorders>
              <w:top w:val="single" w:sz="4" w:space="0" w:color="auto"/>
              <w:left w:val="single" w:sz="4" w:space="0" w:color="auto"/>
              <w:bottom w:val="single" w:sz="4" w:space="0" w:color="auto"/>
              <w:right w:val="single" w:sz="4" w:space="0" w:color="auto"/>
            </w:tcBorders>
            <w:shd w:val="clear" w:color="auto" w:fill="FCD5B4"/>
            <w:vAlign w:val="center"/>
          </w:tcPr>
          <w:p w14:paraId="071AC020" w14:textId="6DA8048E" w:rsidR="1E025CA9" w:rsidRDefault="1E025CA9" w:rsidP="1E025CA9">
            <w:pPr>
              <w:spacing w:after="0" w:line="360" w:lineRule="auto"/>
            </w:pPr>
            <w:r w:rsidRPr="1E025CA9">
              <w:rPr>
                <w:rFonts w:ascii="Arial" w:eastAsia="Arial" w:hAnsi="Arial" w:cs="Arial"/>
                <w:b/>
                <w:bCs/>
                <w:color w:val="000000" w:themeColor="text1"/>
              </w:rPr>
              <w:t>Marketing and advertising expenses</w:t>
            </w:r>
          </w:p>
        </w:tc>
        <w:tc>
          <w:tcPr>
            <w:tcW w:w="3677" w:type="dxa"/>
            <w:tcBorders>
              <w:top w:val="single" w:sz="4" w:space="0" w:color="auto"/>
              <w:left w:val="single" w:sz="4" w:space="0" w:color="auto"/>
              <w:bottom w:val="single" w:sz="4" w:space="0" w:color="auto"/>
              <w:right w:val="single" w:sz="4" w:space="0" w:color="auto"/>
            </w:tcBorders>
            <w:shd w:val="clear" w:color="auto" w:fill="FCD5B4"/>
            <w:vAlign w:val="center"/>
          </w:tcPr>
          <w:p w14:paraId="2E3E12A5" w14:textId="6A31C0BC" w:rsidR="1E025CA9" w:rsidRDefault="1E025CA9" w:rsidP="1E025CA9">
            <w:pPr>
              <w:spacing w:after="0" w:line="360" w:lineRule="auto"/>
              <w:jc w:val="center"/>
            </w:pPr>
            <w:r w:rsidRPr="1E025CA9">
              <w:rPr>
                <w:rFonts w:ascii="Arial" w:eastAsia="Arial" w:hAnsi="Arial" w:cs="Arial"/>
              </w:rPr>
              <w:t>£</w:t>
            </w:r>
            <w:r w:rsidR="72E214C0" w:rsidRPr="1E025CA9">
              <w:rPr>
                <w:rFonts w:ascii="Arial" w:eastAsia="Arial" w:hAnsi="Arial" w:cs="Arial"/>
              </w:rPr>
              <w:t>6.00</w:t>
            </w:r>
            <w:r w:rsidRPr="1E025CA9">
              <w:rPr>
                <w:rFonts w:ascii="Arial" w:eastAsia="Arial" w:hAnsi="Arial" w:cs="Arial"/>
              </w:rPr>
              <w:t>0</w:t>
            </w:r>
          </w:p>
        </w:tc>
      </w:tr>
      <w:tr w:rsidR="1E025CA9" w14:paraId="098C7481" w14:textId="77777777" w:rsidTr="1E025CA9">
        <w:trPr>
          <w:trHeight w:val="315"/>
        </w:trPr>
        <w:tc>
          <w:tcPr>
            <w:tcW w:w="5648" w:type="dxa"/>
            <w:tcBorders>
              <w:top w:val="single" w:sz="4" w:space="0" w:color="auto"/>
              <w:left w:val="single" w:sz="4" w:space="0" w:color="auto"/>
              <w:bottom w:val="single" w:sz="4" w:space="0" w:color="auto"/>
              <w:right w:val="single" w:sz="4" w:space="0" w:color="auto"/>
            </w:tcBorders>
            <w:shd w:val="clear" w:color="auto" w:fill="FCD5B4"/>
            <w:vAlign w:val="center"/>
          </w:tcPr>
          <w:p w14:paraId="6C264D64" w14:textId="2E34B43C" w:rsidR="1E025CA9" w:rsidRDefault="1E025CA9" w:rsidP="1E025CA9">
            <w:pPr>
              <w:spacing w:after="0" w:line="360" w:lineRule="auto"/>
            </w:pPr>
            <w:r w:rsidRPr="1E025CA9">
              <w:rPr>
                <w:rFonts w:ascii="Arial" w:eastAsia="Arial" w:hAnsi="Arial" w:cs="Arial"/>
                <w:b/>
                <w:bCs/>
                <w:color w:val="000000" w:themeColor="text1"/>
              </w:rPr>
              <w:t>Vehicle running costs</w:t>
            </w:r>
          </w:p>
        </w:tc>
        <w:tc>
          <w:tcPr>
            <w:tcW w:w="3677" w:type="dxa"/>
            <w:tcBorders>
              <w:top w:val="single" w:sz="4" w:space="0" w:color="auto"/>
              <w:left w:val="single" w:sz="4" w:space="0" w:color="auto"/>
              <w:bottom w:val="single" w:sz="4" w:space="0" w:color="auto"/>
              <w:right w:val="single" w:sz="4" w:space="0" w:color="auto"/>
            </w:tcBorders>
            <w:shd w:val="clear" w:color="auto" w:fill="FCD5B4"/>
            <w:vAlign w:val="center"/>
          </w:tcPr>
          <w:p w14:paraId="243C1CEB" w14:textId="6F360B5A" w:rsidR="1E025CA9" w:rsidRDefault="1E025CA9" w:rsidP="1E025CA9">
            <w:pPr>
              <w:spacing w:after="0" w:line="360" w:lineRule="auto"/>
              <w:jc w:val="center"/>
            </w:pPr>
            <w:r w:rsidRPr="1E025CA9">
              <w:rPr>
                <w:rFonts w:ascii="Arial" w:eastAsia="Arial" w:hAnsi="Arial" w:cs="Arial"/>
              </w:rPr>
              <w:t>£</w:t>
            </w:r>
            <w:r w:rsidR="6701FBAA" w:rsidRPr="1E025CA9">
              <w:rPr>
                <w:rFonts w:ascii="Arial" w:eastAsia="Arial" w:hAnsi="Arial" w:cs="Arial"/>
              </w:rPr>
              <w:t>400</w:t>
            </w:r>
          </w:p>
        </w:tc>
      </w:tr>
      <w:tr w:rsidR="1E025CA9" w14:paraId="44053D1A" w14:textId="77777777" w:rsidTr="1E025CA9">
        <w:trPr>
          <w:trHeight w:val="315"/>
        </w:trPr>
        <w:tc>
          <w:tcPr>
            <w:tcW w:w="5648" w:type="dxa"/>
            <w:tcBorders>
              <w:top w:val="single" w:sz="4" w:space="0" w:color="auto"/>
              <w:left w:val="single" w:sz="4" w:space="0" w:color="auto"/>
              <w:bottom w:val="single" w:sz="4" w:space="0" w:color="auto"/>
              <w:right w:val="single" w:sz="4" w:space="0" w:color="auto"/>
            </w:tcBorders>
            <w:shd w:val="clear" w:color="auto" w:fill="FCD5B4"/>
            <w:vAlign w:val="center"/>
          </w:tcPr>
          <w:p w14:paraId="066AB20D" w14:textId="3AE18DAA" w:rsidR="1E025CA9" w:rsidRDefault="1E025CA9" w:rsidP="1E025CA9">
            <w:pPr>
              <w:spacing w:after="0" w:line="360" w:lineRule="auto"/>
            </w:pPr>
            <w:r w:rsidRPr="1E025CA9">
              <w:rPr>
                <w:rFonts w:ascii="Arial" w:eastAsia="Arial" w:hAnsi="Arial" w:cs="Arial"/>
                <w:b/>
                <w:bCs/>
                <w:color w:val="000000" w:themeColor="text1"/>
              </w:rPr>
              <w:t>Equipment purchase or leasing</w:t>
            </w:r>
          </w:p>
        </w:tc>
        <w:tc>
          <w:tcPr>
            <w:tcW w:w="3677" w:type="dxa"/>
            <w:tcBorders>
              <w:top w:val="single" w:sz="4" w:space="0" w:color="auto"/>
              <w:left w:val="single" w:sz="4" w:space="0" w:color="auto"/>
              <w:bottom w:val="single" w:sz="4" w:space="0" w:color="auto"/>
              <w:right w:val="single" w:sz="4" w:space="0" w:color="auto"/>
            </w:tcBorders>
            <w:shd w:val="clear" w:color="auto" w:fill="FCD5B4"/>
            <w:vAlign w:val="center"/>
          </w:tcPr>
          <w:p w14:paraId="31D700DC" w14:textId="74C3CF01" w:rsidR="1E025CA9" w:rsidRDefault="1E025CA9" w:rsidP="1E025CA9">
            <w:pPr>
              <w:spacing w:after="0" w:line="360" w:lineRule="auto"/>
              <w:jc w:val="center"/>
            </w:pPr>
            <w:r w:rsidRPr="1E025CA9">
              <w:rPr>
                <w:rFonts w:ascii="Arial" w:eastAsia="Arial" w:hAnsi="Arial" w:cs="Arial"/>
              </w:rPr>
              <w:t>£</w:t>
            </w:r>
            <w:r w:rsidR="5242808C" w:rsidRPr="1E025CA9">
              <w:rPr>
                <w:rFonts w:ascii="Arial" w:eastAsia="Arial" w:hAnsi="Arial" w:cs="Arial"/>
              </w:rPr>
              <w:t>20.000</w:t>
            </w:r>
          </w:p>
        </w:tc>
      </w:tr>
      <w:tr w:rsidR="1E025CA9" w14:paraId="032D2C9E" w14:textId="77777777" w:rsidTr="1E025CA9">
        <w:trPr>
          <w:trHeight w:val="315"/>
        </w:trPr>
        <w:tc>
          <w:tcPr>
            <w:tcW w:w="5648" w:type="dxa"/>
            <w:tcBorders>
              <w:top w:val="single" w:sz="4" w:space="0" w:color="auto"/>
              <w:left w:val="single" w:sz="4" w:space="0" w:color="auto"/>
              <w:bottom w:val="single" w:sz="4" w:space="0" w:color="auto"/>
              <w:right w:val="single" w:sz="4" w:space="0" w:color="auto"/>
            </w:tcBorders>
            <w:shd w:val="clear" w:color="auto" w:fill="FCD5B4"/>
            <w:vAlign w:val="center"/>
          </w:tcPr>
          <w:p w14:paraId="002CCED2" w14:textId="55B45A17" w:rsidR="1E025CA9" w:rsidRDefault="1E025CA9" w:rsidP="1E025CA9">
            <w:pPr>
              <w:spacing w:after="0" w:line="360" w:lineRule="auto"/>
            </w:pPr>
            <w:r w:rsidRPr="1E025CA9">
              <w:rPr>
                <w:rFonts w:ascii="Arial" w:eastAsia="Arial" w:hAnsi="Arial" w:cs="Arial"/>
                <w:b/>
                <w:bCs/>
                <w:color w:val="000000" w:themeColor="text1"/>
              </w:rPr>
              <w:t>Postage, printing, stationery</w:t>
            </w:r>
          </w:p>
        </w:tc>
        <w:tc>
          <w:tcPr>
            <w:tcW w:w="3677" w:type="dxa"/>
            <w:tcBorders>
              <w:top w:val="single" w:sz="4" w:space="0" w:color="auto"/>
              <w:left w:val="single" w:sz="4" w:space="0" w:color="auto"/>
              <w:bottom w:val="single" w:sz="4" w:space="0" w:color="auto"/>
              <w:right w:val="single" w:sz="4" w:space="0" w:color="auto"/>
            </w:tcBorders>
            <w:shd w:val="clear" w:color="auto" w:fill="FCD5B4"/>
            <w:vAlign w:val="center"/>
          </w:tcPr>
          <w:p w14:paraId="6E41E313" w14:textId="1DF1D53F" w:rsidR="1E025CA9" w:rsidRDefault="1E025CA9" w:rsidP="1E025CA9">
            <w:pPr>
              <w:spacing w:after="0" w:line="360" w:lineRule="auto"/>
              <w:jc w:val="center"/>
            </w:pPr>
            <w:r w:rsidRPr="1E025CA9">
              <w:rPr>
                <w:rFonts w:ascii="Arial" w:eastAsia="Arial" w:hAnsi="Arial" w:cs="Arial"/>
              </w:rPr>
              <w:t>£</w:t>
            </w:r>
            <w:r w:rsidR="4804EA6C" w:rsidRPr="1E025CA9">
              <w:rPr>
                <w:rFonts w:ascii="Arial" w:eastAsia="Arial" w:hAnsi="Arial" w:cs="Arial"/>
              </w:rPr>
              <w:t>50</w:t>
            </w:r>
          </w:p>
        </w:tc>
      </w:tr>
      <w:tr w:rsidR="1E025CA9" w14:paraId="425C130B" w14:textId="77777777" w:rsidTr="1E025CA9">
        <w:trPr>
          <w:trHeight w:val="315"/>
        </w:trPr>
        <w:tc>
          <w:tcPr>
            <w:tcW w:w="5648" w:type="dxa"/>
            <w:tcBorders>
              <w:top w:val="single" w:sz="4" w:space="0" w:color="auto"/>
              <w:left w:val="single" w:sz="4" w:space="0" w:color="auto"/>
              <w:bottom w:val="single" w:sz="4" w:space="0" w:color="auto"/>
              <w:right w:val="single" w:sz="4" w:space="0" w:color="auto"/>
            </w:tcBorders>
            <w:shd w:val="clear" w:color="auto" w:fill="FCD5B4"/>
            <w:vAlign w:val="center"/>
          </w:tcPr>
          <w:p w14:paraId="18E802B9" w14:textId="624F3143" w:rsidR="1E025CA9" w:rsidRDefault="1E025CA9" w:rsidP="1E025CA9">
            <w:pPr>
              <w:spacing w:after="0" w:line="360" w:lineRule="auto"/>
            </w:pPr>
            <w:r w:rsidRPr="1E025CA9">
              <w:rPr>
                <w:rFonts w:ascii="Arial" w:eastAsia="Arial" w:hAnsi="Arial" w:cs="Arial"/>
                <w:b/>
                <w:bCs/>
                <w:color w:val="000000" w:themeColor="text1"/>
              </w:rPr>
              <w:t>Transport and delivery</w:t>
            </w:r>
          </w:p>
        </w:tc>
        <w:tc>
          <w:tcPr>
            <w:tcW w:w="3677" w:type="dxa"/>
            <w:tcBorders>
              <w:top w:val="single" w:sz="4" w:space="0" w:color="auto"/>
              <w:left w:val="single" w:sz="4" w:space="0" w:color="auto"/>
              <w:bottom w:val="single" w:sz="4" w:space="0" w:color="auto"/>
              <w:right w:val="single" w:sz="4" w:space="0" w:color="auto"/>
            </w:tcBorders>
            <w:shd w:val="clear" w:color="auto" w:fill="FCD5B4"/>
            <w:vAlign w:val="center"/>
          </w:tcPr>
          <w:p w14:paraId="59D86B60" w14:textId="78D9FD3B" w:rsidR="1E025CA9" w:rsidRDefault="1E025CA9" w:rsidP="1E025CA9">
            <w:pPr>
              <w:spacing w:after="0" w:line="360" w:lineRule="auto"/>
              <w:jc w:val="center"/>
            </w:pPr>
            <w:r w:rsidRPr="1E025CA9">
              <w:rPr>
                <w:rFonts w:ascii="Arial" w:eastAsia="Arial" w:hAnsi="Arial" w:cs="Arial"/>
              </w:rPr>
              <w:t>£</w:t>
            </w:r>
            <w:r w:rsidR="14E2A66C" w:rsidRPr="1E025CA9">
              <w:rPr>
                <w:rFonts w:ascii="Arial" w:eastAsia="Arial" w:hAnsi="Arial" w:cs="Arial"/>
              </w:rPr>
              <w:t>100</w:t>
            </w:r>
          </w:p>
        </w:tc>
      </w:tr>
      <w:tr w:rsidR="1E025CA9" w14:paraId="7CBBB07B" w14:textId="77777777" w:rsidTr="1E025CA9">
        <w:trPr>
          <w:trHeight w:val="315"/>
        </w:trPr>
        <w:tc>
          <w:tcPr>
            <w:tcW w:w="5648" w:type="dxa"/>
            <w:tcBorders>
              <w:top w:val="single" w:sz="4" w:space="0" w:color="auto"/>
              <w:left w:val="single" w:sz="4" w:space="0" w:color="auto"/>
              <w:bottom w:val="single" w:sz="4" w:space="0" w:color="auto"/>
              <w:right w:val="single" w:sz="4" w:space="0" w:color="auto"/>
            </w:tcBorders>
            <w:shd w:val="clear" w:color="auto" w:fill="FCD5B4"/>
            <w:vAlign w:val="center"/>
          </w:tcPr>
          <w:p w14:paraId="15A8F2AA" w14:textId="0C3B62CA" w:rsidR="1E025CA9" w:rsidRDefault="1E025CA9" w:rsidP="1E025CA9">
            <w:pPr>
              <w:spacing w:after="0" w:line="360" w:lineRule="auto"/>
            </w:pPr>
            <w:r w:rsidRPr="1E025CA9">
              <w:rPr>
                <w:rFonts w:ascii="Arial" w:eastAsia="Arial" w:hAnsi="Arial" w:cs="Arial"/>
                <w:b/>
                <w:bCs/>
                <w:color w:val="000000" w:themeColor="text1"/>
                <w:lang w:val="en-US"/>
              </w:rPr>
              <w:t>Professional fees (legal, accounting etc.)</w:t>
            </w:r>
          </w:p>
        </w:tc>
        <w:tc>
          <w:tcPr>
            <w:tcW w:w="3677" w:type="dxa"/>
            <w:tcBorders>
              <w:top w:val="single" w:sz="4" w:space="0" w:color="auto"/>
              <w:left w:val="single" w:sz="4" w:space="0" w:color="auto"/>
              <w:bottom w:val="single" w:sz="4" w:space="0" w:color="auto"/>
              <w:right w:val="single" w:sz="4" w:space="0" w:color="auto"/>
            </w:tcBorders>
            <w:shd w:val="clear" w:color="auto" w:fill="FCD5B4"/>
            <w:vAlign w:val="center"/>
          </w:tcPr>
          <w:p w14:paraId="40A6455E" w14:textId="33E889BD" w:rsidR="1E025CA9" w:rsidRDefault="1E025CA9" w:rsidP="1E025CA9">
            <w:pPr>
              <w:spacing w:after="0" w:line="360" w:lineRule="auto"/>
              <w:jc w:val="center"/>
            </w:pPr>
            <w:r w:rsidRPr="1E025CA9">
              <w:rPr>
                <w:rFonts w:ascii="Arial" w:eastAsia="Arial" w:hAnsi="Arial" w:cs="Arial"/>
              </w:rPr>
              <w:t>£</w:t>
            </w:r>
            <w:r w:rsidR="720CE931" w:rsidRPr="1E025CA9">
              <w:rPr>
                <w:rFonts w:ascii="Arial" w:eastAsia="Arial" w:hAnsi="Arial" w:cs="Arial"/>
              </w:rPr>
              <w:t>6.000</w:t>
            </w:r>
          </w:p>
        </w:tc>
      </w:tr>
      <w:tr w:rsidR="1E025CA9" w14:paraId="4C7923DE" w14:textId="77777777" w:rsidTr="1E025CA9">
        <w:trPr>
          <w:trHeight w:val="315"/>
        </w:trPr>
        <w:tc>
          <w:tcPr>
            <w:tcW w:w="5648" w:type="dxa"/>
            <w:tcBorders>
              <w:top w:val="single" w:sz="4" w:space="0" w:color="auto"/>
              <w:left w:val="single" w:sz="4" w:space="0" w:color="auto"/>
              <w:bottom w:val="single" w:sz="4" w:space="0" w:color="auto"/>
              <w:right w:val="single" w:sz="4" w:space="0" w:color="auto"/>
            </w:tcBorders>
            <w:shd w:val="clear" w:color="auto" w:fill="FCD5B4"/>
            <w:vAlign w:val="center"/>
          </w:tcPr>
          <w:p w14:paraId="4A6E7694" w14:textId="78C2B050" w:rsidR="1E025CA9" w:rsidRDefault="1E025CA9" w:rsidP="1E025CA9">
            <w:pPr>
              <w:spacing w:after="0" w:line="360" w:lineRule="auto"/>
            </w:pPr>
            <w:r w:rsidRPr="1E025CA9">
              <w:rPr>
                <w:rFonts w:ascii="Arial" w:eastAsia="Arial" w:hAnsi="Arial" w:cs="Arial"/>
                <w:b/>
                <w:bCs/>
              </w:rPr>
              <w:t>Any other</w:t>
            </w:r>
          </w:p>
        </w:tc>
        <w:tc>
          <w:tcPr>
            <w:tcW w:w="3677" w:type="dxa"/>
            <w:tcBorders>
              <w:top w:val="single" w:sz="4" w:space="0" w:color="auto"/>
              <w:left w:val="single" w:sz="4" w:space="0" w:color="auto"/>
              <w:bottom w:val="single" w:sz="4" w:space="0" w:color="auto"/>
              <w:right w:val="single" w:sz="4" w:space="0" w:color="auto"/>
            </w:tcBorders>
            <w:shd w:val="clear" w:color="auto" w:fill="FCD5B4"/>
            <w:vAlign w:val="center"/>
          </w:tcPr>
          <w:p w14:paraId="76C04E5B" w14:textId="1A83F2D7" w:rsidR="1E025CA9" w:rsidRDefault="1E025CA9" w:rsidP="1E025CA9">
            <w:pPr>
              <w:spacing w:after="0" w:line="360" w:lineRule="auto"/>
              <w:jc w:val="center"/>
            </w:pPr>
            <w:r w:rsidRPr="1E025CA9">
              <w:rPr>
                <w:rFonts w:ascii="Arial" w:eastAsia="Arial" w:hAnsi="Arial" w:cs="Arial"/>
              </w:rPr>
              <w:t>£</w:t>
            </w:r>
            <w:r w:rsidR="2D6286DC" w:rsidRPr="1E025CA9">
              <w:rPr>
                <w:rFonts w:ascii="Arial" w:eastAsia="Arial" w:hAnsi="Arial" w:cs="Arial"/>
              </w:rPr>
              <w:t>12.000</w:t>
            </w:r>
          </w:p>
        </w:tc>
      </w:tr>
      <w:tr w:rsidR="1E025CA9" w14:paraId="38E02E59" w14:textId="77777777" w:rsidTr="1E025CA9">
        <w:trPr>
          <w:trHeight w:val="375"/>
        </w:trPr>
        <w:tc>
          <w:tcPr>
            <w:tcW w:w="5648" w:type="dxa"/>
            <w:tcBorders>
              <w:top w:val="single" w:sz="4" w:space="0" w:color="auto"/>
              <w:left w:val="single" w:sz="8" w:space="0" w:color="808080" w:themeColor="background1" w:themeShade="80"/>
              <w:bottom w:val="single" w:sz="8" w:space="0" w:color="808080" w:themeColor="background1" w:themeShade="80"/>
              <w:right w:val="nil"/>
            </w:tcBorders>
            <w:shd w:val="clear" w:color="auto" w:fill="BFBFBF" w:themeFill="background1" w:themeFillShade="BF"/>
            <w:vAlign w:val="center"/>
          </w:tcPr>
          <w:p w14:paraId="0CFCC0D1" w14:textId="2DC3A295" w:rsidR="1E025CA9" w:rsidRDefault="1E025CA9" w:rsidP="1E025CA9">
            <w:pPr>
              <w:spacing w:after="0" w:line="360" w:lineRule="auto"/>
            </w:pPr>
            <w:r w:rsidRPr="1E025CA9">
              <w:rPr>
                <w:rFonts w:ascii="Arial" w:eastAsia="Arial" w:hAnsi="Arial" w:cs="Arial"/>
                <w:b/>
                <w:bCs/>
                <w:sz w:val="22"/>
                <w:szCs w:val="22"/>
              </w:rPr>
              <w:t>Total cash out-flows (B)</w:t>
            </w:r>
          </w:p>
        </w:tc>
        <w:tc>
          <w:tcPr>
            <w:tcW w:w="3677" w:type="dxa"/>
            <w:tcBorders>
              <w:top w:val="single" w:sz="4" w:space="0" w:color="auto"/>
              <w:left w:val="single" w:sz="4" w:space="0" w:color="595959" w:themeColor="text1" w:themeTint="A6"/>
              <w:bottom w:val="single" w:sz="8" w:space="0" w:color="808080" w:themeColor="background1" w:themeShade="80"/>
              <w:right w:val="single" w:sz="4" w:space="0" w:color="595959" w:themeColor="text1" w:themeTint="A6"/>
            </w:tcBorders>
            <w:shd w:val="clear" w:color="auto" w:fill="D8E4BC"/>
            <w:vAlign w:val="center"/>
          </w:tcPr>
          <w:p w14:paraId="1BB8180B" w14:textId="2EFFA1EA" w:rsidR="1E025CA9" w:rsidRDefault="1E025CA9" w:rsidP="1E025CA9">
            <w:pPr>
              <w:spacing w:after="0" w:line="360" w:lineRule="auto"/>
              <w:jc w:val="center"/>
              <w:rPr>
                <w:rFonts w:ascii="Arial" w:eastAsia="Arial" w:hAnsi="Arial" w:cs="Arial"/>
                <w:b/>
                <w:bCs/>
                <w:color w:val="000000" w:themeColor="text1"/>
              </w:rPr>
            </w:pPr>
            <w:r w:rsidRPr="1E025CA9">
              <w:rPr>
                <w:rFonts w:ascii="Arial" w:eastAsia="Arial" w:hAnsi="Arial" w:cs="Arial"/>
                <w:b/>
                <w:bCs/>
                <w:color w:val="000000" w:themeColor="text1"/>
              </w:rPr>
              <w:t>£</w:t>
            </w:r>
            <w:r w:rsidR="1D1774EF" w:rsidRPr="1E025CA9">
              <w:rPr>
                <w:rFonts w:ascii="Arial" w:eastAsia="Arial" w:hAnsi="Arial" w:cs="Arial"/>
                <w:b/>
                <w:bCs/>
                <w:color w:val="000000" w:themeColor="text1"/>
              </w:rPr>
              <w:t>47.200</w:t>
            </w:r>
          </w:p>
        </w:tc>
      </w:tr>
      <w:tr w:rsidR="1E025CA9" w14:paraId="0E5FBCDD" w14:textId="77777777" w:rsidTr="1E025CA9">
        <w:trPr>
          <w:trHeight w:val="405"/>
        </w:trPr>
        <w:tc>
          <w:tcPr>
            <w:tcW w:w="5648" w:type="dxa"/>
            <w:tcBorders>
              <w:top w:val="single" w:sz="8" w:space="0" w:color="808080" w:themeColor="background1" w:themeShade="80"/>
              <w:left w:val="nil"/>
              <w:bottom w:val="nil"/>
              <w:right w:val="nil"/>
            </w:tcBorders>
            <w:shd w:val="clear" w:color="auto" w:fill="FFFFFF" w:themeFill="background1"/>
            <w:vAlign w:val="bottom"/>
          </w:tcPr>
          <w:p w14:paraId="5350EC39" w14:textId="2F3E761D" w:rsidR="1E025CA9" w:rsidRDefault="1E025CA9" w:rsidP="1E025CA9">
            <w:pPr>
              <w:spacing w:after="0" w:line="360" w:lineRule="auto"/>
            </w:pPr>
            <w:r w:rsidRPr="1E025CA9">
              <w:rPr>
                <w:rFonts w:ascii="Arial" w:eastAsia="Arial" w:hAnsi="Arial" w:cs="Arial"/>
                <w:color w:val="000000" w:themeColor="text1"/>
                <w:sz w:val="22"/>
                <w:szCs w:val="22"/>
              </w:rPr>
              <w:t xml:space="preserve"> </w:t>
            </w:r>
          </w:p>
        </w:tc>
        <w:tc>
          <w:tcPr>
            <w:tcW w:w="3677" w:type="dxa"/>
            <w:tcBorders>
              <w:top w:val="single" w:sz="8" w:space="0" w:color="808080" w:themeColor="background1" w:themeShade="80"/>
              <w:left w:val="nil"/>
              <w:bottom w:val="nil"/>
              <w:right w:val="nil"/>
            </w:tcBorders>
            <w:shd w:val="clear" w:color="auto" w:fill="FFFFFF" w:themeFill="background1"/>
            <w:vAlign w:val="center"/>
          </w:tcPr>
          <w:p w14:paraId="6440F567" w14:textId="3FEF7303" w:rsidR="1E025CA9" w:rsidRDefault="1E025CA9" w:rsidP="1E025CA9">
            <w:pPr>
              <w:spacing w:after="0" w:line="360" w:lineRule="auto"/>
              <w:jc w:val="center"/>
            </w:pPr>
            <w:r w:rsidRPr="1E025CA9">
              <w:rPr>
                <w:rFonts w:ascii="Arial" w:eastAsia="Arial" w:hAnsi="Arial" w:cs="Arial"/>
                <w:color w:val="000000" w:themeColor="text1"/>
              </w:rPr>
              <w:t xml:space="preserve"> </w:t>
            </w:r>
          </w:p>
        </w:tc>
      </w:tr>
      <w:tr w:rsidR="1E025CA9" w14:paraId="736784FE" w14:textId="77777777" w:rsidTr="1E025CA9">
        <w:trPr>
          <w:trHeight w:val="630"/>
        </w:trPr>
        <w:tc>
          <w:tcPr>
            <w:tcW w:w="564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auto"/>
            </w:tcBorders>
            <w:shd w:val="clear" w:color="auto" w:fill="000000" w:themeFill="text1"/>
            <w:vAlign w:val="center"/>
          </w:tcPr>
          <w:p w14:paraId="5B79E63B" w14:textId="3AF5C29E" w:rsidR="1E025CA9" w:rsidRDefault="1E025CA9" w:rsidP="1E025CA9">
            <w:pPr>
              <w:spacing w:after="0" w:line="360" w:lineRule="auto"/>
              <w:jc w:val="right"/>
            </w:pPr>
            <w:r w:rsidRPr="1E025CA9">
              <w:rPr>
                <w:rFonts w:ascii="Arial" w:eastAsia="Arial" w:hAnsi="Arial" w:cs="Arial"/>
                <w:b/>
                <w:bCs/>
                <w:color w:val="FFFFFF" w:themeColor="background1"/>
                <w:sz w:val="22"/>
                <w:szCs w:val="22"/>
              </w:rPr>
              <w:t>Your net cash flow (A-B)</w:t>
            </w:r>
          </w:p>
        </w:tc>
        <w:tc>
          <w:tcPr>
            <w:tcW w:w="3677" w:type="dxa"/>
            <w:tcBorders>
              <w:top w:val="single" w:sz="8" w:space="0" w:color="808080" w:themeColor="background1" w:themeShade="80"/>
              <w:left w:val="single" w:sz="4" w:space="0" w:color="595959" w:themeColor="text1" w:themeTint="A6"/>
              <w:bottom w:val="single" w:sz="8" w:space="0" w:color="808080" w:themeColor="background1" w:themeShade="80"/>
              <w:right w:val="single" w:sz="4" w:space="0" w:color="595959" w:themeColor="text1" w:themeTint="A6"/>
            </w:tcBorders>
            <w:shd w:val="clear" w:color="auto" w:fill="D8E4BC"/>
            <w:vAlign w:val="center"/>
          </w:tcPr>
          <w:p w14:paraId="731E9B0C" w14:textId="0C3F1AEF" w:rsidR="1E025CA9" w:rsidRDefault="1E025CA9" w:rsidP="1E025CA9">
            <w:pPr>
              <w:spacing w:after="0" w:line="360" w:lineRule="auto"/>
              <w:jc w:val="center"/>
              <w:rPr>
                <w:rFonts w:ascii="Arial" w:eastAsia="Arial" w:hAnsi="Arial" w:cs="Arial"/>
                <w:b/>
                <w:bCs/>
                <w:color w:val="000000" w:themeColor="text1"/>
                <w:sz w:val="20"/>
                <w:szCs w:val="20"/>
              </w:rPr>
            </w:pPr>
            <w:r w:rsidRPr="1E025CA9">
              <w:rPr>
                <w:rFonts w:ascii="Arial" w:eastAsia="Arial" w:hAnsi="Arial" w:cs="Arial"/>
                <w:b/>
                <w:bCs/>
                <w:color w:val="000000" w:themeColor="text1"/>
                <w:sz w:val="20"/>
                <w:szCs w:val="20"/>
              </w:rPr>
              <w:t>£</w:t>
            </w:r>
            <w:r w:rsidR="35971E02" w:rsidRPr="1E025CA9">
              <w:rPr>
                <w:rFonts w:ascii="Arial" w:eastAsia="Arial" w:hAnsi="Arial" w:cs="Arial"/>
                <w:b/>
                <w:bCs/>
                <w:color w:val="000000" w:themeColor="text1"/>
                <w:sz w:val="20"/>
                <w:szCs w:val="20"/>
              </w:rPr>
              <w:t>2.800</w:t>
            </w:r>
          </w:p>
        </w:tc>
      </w:tr>
      <w:tr w:rsidR="1E025CA9" w14:paraId="35F04747" w14:textId="77777777" w:rsidTr="1E025CA9">
        <w:trPr>
          <w:trHeight w:val="420"/>
        </w:trPr>
        <w:tc>
          <w:tcPr>
            <w:tcW w:w="5648" w:type="dxa"/>
            <w:tcBorders>
              <w:top w:val="single" w:sz="8" w:space="0" w:color="808080" w:themeColor="background1" w:themeShade="80"/>
              <w:left w:val="nil"/>
              <w:bottom w:val="nil"/>
              <w:right w:val="nil"/>
            </w:tcBorders>
            <w:shd w:val="clear" w:color="auto" w:fill="FFFFFF" w:themeFill="background1"/>
            <w:vAlign w:val="bottom"/>
          </w:tcPr>
          <w:p w14:paraId="1B2CCF72" w14:textId="59C13FC5" w:rsidR="1E025CA9" w:rsidRDefault="1E025CA9" w:rsidP="1E025CA9">
            <w:pPr>
              <w:spacing w:after="0" w:line="360" w:lineRule="auto"/>
            </w:pPr>
            <w:r w:rsidRPr="1E025CA9">
              <w:rPr>
                <w:rFonts w:ascii="Arial" w:eastAsia="Arial" w:hAnsi="Arial" w:cs="Arial"/>
                <w:color w:val="000000" w:themeColor="text1"/>
                <w:sz w:val="22"/>
                <w:szCs w:val="22"/>
              </w:rPr>
              <w:t xml:space="preserve"> </w:t>
            </w:r>
          </w:p>
        </w:tc>
        <w:tc>
          <w:tcPr>
            <w:tcW w:w="3677" w:type="dxa"/>
            <w:tcBorders>
              <w:top w:val="single" w:sz="8" w:space="0" w:color="808080" w:themeColor="background1" w:themeShade="80"/>
              <w:left w:val="nil"/>
              <w:bottom w:val="nil"/>
              <w:right w:val="nil"/>
            </w:tcBorders>
            <w:shd w:val="clear" w:color="auto" w:fill="FFFFFF" w:themeFill="background1"/>
            <w:vAlign w:val="center"/>
          </w:tcPr>
          <w:p w14:paraId="1204DFEF" w14:textId="722C43D7" w:rsidR="1E025CA9" w:rsidRDefault="1E025CA9" w:rsidP="1E025CA9">
            <w:pPr>
              <w:spacing w:after="0" w:line="360" w:lineRule="auto"/>
              <w:jc w:val="center"/>
              <w:rPr>
                <w:rFonts w:ascii="Arial" w:eastAsia="Arial" w:hAnsi="Arial" w:cs="Arial"/>
                <w:b/>
                <w:bCs/>
                <w:color w:val="000000" w:themeColor="text1"/>
                <w:sz w:val="20"/>
                <w:szCs w:val="20"/>
              </w:rPr>
            </w:pPr>
          </w:p>
        </w:tc>
      </w:tr>
    </w:tbl>
    <w:p w14:paraId="0926E093" w14:textId="38331029" w:rsidR="002F6E14" w:rsidRDefault="002F6E14" w:rsidP="1E025CA9">
      <w:pPr>
        <w:spacing w:after="0" w:line="360" w:lineRule="auto"/>
        <w:rPr>
          <w:rFonts w:ascii="Arial" w:hAnsi="Arial" w:cs="Arial"/>
        </w:rPr>
      </w:pPr>
    </w:p>
    <w:p w14:paraId="7CB9700B" w14:textId="77777777" w:rsidR="002F1900" w:rsidRPr="002F1900" w:rsidRDefault="002F1900" w:rsidP="1E025CA9">
      <w:pPr>
        <w:spacing w:after="0" w:line="360" w:lineRule="auto"/>
        <w:rPr>
          <w:rFonts w:ascii="Arial" w:hAnsi="Arial" w:cs="Arial"/>
        </w:rPr>
      </w:pPr>
    </w:p>
    <w:p w14:paraId="710C59B8" w14:textId="77777777" w:rsidR="002F1900" w:rsidRPr="002F1900" w:rsidRDefault="247EEC49" w:rsidP="1E025CA9">
      <w:pPr>
        <w:spacing w:after="0" w:line="360" w:lineRule="auto"/>
        <w:rPr>
          <w:rFonts w:ascii="Arial" w:hAnsi="Arial" w:cs="Arial"/>
        </w:rPr>
      </w:pPr>
      <w:r w:rsidRPr="1E025CA9">
        <w:rPr>
          <w:rFonts w:ascii="Arial" w:hAnsi="Arial" w:cs="Arial"/>
        </w:rPr>
        <w:t>8. Reference List</w:t>
      </w:r>
    </w:p>
    <w:p w14:paraId="01DACE20" w14:textId="77777777" w:rsidR="002F1900" w:rsidRPr="002F1900" w:rsidRDefault="002F1900" w:rsidP="1E025CA9">
      <w:pPr>
        <w:spacing w:after="0" w:line="360" w:lineRule="auto"/>
        <w:rPr>
          <w:rFonts w:ascii="Arial" w:hAnsi="Arial" w:cs="Arial"/>
        </w:rPr>
      </w:pPr>
    </w:p>
    <w:p w14:paraId="422252DA" w14:textId="77777777" w:rsidR="002F1900" w:rsidRPr="002F1900" w:rsidRDefault="247EEC49" w:rsidP="1E025CA9">
      <w:pPr>
        <w:spacing w:after="0" w:line="360" w:lineRule="auto"/>
        <w:rPr>
          <w:rFonts w:ascii="Arial" w:hAnsi="Arial" w:cs="Arial"/>
          <w:lang w:val="en-US"/>
        </w:rPr>
      </w:pPr>
      <w:r w:rsidRPr="1E025CA9">
        <w:rPr>
          <w:rFonts w:ascii="Arial" w:hAnsi="Arial" w:cs="Arial"/>
          <w:lang w:val="en-US"/>
        </w:rPr>
        <w:t>• Department for Transport (2025) Taxi and private hire vehicle statistics: England. London: Department for Transport. Available at: www.gov.uk (Accessed: 14 October 2026).</w:t>
      </w:r>
    </w:p>
    <w:p w14:paraId="39D15C00" w14:textId="77777777" w:rsidR="002F1900" w:rsidRPr="002F1900" w:rsidRDefault="247EEC49" w:rsidP="1E025CA9">
      <w:pPr>
        <w:spacing w:after="0" w:line="360" w:lineRule="auto"/>
        <w:rPr>
          <w:rFonts w:ascii="Arial" w:hAnsi="Arial" w:cs="Arial"/>
          <w:lang w:val="en-US"/>
        </w:rPr>
      </w:pPr>
      <w:r w:rsidRPr="1E025CA9">
        <w:rPr>
          <w:rFonts w:ascii="Arial" w:hAnsi="Arial" w:cs="Arial"/>
          <w:lang w:val="en-US"/>
        </w:rPr>
        <w:t>• Burns, P. (2022) Entrepreneurship and Small Business: Start-up, Growth and Maturity. 5th edn. London: Red Globe Press.</w:t>
      </w:r>
    </w:p>
    <w:p w14:paraId="2FC33E93" w14:textId="77777777" w:rsidR="002F1900" w:rsidRPr="002F1900" w:rsidRDefault="247EEC49" w:rsidP="1E025CA9">
      <w:pPr>
        <w:spacing w:after="0" w:line="360" w:lineRule="auto"/>
        <w:rPr>
          <w:rFonts w:ascii="Arial" w:hAnsi="Arial" w:cs="Arial"/>
        </w:rPr>
      </w:pPr>
      <w:r w:rsidRPr="1E025CA9">
        <w:rPr>
          <w:rFonts w:ascii="Arial" w:hAnsi="Arial" w:cs="Arial"/>
        </w:rPr>
        <w:t>• Gillingham, K. and Stock, J.H. (2018) 'The Cost of Reducing Greenhouse Gas Emissions', Journal of Economic Perspectives, 32(4), pp. 53-72.</w:t>
      </w:r>
    </w:p>
    <w:p w14:paraId="70444752" w14:textId="77777777" w:rsidR="002F1900" w:rsidRPr="002F1900" w:rsidRDefault="247EEC49" w:rsidP="1E025CA9">
      <w:pPr>
        <w:spacing w:after="0" w:line="360" w:lineRule="auto"/>
        <w:rPr>
          <w:rFonts w:ascii="Arial" w:hAnsi="Arial" w:cs="Arial"/>
        </w:rPr>
      </w:pPr>
      <w:r w:rsidRPr="1E025CA9">
        <w:rPr>
          <w:rFonts w:ascii="Arial" w:hAnsi="Arial" w:cs="Arial"/>
        </w:rPr>
        <w:t>• Nieuwenhuis, P. and Wells, P. (2015) The Eco-Design Handbook for the Automotive Business. London: Routledge.</w:t>
      </w:r>
    </w:p>
    <w:p w14:paraId="21045156" w14:textId="5A5FAB32" w:rsidR="004118B0" w:rsidRPr="00F254B8" w:rsidRDefault="247EEC49" w:rsidP="1E025CA9">
      <w:pPr>
        <w:spacing w:after="0" w:line="360" w:lineRule="auto"/>
        <w:rPr>
          <w:rFonts w:ascii="Arial" w:hAnsi="Arial" w:cs="Arial"/>
        </w:rPr>
      </w:pPr>
      <w:r w:rsidRPr="1E025CA9">
        <w:rPr>
          <w:rFonts w:ascii="Arial" w:hAnsi="Arial" w:cs="Arial"/>
        </w:rPr>
        <w:t>• Transport for London (2024) Strategy for an all-electric and zero-emission private hire fleet by 2030. London: Transport for London.</w:t>
      </w:r>
    </w:p>
    <w:sectPr w:rsidR="004118B0" w:rsidRPr="00F254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1865CB"/>
    <w:multiLevelType w:val="hybridMultilevel"/>
    <w:tmpl w:val="FFFFFFFF"/>
    <w:lvl w:ilvl="0" w:tplc="D124F1B8">
      <w:start w:val="1"/>
      <w:numFmt w:val="bullet"/>
      <w:lvlText w:val=""/>
      <w:lvlJc w:val="left"/>
      <w:pPr>
        <w:ind w:left="720" w:hanging="360"/>
      </w:pPr>
      <w:rPr>
        <w:rFonts w:ascii="Symbol" w:hAnsi="Symbol" w:hint="default"/>
      </w:rPr>
    </w:lvl>
    <w:lvl w:ilvl="1" w:tplc="C25E48E6">
      <w:start w:val="1"/>
      <w:numFmt w:val="bullet"/>
      <w:lvlText w:val="o"/>
      <w:lvlJc w:val="left"/>
      <w:pPr>
        <w:ind w:left="1440" w:hanging="360"/>
      </w:pPr>
      <w:rPr>
        <w:rFonts w:ascii="Courier New" w:hAnsi="Courier New" w:hint="default"/>
      </w:rPr>
    </w:lvl>
    <w:lvl w:ilvl="2" w:tplc="1D721BBA">
      <w:start w:val="1"/>
      <w:numFmt w:val="bullet"/>
      <w:lvlText w:val=""/>
      <w:lvlJc w:val="left"/>
      <w:pPr>
        <w:ind w:left="2160" w:hanging="360"/>
      </w:pPr>
      <w:rPr>
        <w:rFonts w:ascii="Wingdings" w:hAnsi="Wingdings" w:hint="default"/>
      </w:rPr>
    </w:lvl>
    <w:lvl w:ilvl="3" w:tplc="F52898F4">
      <w:start w:val="1"/>
      <w:numFmt w:val="bullet"/>
      <w:lvlText w:val=""/>
      <w:lvlJc w:val="left"/>
      <w:pPr>
        <w:ind w:left="2880" w:hanging="360"/>
      </w:pPr>
      <w:rPr>
        <w:rFonts w:ascii="Symbol" w:hAnsi="Symbol" w:hint="default"/>
      </w:rPr>
    </w:lvl>
    <w:lvl w:ilvl="4" w:tplc="30DE4384">
      <w:start w:val="1"/>
      <w:numFmt w:val="bullet"/>
      <w:lvlText w:val="o"/>
      <w:lvlJc w:val="left"/>
      <w:pPr>
        <w:ind w:left="3600" w:hanging="360"/>
      </w:pPr>
      <w:rPr>
        <w:rFonts w:ascii="Courier New" w:hAnsi="Courier New" w:hint="default"/>
      </w:rPr>
    </w:lvl>
    <w:lvl w:ilvl="5" w:tplc="7236E3AE">
      <w:start w:val="1"/>
      <w:numFmt w:val="bullet"/>
      <w:lvlText w:val=""/>
      <w:lvlJc w:val="left"/>
      <w:pPr>
        <w:ind w:left="4320" w:hanging="360"/>
      </w:pPr>
      <w:rPr>
        <w:rFonts w:ascii="Wingdings" w:hAnsi="Wingdings" w:hint="default"/>
      </w:rPr>
    </w:lvl>
    <w:lvl w:ilvl="6" w:tplc="4372D17C">
      <w:start w:val="1"/>
      <w:numFmt w:val="bullet"/>
      <w:lvlText w:val=""/>
      <w:lvlJc w:val="left"/>
      <w:pPr>
        <w:ind w:left="5040" w:hanging="360"/>
      </w:pPr>
      <w:rPr>
        <w:rFonts w:ascii="Symbol" w:hAnsi="Symbol" w:hint="default"/>
      </w:rPr>
    </w:lvl>
    <w:lvl w:ilvl="7" w:tplc="02F4CD2A">
      <w:start w:val="1"/>
      <w:numFmt w:val="bullet"/>
      <w:lvlText w:val="o"/>
      <w:lvlJc w:val="left"/>
      <w:pPr>
        <w:ind w:left="5760" w:hanging="360"/>
      </w:pPr>
      <w:rPr>
        <w:rFonts w:ascii="Courier New" w:hAnsi="Courier New" w:hint="default"/>
      </w:rPr>
    </w:lvl>
    <w:lvl w:ilvl="8" w:tplc="3C9A5DE4">
      <w:start w:val="1"/>
      <w:numFmt w:val="bullet"/>
      <w:lvlText w:val=""/>
      <w:lvlJc w:val="left"/>
      <w:pPr>
        <w:ind w:left="6480" w:hanging="360"/>
      </w:pPr>
      <w:rPr>
        <w:rFonts w:ascii="Wingdings" w:hAnsi="Wingdings" w:hint="default"/>
      </w:rPr>
    </w:lvl>
  </w:abstractNum>
  <w:num w:numId="1" w16cid:durableId="672341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8B0"/>
    <w:rsid w:val="0001390B"/>
    <w:rsid w:val="00014FFC"/>
    <w:rsid w:val="00026FB6"/>
    <w:rsid w:val="00060F3D"/>
    <w:rsid w:val="000B12E2"/>
    <w:rsid w:val="00151164"/>
    <w:rsid w:val="001858D0"/>
    <w:rsid w:val="001C4A2D"/>
    <w:rsid w:val="001E753C"/>
    <w:rsid w:val="00214C65"/>
    <w:rsid w:val="002151B1"/>
    <w:rsid w:val="002358E8"/>
    <w:rsid w:val="00254841"/>
    <w:rsid w:val="002F1900"/>
    <w:rsid w:val="002F6E14"/>
    <w:rsid w:val="0030128F"/>
    <w:rsid w:val="00310734"/>
    <w:rsid w:val="00314628"/>
    <w:rsid w:val="00396FC2"/>
    <w:rsid w:val="004118B0"/>
    <w:rsid w:val="004179B2"/>
    <w:rsid w:val="004244A2"/>
    <w:rsid w:val="00431B78"/>
    <w:rsid w:val="00485F37"/>
    <w:rsid w:val="004C0922"/>
    <w:rsid w:val="00521D0B"/>
    <w:rsid w:val="0059412E"/>
    <w:rsid w:val="005A584E"/>
    <w:rsid w:val="005A700B"/>
    <w:rsid w:val="005C1733"/>
    <w:rsid w:val="0061579B"/>
    <w:rsid w:val="00631A3C"/>
    <w:rsid w:val="006405D1"/>
    <w:rsid w:val="00676041"/>
    <w:rsid w:val="006A39BD"/>
    <w:rsid w:val="006E177A"/>
    <w:rsid w:val="006F0197"/>
    <w:rsid w:val="006F23DC"/>
    <w:rsid w:val="006F2C81"/>
    <w:rsid w:val="0071252C"/>
    <w:rsid w:val="00715F38"/>
    <w:rsid w:val="00724270"/>
    <w:rsid w:val="00730645"/>
    <w:rsid w:val="00733AA8"/>
    <w:rsid w:val="007363BF"/>
    <w:rsid w:val="00742C48"/>
    <w:rsid w:val="00755C5E"/>
    <w:rsid w:val="00770420"/>
    <w:rsid w:val="007B500E"/>
    <w:rsid w:val="007B5423"/>
    <w:rsid w:val="007C22E0"/>
    <w:rsid w:val="007C4E59"/>
    <w:rsid w:val="0080184D"/>
    <w:rsid w:val="00837BDE"/>
    <w:rsid w:val="00841C82"/>
    <w:rsid w:val="00883D91"/>
    <w:rsid w:val="008C29B8"/>
    <w:rsid w:val="008E6FC5"/>
    <w:rsid w:val="0093773F"/>
    <w:rsid w:val="009B52F5"/>
    <w:rsid w:val="00A3671F"/>
    <w:rsid w:val="00A81CFD"/>
    <w:rsid w:val="00AA3DAD"/>
    <w:rsid w:val="00AC53C2"/>
    <w:rsid w:val="00B24A13"/>
    <w:rsid w:val="00B73C8B"/>
    <w:rsid w:val="00BA7AC2"/>
    <w:rsid w:val="00BF79CF"/>
    <w:rsid w:val="00C07AE6"/>
    <w:rsid w:val="00C91F76"/>
    <w:rsid w:val="00CD7BC9"/>
    <w:rsid w:val="00D71E3F"/>
    <w:rsid w:val="00D91D8F"/>
    <w:rsid w:val="00DB4B28"/>
    <w:rsid w:val="00DC028D"/>
    <w:rsid w:val="00DC048A"/>
    <w:rsid w:val="00E5035F"/>
    <w:rsid w:val="00E52A87"/>
    <w:rsid w:val="00EA60D8"/>
    <w:rsid w:val="00EA783B"/>
    <w:rsid w:val="00EF6DCF"/>
    <w:rsid w:val="00F15937"/>
    <w:rsid w:val="00F254B8"/>
    <w:rsid w:val="00F30272"/>
    <w:rsid w:val="00F815C8"/>
    <w:rsid w:val="00FB6C83"/>
    <w:rsid w:val="0316A2EA"/>
    <w:rsid w:val="05E7878D"/>
    <w:rsid w:val="0956D93C"/>
    <w:rsid w:val="0C79F497"/>
    <w:rsid w:val="0CD9F1E8"/>
    <w:rsid w:val="0E11EC9D"/>
    <w:rsid w:val="0EBB3669"/>
    <w:rsid w:val="113521C0"/>
    <w:rsid w:val="11E73BA7"/>
    <w:rsid w:val="14E2A66C"/>
    <w:rsid w:val="15F72AB5"/>
    <w:rsid w:val="1633CB8C"/>
    <w:rsid w:val="1874D001"/>
    <w:rsid w:val="1D1774EF"/>
    <w:rsid w:val="1E025CA9"/>
    <w:rsid w:val="247EEC49"/>
    <w:rsid w:val="26133D64"/>
    <w:rsid w:val="2D6286DC"/>
    <w:rsid w:val="2EDF49AB"/>
    <w:rsid w:val="313757BA"/>
    <w:rsid w:val="34ABB4E0"/>
    <w:rsid w:val="35971E02"/>
    <w:rsid w:val="385454AB"/>
    <w:rsid w:val="40734137"/>
    <w:rsid w:val="41F7D138"/>
    <w:rsid w:val="422F0761"/>
    <w:rsid w:val="42612332"/>
    <w:rsid w:val="4804EA6C"/>
    <w:rsid w:val="48B6FE56"/>
    <w:rsid w:val="5242808C"/>
    <w:rsid w:val="56828664"/>
    <w:rsid w:val="594EDCBF"/>
    <w:rsid w:val="5C019904"/>
    <w:rsid w:val="5D5B6946"/>
    <w:rsid w:val="6488C14F"/>
    <w:rsid w:val="65040512"/>
    <w:rsid w:val="65E59E39"/>
    <w:rsid w:val="6643F068"/>
    <w:rsid w:val="6701FBAA"/>
    <w:rsid w:val="69A6D9B8"/>
    <w:rsid w:val="6A3C5D53"/>
    <w:rsid w:val="6B9F1AE7"/>
    <w:rsid w:val="6E5695C1"/>
    <w:rsid w:val="6FD377DB"/>
    <w:rsid w:val="7008D2DA"/>
    <w:rsid w:val="7062EE62"/>
    <w:rsid w:val="720CE931"/>
    <w:rsid w:val="72E214C0"/>
    <w:rsid w:val="7594D180"/>
    <w:rsid w:val="7897277E"/>
    <w:rsid w:val="78B65209"/>
    <w:rsid w:val="795610BB"/>
    <w:rsid w:val="7E978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BA6CE7"/>
  <w15:chartTrackingRefBased/>
  <w15:docId w15:val="{B743A0A6-C150-F24D-B018-9565A5255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8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118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118B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18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18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18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8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8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8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8B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118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118B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18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18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18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8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8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8B0"/>
    <w:rPr>
      <w:rFonts w:eastAsiaTheme="majorEastAsia" w:cstheme="majorBidi"/>
      <w:color w:val="272727" w:themeColor="text1" w:themeTint="D8"/>
    </w:rPr>
  </w:style>
  <w:style w:type="paragraph" w:styleId="Title">
    <w:name w:val="Title"/>
    <w:basedOn w:val="Normal"/>
    <w:next w:val="Normal"/>
    <w:link w:val="TitleChar"/>
    <w:uiPriority w:val="10"/>
    <w:qFormat/>
    <w:rsid w:val="004118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8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8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8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8B0"/>
    <w:pPr>
      <w:spacing w:before="160"/>
      <w:jc w:val="center"/>
    </w:pPr>
    <w:rPr>
      <w:i/>
      <w:iCs/>
      <w:color w:val="404040" w:themeColor="text1" w:themeTint="BF"/>
    </w:rPr>
  </w:style>
  <w:style w:type="character" w:customStyle="1" w:styleId="QuoteChar">
    <w:name w:val="Quote Char"/>
    <w:basedOn w:val="DefaultParagraphFont"/>
    <w:link w:val="Quote"/>
    <w:uiPriority w:val="29"/>
    <w:rsid w:val="004118B0"/>
    <w:rPr>
      <w:i/>
      <w:iCs/>
      <w:color w:val="404040" w:themeColor="text1" w:themeTint="BF"/>
    </w:rPr>
  </w:style>
  <w:style w:type="paragraph" w:styleId="ListParagraph">
    <w:name w:val="List Paragraph"/>
    <w:basedOn w:val="Normal"/>
    <w:uiPriority w:val="34"/>
    <w:qFormat/>
    <w:rsid w:val="004118B0"/>
    <w:pPr>
      <w:ind w:left="720"/>
      <w:contextualSpacing/>
    </w:pPr>
  </w:style>
  <w:style w:type="character" w:styleId="IntenseEmphasis">
    <w:name w:val="Intense Emphasis"/>
    <w:basedOn w:val="DefaultParagraphFont"/>
    <w:uiPriority w:val="21"/>
    <w:qFormat/>
    <w:rsid w:val="004118B0"/>
    <w:rPr>
      <w:i/>
      <w:iCs/>
      <w:color w:val="2F5496" w:themeColor="accent1" w:themeShade="BF"/>
    </w:rPr>
  </w:style>
  <w:style w:type="paragraph" w:styleId="IntenseQuote">
    <w:name w:val="Intense Quote"/>
    <w:basedOn w:val="Normal"/>
    <w:next w:val="Normal"/>
    <w:link w:val="IntenseQuoteChar"/>
    <w:uiPriority w:val="30"/>
    <w:qFormat/>
    <w:rsid w:val="004118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18B0"/>
    <w:rPr>
      <w:i/>
      <w:iCs/>
      <w:color w:val="2F5496" w:themeColor="accent1" w:themeShade="BF"/>
    </w:rPr>
  </w:style>
  <w:style w:type="character" w:styleId="IntenseReference">
    <w:name w:val="Intense Reference"/>
    <w:basedOn w:val="DefaultParagraphFont"/>
    <w:uiPriority w:val="32"/>
    <w:qFormat/>
    <w:rsid w:val="004118B0"/>
    <w:rPr>
      <w:b/>
      <w:bCs/>
      <w:smallCaps/>
      <w:color w:val="2F5496" w:themeColor="accent1" w:themeShade="BF"/>
      <w:spacing w:val="5"/>
    </w:rPr>
  </w:style>
  <w:style w:type="character" w:styleId="Strong">
    <w:name w:val="Strong"/>
    <w:basedOn w:val="DefaultParagraphFont"/>
    <w:uiPriority w:val="22"/>
    <w:qFormat/>
    <w:rsid w:val="00396FC2"/>
    <w:rPr>
      <w:b/>
      <w:bCs/>
    </w:rPr>
  </w:style>
  <w:style w:type="character" w:customStyle="1" w:styleId="apple-converted-space">
    <w:name w:val="apple-converted-space"/>
    <w:basedOn w:val="DefaultParagraphFont"/>
    <w:rsid w:val="00396FC2"/>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1910</Words>
  <Characters>10888</Characters>
  <Application>Microsoft Office Word</Application>
  <DocSecurity>0</DocSecurity>
  <Lines>90</Lines>
  <Paragraphs>25</Paragraphs>
  <ScaleCrop>false</ScaleCrop>
  <Company/>
  <LinksUpToDate>false</LinksUpToDate>
  <CharactersWithSpaces>12773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Avram</dc:creator>
  <cp:keywords/>
  <dc:description/>
  <cp:lastModifiedBy>nicolaeradan0@gmail.com</cp:lastModifiedBy>
  <cp:revision>2</cp:revision>
  <dcterms:created xsi:type="dcterms:W3CDTF">2026-10-25T19:46:00Z</dcterms:created>
  <dcterms:modified xsi:type="dcterms:W3CDTF">2026-10-25T19:46:00Z</dcterms:modified>
</cp:coreProperties>
</file>