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016B4" w14:textId="77777777" w:rsidR="00BD5ACB" w:rsidRDefault="00BD5ACB"/>
    <w:tbl>
      <w:tblPr>
        <w:tblStyle w:val="TableGrid"/>
        <w:tblW w:w="0" w:type="auto"/>
        <w:tblLook w:val="04A0" w:firstRow="1" w:lastRow="0" w:firstColumn="1" w:lastColumn="0" w:noHBand="0" w:noVBand="1"/>
      </w:tblPr>
      <w:tblGrid>
        <w:gridCol w:w="3005"/>
        <w:gridCol w:w="3005"/>
        <w:gridCol w:w="3006"/>
      </w:tblGrid>
      <w:tr w:rsidR="00BD5ACB" w14:paraId="624D9E91" w14:textId="77777777" w:rsidTr="00097471">
        <w:tc>
          <w:tcPr>
            <w:tcW w:w="3005" w:type="dxa"/>
          </w:tcPr>
          <w:p w14:paraId="1B787028" w14:textId="77777777" w:rsidR="00BD5ACB" w:rsidRPr="00C3728C" w:rsidRDefault="00BD5ACB" w:rsidP="00097471">
            <w:pPr>
              <w:jc w:val="both"/>
              <w:rPr>
                <w:rFonts w:ascii="Times New Roman" w:hAnsi="Times New Roman" w:cs="Times New Roman"/>
                <w:sz w:val="16"/>
                <w:szCs w:val="16"/>
              </w:rPr>
            </w:pPr>
          </w:p>
        </w:tc>
        <w:tc>
          <w:tcPr>
            <w:tcW w:w="3005" w:type="dxa"/>
          </w:tcPr>
          <w:p w14:paraId="767368D3"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Targets</w:t>
            </w:r>
          </w:p>
        </w:tc>
        <w:tc>
          <w:tcPr>
            <w:tcW w:w="3006" w:type="dxa"/>
          </w:tcPr>
          <w:p w14:paraId="44894CA1"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What I have done in this assignment…</w:t>
            </w:r>
          </w:p>
        </w:tc>
      </w:tr>
      <w:tr w:rsidR="00BD5ACB" w14:paraId="769E907A" w14:textId="77777777" w:rsidTr="00097471">
        <w:tc>
          <w:tcPr>
            <w:tcW w:w="3005" w:type="dxa"/>
          </w:tcPr>
          <w:p w14:paraId="56C917F6"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Target 1</w:t>
            </w:r>
          </w:p>
        </w:tc>
        <w:tc>
          <w:tcPr>
            <w:tcW w:w="3005" w:type="dxa"/>
          </w:tcPr>
          <w:p w14:paraId="7BA918CC" w14:textId="77777777" w:rsidR="00BD5ACB" w:rsidRPr="00C3728C" w:rsidRDefault="00BD5ACB" w:rsidP="00097471">
            <w:pPr>
              <w:pStyle w:val="NormalWeb"/>
              <w:spacing w:before="0" w:beforeAutospacing="0" w:after="0" w:afterAutospacing="0"/>
              <w:rPr>
                <w:rFonts w:ascii="Roboto" w:hAnsi="Roboto"/>
                <w:color w:val="283041"/>
                <w:sz w:val="16"/>
                <w:szCs w:val="16"/>
              </w:rPr>
            </w:pPr>
            <w:r w:rsidRPr="00C3728C">
              <w:rPr>
                <w:rFonts w:ascii="Roboto" w:hAnsi="Roboto"/>
                <w:color w:val="283041"/>
                <w:sz w:val="16"/>
                <w:szCs w:val="16"/>
              </w:rPr>
              <w:t>a) Ensure an even greater engagement with a wider bank of literature to support all main discussion points. </w:t>
            </w:r>
          </w:p>
          <w:p w14:paraId="2129418C" w14:textId="77777777" w:rsidR="00BD5ACB" w:rsidRPr="00C3728C" w:rsidRDefault="00BD5ACB" w:rsidP="00097471">
            <w:pPr>
              <w:pStyle w:val="NormalWeb"/>
              <w:spacing w:before="0" w:beforeAutospacing="0" w:after="0" w:afterAutospacing="0"/>
              <w:rPr>
                <w:sz w:val="16"/>
                <w:szCs w:val="16"/>
              </w:rPr>
            </w:pPr>
          </w:p>
        </w:tc>
        <w:tc>
          <w:tcPr>
            <w:tcW w:w="3006" w:type="dxa"/>
          </w:tcPr>
          <w:p w14:paraId="46C45FDE"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Used more and different literature sources to widen my research</w:t>
            </w:r>
          </w:p>
        </w:tc>
      </w:tr>
      <w:tr w:rsidR="00BD5ACB" w14:paraId="7D643E2A" w14:textId="77777777" w:rsidTr="00097471">
        <w:tc>
          <w:tcPr>
            <w:tcW w:w="3005" w:type="dxa"/>
          </w:tcPr>
          <w:p w14:paraId="3C198771"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Target 2</w:t>
            </w:r>
          </w:p>
        </w:tc>
        <w:tc>
          <w:tcPr>
            <w:tcW w:w="3005" w:type="dxa"/>
          </w:tcPr>
          <w:p w14:paraId="3A6DBBEA" w14:textId="77777777" w:rsidR="00BD5ACB" w:rsidRPr="00C3728C" w:rsidRDefault="00BD5ACB" w:rsidP="00097471">
            <w:pPr>
              <w:pStyle w:val="NormalWeb"/>
              <w:spacing w:before="0" w:beforeAutospacing="0" w:after="0" w:afterAutospacing="0"/>
              <w:rPr>
                <w:rFonts w:ascii="Roboto" w:hAnsi="Roboto"/>
                <w:color w:val="283041"/>
                <w:sz w:val="16"/>
                <w:szCs w:val="16"/>
              </w:rPr>
            </w:pPr>
            <w:r w:rsidRPr="00C3728C">
              <w:rPr>
                <w:rFonts w:ascii="Roboto" w:hAnsi="Roboto"/>
                <w:color w:val="283041"/>
                <w:sz w:val="16"/>
                <w:szCs w:val="16"/>
              </w:rPr>
              <w:t>b) Try to support your key messages with research, who agrees? who disagrees?</w:t>
            </w:r>
          </w:p>
          <w:p w14:paraId="1ECECCE3" w14:textId="77777777" w:rsidR="00BD5ACB" w:rsidRPr="00C3728C" w:rsidRDefault="00BD5ACB" w:rsidP="00097471">
            <w:pPr>
              <w:jc w:val="both"/>
              <w:rPr>
                <w:rFonts w:ascii="Times New Roman" w:hAnsi="Times New Roman" w:cs="Times New Roman"/>
                <w:sz w:val="16"/>
                <w:szCs w:val="16"/>
              </w:rPr>
            </w:pPr>
          </w:p>
        </w:tc>
        <w:tc>
          <w:tcPr>
            <w:tcW w:w="3006" w:type="dxa"/>
          </w:tcPr>
          <w:p w14:paraId="7E96E1E0"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Used peer reviewed articles/journals to discuss theories</w:t>
            </w:r>
          </w:p>
        </w:tc>
      </w:tr>
      <w:tr w:rsidR="00BD5ACB" w14:paraId="2D5677B7" w14:textId="77777777" w:rsidTr="00097471">
        <w:tc>
          <w:tcPr>
            <w:tcW w:w="3005" w:type="dxa"/>
          </w:tcPr>
          <w:p w14:paraId="09B1D1C3"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Target 3</w:t>
            </w:r>
          </w:p>
        </w:tc>
        <w:tc>
          <w:tcPr>
            <w:tcW w:w="3005" w:type="dxa"/>
          </w:tcPr>
          <w:p w14:paraId="05C8ED1A" w14:textId="77777777" w:rsidR="00BD5ACB" w:rsidRPr="00C3728C" w:rsidRDefault="00BD5ACB" w:rsidP="00097471">
            <w:pPr>
              <w:pStyle w:val="NormalWeb"/>
              <w:spacing w:before="0" w:beforeAutospacing="0" w:after="0" w:afterAutospacing="0"/>
              <w:rPr>
                <w:rFonts w:ascii="Roboto" w:hAnsi="Roboto"/>
                <w:color w:val="283041"/>
                <w:sz w:val="16"/>
                <w:szCs w:val="16"/>
              </w:rPr>
            </w:pPr>
            <w:r w:rsidRPr="00C3728C">
              <w:rPr>
                <w:rFonts w:ascii="Roboto" w:hAnsi="Roboto"/>
                <w:color w:val="283041"/>
                <w:sz w:val="16"/>
                <w:szCs w:val="16"/>
              </w:rPr>
              <w:t>c) Provide more counter argument for recommendations made or critically evaluate aspects to be cautious with. </w:t>
            </w:r>
          </w:p>
          <w:p w14:paraId="083CA7F6" w14:textId="77777777" w:rsidR="00BD5ACB" w:rsidRPr="00C3728C" w:rsidRDefault="00BD5ACB" w:rsidP="00097471">
            <w:pPr>
              <w:jc w:val="both"/>
              <w:rPr>
                <w:rFonts w:ascii="Times New Roman" w:hAnsi="Times New Roman" w:cs="Times New Roman"/>
                <w:sz w:val="16"/>
                <w:szCs w:val="16"/>
              </w:rPr>
            </w:pPr>
          </w:p>
        </w:tc>
        <w:tc>
          <w:tcPr>
            <w:tcW w:w="3006" w:type="dxa"/>
          </w:tcPr>
          <w:p w14:paraId="1A042D9C" w14:textId="77777777" w:rsidR="00BD5ACB" w:rsidRPr="00C3728C" w:rsidRDefault="00BD5ACB" w:rsidP="00097471">
            <w:pPr>
              <w:jc w:val="both"/>
              <w:rPr>
                <w:rFonts w:ascii="Times New Roman" w:hAnsi="Times New Roman" w:cs="Times New Roman"/>
                <w:sz w:val="16"/>
                <w:szCs w:val="16"/>
              </w:rPr>
            </w:pPr>
            <w:r w:rsidRPr="00C3728C">
              <w:rPr>
                <w:rFonts w:ascii="Times New Roman" w:hAnsi="Times New Roman" w:cs="Times New Roman"/>
                <w:sz w:val="16"/>
                <w:szCs w:val="16"/>
              </w:rPr>
              <w:t xml:space="preserve">Used phrases ‘One could argue/Some would suggest’ and contrasting sentence starters to demonstrate counter arguments </w:t>
            </w:r>
          </w:p>
        </w:tc>
      </w:tr>
    </w:tbl>
    <w:p w14:paraId="1495FCA6" w14:textId="77777777" w:rsidR="00BD5ACB" w:rsidRDefault="00BD5ACB">
      <w:pPr>
        <w:rPr>
          <w:b/>
          <w:bCs/>
        </w:rPr>
      </w:pPr>
    </w:p>
    <w:p w14:paraId="27B468F2" w14:textId="66E08B91" w:rsidR="00763382" w:rsidRDefault="00763382">
      <w:pPr>
        <w:rPr>
          <w:b/>
          <w:bCs/>
        </w:rPr>
      </w:pPr>
      <w:r>
        <w:rPr>
          <w:b/>
          <w:bCs/>
        </w:rPr>
        <w:t>Word count 2872</w:t>
      </w:r>
    </w:p>
    <w:p w14:paraId="5B2CD9C5" w14:textId="77777777" w:rsidR="00763382" w:rsidRDefault="00763382">
      <w:pPr>
        <w:rPr>
          <w:b/>
          <w:bCs/>
        </w:rPr>
      </w:pPr>
    </w:p>
    <w:p w14:paraId="1B90996F" w14:textId="744A0A27" w:rsidR="00BF0B7B" w:rsidRPr="00BF0B7B" w:rsidRDefault="00BD5ACB" w:rsidP="00BF0B7B">
      <w:pPr>
        <w:jc w:val="both"/>
        <w:textAlignment w:val="baseline"/>
        <w:rPr>
          <w:rFonts w:ascii="Times New Roman" w:eastAsia="Times New Roman" w:hAnsi="Times New Roman" w:cs="Times New Roman"/>
          <w:color w:val="1F1F1F"/>
          <w:kern w:val="0"/>
          <w:sz w:val="22"/>
          <w:szCs w:val="22"/>
          <w:lang w:eastAsia="en-GB"/>
          <w14:ligatures w14:val="none"/>
        </w:rPr>
      </w:pPr>
      <w:r w:rsidRPr="00BF0B7B">
        <w:rPr>
          <w:rFonts w:ascii="Times New Roman" w:hAnsi="Times New Roman" w:cs="Times New Roman"/>
          <w:sz w:val="22"/>
          <w:szCs w:val="22"/>
        </w:rPr>
        <w:t xml:space="preserve">This essay will critically </w:t>
      </w:r>
      <w:r w:rsidRPr="00BF0B7B">
        <w:rPr>
          <w:rFonts w:ascii="Times New Roman" w:hAnsi="Times New Roman" w:cs="Times New Roman"/>
          <w:sz w:val="22"/>
          <w:szCs w:val="22"/>
        </w:rPr>
        <w:t xml:space="preserve">analyse three main pedagogical principles </w:t>
      </w:r>
      <w:r w:rsidR="00C3084C" w:rsidRPr="00BF0B7B">
        <w:rPr>
          <w:rFonts w:ascii="Times New Roman" w:hAnsi="Times New Roman" w:cs="Times New Roman"/>
          <w:sz w:val="22"/>
          <w:szCs w:val="22"/>
        </w:rPr>
        <w:t>and how they align with practices within education.</w:t>
      </w:r>
      <w:r w:rsidR="00674B6D" w:rsidRPr="00BF0B7B">
        <w:rPr>
          <w:rFonts w:ascii="Times New Roman" w:hAnsi="Times New Roman" w:cs="Times New Roman"/>
          <w:sz w:val="22"/>
          <w:szCs w:val="22"/>
        </w:rPr>
        <w:t xml:space="preserve"> Within the Curriculum for Wales there are 12 pedagogical principles which highlight what good teaching and learning consists of. </w:t>
      </w:r>
      <w:r w:rsidR="002837F4" w:rsidRPr="00BF0B7B">
        <w:rPr>
          <w:rFonts w:ascii="Times New Roman" w:hAnsi="Times New Roman" w:cs="Times New Roman"/>
          <w:sz w:val="22"/>
          <w:szCs w:val="22"/>
        </w:rPr>
        <w:t xml:space="preserve">The Welsh Government </w:t>
      </w:r>
      <w:r w:rsidR="002837F4" w:rsidRPr="0056149E">
        <w:rPr>
          <w:rFonts w:ascii="Times New Roman" w:hAnsi="Times New Roman" w:cs="Times New Roman"/>
          <w:sz w:val="22"/>
          <w:szCs w:val="22"/>
        </w:rPr>
        <w:t>(</w:t>
      </w:r>
      <w:r w:rsidR="0056149E" w:rsidRPr="0056149E">
        <w:rPr>
          <w:rFonts w:ascii="Times New Roman" w:hAnsi="Times New Roman" w:cs="Times New Roman"/>
          <w:sz w:val="22"/>
          <w:szCs w:val="22"/>
        </w:rPr>
        <w:t>2023</w:t>
      </w:r>
      <w:r w:rsidR="002837F4" w:rsidRPr="0056149E">
        <w:rPr>
          <w:rFonts w:ascii="Times New Roman" w:hAnsi="Times New Roman" w:cs="Times New Roman"/>
          <w:sz w:val="22"/>
          <w:szCs w:val="22"/>
        </w:rPr>
        <w:t>)</w:t>
      </w:r>
      <w:r w:rsidR="002837F4" w:rsidRPr="00BF0B7B">
        <w:rPr>
          <w:rFonts w:ascii="Times New Roman" w:hAnsi="Times New Roman" w:cs="Times New Roman"/>
          <w:sz w:val="22"/>
          <w:szCs w:val="22"/>
        </w:rPr>
        <w:t xml:space="preserve"> states what idealistic learner-centred pedagogy looks like within the classroom using the twelve pedagogical principles. In this essay, the writer will analyse these three pedagogical principles within education; </w:t>
      </w:r>
      <w:r w:rsidR="002837F4" w:rsidRPr="00BF0B7B">
        <w:rPr>
          <w:rFonts w:ascii="Times New Roman" w:eastAsia="Times New Roman" w:hAnsi="Times New Roman" w:cs="Times New Roman"/>
          <w:color w:val="1F1F1F"/>
          <w:kern w:val="0"/>
          <w:sz w:val="22"/>
          <w:szCs w:val="22"/>
          <w:lang w:eastAsia="en-GB"/>
          <w14:ligatures w14:val="none"/>
        </w:rPr>
        <w:t>means employing a blend of approaches including direct teaching</w:t>
      </w:r>
      <w:r w:rsidR="002837F4" w:rsidRPr="00BF0B7B">
        <w:rPr>
          <w:rFonts w:ascii="Times New Roman" w:eastAsia="Times New Roman" w:hAnsi="Times New Roman" w:cs="Times New Roman"/>
          <w:color w:val="1F1F1F"/>
          <w:kern w:val="0"/>
          <w:sz w:val="22"/>
          <w:szCs w:val="22"/>
          <w:lang w:eastAsia="en-GB"/>
          <w14:ligatures w14:val="none"/>
        </w:rPr>
        <w:t xml:space="preserve">, </w:t>
      </w:r>
      <w:r w:rsidR="00BF0B7B" w:rsidRPr="00BF0B7B">
        <w:rPr>
          <w:rFonts w:ascii="Times New Roman" w:hAnsi="Times New Roman" w:cs="Times New Roman"/>
          <w:color w:val="1F1F1F"/>
          <w:sz w:val="22"/>
          <w:szCs w:val="22"/>
          <w:shd w:val="clear" w:color="auto" w:fill="FFFFFF"/>
        </w:rPr>
        <w:t>sets tasks and selects resources that build on previous knowledge and experience and engage interest</w:t>
      </w:r>
      <w:r w:rsidR="00BF0B7B" w:rsidRPr="00BF0B7B">
        <w:rPr>
          <w:rFonts w:ascii="Times New Roman" w:hAnsi="Times New Roman" w:cs="Times New Roman"/>
          <w:color w:val="1F1F1F"/>
          <w:sz w:val="22"/>
          <w:szCs w:val="22"/>
          <w:shd w:val="clear" w:color="auto" w:fill="FFFFFF"/>
        </w:rPr>
        <w:t xml:space="preserve">, and </w:t>
      </w:r>
      <w:r w:rsidR="00BF0B7B" w:rsidRPr="00BF0B7B">
        <w:rPr>
          <w:rFonts w:ascii="Times New Roman" w:eastAsia="Times New Roman" w:hAnsi="Times New Roman" w:cs="Times New Roman"/>
          <w:color w:val="1F1F1F"/>
          <w:kern w:val="0"/>
          <w:sz w:val="22"/>
          <w:szCs w:val="22"/>
          <w:lang w:eastAsia="en-GB"/>
          <w14:ligatures w14:val="none"/>
        </w:rPr>
        <w:t>ranges within and across Areas</w:t>
      </w:r>
      <w:r w:rsidR="00BF0B7B" w:rsidRPr="00BF0B7B">
        <w:rPr>
          <w:rFonts w:ascii="Times New Roman" w:eastAsia="Times New Roman" w:hAnsi="Times New Roman" w:cs="Times New Roman"/>
          <w:color w:val="1F1F1F"/>
          <w:kern w:val="0"/>
          <w:sz w:val="22"/>
          <w:szCs w:val="22"/>
          <w:lang w:eastAsia="en-GB"/>
          <w14:ligatures w14:val="none"/>
        </w:rPr>
        <w:t xml:space="preserve"> of Learning and Experience.</w:t>
      </w:r>
      <w:r w:rsidR="003045B5">
        <w:rPr>
          <w:rFonts w:ascii="Times New Roman" w:eastAsia="Times New Roman" w:hAnsi="Times New Roman" w:cs="Times New Roman"/>
          <w:color w:val="1F1F1F"/>
          <w:kern w:val="0"/>
          <w:sz w:val="22"/>
          <w:szCs w:val="22"/>
          <w:lang w:eastAsia="en-GB"/>
          <w14:ligatures w14:val="none"/>
        </w:rPr>
        <w:t xml:space="preserve"> Within each Area of Learning and Experience (AoLE) there are four main aspects</w:t>
      </w:r>
      <w:r w:rsidR="005763E7">
        <w:rPr>
          <w:rFonts w:ascii="Times New Roman" w:eastAsia="Times New Roman" w:hAnsi="Times New Roman" w:cs="Times New Roman"/>
          <w:color w:val="1F1F1F"/>
          <w:kern w:val="0"/>
          <w:sz w:val="22"/>
          <w:szCs w:val="22"/>
          <w:lang w:eastAsia="en-GB"/>
          <w14:ligatures w14:val="none"/>
        </w:rPr>
        <w:t>, as implemented</w:t>
      </w:r>
      <w:r w:rsidR="00726455">
        <w:rPr>
          <w:rFonts w:ascii="Times New Roman" w:eastAsia="Times New Roman" w:hAnsi="Times New Roman" w:cs="Times New Roman"/>
          <w:color w:val="1F1F1F"/>
          <w:kern w:val="0"/>
          <w:sz w:val="22"/>
          <w:szCs w:val="22"/>
          <w:lang w:eastAsia="en-GB"/>
          <w14:ligatures w14:val="none"/>
        </w:rPr>
        <w:t xml:space="preserve"> </w:t>
      </w:r>
      <w:r w:rsidR="005763E7">
        <w:rPr>
          <w:rFonts w:ascii="Times New Roman" w:eastAsia="Times New Roman" w:hAnsi="Times New Roman" w:cs="Times New Roman"/>
          <w:color w:val="1F1F1F"/>
          <w:kern w:val="0"/>
          <w:sz w:val="22"/>
          <w:szCs w:val="22"/>
          <w:lang w:eastAsia="en-GB"/>
          <w14:ligatures w14:val="none"/>
        </w:rPr>
        <w:t>by the</w:t>
      </w:r>
      <w:r w:rsidR="009378D0">
        <w:rPr>
          <w:rFonts w:ascii="Times New Roman" w:eastAsia="Times New Roman" w:hAnsi="Times New Roman" w:cs="Times New Roman"/>
          <w:color w:val="1F1F1F"/>
          <w:kern w:val="0"/>
          <w:sz w:val="22"/>
          <w:szCs w:val="22"/>
          <w:lang w:eastAsia="en-GB"/>
          <w14:ligatures w14:val="none"/>
        </w:rPr>
        <w:t xml:space="preserve"> Welsh Government (2018). </w:t>
      </w:r>
      <w:r w:rsidR="003045B5">
        <w:rPr>
          <w:rFonts w:ascii="Times New Roman" w:eastAsia="Times New Roman" w:hAnsi="Times New Roman" w:cs="Times New Roman"/>
          <w:color w:val="1F1F1F"/>
          <w:kern w:val="0"/>
          <w:sz w:val="22"/>
          <w:szCs w:val="22"/>
          <w:lang w:eastAsia="en-GB"/>
          <w14:ligatures w14:val="none"/>
        </w:rPr>
        <w:t xml:space="preserve">Firstly, there needs to be a link between the AoLE and the four purposes as that shows how we can utilise cross-curricular and different types of teaching to enable learners to reach the four purposes as a result of the curriculum. As well as this, there is a ‘What Matters’ statement for each AoLE </w:t>
      </w:r>
      <w:r w:rsidR="005763E7">
        <w:rPr>
          <w:rFonts w:ascii="Times New Roman" w:eastAsia="Times New Roman" w:hAnsi="Times New Roman" w:cs="Times New Roman"/>
          <w:color w:val="1F1F1F"/>
          <w:kern w:val="0"/>
          <w:sz w:val="22"/>
          <w:szCs w:val="22"/>
          <w:lang w:eastAsia="en-GB"/>
          <w14:ligatures w14:val="none"/>
        </w:rPr>
        <w:t xml:space="preserve"> and any prior knowledge and experiences or skills relating to any of the statements. Finally, an important aspect of a ‘What Matters’ statement is including the Progression steps and any potential outcomes. Therefore, the Curriculum for Wales suggests that focussing on each pedagogical practice will ensure that you are demonstrating good teaching and that by considering each pedagogical practice that you are ensuring that each student is given a good opportunity to learn.</w:t>
      </w:r>
      <w:r w:rsidR="00726455">
        <w:rPr>
          <w:rFonts w:ascii="Times New Roman" w:eastAsia="Times New Roman" w:hAnsi="Times New Roman" w:cs="Times New Roman"/>
          <w:color w:val="1F1F1F"/>
          <w:kern w:val="0"/>
          <w:sz w:val="22"/>
          <w:szCs w:val="22"/>
          <w:lang w:eastAsia="en-GB"/>
          <w14:ligatures w14:val="none"/>
        </w:rPr>
        <w:t xml:space="preserve">                                                                               </w:t>
      </w:r>
    </w:p>
    <w:p w14:paraId="4409A47C" w14:textId="7997CA4E" w:rsidR="00BD5ACB" w:rsidRDefault="00C3084C" w:rsidP="003045B5">
      <w:pPr>
        <w:ind w:firstLine="720"/>
        <w:jc w:val="both"/>
        <w:rPr>
          <w:rFonts w:ascii="Times New Roman" w:hAnsi="Times New Roman" w:cs="Times New Roman"/>
          <w:sz w:val="22"/>
          <w:szCs w:val="22"/>
        </w:rPr>
      </w:pPr>
      <w:r w:rsidRPr="00BF0B7B">
        <w:rPr>
          <w:rFonts w:ascii="Times New Roman" w:hAnsi="Times New Roman" w:cs="Times New Roman"/>
          <w:sz w:val="22"/>
          <w:szCs w:val="22"/>
        </w:rPr>
        <w:t>In regard to</w:t>
      </w:r>
      <w:r w:rsidR="00674B6D" w:rsidRPr="00BF0B7B">
        <w:rPr>
          <w:rFonts w:ascii="Times New Roman" w:hAnsi="Times New Roman" w:cs="Times New Roman"/>
          <w:sz w:val="22"/>
          <w:szCs w:val="22"/>
        </w:rPr>
        <w:t xml:space="preserve"> Primary</w:t>
      </w:r>
      <w:r w:rsidRPr="00BF0B7B">
        <w:rPr>
          <w:rFonts w:ascii="Times New Roman" w:hAnsi="Times New Roman" w:cs="Times New Roman"/>
          <w:sz w:val="22"/>
          <w:szCs w:val="22"/>
        </w:rPr>
        <w:t xml:space="preserve"> </w:t>
      </w:r>
      <w:r w:rsidR="00674B6D" w:rsidRPr="00BF0B7B">
        <w:rPr>
          <w:rFonts w:ascii="Times New Roman" w:hAnsi="Times New Roman" w:cs="Times New Roman"/>
          <w:sz w:val="22"/>
          <w:szCs w:val="22"/>
        </w:rPr>
        <w:t>E</w:t>
      </w:r>
      <w:r w:rsidRPr="00BF0B7B">
        <w:rPr>
          <w:rFonts w:ascii="Times New Roman" w:hAnsi="Times New Roman" w:cs="Times New Roman"/>
          <w:sz w:val="22"/>
          <w:szCs w:val="22"/>
        </w:rPr>
        <w:t>ducation, pedagogy is fundamental when discussing the curriculum and more specifically, Areas of Learning and Experience.</w:t>
      </w:r>
      <w:r w:rsidR="000F6131" w:rsidRPr="00BF0B7B">
        <w:rPr>
          <w:rFonts w:ascii="Times New Roman" w:hAnsi="Times New Roman" w:cs="Times New Roman"/>
          <w:sz w:val="22"/>
          <w:szCs w:val="22"/>
        </w:rPr>
        <w:t xml:space="preserve"> The Curriculum for Wales is a relatively new framework that identifies overarching themes for learning and there are six Areas of Learning and Experience that are at its core. These areas are Health and Well-being, Expressive Arts, Literacy and communication, Mathematics and Numeracy, Humanities, and Science and Technology.</w:t>
      </w:r>
      <w:r w:rsidR="003C78B6" w:rsidRPr="00BF0B7B">
        <w:rPr>
          <w:rFonts w:ascii="Times New Roman" w:hAnsi="Times New Roman" w:cs="Times New Roman"/>
          <w:sz w:val="22"/>
          <w:szCs w:val="22"/>
        </w:rPr>
        <w:t xml:space="preserve"> </w:t>
      </w:r>
      <w:r w:rsidR="009378D0">
        <w:rPr>
          <w:rFonts w:ascii="Times New Roman" w:hAnsi="Times New Roman" w:cs="Times New Roman"/>
          <w:sz w:val="22"/>
          <w:szCs w:val="22"/>
        </w:rPr>
        <w:t xml:space="preserve">(Welsh Government, 2020). </w:t>
      </w:r>
      <w:r w:rsidR="000F6131" w:rsidRPr="00BF0B7B">
        <w:rPr>
          <w:rFonts w:ascii="Times New Roman" w:hAnsi="Times New Roman" w:cs="Times New Roman"/>
          <w:sz w:val="22"/>
          <w:szCs w:val="22"/>
        </w:rPr>
        <w:t xml:space="preserve">The main link between the curriculum and the Areas of Learning and Experience are the four purposes. The four purposes were introduced alongside the Curriculum for Wales and each school should aim to implement them into their curriculums. The four purposes are a tool </w:t>
      </w:r>
      <w:r w:rsidR="003C78B6" w:rsidRPr="00BF0B7B">
        <w:rPr>
          <w:rFonts w:ascii="Times New Roman" w:hAnsi="Times New Roman" w:cs="Times New Roman"/>
          <w:sz w:val="22"/>
          <w:szCs w:val="22"/>
        </w:rPr>
        <w:t xml:space="preserve">suggested by the government that is </w:t>
      </w:r>
      <w:r w:rsidR="000F6131" w:rsidRPr="00BF0B7B">
        <w:rPr>
          <w:rFonts w:ascii="Times New Roman" w:hAnsi="Times New Roman" w:cs="Times New Roman"/>
          <w:sz w:val="22"/>
          <w:szCs w:val="22"/>
        </w:rPr>
        <w:t xml:space="preserve">used </w:t>
      </w:r>
      <w:r w:rsidR="003C78B6" w:rsidRPr="00BF0B7B">
        <w:rPr>
          <w:rFonts w:ascii="Times New Roman" w:hAnsi="Times New Roman" w:cs="Times New Roman"/>
          <w:sz w:val="22"/>
          <w:szCs w:val="22"/>
        </w:rPr>
        <w:t xml:space="preserve">by </w:t>
      </w:r>
      <w:r w:rsidR="000F6131" w:rsidRPr="00BF0B7B">
        <w:rPr>
          <w:rFonts w:ascii="Times New Roman" w:hAnsi="Times New Roman" w:cs="Times New Roman"/>
          <w:sz w:val="22"/>
          <w:szCs w:val="22"/>
        </w:rPr>
        <w:t xml:space="preserve">schools to help their students become: ambitious capable learners, enterprising creative </w:t>
      </w:r>
      <w:r w:rsidR="003C78B6" w:rsidRPr="00BF0B7B">
        <w:rPr>
          <w:rFonts w:ascii="Times New Roman" w:hAnsi="Times New Roman" w:cs="Times New Roman"/>
          <w:sz w:val="22"/>
          <w:szCs w:val="22"/>
        </w:rPr>
        <w:t>contributors, healthy confident individuals, and ethical informed citizens.</w:t>
      </w:r>
      <w:r w:rsidR="009378D0">
        <w:rPr>
          <w:rFonts w:ascii="Times New Roman" w:hAnsi="Times New Roman" w:cs="Times New Roman"/>
          <w:sz w:val="22"/>
          <w:szCs w:val="22"/>
        </w:rPr>
        <w:t xml:space="preserve"> (Welsh Government, 2022).</w:t>
      </w:r>
      <w:r w:rsidR="005763E7">
        <w:rPr>
          <w:rFonts w:ascii="Times New Roman" w:hAnsi="Times New Roman" w:cs="Times New Roman"/>
          <w:sz w:val="22"/>
          <w:szCs w:val="22"/>
        </w:rPr>
        <w:t xml:space="preserve"> </w:t>
      </w:r>
      <w:r w:rsidR="009378D0">
        <w:rPr>
          <w:rFonts w:ascii="Times New Roman" w:hAnsi="Times New Roman" w:cs="Times New Roman"/>
          <w:sz w:val="22"/>
          <w:szCs w:val="22"/>
        </w:rPr>
        <w:t>I</w:t>
      </w:r>
      <w:r w:rsidR="005763E7">
        <w:rPr>
          <w:rFonts w:ascii="Times New Roman" w:hAnsi="Times New Roman" w:cs="Times New Roman"/>
          <w:sz w:val="22"/>
          <w:szCs w:val="22"/>
        </w:rPr>
        <w:t>t is important that the writer considers the impact of each of the three pedagogical practices within education when deciding whether they consider that good execution of each practice can result in good teaching and learning.</w:t>
      </w:r>
    </w:p>
    <w:p w14:paraId="3EB51594" w14:textId="0E2CCBFC" w:rsidR="00BD5ACB" w:rsidRDefault="00BD5ACB">
      <w:pPr>
        <w:rPr>
          <w:rFonts w:ascii="Times New Roman" w:hAnsi="Times New Roman" w:cs="Times New Roman"/>
          <w:sz w:val="22"/>
          <w:szCs w:val="22"/>
        </w:rPr>
      </w:pPr>
    </w:p>
    <w:p w14:paraId="60DDCE0A" w14:textId="003D3E07" w:rsidR="00DB2426" w:rsidRPr="00C94736" w:rsidRDefault="00726455" w:rsidP="00C94736">
      <w:pPr>
        <w:jc w:val="both"/>
        <w:rPr>
          <w:rFonts w:ascii="Times New Roman" w:eastAsia="Times New Roman" w:hAnsi="Times New Roman" w:cs="Times New Roman"/>
          <w:color w:val="1F1F1F"/>
          <w:kern w:val="0"/>
          <w:sz w:val="22"/>
          <w:szCs w:val="22"/>
          <w:lang w:eastAsia="en-GB"/>
          <w14:ligatures w14:val="none"/>
        </w:rPr>
      </w:pPr>
      <w:r>
        <w:rPr>
          <w:rFonts w:ascii="Times New Roman" w:hAnsi="Times New Roman" w:cs="Times New Roman"/>
          <w:sz w:val="22"/>
          <w:szCs w:val="22"/>
        </w:rPr>
        <w:t>One of the main pedagogical practices that this essay will focus on is that good teaching and learning  ‘</w:t>
      </w:r>
      <w:r w:rsidRPr="00BF0B7B">
        <w:rPr>
          <w:rFonts w:ascii="Times New Roman" w:eastAsia="Times New Roman" w:hAnsi="Times New Roman" w:cs="Times New Roman"/>
          <w:color w:val="1F1F1F"/>
          <w:kern w:val="0"/>
          <w:sz w:val="22"/>
          <w:szCs w:val="22"/>
          <w:lang w:eastAsia="en-GB"/>
          <w14:ligatures w14:val="none"/>
        </w:rPr>
        <w:t>means employing a blend of approaches including direct teaching</w:t>
      </w:r>
      <w:r>
        <w:rPr>
          <w:rFonts w:ascii="Times New Roman" w:eastAsia="Times New Roman" w:hAnsi="Times New Roman" w:cs="Times New Roman"/>
          <w:color w:val="1F1F1F"/>
          <w:kern w:val="0"/>
          <w:sz w:val="22"/>
          <w:szCs w:val="22"/>
          <w:lang w:eastAsia="en-GB"/>
          <w14:ligatures w14:val="none"/>
        </w:rPr>
        <w:t>’. It is important to consider each pedagogical principle alongside one of the</w:t>
      </w:r>
      <w:r w:rsidR="00FC4975">
        <w:rPr>
          <w:rFonts w:ascii="Times New Roman" w:eastAsia="Times New Roman" w:hAnsi="Times New Roman" w:cs="Times New Roman"/>
          <w:color w:val="1F1F1F"/>
          <w:kern w:val="0"/>
          <w:sz w:val="22"/>
          <w:szCs w:val="22"/>
          <w:lang w:eastAsia="en-GB"/>
          <w14:ligatures w14:val="none"/>
        </w:rPr>
        <w:t xml:space="preserve"> Health and Wellbeing</w:t>
      </w:r>
      <w:r>
        <w:rPr>
          <w:rFonts w:ascii="Times New Roman" w:eastAsia="Times New Roman" w:hAnsi="Times New Roman" w:cs="Times New Roman"/>
          <w:color w:val="1F1F1F"/>
          <w:kern w:val="0"/>
          <w:sz w:val="22"/>
          <w:szCs w:val="22"/>
          <w:lang w:eastAsia="en-GB"/>
          <w14:ligatures w14:val="none"/>
        </w:rPr>
        <w:t xml:space="preserve">. Therefore, the </w:t>
      </w:r>
      <w:r w:rsidR="00FC4975">
        <w:rPr>
          <w:rFonts w:ascii="Times New Roman" w:eastAsia="Times New Roman" w:hAnsi="Times New Roman" w:cs="Times New Roman"/>
          <w:color w:val="1F1F1F"/>
          <w:kern w:val="0"/>
          <w:sz w:val="22"/>
          <w:szCs w:val="22"/>
          <w:lang w:eastAsia="en-GB"/>
          <w14:ligatures w14:val="none"/>
        </w:rPr>
        <w:t xml:space="preserve">Health and Wellbeing </w:t>
      </w:r>
      <w:r w:rsidR="00C3728C">
        <w:rPr>
          <w:rFonts w:ascii="Times New Roman" w:eastAsia="Times New Roman" w:hAnsi="Times New Roman" w:cs="Times New Roman"/>
          <w:color w:val="1F1F1F"/>
          <w:kern w:val="0"/>
          <w:sz w:val="22"/>
          <w:szCs w:val="22"/>
          <w:lang w:eastAsia="en-GB"/>
          <w14:ligatures w14:val="none"/>
        </w:rPr>
        <w:t xml:space="preserve">AoLE </w:t>
      </w:r>
      <w:r w:rsidR="00FC4975">
        <w:rPr>
          <w:rFonts w:ascii="Times New Roman" w:eastAsia="Times New Roman" w:hAnsi="Times New Roman" w:cs="Times New Roman"/>
          <w:color w:val="1F1F1F"/>
          <w:kern w:val="0"/>
          <w:sz w:val="22"/>
          <w:szCs w:val="22"/>
          <w:lang w:eastAsia="en-GB"/>
          <w14:ligatures w14:val="none"/>
        </w:rPr>
        <w:t>highlights a holistic approach to teaching and learning as it allows the teachers to aid children in understanding and developing holistically through creating a further understanding of their health and wellbeing, both physically and mentally.</w:t>
      </w:r>
      <w:r w:rsidR="009378D0">
        <w:rPr>
          <w:rFonts w:ascii="Times New Roman" w:eastAsia="Times New Roman" w:hAnsi="Times New Roman" w:cs="Times New Roman"/>
          <w:color w:val="1F1F1F"/>
          <w:kern w:val="0"/>
          <w:sz w:val="22"/>
          <w:szCs w:val="22"/>
          <w:lang w:eastAsia="en-GB"/>
          <w14:ligatures w14:val="none"/>
        </w:rPr>
        <w:t xml:space="preserve"> (Welsh Government, 2020).</w:t>
      </w:r>
      <w:r w:rsidR="009378D0">
        <w:t xml:space="preserve"> </w:t>
      </w:r>
      <w:r w:rsidR="00FC4975">
        <w:rPr>
          <w:rFonts w:ascii="Times New Roman" w:eastAsia="Times New Roman" w:hAnsi="Times New Roman" w:cs="Times New Roman"/>
          <w:color w:val="1F1F1F"/>
          <w:kern w:val="0"/>
          <w:sz w:val="22"/>
          <w:szCs w:val="22"/>
          <w:lang w:eastAsia="en-GB"/>
          <w14:ligatures w14:val="none"/>
        </w:rPr>
        <w:t xml:space="preserve">In helping children develop holistically it provides them with the skills and experiences to navigate any challenges they may encounter and how to approach new </w:t>
      </w:r>
      <w:r w:rsidR="00FC4975" w:rsidRPr="00C94736">
        <w:rPr>
          <w:rFonts w:ascii="Times New Roman" w:eastAsia="Times New Roman" w:hAnsi="Times New Roman" w:cs="Times New Roman"/>
          <w:color w:val="1F1F1F"/>
          <w:kern w:val="0"/>
          <w:sz w:val="22"/>
          <w:szCs w:val="22"/>
          <w:lang w:eastAsia="en-GB"/>
          <w14:ligatures w14:val="none"/>
        </w:rPr>
        <w:t xml:space="preserve">opportunities throughout their personal and professional lives. Ultimately, prioritising holistic development within education can allow children to reach the four purposes. </w:t>
      </w:r>
    </w:p>
    <w:p w14:paraId="20AD2626" w14:textId="28C1721D" w:rsidR="00726455" w:rsidRDefault="00DB2426" w:rsidP="00C94736">
      <w:pPr>
        <w:ind w:firstLine="720"/>
        <w:jc w:val="both"/>
        <w:rPr>
          <w:rFonts w:ascii="Times New Roman" w:hAnsi="Times New Roman" w:cs="Times New Roman"/>
          <w:color w:val="3A3A3A"/>
          <w:sz w:val="22"/>
          <w:szCs w:val="22"/>
          <w:shd w:val="clear" w:color="auto" w:fill="FFFFFF"/>
        </w:rPr>
      </w:pPr>
      <w:r w:rsidRPr="00C94736">
        <w:rPr>
          <w:rFonts w:ascii="Times New Roman" w:eastAsia="Times New Roman" w:hAnsi="Times New Roman" w:cs="Times New Roman"/>
          <w:color w:val="1F1F1F"/>
          <w:kern w:val="0"/>
          <w:sz w:val="22"/>
          <w:szCs w:val="22"/>
          <w:lang w:eastAsia="en-GB"/>
          <w14:ligatures w14:val="none"/>
        </w:rPr>
        <w:lastRenderedPageBreak/>
        <w:t>There are many teaching methods that can be used to ‘employ a blend of approaches’ such as individual learning, student-lead learning, and play-based learning. Each of these teaching methods can be used when focussing on the Health and Wellbeing AoLE.</w:t>
      </w:r>
      <w:r w:rsidRPr="00C94736">
        <w:rPr>
          <w:rFonts w:ascii="Times New Roman" w:eastAsia="Times New Roman" w:hAnsi="Times New Roman" w:cs="Times New Roman"/>
          <w:color w:val="1F1F1F"/>
          <w:kern w:val="0"/>
          <w:sz w:val="22"/>
          <w:szCs w:val="22"/>
          <w:lang w:eastAsia="en-GB"/>
          <w14:ligatures w14:val="none"/>
        </w:rPr>
        <w:t xml:space="preserve"> </w:t>
      </w:r>
      <w:r w:rsidR="00656F07" w:rsidRPr="00C94736">
        <w:rPr>
          <w:rFonts w:ascii="Times New Roman" w:eastAsia="Times New Roman" w:hAnsi="Times New Roman" w:cs="Times New Roman"/>
          <w:color w:val="1F1F1F"/>
          <w:kern w:val="0"/>
          <w:sz w:val="22"/>
          <w:szCs w:val="22"/>
          <w:lang w:eastAsia="en-GB"/>
          <w14:ligatures w14:val="none"/>
        </w:rPr>
        <w:t>Moreover, direct teaching is a method of teaching, more commonly referred to as direct instruction. Within this method, the teacher is required to present the students with their task by standing at the front of the room and giving them clear instructions and expectations set by the teacher.</w:t>
      </w:r>
      <w:r w:rsidRPr="00C94736">
        <w:rPr>
          <w:rFonts w:ascii="Times New Roman" w:eastAsia="Times New Roman" w:hAnsi="Times New Roman" w:cs="Times New Roman"/>
          <w:color w:val="1F1F1F"/>
          <w:kern w:val="0"/>
          <w:sz w:val="22"/>
          <w:szCs w:val="22"/>
          <w:lang w:eastAsia="en-GB"/>
          <w14:ligatures w14:val="none"/>
        </w:rPr>
        <w:t xml:space="preserve"> </w:t>
      </w:r>
      <w:r w:rsidRPr="00C94736">
        <w:rPr>
          <w:rFonts w:ascii="Times New Roman" w:eastAsia="Times New Roman" w:hAnsi="Times New Roman" w:cs="Times New Roman"/>
          <w:color w:val="1F1F1F"/>
          <w:kern w:val="0"/>
          <w:sz w:val="22"/>
          <w:szCs w:val="22"/>
          <w:lang w:eastAsia="en-GB"/>
          <w14:ligatures w14:val="none"/>
        </w:rPr>
        <w:t>For example, direct teaching is used as a way of presenting the topics and tasks that the teachers want the students to learn, meaning that it is a teacher-centred approach to learning.</w:t>
      </w:r>
      <w:r w:rsidR="009378D0">
        <w:rPr>
          <w:rFonts w:ascii="Times New Roman" w:eastAsia="Times New Roman" w:hAnsi="Times New Roman" w:cs="Times New Roman"/>
          <w:color w:val="1F1F1F"/>
          <w:kern w:val="0"/>
          <w:sz w:val="22"/>
          <w:szCs w:val="22"/>
          <w:lang w:eastAsia="en-GB"/>
          <w14:ligatures w14:val="none"/>
        </w:rPr>
        <w:t xml:space="preserve"> </w:t>
      </w:r>
      <w:proofErr w:type="spellStart"/>
      <w:r w:rsidRPr="009378D0">
        <w:rPr>
          <w:rFonts w:ascii="Times New Roman" w:hAnsi="Times New Roman" w:cs="Times New Roman"/>
          <w:color w:val="3A3A3A"/>
          <w:sz w:val="22"/>
          <w:szCs w:val="22"/>
          <w:shd w:val="clear" w:color="auto" w:fill="FFFFFF"/>
        </w:rPr>
        <w:t>Jayantilal</w:t>
      </w:r>
      <w:proofErr w:type="spellEnd"/>
      <w:r w:rsidR="009378D0">
        <w:rPr>
          <w:rFonts w:ascii="Times New Roman" w:hAnsi="Times New Roman" w:cs="Times New Roman"/>
          <w:color w:val="3A3A3A"/>
          <w:sz w:val="22"/>
          <w:szCs w:val="22"/>
          <w:shd w:val="clear" w:color="auto" w:fill="FFFFFF"/>
        </w:rPr>
        <w:t xml:space="preserve"> </w:t>
      </w:r>
      <w:r w:rsidRPr="009378D0">
        <w:rPr>
          <w:rFonts w:ascii="Times New Roman" w:hAnsi="Times New Roman" w:cs="Times New Roman"/>
          <w:color w:val="3A3A3A"/>
          <w:sz w:val="22"/>
          <w:szCs w:val="22"/>
          <w:shd w:val="clear" w:color="auto" w:fill="FFFFFF"/>
        </w:rPr>
        <w:t xml:space="preserve">and O’Leary (2017) </w:t>
      </w:r>
      <w:r w:rsidRPr="00C94736">
        <w:rPr>
          <w:rFonts w:ascii="Times New Roman" w:eastAsia="Times New Roman" w:hAnsi="Times New Roman" w:cs="Times New Roman"/>
          <w:color w:val="1F1F1F"/>
          <w:kern w:val="0"/>
          <w:sz w:val="22"/>
          <w:szCs w:val="22"/>
          <w:lang w:eastAsia="en-GB"/>
          <w14:ligatures w14:val="none"/>
        </w:rPr>
        <w:t xml:space="preserve">state that when using the direct teaching method that teachers need to structure their lesson in small steps which they should use alongside detailed instructions, explanations and expectations for the students to understand clearly. The author implies that it is fundamental that before using the direct teaching method that the teaching plans for the individual stages of each pupil and the overall ability of their class, especially within health and wellbeing. </w:t>
      </w:r>
      <w:r w:rsidRPr="009378D0">
        <w:rPr>
          <w:rFonts w:ascii="Times New Roman" w:eastAsia="Times New Roman" w:hAnsi="Times New Roman" w:cs="Times New Roman"/>
          <w:color w:val="1F1F1F"/>
          <w:kern w:val="0"/>
          <w:sz w:val="22"/>
          <w:szCs w:val="22"/>
          <w:lang w:eastAsia="en-GB"/>
          <w14:ligatures w14:val="none"/>
        </w:rPr>
        <w:t>(</w:t>
      </w:r>
      <w:proofErr w:type="spellStart"/>
      <w:r w:rsidRPr="009378D0">
        <w:rPr>
          <w:rFonts w:ascii="Times New Roman" w:hAnsi="Times New Roman" w:cs="Times New Roman"/>
          <w:color w:val="3A3A3A"/>
          <w:sz w:val="22"/>
          <w:szCs w:val="22"/>
          <w:shd w:val="clear" w:color="auto" w:fill="FFFFFF"/>
        </w:rPr>
        <w:t>Jayantilal</w:t>
      </w:r>
      <w:proofErr w:type="spellEnd"/>
      <w:r w:rsidR="009378D0">
        <w:rPr>
          <w:rFonts w:ascii="Times New Roman" w:hAnsi="Times New Roman" w:cs="Times New Roman"/>
          <w:color w:val="3A3A3A"/>
          <w:sz w:val="22"/>
          <w:szCs w:val="22"/>
          <w:shd w:val="clear" w:color="auto" w:fill="FFFFFF"/>
        </w:rPr>
        <w:t xml:space="preserve"> </w:t>
      </w:r>
      <w:r w:rsidRPr="009378D0">
        <w:rPr>
          <w:rFonts w:ascii="Times New Roman" w:hAnsi="Times New Roman" w:cs="Times New Roman"/>
          <w:color w:val="3A3A3A"/>
          <w:sz w:val="22"/>
          <w:szCs w:val="22"/>
          <w:shd w:val="clear" w:color="auto" w:fill="FFFFFF"/>
        </w:rPr>
        <w:t>and O’Leary</w:t>
      </w:r>
      <w:r w:rsidR="009378D0">
        <w:rPr>
          <w:rFonts w:ascii="Times New Roman" w:hAnsi="Times New Roman" w:cs="Times New Roman"/>
          <w:color w:val="3A3A3A"/>
          <w:sz w:val="22"/>
          <w:szCs w:val="22"/>
          <w:shd w:val="clear" w:color="auto" w:fill="FFFFFF"/>
        </w:rPr>
        <w:t>,</w:t>
      </w:r>
      <w:r w:rsidRPr="009378D0">
        <w:rPr>
          <w:rFonts w:ascii="Times New Roman" w:hAnsi="Times New Roman" w:cs="Times New Roman"/>
          <w:color w:val="3A3A3A"/>
          <w:sz w:val="22"/>
          <w:szCs w:val="22"/>
          <w:shd w:val="clear" w:color="auto" w:fill="FFFFFF"/>
        </w:rPr>
        <w:t xml:space="preserve"> </w:t>
      </w:r>
      <w:r w:rsidRPr="009378D0">
        <w:rPr>
          <w:rFonts w:ascii="Times New Roman" w:hAnsi="Times New Roman" w:cs="Times New Roman"/>
          <w:color w:val="3A3A3A"/>
          <w:sz w:val="22"/>
          <w:szCs w:val="22"/>
          <w:shd w:val="clear" w:color="auto" w:fill="FFFFFF"/>
        </w:rPr>
        <w:t>2017)</w:t>
      </w:r>
      <w:r w:rsidR="00FC3D25" w:rsidRPr="009378D0">
        <w:rPr>
          <w:rFonts w:ascii="Times New Roman" w:hAnsi="Times New Roman" w:cs="Times New Roman"/>
          <w:color w:val="3A3A3A"/>
          <w:sz w:val="22"/>
          <w:szCs w:val="22"/>
          <w:shd w:val="clear" w:color="auto" w:fill="FFFFFF"/>
        </w:rPr>
        <w:t>.</w:t>
      </w:r>
      <w:r w:rsidRPr="00C94736">
        <w:rPr>
          <w:rFonts w:ascii="Times New Roman" w:hAnsi="Times New Roman" w:cs="Times New Roman"/>
          <w:color w:val="3A3A3A"/>
          <w:sz w:val="22"/>
          <w:szCs w:val="22"/>
          <w:shd w:val="clear" w:color="auto" w:fill="FFFFFF"/>
        </w:rPr>
        <w:t xml:space="preserve"> </w:t>
      </w:r>
      <w:r w:rsidR="00336E23" w:rsidRPr="00C94736">
        <w:rPr>
          <w:rFonts w:ascii="Times New Roman" w:hAnsi="Times New Roman" w:cs="Times New Roman"/>
          <w:color w:val="3A3A3A"/>
          <w:sz w:val="22"/>
          <w:szCs w:val="22"/>
          <w:shd w:val="clear" w:color="auto" w:fill="FFFFFF"/>
        </w:rPr>
        <w:t xml:space="preserve">Furthermore, </w:t>
      </w:r>
      <w:r w:rsidR="00C94736" w:rsidRPr="00C94736">
        <w:rPr>
          <w:rFonts w:ascii="Times New Roman" w:hAnsi="Times New Roman" w:cs="Times New Roman"/>
          <w:color w:val="3A3A3A"/>
          <w:sz w:val="22"/>
          <w:szCs w:val="22"/>
          <w:shd w:val="clear" w:color="auto" w:fill="FFFFFF"/>
        </w:rPr>
        <w:t xml:space="preserve">when using direct teaching within the health and wellbeing area, during physical education lessons the teacher can separate the method into sections. These could be repetitive drills focussing on improving individual skillsets or </w:t>
      </w:r>
      <w:r w:rsidR="00FC3D25">
        <w:rPr>
          <w:rFonts w:ascii="Times New Roman" w:hAnsi="Times New Roman" w:cs="Times New Roman"/>
          <w:color w:val="3A3A3A"/>
          <w:sz w:val="22"/>
          <w:szCs w:val="22"/>
          <w:shd w:val="clear" w:color="auto" w:fill="FFFFFF"/>
        </w:rPr>
        <w:t xml:space="preserve">communication skills playing as a team. Therefore, the learners are exposed to tasks that will help to improve their social and cognitive functions and progress them further into becoming ambitious capable learners. </w:t>
      </w:r>
      <w:r w:rsidR="009378D0" w:rsidRPr="009378D0">
        <w:rPr>
          <w:rFonts w:ascii="Times New Roman" w:eastAsia="Times New Roman" w:hAnsi="Times New Roman" w:cs="Times New Roman"/>
          <w:color w:val="1F1F1F"/>
          <w:kern w:val="0"/>
          <w:sz w:val="22"/>
          <w:szCs w:val="22"/>
          <w:lang w:eastAsia="en-GB"/>
          <w14:ligatures w14:val="none"/>
        </w:rPr>
        <w:t>(</w:t>
      </w:r>
      <w:proofErr w:type="spellStart"/>
      <w:r w:rsidR="009378D0" w:rsidRPr="009378D0">
        <w:rPr>
          <w:rFonts w:ascii="Times New Roman" w:hAnsi="Times New Roman" w:cs="Times New Roman"/>
          <w:color w:val="3A3A3A"/>
          <w:sz w:val="22"/>
          <w:szCs w:val="22"/>
          <w:shd w:val="clear" w:color="auto" w:fill="FFFFFF"/>
        </w:rPr>
        <w:t>Jayantilal</w:t>
      </w:r>
      <w:proofErr w:type="spellEnd"/>
      <w:r w:rsidR="009378D0">
        <w:rPr>
          <w:rFonts w:ascii="Times New Roman" w:hAnsi="Times New Roman" w:cs="Times New Roman"/>
          <w:color w:val="3A3A3A"/>
          <w:sz w:val="22"/>
          <w:szCs w:val="22"/>
          <w:shd w:val="clear" w:color="auto" w:fill="FFFFFF"/>
        </w:rPr>
        <w:t xml:space="preserve"> </w:t>
      </w:r>
      <w:r w:rsidR="009378D0" w:rsidRPr="009378D0">
        <w:rPr>
          <w:rFonts w:ascii="Times New Roman" w:hAnsi="Times New Roman" w:cs="Times New Roman"/>
          <w:color w:val="3A3A3A"/>
          <w:sz w:val="22"/>
          <w:szCs w:val="22"/>
          <w:shd w:val="clear" w:color="auto" w:fill="FFFFFF"/>
        </w:rPr>
        <w:t>and O’Leary</w:t>
      </w:r>
      <w:r w:rsidR="009378D0">
        <w:rPr>
          <w:rFonts w:ascii="Times New Roman" w:hAnsi="Times New Roman" w:cs="Times New Roman"/>
          <w:color w:val="3A3A3A"/>
          <w:sz w:val="22"/>
          <w:szCs w:val="22"/>
          <w:shd w:val="clear" w:color="auto" w:fill="FFFFFF"/>
        </w:rPr>
        <w:t>,</w:t>
      </w:r>
      <w:r w:rsidR="009378D0" w:rsidRPr="009378D0">
        <w:rPr>
          <w:rFonts w:ascii="Times New Roman" w:hAnsi="Times New Roman" w:cs="Times New Roman"/>
          <w:color w:val="3A3A3A"/>
          <w:sz w:val="22"/>
          <w:szCs w:val="22"/>
          <w:shd w:val="clear" w:color="auto" w:fill="FFFFFF"/>
        </w:rPr>
        <w:t xml:space="preserve"> 2017).</w:t>
      </w:r>
    </w:p>
    <w:p w14:paraId="745CF65B" w14:textId="320A7E65" w:rsidR="00FC4975" w:rsidRDefault="00FC3D25" w:rsidP="00FC3D25">
      <w:pPr>
        <w:ind w:firstLine="720"/>
        <w:jc w:val="both"/>
        <w:rPr>
          <w:rFonts w:ascii="Times New Roman" w:hAnsi="Times New Roman" w:cs="Times New Roman"/>
          <w:color w:val="3A3A3A"/>
          <w:sz w:val="22"/>
          <w:szCs w:val="22"/>
          <w:shd w:val="clear" w:color="auto" w:fill="FFFFFF"/>
        </w:rPr>
      </w:pPr>
      <w:r>
        <w:rPr>
          <w:rFonts w:ascii="Times New Roman" w:hAnsi="Times New Roman" w:cs="Times New Roman"/>
          <w:color w:val="3A3A3A"/>
          <w:sz w:val="22"/>
          <w:szCs w:val="22"/>
          <w:shd w:val="clear" w:color="auto" w:fill="FFFFFF"/>
        </w:rPr>
        <w:t>When discussing what makes a ‘good teacher’ some may argue that adopting only one approach to teaching is the most beneficial. However, it is suggested by the Welsh Government that good teaching and learning occurs ‘when a blend of approaches’ are used by the class teacher.</w:t>
      </w:r>
      <w:r w:rsidR="00A64CC4">
        <w:rPr>
          <w:rFonts w:ascii="Times New Roman" w:hAnsi="Times New Roman" w:cs="Times New Roman"/>
          <w:color w:val="3A3A3A"/>
          <w:sz w:val="22"/>
          <w:szCs w:val="22"/>
          <w:shd w:val="clear" w:color="auto" w:fill="FFFFFF"/>
        </w:rPr>
        <w:t xml:space="preserve"> </w:t>
      </w:r>
      <w:r w:rsidR="009378D0" w:rsidRPr="009378D0">
        <w:rPr>
          <w:rFonts w:ascii="Times New Roman" w:hAnsi="Times New Roman" w:cs="Times New Roman"/>
          <w:color w:val="1F1F1F"/>
          <w:sz w:val="22"/>
          <w:szCs w:val="22"/>
          <w:shd w:val="clear" w:color="auto" w:fill="FFFFFF"/>
        </w:rPr>
        <w:t>Welsh Government (2023)</w:t>
      </w:r>
      <w:r w:rsidR="009378D0">
        <w:rPr>
          <w:rFonts w:ascii="Times New Roman" w:hAnsi="Times New Roman" w:cs="Times New Roman"/>
          <w:color w:val="1F1F1F"/>
          <w:sz w:val="22"/>
          <w:szCs w:val="22"/>
          <w:shd w:val="clear" w:color="auto" w:fill="FFFFFF"/>
        </w:rPr>
        <w:t xml:space="preserve">. </w:t>
      </w:r>
      <w:r>
        <w:rPr>
          <w:rFonts w:ascii="Times New Roman" w:hAnsi="Times New Roman" w:cs="Times New Roman"/>
          <w:color w:val="3A3A3A"/>
          <w:sz w:val="22"/>
          <w:szCs w:val="22"/>
          <w:shd w:val="clear" w:color="auto" w:fill="FFFFFF"/>
        </w:rPr>
        <w:t>One could speculate that this is because each teaching method has positives and negatives and that by using each method together means that the teacher is able to reach all different lear</w:t>
      </w:r>
      <w:r w:rsidR="00A64CC4">
        <w:rPr>
          <w:rFonts w:ascii="Times New Roman" w:hAnsi="Times New Roman" w:cs="Times New Roman"/>
          <w:color w:val="3A3A3A"/>
          <w:sz w:val="22"/>
          <w:szCs w:val="22"/>
          <w:shd w:val="clear" w:color="auto" w:fill="FFFFFF"/>
        </w:rPr>
        <w:t>ni</w:t>
      </w:r>
      <w:r>
        <w:rPr>
          <w:rFonts w:ascii="Times New Roman" w:hAnsi="Times New Roman" w:cs="Times New Roman"/>
          <w:color w:val="3A3A3A"/>
          <w:sz w:val="22"/>
          <w:szCs w:val="22"/>
          <w:shd w:val="clear" w:color="auto" w:fill="FFFFFF"/>
        </w:rPr>
        <w:t xml:space="preserve">ng styles and truly enhance the pupils learning in allowing them every possibility to understanding and thrive within classroom tasks. For example, one drawback of direct teaching is that as the teacher gives the pupils the exact information and the exact goal of the task it means that the learning is limited to what the teacher has demonstrated as those pupils who may </w:t>
      </w:r>
      <w:r w:rsidR="00F644B4">
        <w:rPr>
          <w:rFonts w:ascii="Times New Roman" w:hAnsi="Times New Roman" w:cs="Times New Roman"/>
          <w:color w:val="3A3A3A"/>
          <w:sz w:val="22"/>
          <w:szCs w:val="22"/>
          <w:shd w:val="clear" w:color="auto" w:fill="FFFFFF"/>
        </w:rPr>
        <w:t>finish</w:t>
      </w:r>
      <w:r>
        <w:rPr>
          <w:rFonts w:ascii="Times New Roman" w:hAnsi="Times New Roman" w:cs="Times New Roman"/>
          <w:color w:val="3A3A3A"/>
          <w:sz w:val="22"/>
          <w:szCs w:val="22"/>
          <w:shd w:val="clear" w:color="auto" w:fill="FFFFFF"/>
        </w:rPr>
        <w:t xml:space="preserve"> the task early or excel at this particular skill will feel as though they have achieved all that the teacher expected of them and will not look to develop their learning further. Therefore, they are reducing the chances of each pupil </w:t>
      </w:r>
      <w:r w:rsidR="00F644B4">
        <w:rPr>
          <w:rFonts w:ascii="Times New Roman" w:hAnsi="Times New Roman" w:cs="Times New Roman"/>
          <w:color w:val="3A3A3A"/>
          <w:sz w:val="22"/>
          <w:szCs w:val="22"/>
          <w:shd w:val="clear" w:color="auto" w:fill="FFFFFF"/>
        </w:rPr>
        <w:t xml:space="preserve">in achieving the aims of the four purposes. </w:t>
      </w:r>
      <w:r w:rsidR="003D099C">
        <w:rPr>
          <w:rFonts w:ascii="Times New Roman" w:hAnsi="Times New Roman" w:cs="Times New Roman"/>
          <w:color w:val="3A3A3A"/>
          <w:sz w:val="22"/>
          <w:szCs w:val="22"/>
          <w:shd w:val="clear" w:color="auto" w:fill="FFFFFF"/>
        </w:rPr>
        <w:t xml:space="preserve">Whereas, using a flipped-classroom teaching method can combat the disadvantage of direct teaching as it allows the pupils to try and better their own understanding of a topic before engaging in group tasks and discussion that are pupil-led to allow them to think critically and develop a greater level of shared knowledge. Therefore, each type of teaching method will have positives and </w:t>
      </w:r>
      <w:r w:rsidR="00A64CC4">
        <w:rPr>
          <w:rFonts w:ascii="Times New Roman" w:hAnsi="Times New Roman" w:cs="Times New Roman"/>
          <w:color w:val="3A3A3A"/>
          <w:sz w:val="22"/>
          <w:szCs w:val="22"/>
          <w:shd w:val="clear" w:color="auto" w:fill="FFFFFF"/>
        </w:rPr>
        <w:t>negatives,</w:t>
      </w:r>
      <w:r w:rsidR="003D099C">
        <w:rPr>
          <w:rFonts w:ascii="Times New Roman" w:hAnsi="Times New Roman" w:cs="Times New Roman"/>
          <w:color w:val="3A3A3A"/>
          <w:sz w:val="22"/>
          <w:szCs w:val="22"/>
          <w:shd w:val="clear" w:color="auto" w:fill="FFFFFF"/>
        </w:rPr>
        <w:t xml:space="preserve"> </w:t>
      </w:r>
      <w:r w:rsidR="00A64CC4">
        <w:rPr>
          <w:rFonts w:ascii="Times New Roman" w:hAnsi="Times New Roman" w:cs="Times New Roman"/>
          <w:color w:val="3A3A3A"/>
          <w:sz w:val="22"/>
          <w:szCs w:val="22"/>
          <w:shd w:val="clear" w:color="auto" w:fill="FFFFFF"/>
        </w:rPr>
        <w:t>so</w:t>
      </w:r>
      <w:r w:rsidR="003D099C">
        <w:rPr>
          <w:rFonts w:ascii="Times New Roman" w:hAnsi="Times New Roman" w:cs="Times New Roman"/>
          <w:color w:val="3A3A3A"/>
          <w:sz w:val="22"/>
          <w:szCs w:val="22"/>
          <w:shd w:val="clear" w:color="auto" w:fill="FFFFFF"/>
        </w:rPr>
        <w:t xml:space="preserve"> </w:t>
      </w:r>
      <w:r w:rsidR="00A64CC4">
        <w:rPr>
          <w:rFonts w:ascii="Times New Roman" w:hAnsi="Times New Roman" w:cs="Times New Roman"/>
          <w:color w:val="3A3A3A"/>
          <w:sz w:val="22"/>
          <w:szCs w:val="22"/>
          <w:shd w:val="clear" w:color="auto" w:fill="FFFFFF"/>
        </w:rPr>
        <w:t>it is fundamental to use a blend of approaches to complement one another to result in good teaching and learning.</w:t>
      </w:r>
    </w:p>
    <w:p w14:paraId="568E6803" w14:textId="75FC96FF" w:rsidR="007F62C1" w:rsidRDefault="00A64CC4" w:rsidP="007F62C1">
      <w:pPr>
        <w:ind w:firstLine="720"/>
        <w:jc w:val="both"/>
        <w:rPr>
          <w:rFonts w:ascii="Times New Roman" w:hAnsi="Times New Roman" w:cs="Times New Roman"/>
          <w:color w:val="1F1F1F"/>
          <w:sz w:val="22"/>
          <w:szCs w:val="22"/>
          <w:shd w:val="clear" w:color="auto" w:fill="FFFFFF"/>
        </w:rPr>
      </w:pPr>
      <w:r>
        <w:rPr>
          <w:rFonts w:ascii="Times New Roman" w:hAnsi="Times New Roman" w:cs="Times New Roman"/>
          <w:color w:val="3A3A3A"/>
          <w:sz w:val="22"/>
          <w:szCs w:val="22"/>
          <w:shd w:val="clear" w:color="auto" w:fill="FFFFFF"/>
        </w:rPr>
        <w:t>Another pedagogical practice that the writer will critically analyse is that good teaching and learning is when the teacher ‘</w:t>
      </w:r>
      <w:r w:rsidRPr="00BF0B7B">
        <w:rPr>
          <w:rFonts w:ascii="Times New Roman" w:hAnsi="Times New Roman" w:cs="Times New Roman"/>
          <w:color w:val="1F1F1F"/>
          <w:sz w:val="22"/>
          <w:szCs w:val="22"/>
          <w:shd w:val="clear" w:color="auto" w:fill="FFFFFF"/>
        </w:rPr>
        <w:t>sets tasks and selects resources that build on previous knowledge and experience and engage interest</w:t>
      </w:r>
      <w:r>
        <w:rPr>
          <w:rFonts w:ascii="Times New Roman" w:hAnsi="Times New Roman" w:cs="Times New Roman"/>
          <w:color w:val="1F1F1F"/>
          <w:sz w:val="22"/>
          <w:szCs w:val="22"/>
          <w:shd w:val="clear" w:color="auto" w:fill="FFFFFF"/>
        </w:rPr>
        <w:t>’. It is important to consider an Area of Learning and Experience when discussing this specific pedagogical practice.</w:t>
      </w:r>
      <w:r w:rsidR="009378D0">
        <w:rPr>
          <w:rFonts w:ascii="Times New Roman" w:hAnsi="Times New Roman" w:cs="Times New Roman"/>
          <w:color w:val="1F1F1F"/>
          <w:sz w:val="22"/>
          <w:szCs w:val="22"/>
          <w:shd w:val="clear" w:color="auto" w:fill="FFFFFF"/>
        </w:rPr>
        <w:t xml:space="preserve"> </w:t>
      </w:r>
      <w:r w:rsidR="009378D0" w:rsidRPr="009378D0">
        <w:rPr>
          <w:rFonts w:ascii="Times New Roman" w:hAnsi="Times New Roman" w:cs="Times New Roman"/>
          <w:color w:val="1F1F1F"/>
          <w:sz w:val="22"/>
          <w:szCs w:val="22"/>
          <w:shd w:val="clear" w:color="auto" w:fill="FFFFFF"/>
        </w:rPr>
        <w:t xml:space="preserve">Welsh Government (2023) </w:t>
      </w:r>
      <w:r>
        <w:rPr>
          <w:rFonts w:ascii="Times New Roman" w:hAnsi="Times New Roman" w:cs="Times New Roman"/>
          <w:color w:val="1F1F1F"/>
          <w:sz w:val="22"/>
          <w:szCs w:val="22"/>
          <w:shd w:val="clear" w:color="auto" w:fill="FFFFFF"/>
        </w:rPr>
        <w:t xml:space="preserve">Therefore, an important AoLE </w:t>
      </w:r>
      <w:r w:rsidR="00E17FA4">
        <w:rPr>
          <w:rFonts w:ascii="Times New Roman" w:hAnsi="Times New Roman" w:cs="Times New Roman"/>
          <w:color w:val="1F1F1F"/>
          <w:sz w:val="22"/>
          <w:szCs w:val="22"/>
          <w:shd w:val="clear" w:color="auto" w:fill="FFFFFF"/>
        </w:rPr>
        <w:t xml:space="preserve">to focus on when discussing teaching resources and tasks that will engage interest within </w:t>
      </w:r>
      <w:r w:rsidR="007B738E">
        <w:rPr>
          <w:rFonts w:ascii="Times New Roman" w:hAnsi="Times New Roman" w:cs="Times New Roman"/>
          <w:color w:val="1F1F1F"/>
          <w:sz w:val="22"/>
          <w:szCs w:val="22"/>
          <w:shd w:val="clear" w:color="auto" w:fill="FFFFFF"/>
        </w:rPr>
        <w:t>is the Humanities. One teaching resource that can be used to establish pupil engagement and excitement for the topic or activity is the ‘HAKA’. HAKA stands for Hook, Authenticity, Knowledge and Application.</w:t>
      </w:r>
      <w:r w:rsidR="00FA68DB">
        <w:rPr>
          <w:rFonts w:ascii="Times New Roman" w:hAnsi="Times New Roman" w:cs="Times New Roman"/>
          <w:color w:val="1F1F1F"/>
          <w:sz w:val="22"/>
          <w:szCs w:val="22"/>
          <w:shd w:val="clear" w:color="auto" w:fill="FFFFFF"/>
        </w:rPr>
        <w:t xml:space="preserve"> The </w:t>
      </w:r>
      <w:r w:rsidR="007B738E">
        <w:rPr>
          <w:rFonts w:ascii="Times New Roman" w:hAnsi="Times New Roman" w:cs="Times New Roman"/>
          <w:color w:val="1F1F1F"/>
          <w:sz w:val="22"/>
          <w:szCs w:val="22"/>
          <w:shd w:val="clear" w:color="auto" w:fill="FFFFFF"/>
        </w:rPr>
        <w:t xml:space="preserve">Hook is </w:t>
      </w:r>
      <w:r w:rsidR="00DF5552">
        <w:rPr>
          <w:rFonts w:ascii="Times New Roman" w:hAnsi="Times New Roman" w:cs="Times New Roman"/>
          <w:color w:val="1F1F1F"/>
          <w:sz w:val="22"/>
          <w:szCs w:val="22"/>
          <w:shd w:val="clear" w:color="auto" w:fill="FFFFFF"/>
        </w:rPr>
        <w:t>an activity that the teacher prepares to introduce the new topic</w:t>
      </w:r>
      <w:r w:rsidR="00FA68DB">
        <w:rPr>
          <w:rFonts w:ascii="Times New Roman" w:hAnsi="Times New Roman" w:cs="Times New Roman"/>
          <w:color w:val="1F1F1F"/>
          <w:sz w:val="22"/>
          <w:szCs w:val="22"/>
          <w:shd w:val="clear" w:color="auto" w:fill="FFFFFF"/>
        </w:rPr>
        <w:t xml:space="preserve">, authenticity is </w:t>
      </w:r>
      <w:r w:rsidR="00DF5552">
        <w:rPr>
          <w:rFonts w:ascii="Times New Roman" w:hAnsi="Times New Roman" w:cs="Times New Roman"/>
          <w:color w:val="1F1F1F"/>
          <w:sz w:val="22"/>
          <w:szCs w:val="22"/>
          <w:shd w:val="clear" w:color="auto" w:fill="FFFFFF"/>
        </w:rPr>
        <w:t xml:space="preserve"> This can be used within humanities for both religious and non-religious events.</w:t>
      </w:r>
      <w:r w:rsidR="007F62C1" w:rsidRPr="007F62C1">
        <w:rPr>
          <w:rFonts w:ascii="Times New Roman" w:hAnsi="Times New Roman" w:cs="Times New Roman"/>
          <w:color w:val="1F1F1F"/>
          <w:sz w:val="22"/>
          <w:szCs w:val="22"/>
          <w:shd w:val="clear" w:color="auto" w:fill="FFFFFF"/>
        </w:rPr>
        <w:t xml:space="preserve"> </w:t>
      </w:r>
      <w:r w:rsidR="009378D0">
        <w:rPr>
          <w:rFonts w:ascii="Times New Roman" w:hAnsi="Times New Roman" w:cs="Times New Roman"/>
          <w:color w:val="1F1F1F"/>
          <w:sz w:val="22"/>
          <w:szCs w:val="22"/>
          <w:shd w:val="clear" w:color="auto" w:fill="FFFFFF"/>
        </w:rPr>
        <w:t xml:space="preserve">(Welsh Government, 2023) </w:t>
      </w:r>
      <w:r w:rsidR="007F62C1">
        <w:rPr>
          <w:rFonts w:ascii="Times New Roman" w:hAnsi="Times New Roman" w:cs="Times New Roman"/>
          <w:color w:val="1F1F1F"/>
          <w:sz w:val="22"/>
          <w:szCs w:val="22"/>
          <w:shd w:val="clear" w:color="auto" w:fill="FFFFFF"/>
        </w:rPr>
        <w:t xml:space="preserve">One example of how the HAKA approach can be used by teachers to find resources to engage learners in introducing new curriculum topics is when learning about non-religious events. If the teacher was to find resources for St David’s day, the Hook could be a puppet show about what St David’s day is or watching videos of the National Eisteddfod or the previous school Eisteddfod. This will engage the pupils by allowing them to become excited about the upcoming eisteddfod and they will begin to want to practice and participate in the weeks ahead. As well as this, pupils can experience new vocabulary and concepts which will encourage them to ask questions and participate in group discussions to enhance their learning. Then Authenticity is when children are encouraged to deepen their understanding by learning more about the celebration through asking questions and immersing themselves into the celebration. For example, the class could go on a trip to the local church/church community or alternatively the teacher could arrange for an expert to come into the school to speak to </w:t>
      </w:r>
      <w:r w:rsidR="007F62C1">
        <w:rPr>
          <w:rFonts w:ascii="Times New Roman" w:hAnsi="Times New Roman" w:cs="Times New Roman"/>
          <w:color w:val="1F1F1F"/>
          <w:sz w:val="22"/>
          <w:szCs w:val="22"/>
          <w:shd w:val="clear" w:color="auto" w:fill="FFFFFF"/>
        </w:rPr>
        <w:lastRenderedPageBreak/>
        <w:t xml:space="preserve">the children and host a </w:t>
      </w:r>
      <w:r w:rsidR="006412DD">
        <w:rPr>
          <w:rFonts w:ascii="Times New Roman" w:hAnsi="Times New Roman" w:cs="Times New Roman"/>
          <w:color w:val="1F1F1F"/>
          <w:sz w:val="22"/>
          <w:szCs w:val="22"/>
          <w:shd w:val="clear" w:color="auto" w:fill="FFFFFF"/>
        </w:rPr>
        <w:t>question-and-answer</w:t>
      </w:r>
      <w:r w:rsidR="007F62C1">
        <w:rPr>
          <w:rFonts w:ascii="Times New Roman" w:hAnsi="Times New Roman" w:cs="Times New Roman"/>
          <w:color w:val="1F1F1F"/>
          <w:sz w:val="22"/>
          <w:szCs w:val="22"/>
          <w:shd w:val="clear" w:color="auto" w:fill="FFFFFF"/>
        </w:rPr>
        <w:t xml:space="preserve"> session. </w:t>
      </w:r>
      <w:r w:rsidR="006412DD">
        <w:rPr>
          <w:rFonts w:ascii="Times New Roman" w:hAnsi="Times New Roman" w:cs="Times New Roman"/>
          <w:color w:val="1F1F1F"/>
          <w:sz w:val="22"/>
          <w:szCs w:val="22"/>
          <w:shd w:val="clear" w:color="auto" w:fill="FFFFFF"/>
        </w:rPr>
        <w:t xml:space="preserve">The Knowledge aspect is when the children become fully immersed in the celebration. One way in which the teacher could do this is by allowing the children to feel involved in one or multiple traditions such as, learning how to make cawl or Welsh cakes and tasting them, planting daffodils and learning how to help them grow, or learning how to Welsh folk dance. All of these activities entirely immerse the children into the traditions surrounding the celebration which will allow them to further their knowledge and understanding of how the day is celebrated. Finally, application in this instance would be the children actively participating in the school Eisteddfod in any of the competitions that the school organise. Such as, poetry that the children can work on in class, or an art competition that the children can create in class also. Therefore, the HAKA approach is a great way for a teacher to plan for a new class topic as they are </w:t>
      </w:r>
      <w:r w:rsidR="00FA26EF">
        <w:rPr>
          <w:rFonts w:ascii="Times New Roman" w:hAnsi="Times New Roman" w:cs="Times New Roman"/>
          <w:color w:val="1F1F1F"/>
          <w:sz w:val="22"/>
          <w:szCs w:val="22"/>
          <w:shd w:val="clear" w:color="auto" w:fill="FFFFFF"/>
        </w:rPr>
        <w:t xml:space="preserve">required to implement various group and individual activities related to the topic. As well as this, the HAKA encourages cross curricular lesson planning as the topic areas are humanities based but most of the activities used to engage interest in the children vary from expressive arts, science and technology, and oracy and storytelling. Although, it is important to note that whilst the HAKA approach is great for the reasons stated above that there are some disadvantages. Some could argue that </w:t>
      </w:r>
      <w:r w:rsidR="006055B3">
        <w:rPr>
          <w:rFonts w:ascii="Times New Roman" w:hAnsi="Times New Roman" w:cs="Times New Roman"/>
          <w:color w:val="1F1F1F"/>
          <w:sz w:val="22"/>
          <w:szCs w:val="22"/>
          <w:shd w:val="clear" w:color="auto" w:fill="FFFFFF"/>
        </w:rPr>
        <w:t xml:space="preserve">the HAKA approach cannot be applied to all of the Areas of Learning and Experience as it can be more difficult to reach each of the four aspects when planning and finding resources for Mathematics and Numeracy as there are not as many opportunities for immersing the children into Maths and Numeracy. As well as this, some would suggest that the HAKA approach fails to plan for direct teaching or lecture-based learning as much as other teaching methods such as play-based learning and group learning. For example, each of the four methods are mostly based on student lead activities. </w:t>
      </w:r>
    </w:p>
    <w:p w14:paraId="315052F7" w14:textId="215F57CA" w:rsidR="00A041EC" w:rsidRPr="00B7298C" w:rsidRDefault="006055B3" w:rsidP="007F62C1">
      <w:pPr>
        <w:ind w:firstLine="720"/>
        <w:jc w:val="both"/>
        <w:rPr>
          <w:rFonts w:ascii="Times New Roman" w:eastAsia="Times New Roman" w:hAnsi="Times New Roman" w:cs="Times New Roman"/>
          <w:color w:val="1F1F1F"/>
          <w:kern w:val="0"/>
          <w:sz w:val="22"/>
          <w:szCs w:val="22"/>
          <w:lang w:eastAsia="en-GB"/>
          <w14:ligatures w14:val="none"/>
        </w:rPr>
      </w:pPr>
      <w:r>
        <w:rPr>
          <w:rFonts w:ascii="Times New Roman" w:hAnsi="Times New Roman" w:cs="Times New Roman"/>
          <w:color w:val="1F1F1F"/>
          <w:sz w:val="22"/>
          <w:szCs w:val="22"/>
          <w:shd w:val="clear" w:color="auto" w:fill="FFFFFF"/>
        </w:rPr>
        <w:t xml:space="preserve">The final pedagogical principle that the writer will critically analyse </w:t>
      </w:r>
      <w:r w:rsidR="009C2502">
        <w:rPr>
          <w:rFonts w:ascii="Times New Roman" w:hAnsi="Times New Roman" w:cs="Times New Roman"/>
          <w:color w:val="1F1F1F"/>
          <w:sz w:val="22"/>
          <w:szCs w:val="22"/>
          <w:shd w:val="clear" w:color="auto" w:fill="FFFFFF"/>
        </w:rPr>
        <w:t>is that good teaching and learning ‘</w:t>
      </w:r>
      <w:r w:rsidR="009C2502" w:rsidRPr="00BF0B7B">
        <w:rPr>
          <w:rFonts w:ascii="Times New Roman" w:eastAsia="Times New Roman" w:hAnsi="Times New Roman" w:cs="Times New Roman"/>
          <w:color w:val="1F1F1F"/>
          <w:kern w:val="0"/>
          <w:sz w:val="22"/>
          <w:szCs w:val="22"/>
          <w:lang w:eastAsia="en-GB"/>
          <w14:ligatures w14:val="none"/>
        </w:rPr>
        <w:t>ranges within and across Areas of Learning and Experience</w:t>
      </w:r>
      <w:r w:rsidR="009C2502">
        <w:rPr>
          <w:rFonts w:ascii="Times New Roman" w:eastAsia="Times New Roman" w:hAnsi="Times New Roman" w:cs="Times New Roman"/>
          <w:color w:val="1F1F1F"/>
          <w:kern w:val="0"/>
          <w:sz w:val="22"/>
          <w:szCs w:val="22"/>
          <w:lang w:eastAsia="en-GB"/>
          <w14:ligatures w14:val="none"/>
        </w:rPr>
        <w:t>’. As suggested earlier, the HAKA is a great teaching tool to use when aiming to plan lessons that range across numerous Areas of Learning and Experience.</w:t>
      </w:r>
      <w:r w:rsidR="001C6C2E">
        <w:rPr>
          <w:rFonts w:ascii="Times New Roman" w:eastAsia="Times New Roman" w:hAnsi="Times New Roman" w:cs="Times New Roman"/>
          <w:color w:val="1F1F1F"/>
          <w:kern w:val="0"/>
          <w:sz w:val="22"/>
          <w:szCs w:val="22"/>
          <w:lang w:eastAsia="en-GB"/>
          <w14:ligatures w14:val="none"/>
        </w:rPr>
        <w:t xml:space="preserve"> As well as this, Assessment for learning is important (AFL) to consider. Assessment for Learning is a teaching method used to establish the most effective feedback aimed at helping students improve their overall performance. Assessment for learning has </w:t>
      </w:r>
      <w:r w:rsidR="001C6C2E" w:rsidRPr="00B7298C">
        <w:rPr>
          <w:rFonts w:ascii="Times New Roman" w:eastAsia="Times New Roman" w:hAnsi="Times New Roman" w:cs="Times New Roman"/>
          <w:color w:val="1F1F1F"/>
          <w:kern w:val="0"/>
          <w:sz w:val="22"/>
          <w:szCs w:val="22"/>
          <w:lang w:eastAsia="en-GB"/>
          <w14:ligatures w14:val="none"/>
        </w:rPr>
        <w:t xml:space="preserve">changed throughout the years as the old style of assessment was perceived as two entirely separate factors. </w:t>
      </w:r>
      <w:proofErr w:type="spellStart"/>
      <w:r w:rsidR="001C6C2E" w:rsidRPr="00B7298C">
        <w:rPr>
          <w:rFonts w:ascii="Times New Roman" w:eastAsia="Times New Roman" w:hAnsi="Times New Roman" w:cs="Times New Roman"/>
          <w:color w:val="1F1F1F"/>
          <w:kern w:val="0"/>
          <w:sz w:val="22"/>
          <w:szCs w:val="22"/>
          <w:lang w:eastAsia="en-GB"/>
          <w14:ligatures w14:val="none"/>
        </w:rPr>
        <w:t>Graue</w:t>
      </w:r>
      <w:proofErr w:type="spellEnd"/>
      <w:r w:rsidR="001C6C2E" w:rsidRPr="00B7298C">
        <w:rPr>
          <w:rFonts w:ascii="Times New Roman" w:eastAsia="Times New Roman" w:hAnsi="Times New Roman" w:cs="Times New Roman"/>
          <w:color w:val="1F1F1F"/>
          <w:kern w:val="0"/>
          <w:sz w:val="22"/>
          <w:szCs w:val="22"/>
          <w:lang w:eastAsia="en-GB"/>
          <w14:ligatures w14:val="none"/>
        </w:rPr>
        <w:t xml:space="preserve"> (1993) supports this statement by agreeing with the notion that </w:t>
      </w:r>
      <w:r w:rsidR="004E1B1E" w:rsidRPr="00B7298C">
        <w:rPr>
          <w:rFonts w:ascii="Times New Roman" w:eastAsia="Times New Roman" w:hAnsi="Times New Roman" w:cs="Times New Roman"/>
          <w:color w:val="1F1F1F"/>
          <w:kern w:val="0"/>
          <w:sz w:val="22"/>
          <w:szCs w:val="22"/>
          <w:lang w:eastAsia="en-GB"/>
          <w14:ligatures w14:val="none"/>
        </w:rPr>
        <w:t xml:space="preserve">teaching and learning and assessing learning are two completely separate factors. However, a new style of assessment for learning was introduced that established a link between teaching and learning and assessing learning. The new style of assessment was introduced by the Assessment Reform Group (2002) in which they stated that ‘The process of seeking and interpreting evidence for use by learner and their teachers to decide where the learners are in their learning, where they need to go next, and how best to get them there.’ Therefore, good teaching and learning is when the teachers provide the students with the information and support that they need in order to recognise improvements across all areas of learning. </w:t>
      </w:r>
      <w:r w:rsidR="00A041EC" w:rsidRPr="00B7298C">
        <w:rPr>
          <w:rFonts w:ascii="Times New Roman" w:eastAsia="Times New Roman" w:hAnsi="Times New Roman" w:cs="Times New Roman"/>
          <w:color w:val="1F1F1F"/>
          <w:kern w:val="0"/>
          <w:sz w:val="22"/>
          <w:szCs w:val="22"/>
          <w:lang w:eastAsia="en-GB"/>
          <w14:ligatures w14:val="none"/>
        </w:rPr>
        <w:t>Also one of the benefits of effective assessment for learning is that it when students are supported with high quality feedback and encouragement then they are more likely to feel empowered to take more opportunities and responsibility within the classroom. Therefore, effective assessment for learning creates more opportunities to demonstrate pedagogical principles in good teaching and learning. (William and Black, 1998). There are many benefits of effective assessment for learning which result in achieving good teaching and learning</w:t>
      </w:r>
      <w:r w:rsidR="00C24F9B" w:rsidRPr="00B7298C">
        <w:rPr>
          <w:rFonts w:ascii="Times New Roman" w:eastAsia="Times New Roman" w:hAnsi="Times New Roman" w:cs="Times New Roman"/>
          <w:color w:val="1F1F1F"/>
          <w:kern w:val="0"/>
          <w:sz w:val="22"/>
          <w:szCs w:val="22"/>
          <w:lang w:eastAsia="en-GB"/>
          <w14:ligatures w14:val="none"/>
        </w:rPr>
        <w:t xml:space="preserve">. </w:t>
      </w:r>
      <w:r w:rsidR="00A041EC" w:rsidRPr="00B7298C">
        <w:rPr>
          <w:rFonts w:ascii="Times New Roman" w:eastAsia="Times New Roman" w:hAnsi="Times New Roman" w:cs="Times New Roman"/>
          <w:color w:val="1F1F1F"/>
          <w:kern w:val="0"/>
          <w:sz w:val="22"/>
          <w:szCs w:val="22"/>
          <w:lang w:eastAsia="en-GB"/>
          <w14:ligatures w14:val="none"/>
        </w:rPr>
        <w:t>In addition to</w:t>
      </w:r>
      <w:r w:rsidR="00C24F9B" w:rsidRPr="00B7298C">
        <w:rPr>
          <w:rFonts w:ascii="Times New Roman" w:eastAsia="Times New Roman" w:hAnsi="Times New Roman" w:cs="Times New Roman"/>
          <w:color w:val="1F1F1F"/>
          <w:kern w:val="0"/>
          <w:sz w:val="22"/>
          <w:szCs w:val="22"/>
          <w:lang w:eastAsia="en-GB"/>
          <w14:ligatures w14:val="none"/>
        </w:rPr>
        <w:t xml:space="preserve"> empowerment, William and black (1998) suggest that when a new style of assessment for learning is used as </w:t>
      </w:r>
      <w:proofErr w:type="gramStart"/>
      <w:r w:rsidR="00C24F9B" w:rsidRPr="00B7298C">
        <w:rPr>
          <w:rFonts w:ascii="Times New Roman" w:eastAsia="Times New Roman" w:hAnsi="Times New Roman" w:cs="Times New Roman"/>
          <w:color w:val="1F1F1F"/>
          <w:kern w:val="0"/>
          <w:sz w:val="22"/>
          <w:szCs w:val="22"/>
          <w:lang w:eastAsia="en-GB"/>
          <w14:ligatures w14:val="none"/>
        </w:rPr>
        <w:t>it</w:t>
      </w:r>
      <w:proofErr w:type="gramEnd"/>
      <w:r w:rsidR="00C24F9B" w:rsidRPr="00B7298C">
        <w:rPr>
          <w:rFonts w:ascii="Times New Roman" w:eastAsia="Times New Roman" w:hAnsi="Times New Roman" w:cs="Times New Roman"/>
          <w:color w:val="1F1F1F"/>
          <w:kern w:val="0"/>
          <w:sz w:val="22"/>
          <w:szCs w:val="22"/>
          <w:lang w:eastAsia="en-GB"/>
          <w14:ligatures w14:val="none"/>
        </w:rPr>
        <w:t xml:space="preserve"> priorities the improvement of the pupil then good teaching and learning will occur. </w:t>
      </w:r>
    </w:p>
    <w:p w14:paraId="50CB3288" w14:textId="22FDDA7F" w:rsidR="0056149E" w:rsidRDefault="00C24F9B" w:rsidP="0056149E">
      <w:pPr>
        <w:ind w:firstLine="720"/>
        <w:jc w:val="both"/>
        <w:rPr>
          <w:rFonts w:ascii="Source Sans Pro" w:hAnsi="Source Sans Pro"/>
          <w:color w:val="3A3A3A"/>
          <w:sz w:val="23"/>
          <w:szCs w:val="23"/>
          <w:shd w:val="clear" w:color="auto" w:fill="FFFFFF"/>
        </w:rPr>
      </w:pPr>
      <w:r w:rsidRPr="00B7298C">
        <w:rPr>
          <w:rFonts w:ascii="Times New Roman" w:eastAsia="Times New Roman" w:hAnsi="Times New Roman" w:cs="Times New Roman"/>
          <w:color w:val="1F1F1F"/>
          <w:kern w:val="0"/>
          <w:sz w:val="22"/>
          <w:szCs w:val="22"/>
          <w:lang w:eastAsia="en-GB"/>
          <w14:ligatures w14:val="none"/>
        </w:rPr>
        <w:t>In order to experience good teaching and learning across ‘all aspects of Areas of Learning and</w:t>
      </w:r>
      <w:r>
        <w:rPr>
          <w:rFonts w:ascii="Times New Roman" w:eastAsia="Times New Roman" w:hAnsi="Times New Roman" w:cs="Times New Roman"/>
          <w:color w:val="1F1F1F"/>
          <w:kern w:val="0"/>
          <w:sz w:val="22"/>
          <w:szCs w:val="22"/>
          <w:lang w:eastAsia="en-GB"/>
          <w14:ligatures w14:val="none"/>
        </w:rPr>
        <w:t xml:space="preserve"> Experience, when including assessment for learning it is important to focus on how lessons are being planned as during lesson planning it is fundamental for the teacher to address the desired aims and outcomes of the lesson which is accessible for the pupils to understand as well. One way in which teachers can ensure they </w:t>
      </w:r>
      <w:r w:rsidR="00464BF3">
        <w:rPr>
          <w:rFonts w:ascii="Times New Roman" w:eastAsia="Times New Roman" w:hAnsi="Times New Roman" w:cs="Times New Roman"/>
          <w:color w:val="1F1F1F"/>
          <w:kern w:val="0"/>
          <w:sz w:val="22"/>
          <w:szCs w:val="22"/>
          <w:lang w:eastAsia="en-GB"/>
          <w14:ligatures w14:val="none"/>
        </w:rPr>
        <w:t>prioritise</w:t>
      </w:r>
      <w:r>
        <w:rPr>
          <w:rFonts w:ascii="Times New Roman" w:eastAsia="Times New Roman" w:hAnsi="Times New Roman" w:cs="Times New Roman"/>
          <w:color w:val="1F1F1F"/>
          <w:kern w:val="0"/>
          <w:sz w:val="22"/>
          <w:szCs w:val="22"/>
          <w:lang w:eastAsia="en-GB"/>
          <w14:ligatures w14:val="none"/>
        </w:rPr>
        <w:t xml:space="preserve"> assessment for learning is by using ‘SMART’ intentions and success criteria when planning lessons. SMART is a success criterion that stands for Specific, Measurable, Attainable, Relevant, and Time-bound. Each aspect of the SMART intentions should be met for the teacher to have established an effective lesson plan. Specific is important as it states exactly what the desired aim is for the pupil to achieve. Measurable is used to determine what level of learning is considered successful which can be shown by the difference in what each pupil has learnt and asking yourself why that may have happened. Attainable is fundamental when prioritising assessment for </w:t>
      </w:r>
      <w:r>
        <w:rPr>
          <w:rFonts w:ascii="Times New Roman" w:eastAsia="Times New Roman" w:hAnsi="Times New Roman" w:cs="Times New Roman"/>
          <w:color w:val="1F1F1F"/>
          <w:kern w:val="0"/>
          <w:sz w:val="22"/>
          <w:szCs w:val="22"/>
          <w:lang w:eastAsia="en-GB"/>
          <w14:ligatures w14:val="none"/>
        </w:rPr>
        <w:lastRenderedPageBreak/>
        <w:t xml:space="preserve">learning as the goal of the lesson must be challenging to achieve yet realistic so that the pupils have a true chance for success. This is important to consider when planning and assessing across Areas of Experience and Learning as every pupil will have different strengths and weaknesses across different subjects, so it is important to develop and improve all levels of skillsets. Another important factor when linking across the Areas of Learning and Experience as </w:t>
      </w:r>
      <w:r w:rsidR="00464BF3">
        <w:rPr>
          <w:rFonts w:ascii="Times New Roman" w:eastAsia="Times New Roman" w:hAnsi="Times New Roman" w:cs="Times New Roman"/>
          <w:color w:val="1F1F1F"/>
          <w:kern w:val="0"/>
          <w:sz w:val="22"/>
          <w:szCs w:val="22"/>
          <w:lang w:eastAsia="en-GB"/>
          <w14:ligatures w14:val="none"/>
        </w:rPr>
        <w:t xml:space="preserve">Relevant is the focus on the topics that remain interesting and necessary. Often children may seem uninterested in the content presented to them as they fail to understand the relevance to their learning but often the topics can either be related to the Curriculum for Wales or their personal lives and the ‘real world’. Finally, Time-bound is utilised to help the children understand when the time for assessment begins. Although assessment should be consisted throughout the learning, it is important for the children to understand that often teachers and schools use a formal assessment to establish an ‘overall’ grade for each topic in the curriculum so they can obtain numerous grades for learning across each Area of Learning and Experience. One final important aspect to consider when creating lesson plans but more specifical aims for the lessons which you will then use to determine the success of a </w:t>
      </w:r>
      <w:r w:rsidR="0056149E">
        <w:rPr>
          <w:rFonts w:ascii="Times New Roman" w:eastAsia="Times New Roman" w:hAnsi="Times New Roman" w:cs="Times New Roman"/>
          <w:color w:val="1F1F1F"/>
          <w:kern w:val="0"/>
          <w:sz w:val="22"/>
          <w:szCs w:val="22"/>
          <w:lang w:eastAsia="en-GB"/>
          <w14:ligatures w14:val="none"/>
        </w:rPr>
        <w:t>pupil’s</w:t>
      </w:r>
      <w:r w:rsidR="00464BF3">
        <w:rPr>
          <w:rFonts w:ascii="Times New Roman" w:eastAsia="Times New Roman" w:hAnsi="Times New Roman" w:cs="Times New Roman"/>
          <w:color w:val="1F1F1F"/>
          <w:kern w:val="0"/>
          <w:sz w:val="22"/>
          <w:szCs w:val="22"/>
          <w:lang w:eastAsia="en-GB"/>
          <w14:ligatures w14:val="none"/>
        </w:rPr>
        <w:t xml:space="preserve"> work is Blooms Domain Taxonomy</w:t>
      </w:r>
      <w:r w:rsidR="0056149E">
        <w:rPr>
          <w:rFonts w:ascii="Times New Roman" w:eastAsia="Times New Roman" w:hAnsi="Times New Roman" w:cs="Times New Roman"/>
          <w:color w:val="1F1F1F"/>
          <w:kern w:val="0"/>
          <w:sz w:val="22"/>
          <w:szCs w:val="22"/>
          <w:lang w:eastAsia="en-GB"/>
          <w14:ligatures w14:val="none"/>
        </w:rPr>
        <w:t xml:space="preserve">. </w:t>
      </w:r>
      <w:r w:rsidR="00464BF3">
        <w:rPr>
          <w:rFonts w:ascii="Times New Roman" w:eastAsia="Times New Roman" w:hAnsi="Times New Roman" w:cs="Times New Roman"/>
          <w:color w:val="1F1F1F"/>
          <w:kern w:val="0"/>
          <w:sz w:val="22"/>
          <w:szCs w:val="22"/>
          <w:lang w:eastAsia="en-GB"/>
          <w14:ligatures w14:val="none"/>
        </w:rPr>
        <w:t xml:space="preserve"> </w:t>
      </w:r>
      <w:r w:rsidR="0056149E">
        <w:rPr>
          <w:rFonts w:ascii="Times New Roman" w:eastAsia="Times New Roman" w:hAnsi="Times New Roman" w:cs="Times New Roman"/>
          <w:color w:val="1F1F1F"/>
          <w:kern w:val="0"/>
          <w:sz w:val="22"/>
          <w:szCs w:val="22"/>
          <w:lang w:eastAsia="en-GB"/>
          <w14:ligatures w14:val="none"/>
        </w:rPr>
        <w:t>Bloom’s</w:t>
      </w:r>
      <w:r w:rsidR="00464BF3">
        <w:rPr>
          <w:rFonts w:ascii="Times New Roman" w:eastAsia="Times New Roman" w:hAnsi="Times New Roman" w:cs="Times New Roman"/>
          <w:color w:val="1F1F1F"/>
          <w:kern w:val="0"/>
          <w:sz w:val="22"/>
          <w:szCs w:val="22"/>
          <w:lang w:eastAsia="en-GB"/>
          <w14:ligatures w14:val="none"/>
        </w:rPr>
        <w:t xml:space="preserve"> Taxonomy is a teaching resource typically used when setting objectives as it recognises three separate learning domains which are cognitive, psychomotor, and affective. Essentially, Blooms Taxonomy acts as a hierarchy of </w:t>
      </w:r>
      <w:r w:rsidR="0056149E">
        <w:rPr>
          <w:rFonts w:ascii="Times New Roman" w:eastAsia="Times New Roman" w:hAnsi="Times New Roman" w:cs="Times New Roman"/>
          <w:color w:val="1F1F1F"/>
          <w:kern w:val="0"/>
          <w:sz w:val="22"/>
          <w:szCs w:val="22"/>
          <w:lang w:eastAsia="en-GB"/>
          <w14:ligatures w14:val="none"/>
        </w:rPr>
        <w:t>learning that can be represented through the vocabulary used by the teacher to the student when addressing the aims for and assessment of learning</w:t>
      </w:r>
      <w:r w:rsidR="0056149E" w:rsidRPr="009378D0">
        <w:rPr>
          <w:rFonts w:ascii="Times New Roman" w:eastAsia="Times New Roman" w:hAnsi="Times New Roman" w:cs="Times New Roman"/>
          <w:color w:val="1F1F1F"/>
          <w:kern w:val="0"/>
          <w:sz w:val="22"/>
          <w:szCs w:val="22"/>
          <w:lang w:eastAsia="en-GB"/>
          <w14:ligatures w14:val="none"/>
        </w:rPr>
        <w:t xml:space="preserve">. </w:t>
      </w:r>
      <w:r w:rsidR="009378D0">
        <w:rPr>
          <w:rFonts w:ascii="Times New Roman" w:eastAsia="Times New Roman" w:hAnsi="Times New Roman" w:cs="Times New Roman"/>
          <w:color w:val="1F1F1F"/>
          <w:kern w:val="0"/>
          <w:sz w:val="22"/>
          <w:szCs w:val="22"/>
          <w:lang w:eastAsia="en-GB"/>
          <w14:ligatures w14:val="none"/>
        </w:rPr>
        <w:t>(</w:t>
      </w:r>
      <w:r w:rsidR="0056149E" w:rsidRPr="009378D0">
        <w:rPr>
          <w:rFonts w:ascii="Source Sans Pro" w:hAnsi="Source Sans Pro"/>
          <w:color w:val="3A3A3A"/>
          <w:sz w:val="23"/>
          <w:szCs w:val="23"/>
          <w:shd w:val="clear" w:color="auto" w:fill="FFFFFF"/>
        </w:rPr>
        <w:t xml:space="preserve">Adams,  2015) </w:t>
      </w:r>
      <w:r w:rsidR="0056149E">
        <w:rPr>
          <w:rFonts w:ascii="Times New Roman" w:eastAsia="Times New Roman" w:hAnsi="Times New Roman" w:cs="Times New Roman"/>
          <w:color w:val="1F1F1F"/>
          <w:kern w:val="0"/>
          <w:sz w:val="22"/>
          <w:szCs w:val="22"/>
          <w:lang w:eastAsia="en-GB"/>
          <w14:ligatures w14:val="none"/>
        </w:rPr>
        <w:t xml:space="preserve">The hierarchy is split into six sections that are used to determine what vocabulary should be used depending on what level of learning and the objective of the task. For example, the teacher could use the term ‘Discuss ‘when addressing a pupil with a lower level of learning and understanding or the teacher could use the term ‘Judge’ when addressing a pupil of a higher level of learning and evaluating. However, it is important to note that whilst Bloom’s Taxonomy is a hierarchy it does not simply limit learners to their level of learning and no further. It is important to assess lower ability children against evaluation and analytical tasks, and higher ability children against memory and knowledge tasks. </w:t>
      </w:r>
      <w:r w:rsidR="009378D0" w:rsidRPr="009378D0">
        <w:rPr>
          <w:rFonts w:ascii="Times New Roman" w:eastAsia="Times New Roman" w:hAnsi="Times New Roman" w:cs="Times New Roman"/>
          <w:color w:val="1F1F1F"/>
          <w:kern w:val="0"/>
          <w:sz w:val="22"/>
          <w:szCs w:val="22"/>
          <w:lang w:eastAsia="en-GB"/>
          <w14:ligatures w14:val="none"/>
        </w:rPr>
        <w:t>(</w:t>
      </w:r>
      <w:r w:rsidR="0056149E" w:rsidRPr="009378D0">
        <w:rPr>
          <w:rFonts w:ascii="Source Sans Pro" w:hAnsi="Source Sans Pro"/>
          <w:color w:val="3A3A3A"/>
          <w:sz w:val="23"/>
          <w:szCs w:val="23"/>
          <w:shd w:val="clear" w:color="auto" w:fill="FFFFFF"/>
        </w:rPr>
        <w:t>Agarwal, 2019)</w:t>
      </w:r>
      <w:r w:rsidR="009378D0">
        <w:rPr>
          <w:rFonts w:ascii="Source Sans Pro" w:hAnsi="Source Sans Pro"/>
          <w:color w:val="3A3A3A"/>
          <w:sz w:val="23"/>
          <w:szCs w:val="23"/>
          <w:shd w:val="clear" w:color="auto" w:fill="FFFFFF"/>
        </w:rPr>
        <w:t>.</w:t>
      </w:r>
      <w:r w:rsidR="00593D14">
        <w:rPr>
          <w:rFonts w:ascii="Source Sans Pro" w:hAnsi="Source Sans Pro"/>
          <w:color w:val="3A3A3A"/>
          <w:sz w:val="23"/>
          <w:szCs w:val="23"/>
          <w:shd w:val="clear" w:color="auto" w:fill="FFFFFF"/>
        </w:rPr>
        <w:t xml:space="preserve"> Evidently, there are many aspects of assessment for learning that can establish good teaching and learning across all Areas of Learning and Experience.</w:t>
      </w:r>
    </w:p>
    <w:p w14:paraId="39723AE0" w14:textId="5D914A01" w:rsidR="00593D14" w:rsidRDefault="00593D14" w:rsidP="0056149E">
      <w:pPr>
        <w:ind w:firstLine="720"/>
        <w:jc w:val="both"/>
        <w:rPr>
          <w:rFonts w:ascii="Times New Roman" w:eastAsia="Times New Roman" w:hAnsi="Times New Roman" w:cs="Times New Roman"/>
          <w:color w:val="1F1F1F"/>
          <w:kern w:val="0"/>
          <w:sz w:val="22"/>
          <w:szCs w:val="22"/>
          <w:lang w:eastAsia="en-GB"/>
          <w14:ligatures w14:val="none"/>
        </w:rPr>
      </w:pPr>
      <w:r>
        <w:rPr>
          <w:rFonts w:ascii="Source Sans Pro" w:hAnsi="Source Sans Pro"/>
          <w:color w:val="3A3A3A"/>
          <w:sz w:val="23"/>
          <w:szCs w:val="23"/>
          <w:shd w:val="clear" w:color="auto" w:fill="FFFFFF"/>
        </w:rPr>
        <w:t>Overall, the</w:t>
      </w:r>
      <w:r w:rsidR="00F0222A">
        <w:rPr>
          <w:rFonts w:ascii="Source Sans Pro" w:hAnsi="Source Sans Pro"/>
          <w:color w:val="3A3A3A"/>
          <w:sz w:val="23"/>
          <w:szCs w:val="23"/>
          <w:shd w:val="clear" w:color="auto" w:fill="FFFFFF"/>
        </w:rPr>
        <w:t xml:space="preserve"> three pedagogical principles highlighted and analysed throughout this essay are fundamental,  alongside the other nine, in what good teaching and learning looks like. This evident through a range of contributing factors such as the use of assessment for learning within and across each Area of Learning and Experience, the use of the HAKA approach when finding effective teaching resources, and the numerous types of teaching methods that should be used alongside one another in order to achieve a belnd of effective teaching methods and approaches. Finally, it is important to consider the three pedagogical practices alongside the Curriculum for Wales, Areas of Learning and Experience, and multiple theorist’s research. Therefore, the development of the Curriculum for Wales has resulted in numerous requirements that will inevitably result in good teaching and learning across all schools, especially when schools and teachers reach each target established by the Welsh Government. </w:t>
      </w:r>
    </w:p>
    <w:p w14:paraId="46448844" w14:textId="77777777" w:rsidR="0056149E" w:rsidRDefault="0056149E" w:rsidP="0056149E">
      <w:pPr>
        <w:jc w:val="both"/>
        <w:rPr>
          <w:rFonts w:ascii="Times New Roman" w:eastAsia="Times New Roman" w:hAnsi="Times New Roman" w:cs="Times New Roman"/>
          <w:color w:val="1F1F1F"/>
          <w:kern w:val="0"/>
          <w:sz w:val="22"/>
          <w:szCs w:val="22"/>
          <w:lang w:eastAsia="en-GB"/>
          <w14:ligatures w14:val="none"/>
        </w:rPr>
      </w:pPr>
    </w:p>
    <w:p w14:paraId="5B029B37"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D636DCE"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3EF46FCE"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2A8790EC"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08669F91"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22E9C34"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0F363323"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B21F0D7"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29064C4"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05251506"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0B50DADA"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6F117304"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57781E00"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788A9FE"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C253957"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4BEFA0D3"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E9DB173"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52F49ED1"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265948DA"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93853B7"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28E86C1D"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48135525"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17FA32C"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4F8F7357"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6A315E3"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2B349BC1"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2BD98CF"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16F7760"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3C332B46"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0A92794B"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701CEC11" w14:textId="77777777" w:rsidR="00B7298C" w:rsidRDefault="00B7298C" w:rsidP="0056149E">
      <w:pPr>
        <w:jc w:val="center"/>
        <w:rPr>
          <w:rFonts w:ascii="Times New Roman" w:eastAsia="Times New Roman" w:hAnsi="Times New Roman" w:cs="Times New Roman"/>
          <w:b/>
          <w:bCs/>
          <w:color w:val="1F1F1F"/>
          <w:kern w:val="0"/>
          <w:sz w:val="22"/>
          <w:szCs w:val="22"/>
          <w:u w:val="single"/>
          <w:lang w:eastAsia="en-GB"/>
          <w14:ligatures w14:val="none"/>
        </w:rPr>
      </w:pPr>
    </w:p>
    <w:p w14:paraId="1C49B81E" w14:textId="55C1350C" w:rsidR="0056149E" w:rsidRPr="0056149E" w:rsidRDefault="0056149E" w:rsidP="0056149E">
      <w:pPr>
        <w:jc w:val="center"/>
        <w:rPr>
          <w:rFonts w:ascii="Times New Roman" w:eastAsia="Times New Roman" w:hAnsi="Times New Roman" w:cs="Times New Roman"/>
          <w:b/>
          <w:bCs/>
          <w:color w:val="1F1F1F"/>
          <w:kern w:val="0"/>
          <w:sz w:val="22"/>
          <w:szCs w:val="22"/>
          <w:u w:val="single"/>
          <w:lang w:eastAsia="en-GB"/>
          <w14:ligatures w14:val="none"/>
        </w:rPr>
      </w:pPr>
      <w:r w:rsidRPr="0056149E">
        <w:rPr>
          <w:rFonts w:ascii="Times New Roman" w:eastAsia="Times New Roman" w:hAnsi="Times New Roman" w:cs="Times New Roman"/>
          <w:b/>
          <w:bCs/>
          <w:color w:val="1F1F1F"/>
          <w:kern w:val="0"/>
          <w:sz w:val="22"/>
          <w:szCs w:val="22"/>
          <w:u w:val="single"/>
          <w:lang w:eastAsia="en-GB"/>
          <w14:ligatures w14:val="none"/>
        </w:rPr>
        <w:t>References</w:t>
      </w:r>
    </w:p>
    <w:p w14:paraId="05057FA6" w14:textId="77777777" w:rsidR="00A041EC" w:rsidRDefault="00A041EC" w:rsidP="007F62C1">
      <w:pPr>
        <w:ind w:firstLine="720"/>
        <w:jc w:val="both"/>
        <w:rPr>
          <w:rFonts w:ascii="Times New Roman" w:eastAsia="Times New Roman" w:hAnsi="Times New Roman" w:cs="Times New Roman"/>
          <w:color w:val="1F1F1F"/>
          <w:kern w:val="0"/>
          <w:sz w:val="22"/>
          <w:szCs w:val="22"/>
          <w:lang w:eastAsia="en-GB"/>
          <w14:ligatures w14:val="none"/>
        </w:rPr>
      </w:pPr>
    </w:p>
    <w:p w14:paraId="71D15B6D" w14:textId="77777777" w:rsidR="00B7298C" w:rsidRDefault="00B7298C" w:rsidP="00B7298C">
      <w:pPr>
        <w:pStyle w:val="Heading1"/>
        <w:spacing w:before="0" w:beforeAutospacing="0" w:after="0" w:afterAutospacing="0"/>
        <w:jc w:val="both"/>
        <w:textAlignment w:val="baseline"/>
        <w:rPr>
          <w:b w:val="0"/>
          <w:bCs w:val="0"/>
          <w:color w:val="1F1F1F"/>
          <w:kern w:val="0"/>
          <w:sz w:val="22"/>
          <w:szCs w:val="22"/>
        </w:rPr>
      </w:pPr>
      <w:r w:rsidRPr="009378D0">
        <w:rPr>
          <w:rFonts w:ascii="Source Sans Pro" w:hAnsi="Source Sans Pro"/>
          <w:b w:val="0"/>
          <w:bCs w:val="0"/>
          <w:color w:val="3A3A3A"/>
          <w:sz w:val="23"/>
          <w:szCs w:val="23"/>
          <w:shd w:val="clear" w:color="auto" w:fill="FFFFFF"/>
        </w:rPr>
        <w:t>Adams, N.E. (2015) “Bloom’s taxonomy of cognitive learning objectives,”</w:t>
      </w:r>
      <w:r w:rsidRPr="009378D0">
        <w:rPr>
          <w:rStyle w:val="apple-converted-space"/>
          <w:rFonts w:ascii="Source Sans Pro" w:hAnsi="Source Sans Pro"/>
          <w:b w:val="0"/>
          <w:bCs w:val="0"/>
          <w:color w:val="3A3A3A"/>
          <w:sz w:val="23"/>
          <w:szCs w:val="23"/>
          <w:shd w:val="clear" w:color="auto" w:fill="FFFFFF"/>
        </w:rPr>
        <w:t> </w:t>
      </w:r>
      <w:r w:rsidRPr="009378D0">
        <w:rPr>
          <w:rFonts w:ascii="Source Sans Pro" w:hAnsi="Source Sans Pro"/>
          <w:b w:val="0"/>
          <w:bCs w:val="0"/>
          <w:i/>
          <w:iCs/>
          <w:color w:val="3A3A3A"/>
          <w:sz w:val="23"/>
          <w:szCs w:val="23"/>
        </w:rPr>
        <w:t>Journal of the Medical Library Association</w:t>
      </w:r>
      <w:r w:rsidRPr="009378D0">
        <w:rPr>
          <w:rFonts w:ascii="Source Sans Pro" w:hAnsi="Source Sans Pro"/>
          <w:b w:val="0"/>
          <w:bCs w:val="0"/>
          <w:color w:val="3A3A3A"/>
          <w:sz w:val="23"/>
          <w:szCs w:val="23"/>
          <w:shd w:val="clear" w:color="auto" w:fill="FFFFFF"/>
        </w:rPr>
        <w:t xml:space="preserve">, 103(3), pp. 152–153. Available at: </w:t>
      </w:r>
      <w:hyperlink r:id="rId5" w:history="1">
        <w:r w:rsidRPr="009378D0">
          <w:rPr>
            <w:rStyle w:val="Hyperlink"/>
            <w:rFonts w:ascii="Source Sans Pro" w:hAnsi="Source Sans Pro"/>
            <w:b w:val="0"/>
            <w:bCs w:val="0"/>
            <w:sz w:val="23"/>
            <w:szCs w:val="23"/>
            <w:shd w:val="clear" w:color="auto" w:fill="FFFFFF"/>
          </w:rPr>
          <w:t>https://doi.org/10.3163/1536-5050.103.3.010</w:t>
        </w:r>
      </w:hyperlink>
      <w:r w:rsidRPr="009378D0">
        <w:rPr>
          <w:rFonts w:ascii="Source Sans Pro" w:hAnsi="Source Sans Pro"/>
          <w:b w:val="0"/>
          <w:bCs w:val="0"/>
          <w:color w:val="3A3A3A"/>
          <w:sz w:val="23"/>
          <w:szCs w:val="23"/>
          <w:shd w:val="clear" w:color="auto" w:fill="FFFFFF"/>
        </w:rPr>
        <w:t xml:space="preserve">. </w:t>
      </w:r>
      <w:r w:rsidRPr="009378D0">
        <w:rPr>
          <w:b w:val="0"/>
          <w:bCs w:val="0"/>
          <w:color w:val="1F1F1F"/>
          <w:kern w:val="0"/>
          <w:sz w:val="22"/>
          <w:szCs w:val="22"/>
        </w:rPr>
        <w:t xml:space="preserve">  </w:t>
      </w:r>
    </w:p>
    <w:p w14:paraId="50DFC646" w14:textId="77777777" w:rsidR="00B7298C" w:rsidRDefault="00B7298C" w:rsidP="00B7298C">
      <w:pPr>
        <w:pStyle w:val="Heading1"/>
        <w:spacing w:before="0" w:beforeAutospacing="0" w:after="0" w:afterAutospacing="0"/>
        <w:jc w:val="both"/>
        <w:textAlignment w:val="baseline"/>
        <w:rPr>
          <w:b w:val="0"/>
          <w:bCs w:val="0"/>
          <w:color w:val="1F1F1F"/>
          <w:kern w:val="0"/>
          <w:sz w:val="22"/>
          <w:szCs w:val="22"/>
        </w:rPr>
      </w:pPr>
    </w:p>
    <w:p w14:paraId="07AD4E53" w14:textId="77777777" w:rsidR="00B7298C" w:rsidRDefault="00B7298C" w:rsidP="00B7298C">
      <w:pPr>
        <w:jc w:val="both"/>
        <w:rPr>
          <w:rFonts w:ascii="Source Sans Pro" w:hAnsi="Source Sans Pro"/>
          <w:color w:val="3A3A3A"/>
          <w:sz w:val="23"/>
          <w:szCs w:val="23"/>
          <w:shd w:val="clear" w:color="auto" w:fill="FFFFFF"/>
        </w:rPr>
      </w:pPr>
      <w:r w:rsidRPr="009378D0">
        <w:rPr>
          <w:rFonts w:ascii="Source Sans Pro" w:hAnsi="Source Sans Pro"/>
          <w:color w:val="3A3A3A"/>
          <w:sz w:val="23"/>
          <w:szCs w:val="23"/>
          <w:shd w:val="clear" w:color="auto" w:fill="FFFFFF"/>
        </w:rPr>
        <w:t xml:space="preserve">Agarwal, P.K. (2019) “Retrieval Practice &amp; Bloom’s Taxonomy: Do Students Need Fact Knowledge Before Higher Order </w:t>
      </w:r>
      <w:proofErr w:type="gramStart"/>
      <w:r w:rsidRPr="009378D0">
        <w:rPr>
          <w:rFonts w:ascii="Source Sans Pro" w:hAnsi="Source Sans Pro"/>
          <w:color w:val="3A3A3A"/>
          <w:sz w:val="23"/>
          <w:szCs w:val="23"/>
          <w:shd w:val="clear" w:color="auto" w:fill="FFFFFF"/>
        </w:rPr>
        <w:t>Learning?,</w:t>
      </w:r>
      <w:proofErr w:type="gramEnd"/>
      <w:r w:rsidRPr="009378D0">
        <w:rPr>
          <w:rFonts w:ascii="Source Sans Pro" w:hAnsi="Source Sans Pro"/>
          <w:color w:val="3A3A3A"/>
          <w:sz w:val="23"/>
          <w:szCs w:val="23"/>
          <w:shd w:val="clear" w:color="auto" w:fill="FFFFFF"/>
        </w:rPr>
        <w:t>”</w:t>
      </w:r>
      <w:r w:rsidRPr="009378D0">
        <w:rPr>
          <w:rStyle w:val="apple-converted-space"/>
          <w:rFonts w:ascii="Source Sans Pro" w:hAnsi="Source Sans Pro"/>
          <w:color w:val="3A3A3A"/>
          <w:sz w:val="23"/>
          <w:szCs w:val="23"/>
          <w:shd w:val="clear" w:color="auto" w:fill="FFFFFF"/>
        </w:rPr>
        <w:t> </w:t>
      </w:r>
      <w:r w:rsidRPr="009378D0">
        <w:rPr>
          <w:rFonts w:ascii="Source Sans Pro" w:hAnsi="Source Sans Pro"/>
          <w:i/>
          <w:iCs/>
          <w:color w:val="3A3A3A"/>
          <w:sz w:val="23"/>
          <w:szCs w:val="23"/>
        </w:rPr>
        <w:t>Journal of educational psychology</w:t>
      </w:r>
      <w:r w:rsidRPr="009378D0">
        <w:rPr>
          <w:rFonts w:ascii="Source Sans Pro" w:hAnsi="Source Sans Pro"/>
          <w:color w:val="3A3A3A"/>
          <w:sz w:val="23"/>
          <w:szCs w:val="23"/>
          <w:shd w:val="clear" w:color="auto" w:fill="FFFFFF"/>
        </w:rPr>
        <w:t xml:space="preserve">, 111(2), pp. 189–209. Available at: </w:t>
      </w:r>
      <w:hyperlink r:id="rId6" w:history="1">
        <w:r w:rsidRPr="009378D0">
          <w:rPr>
            <w:rStyle w:val="Hyperlink"/>
            <w:rFonts w:ascii="Source Sans Pro" w:hAnsi="Source Sans Pro"/>
            <w:sz w:val="23"/>
            <w:szCs w:val="23"/>
            <w:shd w:val="clear" w:color="auto" w:fill="FFFFFF"/>
          </w:rPr>
          <w:t>https://doi.org</w:t>
        </w:r>
        <w:r w:rsidRPr="009378D0">
          <w:rPr>
            <w:rStyle w:val="Hyperlink"/>
            <w:rFonts w:ascii="Source Sans Pro" w:hAnsi="Source Sans Pro"/>
            <w:sz w:val="23"/>
            <w:szCs w:val="23"/>
            <w:shd w:val="clear" w:color="auto" w:fill="FFFFFF"/>
          </w:rPr>
          <w:t>/</w:t>
        </w:r>
        <w:r w:rsidRPr="009378D0">
          <w:rPr>
            <w:rStyle w:val="Hyperlink"/>
            <w:rFonts w:ascii="Source Sans Pro" w:hAnsi="Source Sans Pro"/>
            <w:sz w:val="23"/>
            <w:szCs w:val="23"/>
            <w:shd w:val="clear" w:color="auto" w:fill="FFFFFF"/>
          </w:rPr>
          <w:t>10.1037/edu0000282</w:t>
        </w:r>
      </w:hyperlink>
      <w:r w:rsidRPr="009378D0">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xml:space="preserve"> </w:t>
      </w:r>
    </w:p>
    <w:p w14:paraId="345ED26A" w14:textId="77777777" w:rsidR="00B7298C" w:rsidRDefault="00B7298C" w:rsidP="00B7298C">
      <w:pPr>
        <w:jc w:val="both"/>
        <w:rPr>
          <w:rFonts w:ascii="Times New Roman" w:hAnsi="Times New Roman" w:cs="Times New Roman"/>
          <w:color w:val="1F1F1F"/>
          <w:sz w:val="22"/>
          <w:szCs w:val="22"/>
          <w:shd w:val="clear" w:color="auto" w:fill="FFFFFF"/>
        </w:rPr>
      </w:pPr>
    </w:p>
    <w:p w14:paraId="02322113" w14:textId="11FBDAF8" w:rsidR="00B7298C" w:rsidRDefault="00B7298C" w:rsidP="00B7298C">
      <w:pPr>
        <w:jc w:val="both"/>
        <w:rPr>
          <w:rFonts w:ascii="Times New Roman" w:hAnsi="Times New Roman" w:cs="Times New Roman"/>
          <w:color w:val="1F1F1F"/>
          <w:sz w:val="22"/>
          <w:szCs w:val="22"/>
          <w:shd w:val="clear" w:color="auto" w:fill="FFFFFF"/>
        </w:rPr>
      </w:pPr>
      <w:r>
        <w:rPr>
          <w:rFonts w:ascii="Times New Roman" w:hAnsi="Times New Roman" w:cs="Times New Roman"/>
          <w:color w:val="1F1F1F"/>
          <w:sz w:val="22"/>
          <w:szCs w:val="22"/>
          <w:shd w:val="clear" w:color="auto" w:fill="FFFFFF"/>
        </w:rPr>
        <w:t xml:space="preserve">Black, P and William, D. (1998) Inside the Black Box: Raising Standards through Classroom Assessment, Phi Delta </w:t>
      </w:r>
      <w:proofErr w:type="spellStart"/>
      <w:r>
        <w:rPr>
          <w:rFonts w:ascii="Times New Roman" w:hAnsi="Times New Roman" w:cs="Times New Roman"/>
          <w:color w:val="1F1F1F"/>
          <w:sz w:val="22"/>
          <w:szCs w:val="22"/>
          <w:shd w:val="clear" w:color="auto" w:fill="FFFFFF"/>
        </w:rPr>
        <w:t>Kappan</w:t>
      </w:r>
      <w:proofErr w:type="spellEnd"/>
      <w:r>
        <w:rPr>
          <w:rFonts w:ascii="Times New Roman" w:hAnsi="Times New Roman" w:cs="Times New Roman"/>
          <w:color w:val="1F1F1F"/>
          <w:sz w:val="22"/>
          <w:szCs w:val="22"/>
          <w:shd w:val="clear" w:color="auto" w:fill="FFFFFF"/>
        </w:rPr>
        <w:t>, 80, 139-148.</w:t>
      </w:r>
    </w:p>
    <w:p w14:paraId="3D250D2A" w14:textId="77777777" w:rsidR="00B7298C" w:rsidRPr="009378D0" w:rsidRDefault="00B7298C" w:rsidP="00B7298C">
      <w:pPr>
        <w:jc w:val="both"/>
        <w:rPr>
          <w:rFonts w:ascii="Times New Roman" w:hAnsi="Times New Roman" w:cs="Times New Roman"/>
          <w:color w:val="1F1F1F"/>
          <w:sz w:val="22"/>
          <w:szCs w:val="22"/>
          <w:shd w:val="clear" w:color="auto" w:fill="FFFFFF"/>
        </w:rPr>
      </w:pPr>
    </w:p>
    <w:p w14:paraId="5BD5D380" w14:textId="77777777" w:rsidR="00B7298C" w:rsidRDefault="00B7298C" w:rsidP="00B7298C">
      <w:pPr>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Fautley, M and Savage, J. (2008) Assessment for Learning and Teaching Exeter: Learning Matters</w:t>
      </w:r>
    </w:p>
    <w:p w14:paraId="5495A065" w14:textId="77777777" w:rsidR="00B7298C" w:rsidRDefault="00B7298C" w:rsidP="00B7298C">
      <w:pPr>
        <w:jc w:val="both"/>
        <w:rPr>
          <w:rFonts w:ascii="Source Sans Pro" w:hAnsi="Source Sans Pro"/>
          <w:color w:val="3A3A3A"/>
          <w:sz w:val="23"/>
          <w:szCs w:val="23"/>
          <w:shd w:val="clear" w:color="auto" w:fill="FFFFFF"/>
        </w:rPr>
      </w:pPr>
    </w:p>
    <w:p w14:paraId="351FC8AA" w14:textId="77777777" w:rsidR="00B7298C" w:rsidRDefault="00B7298C" w:rsidP="00B7298C">
      <w:pPr>
        <w:jc w:val="both"/>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Graue</w:t>
      </w:r>
      <w:proofErr w:type="spellEnd"/>
      <w:r>
        <w:rPr>
          <w:rFonts w:ascii="Source Sans Pro" w:hAnsi="Source Sans Pro"/>
          <w:color w:val="3A3A3A"/>
          <w:sz w:val="23"/>
          <w:szCs w:val="23"/>
          <w:shd w:val="clear" w:color="auto" w:fill="FFFFFF"/>
        </w:rPr>
        <w:t xml:space="preserve">, M. (1993) Integrating theory and practice through instructional assessment </w:t>
      </w:r>
      <w:r w:rsidRPr="00B7298C">
        <w:rPr>
          <w:rFonts w:ascii="Source Sans Pro" w:hAnsi="Source Sans Pro"/>
          <w:i/>
          <w:iCs/>
          <w:color w:val="3A3A3A"/>
          <w:sz w:val="23"/>
          <w:szCs w:val="23"/>
          <w:shd w:val="clear" w:color="auto" w:fill="FFFFFF"/>
        </w:rPr>
        <w:t>Educational Assessment</w:t>
      </w:r>
      <w:r>
        <w:rPr>
          <w:rFonts w:ascii="Source Sans Pro" w:hAnsi="Source Sans Pro"/>
          <w:color w:val="3A3A3A"/>
          <w:sz w:val="23"/>
          <w:szCs w:val="23"/>
          <w:shd w:val="clear" w:color="auto" w:fill="FFFFFF"/>
        </w:rPr>
        <w:t xml:space="preserve"> 1: 283-309, quoted in Fautley and Savage (2008)</w:t>
      </w:r>
    </w:p>
    <w:p w14:paraId="2FE392D9" w14:textId="77777777" w:rsidR="00B7298C" w:rsidRDefault="00B7298C" w:rsidP="00B7298C">
      <w:pPr>
        <w:jc w:val="both"/>
        <w:rPr>
          <w:rFonts w:ascii="Source Sans Pro" w:hAnsi="Source Sans Pro"/>
          <w:color w:val="3A3A3A"/>
          <w:sz w:val="23"/>
          <w:szCs w:val="23"/>
          <w:shd w:val="clear" w:color="auto" w:fill="FFFFFF"/>
        </w:rPr>
      </w:pPr>
    </w:p>
    <w:p w14:paraId="1F620291" w14:textId="77777777" w:rsidR="00B7298C" w:rsidRPr="009378D0" w:rsidRDefault="00B7298C" w:rsidP="00B7298C">
      <w:pPr>
        <w:pStyle w:val="Heading1"/>
        <w:spacing w:before="0" w:beforeAutospacing="0" w:after="225" w:afterAutospacing="0"/>
        <w:jc w:val="both"/>
        <w:rPr>
          <w:b w:val="0"/>
          <w:bCs w:val="0"/>
          <w:color w:val="1F1F1F"/>
          <w:sz w:val="22"/>
          <w:szCs w:val="22"/>
        </w:rPr>
      </w:pPr>
      <w:proofErr w:type="spellStart"/>
      <w:r w:rsidRPr="009378D0">
        <w:rPr>
          <w:b w:val="0"/>
          <w:bCs w:val="0"/>
          <w:color w:val="3A3A3A"/>
          <w:sz w:val="22"/>
          <w:szCs w:val="22"/>
          <w:shd w:val="clear" w:color="auto" w:fill="FFFFFF"/>
        </w:rPr>
        <w:t>Jayantilal</w:t>
      </w:r>
      <w:proofErr w:type="spellEnd"/>
      <w:r w:rsidRPr="009378D0">
        <w:rPr>
          <w:b w:val="0"/>
          <w:bCs w:val="0"/>
          <w:color w:val="3A3A3A"/>
          <w:sz w:val="22"/>
          <w:szCs w:val="22"/>
          <w:shd w:val="clear" w:color="auto" w:fill="FFFFFF"/>
        </w:rPr>
        <w:t>, K. and O’Leary, N. (2017) “(Reinforcing) factors influencing a physical education teacher’s use of the direct instruction model teaching games,”</w:t>
      </w:r>
      <w:r w:rsidRPr="009378D0">
        <w:rPr>
          <w:rStyle w:val="apple-converted-space"/>
          <w:b w:val="0"/>
          <w:bCs w:val="0"/>
          <w:color w:val="3A3A3A"/>
          <w:sz w:val="22"/>
          <w:szCs w:val="22"/>
          <w:shd w:val="clear" w:color="auto" w:fill="FFFFFF"/>
        </w:rPr>
        <w:t> </w:t>
      </w:r>
      <w:r w:rsidRPr="009378D0">
        <w:rPr>
          <w:b w:val="0"/>
          <w:bCs w:val="0"/>
          <w:i/>
          <w:iCs/>
          <w:color w:val="3A3A3A"/>
          <w:sz w:val="22"/>
          <w:szCs w:val="22"/>
        </w:rPr>
        <w:t>European physical education review</w:t>
      </w:r>
      <w:r w:rsidRPr="009378D0">
        <w:rPr>
          <w:b w:val="0"/>
          <w:bCs w:val="0"/>
          <w:color w:val="3A3A3A"/>
          <w:sz w:val="22"/>
          <w:szCs w:val="22"/>
          <w:shd w:val="clear" w:color="auto" w:fill="FFFFFF"/>
        </w:rPr>
        <w:t xml:space="preserve">, 23(4), pp. 392–411. Available at: </w:t>
      </w:r>
      <w:hyperlink r:id="rId7" w:history="1">
        <w:r w:rsidRPr="009378D0">
          <w:rPr>
            <w:rStyle w:val="Hyperlink"/>
            <w:b w:val="0"/>
            <w:bCs w:val="0"/>
            <w:sz w:val="22"/>
            <w:szCs w:val="22"/>
            <w:shd w:val="clear" w:color="auto" w:fill="FFFFFF"/>
          </w:rPr>
          <w:t>https://do</w:t>
        </w:r>
        <w:r w:rsidRPr="009378D0">
          <w:rPr>
            <w:rStyle w:val="Hyperlink"/>
            <w:b w:val="0"/>
            <w:bCs w:val="0"/>
            <w:sz w:val="22"/>
            <w:szCs w:val="22"/>
            <w:shd w:val="clear" w:color="auto" w:fill="FFFFFF"/>
          </w:rPr>
          <w:t>i</w:t>
        </w:r>
        <w:r w:rsidRPr="009378D0">
          <w:rPr>
            <w:rStyle w:val="Hyperlink"/>
            <w:b w:val="0"/>
            <w:bCs w:val="0"/>
            <w:sz w:val="22"/>
            <w:szCs w:val="22"/>
            <w:shd w:val="clear" w:color="auto" w:fill="FFFFFF"/>
          </w:rPr>
          <w:t>.org/10.1177/1356336X16652081</w:t>
        </w:r>
      </w:hyperlink>
      <w:r w:rsidRPr="009378D0">
        <w:rPr>
          <w:b w:val="0"/>
          <w:bCs w:val="0"/>
          <w:color w:val="3A3A3A"/>
          <w:sz w:val="22"/>
          <w:szCs w:val="22"/>
          <w:shd w:val="clear" w:color="auto" w:fill="FFFFFF"/>
        </w:rPr>
        <w:t xml:space="preserve">. </w:t>
      </w:r>
      <w:r w:rsidRPr="009378D0">
        <w:rPr>
          <w:b w:val="0"/>
          <w:bCs w:val="0"/>
          <w:color w:val="1F1F1F"/>
          <w:kern w:val="0"/>
          <w:sz w:val="22"/>
          <w:szCs w:val="22"/>
        </w:rPr>
        <w:t xml:space="preserve"> </w:t>
      </w:r>
    </w:p>
    <w:p w14:paraId="0E09423B" w14:textId="77777777" w:rsidR="00B7298C" w:rsidRDefault="00B7298C" w:rsidP="00B7298C">
      <w:pPr>
        <w:pStyle w:val="Heading1"/>
        <w:spacing w:before="0" w:beforeAutospacing="0" w:after="225" w:afterAutospacing="0"/>
        <w:jc w:val="both"/>
        <w:rPr>
          <w:b w:val="0"/>
          <w:bCs w:val="0"/>
          <w:color w:val="1F1F1F"/>
          <w:sz w:val="22"/>
          <w:szCs w:val="22"/>
        </w:rPr>
      </w:pPr>
      <w:r w:rsidRPr="009378D0">
        <w:rPr>
          <w:b w:val="0"/>
          <w:bCs w:val="0"/>
          <w:color w:val="1F1F1F"/>
          <w:sz w:val="22"/>
          <w:szCs w:val="22"/>
          <w:shd w:val="clear" w:color="auto" w:fill="FFFFFF"/>
        </w:rPr>
        <w:t xml:space="preserve">Welsh Government (2018) </w:t>
      </w:r>
      <w:r w:rsidRPr="009378D0">
        <w:rPr>
          <w:b w:val="0"/>
          <w:bCs w:val="0"/>
          <w:color w:val="1F1F1F"/>
          <w:sz w:val="22"/>
          <w:szCs w:val="22"/>
        </w:rPr>
        <w:t>How ‘Areas of Learning and Experience’ are being developed as a central element of the new curriculum</w:t>
      </w:r>
      <w:r w:rsidRPr="009378D0">
        <w:rPr>
          <w:b w:val="0"/>
          <w:bCs w:val="0"/>
          <w:color w:val="1F1F1F"/>
          <w:sz w:val="22"/>
          <w:szCs w:val="22"/>
        </w:rPr>
        <w:t xml:space="preserve"> </w:t>
      </w:r>
      <w:hyperlink r:id="rId8" w:history="1">
        <w:r w:rsidRPr="009378D0">
          <w:rPr>
            <w:rStyle w:val="Hyperlink"/>
            <w:b w:val="0"/>
            <w:bCs w:val="0"/>
            <w:sz w:val="22"/>
            <w:szCs w:val="22"/>
            <w:u w:val="none"/>
          </w:rPr>
          <w:t>https://educationwales.blog.gov.wales/2018/06/20/how-areas-of-learning-and-experience-are-being-developed-as-a-central-element-of-the-new-curriculum/</w:t>
        </w:r>
      </w:hyperlink>
      <w:r w:rsidRPr="009378D0">
        <w:rPr>
          <w:b w:val="0"/>
          <w:bCs w:val="0"/>
          <w:color w:val="1F1F1F"/>
          <w:sz w:val="22"/>
          <w:szCs w:val="22"/>
        </w:rPr>
        <w:t xml:space="preserve"> </w:t>
      </w:r>
    </w:p>
    <w:p w14:paraId="143E84D6" w14:textId="77777777" w:rsidR="00B7298C" w:rsidRDefault="00B7298C" w:rsidP="00B7298C">
      <w:pPr>
        <w:pStyle w:val="Heading1"/>
        <w:spacing w:before="0" w:beforeAutospacing="0" w:after="225" w:afterAutospacing="0"/>
        <w:jc w:val="both"/>
        <w:rPr>
          <w:b w:val="0"/>
          <w:bCs w:val="0"/>
          <w:color w:val="1F1F1F"/>
          <w:sz w:val="22"/>
          <w:szCs w:val="22"/>
        </w:rPr>
      </w:pPr>
      <w:r w:rsidRPr="009378D0">
        <w:rPr>
          <w:b w:val="0"/>
          <w:bCs w:val="0"/>
          <w:color w:val="1F1F1F"/>
          <w:sz w:val="22"/>
          <w:szCs w:val="22"/>
        </w:rPr>
        <w:t xml:space="preserve">Welsh Government (2020) </w:t>
      </w:r>
      <w:r w:rsidRPr="009378D0">
        <w:rPr>
          <w:b w:val="0"/>
          <w:bCs w:val="0"/>
          <w:color w:val="1F1F1F"/>
          <w:sz w:val="22"/>
          <w:szCs w:val="22"/>
        </w:rPr>
        <w:t>‘Areas of Learning and Experience’ as a central element of the new curriculum</w:t>
      </w:r>
      <w:r w:rsidRPr="009378D0">
        <w:rPr>
          <w:b w:val="0"/>
          <w:bCs w:val="0"/>
          <w:color w:val="1F1F1F"/>
          <w:sz w:val="22"/>
          <w:szCs w:val="22"/>
        </w:rPr>
        <w:t xml:space="preserve"> </w:t>
      </w:r>
      <w:hyperlink r:id="rId9" w:history="1">
        <w:r w:rsidRPr="009378D0">
          <w:rPr>
            <w:rStyle w:val="Hyperlink"/>
            <w:b w:val="0"/>
            <w:bCs w:val="0"/>
            <w:sz w:val="22"/>
            <w:szCs w:val="22"/>
          </w:rPr>
          <w:t>https://educationwales.b</w:t>
        </w:r>
        <w:r w:rsidRPr="009378D0">
          <w:rPr>
            <w:rStyle w:val="Hyperlink"/>
            <w:b w:val="0"/>
            <w:bCs w:val="0"/>
            <w:sz w:val="22"/>
            <w:szCs w:val="22"/>
          </w:rPr>
          <w:t>l</w:t>
        </w:r>
        <w:r w:rsidRPr="009378D0">
          <w:rPr>
            <w:rStyle w:val="Hyperlink"/>
            <w:b w:val="0"/>
            <w:bCs w:val="0"/>
            <w:sz w:val="22"/>
            <w:szCs w:val="22"/>
          </w:rPr>
          <w:t>og.gov.wales/2020/03/02/areas-of-learning-and-experience-as-a-central-element-of-the-new-curriculum/</w:t>
        </w:r>
      </w:hyperlink>
      <w:r w:rsidRPr="009378D0">
        <w:rPr>
          <w:b w:val="0"/>
          <w:bCs w:val="0"/>
          <w:color w:val="1F1F1F"/>
          <w:sz w:val="22"/>
          <w:szCs w:val="22"/>
        </w:rPr>
        <w:t xml:space="preserve"> </w:t>
      </w:r>
    </w:p>
    <w:p w14:paraId="3D7AD072" w14:textId="77777777" w:rsidR="00B7298C" w:rsidRDefault="00B7298C" w:rsidP="00B7298C">
      <w:pPr>
        <w:pStyle w:val="Heading1"/>
        <w:spacing w:before="0" w:beforeAutospacing="0" w:after="225" w:afterAutospacing="0"/>
        <w:jc w:val="both"/>
        <w:rPr>
          <w:b w:val="0"/>
          <w:bCs w:val="0"/>
          <w:color w:val="1F1F1F"/>
          <w:sz w:val="22"/>
          <w:szCs w:val="22"/>
        </w:rPr>
      </w:pPr>
      <w:r w:rsidRPr="009378D0">
        <w:rPr>
          <w:b w:val="0"/>
          <w:bCs w:val="0"/>
          <w:color w:val="1F1F1F"/>
          <w:sz w:val="22"/>
          <w:szCs w:val="22"/>
        </w:rPr>
        <w:t>Welsh Government (2020)</w:t>
      </w:r>
      <w:r>
        <w:rPr>
          <w:b w:val="0"/>
          <w:bCs w:val="0"/>
          <w:color w:val="1F1F1F"/>
          <w:sz w:val="22"/>
          <w:szCs w:val="22"/>
        </w:rPr>
        <w:t xml:space="preserve"> Health and Well-being </w:t>
      </w:r>
      <w:hyperlink r:id="rId10" w:history="1">
        <w:r w:rsidRPr="00437C2A">
          <w:rPr>
            <w:rStyle w:val="Hyperlink"/>
            <w:b w:val="0"/>
            <w:bCs w:val="0"/>
            <w:sz w:val="22"/>
            <w:szCs w:val="22"/>
          </w:rPr>
          <w:t>https://hwb.gov.wales/curriculum-for-wales/health-and-well-being/</w:t>
        </w:r>
      </w:hyperlink>
      <w:r>
        <w:rPr>
          <w:b w:val="0"/>
          <w:bCs w:val="0"/>
          <w:color w:val="1F1F1F"/>
          <w:sz w:val="22"/>
          <w:szCs w:val="22"/>
        </w:rPr>
        <w:t xml:space="preserve"> </w:t>
      </w:r>
    </w:p>
    <w:p w14:paraId="2B9B82ED" w14:textId="77777777" w:rsidR="00B7298C" w:rsidRDefault="00B7298C" w:rsidP="00B7298C">
      <w:pPr>
        <w:pStyle w:val="Heading1"/>
        <w:spacing w:before="0" w:beforeAutospacing="0" w:after="0" w:afterAutospacing="0"/>
        <w:jc w:val="both"/>
        <w:textAlignment w:val="baseline"/>
        <w:rPr>
          <w:b w:val="0"/>
          <w:bCs w:val="0"/>
          <w:color w:val="1F1F1F"/>
          <w:spacing w:val="-5"/>
          <w:sz w:val="22"/>
          <w:szCs w:val="22"/>
        </w:rPr>
      </w:pPr>
      <w:r w:rsidRPr="009378D0">
        <w:rPr>
          <w:b w:val="0"/>
          <w:bCs w:val="0"/>
          <w:color w:val="1F1F1F"/>
          <w:sz w:val="22"/>
          <w:szCs w:val="22"/>
        </w:rPr>
        <w:t>Welsh Government (202</w:t>
      </w:r>
      <w:r w:rsidRPr="009378D0">
        <w:rPr>
          <w:b w:val="0"/>
          <w:bCs w:val="0"/>
          <w:color w:val="1F1F1F"/>
          <w:sz w:val="22"/>
          <w:szCs w:val="22"/>
        </w:rPr>
        <w:t>2</w:t>
      </w:r>
      <w:r>
        <w:rPr>
          <w:b w:val="0"/>
          <w:bCs w:val="0"/>
          <w:color w:val="1F1F1F"/>
          <w:sz w:val="22"/>
          <w:szCs w:val="22"/>
        </w:rPr>
        <w:t>)</w:t>
      </w:r>
      <w:r w:rsidRPr="009378D0">
        <w:rPr>
          <w:b w:val="0"/>
          <w:bCs w:val="0"/>
          <w:color w:val="1F1F1F"/>
          <w:spacing w:val="-5"/>
          <w:sz w:val="22"/>
          <w:szCs w:val="22"/>
        </w:rPr>
        <w:t xml:space="preserve"> </w:t>
      </w:r>
      <w:r w:rsidRPr="009378D0">
        <w:rPr>
          <w:b w:val="0"/>
          <w:bCs w:val="0"/>
          <w:color w:val="1F1F1F"/>
          <w:spacing w:val="-5"/>
          <w:sz w:val="22"/>
          <w:szCs w:val="22"/>
        </w:rPr>
        <w:t>Developing a vision for curriculum design</w:t>
      </w:r>
      <w:r w:rsidRPr="009378D0">
        <w:rPr>
          <w:b w:val="0"/>
          <w:bCs w:val="0"/>
          <w:color w:val="1F1F1F"/>
          <w:spacing w:val="-5"/>
          <w:sz w:val="22"/>
          <w:szCs w:val="22"/>
        </w:rPr>
        <w:t xml:space="preserve"> </w:t>
      </w:r>
      <w:hyperlink r:id="rId11" w:history="1">
        <w:r w:rsidRPr="009378D0">
          <w:rPr>
            <w:rStyle w:val="Hyperlink"/>
            <w:b w:val="0"/>
            <w:bCs w:val="0"/>
            <w:spacing w:val="-5"/>
            <w:sz w:val="22"/>
            <w:szCs w:val="22"/>
          </w:rPr>
          <w:t>https://hwb.gov.wales/curriculum-for-wales/designing-your-curricu</w:t>
        </w:r>
        <w:r w:rsidRPr="009378D0">
          <w:rPr>
            <w:rStyle w:val="Hyperlink"/>
            <w:b w:val="0"/>
            <w:bCs w:val="0"/>
            <w:spacing w:val="-5"/>
            <w:sz w:val="22"/>
            <w:szCs w:val="22"/>
          </w:rPr>
          <w:t>l</w:t>
        </w:r>
        <w:r w:rsidRPr="009378D0">
          <w:rPr>
            <w:rStyle w:val="Hyperlink"/>
            <w:b w:val="0"/>
            <w:bCs w:val="0"/>
            <w:spacing w:val="-5"/>
            <w:sz w:val="22"/>
            <w:szCs w:val="22"/>
          </w:rPr>
          <w:t>um/developing-a-vision-for-curriculum-design/#curriculum-design-and-the-four-purposes</w:t>
        </w:r>
      </w:hyperlink>
      <w:r w:rsidRPr="009378D0">
        <w:rPr>
          <w:b w:val="0"/>
          <w:bCs w:val="0"/>
          <w:color w:val="1F1F1F"/>
          <w:spacing w:val="-5"/>
          <w:sz w:val="22"/>
          <w:szCs w:val="22"/>
        </w:rPr>
        <w:t xml:space="preserve"> </w:t>
      </w:r>
    </w:p>
    <w:p w14:paraId="38383671" w14:textId="77777777" w:rsidR="00B7298C" w:rsidRPr="009378D0" w:rsidRDefault="00B7298C" w:rsidP="00B7298C">
      <w:pPr>
        <w:pStyle w:val="Heading1"/>
        <w:spacing w:before="0" w:beforeAutospacing="0" w:after="0" w:afterAutospacing="0"/>
        <w:jc w:val="both"/>
        <w:textAlignment w:val="baseline"/>
        <w:rPr>
          <w:b w:val="0"/>
          <w:bCs w:val="0"/>
          <w:color w:val="1F1F1F"/>
          <w:spacing w:val="-5"/>
          <w:sz w:val="22"/>
          <w:szCs w:val="22"/>
        </w:rPr>
      </w:pPr>
    </w:p>
    <w:p w14:paraId="07FA8BF4" w14:textId="77777777" w:rsidR="00B7298C" w:rsidRDefault="00B7298C" w:rsidP="00B7298C">
      <w:pPr>
        <w:jc w:val="both"/>
        <w:rPr>
          <w:rFonts w:ascii="Times New Roman" w:hAnsi="Times New Roman" w:cs="Times New Roman"/>
          <w:color w:val="1F1F1F"/>
          <w:sz w:val="22"/>
          <w:szCs w:val="22"/>
          <w:shd w:val="clear" w:color="auto" w:fill="FFFFFF"/>
        </w:rPr>
      </w:pPr>
      <w:r w:rsidRPr="009378D0">
        <w:rPr>
          <w:rFonts w:ascii="Times New Roman" w:hAnsi="Times New Roman" w:cs="Times New Roman"/>
          <w:color w:val="1F1F1F"/>
          <w:sz w:val="22"/>
          <w:szCs w:val="22"/>
          <w:shd w:val="clear" w:color="auto" w:fill="FFFFFF"/>
        </w:rPr>
        <w:lastRenderedPageBreak/>
        <w:t xml:space="preserve">Welsh Government (2023) Pedagogy. </w:t>
      </w:r>
      <w:hyperlink r:id="rId12" w:history="1">
        <w:r w:rsidRPr="009378D0">
          <w:rPr>
            <w:rStyle w:val="Hyperlink"/>
            <w:rFonts w:ascii="Times New Roman" w:hAnsi="Times New Roman" w:cs="Times New Roman"/>
            <w:sz w:val="22"/>
            <w:szCs w:val="22"/>
            <w:u w:val="none"/>
            <w:shd w:val="clear" w:color="auto" w:fill="FFFFFF"/>
          </w:rPr>
          <w:t>https://hwb.gov.wales/curriculum-for-wales/designing-your-curriculum/pedagogy</w:t>
        </w:r>
      </w:hyperlink>
      <w:r w:rsidRPr="009378D0">
        <w:rPr>
          <w:rFonts w:ascii="Times New Roman" w:hAnsi="Times New Roman" w:cs="Times New Roman"/>
          <w:color w:val="1F1F1F"/>
          <w:sz w:val="22"/>
          <w:szCs w:val="22"/>
          <w:shd w:val="clear" w:color="auto" w:fill="FFFFFF"/>
        </w:rPr>
        <w:t xml:space="preserve"> </w:t>
      </w:r>
    </w:p>
    <w:p w14:paraId="087BF940" w14:textId="77777777" w:rsidR="00B7298C" w:rsidRPr="009378D0" w:rsidRDefault="00B7298C" w:rsidP="00B7298C">
      <w:pPr>
        <w:jc w:val="both"/>
        <w:rPr>
          <w:rFonts w:ascii="Times New Roman" w:hAnsi="Times New Roman" w:cs="Times New Roman"/>
          <w:color w:val="1F1F1F"/>
          <w:sz w:val="22"/>
          <w:szCs w:val="22"/>
          <w:shd w:val="clear" w:color="auto" w:fill="FFFFFF"/>
        </w:rPr>
      </w:pPr>
    </w:p>
    <w:p w14:paraId="31D7B88D" w14:textId="77777777" w:rsidR="00B7298C" w:rsidRDefault="00B7298C" w:rsidP="00B7298C">
      <w:pPr>
        <w:pStyle w:val="Heading1"/>
        <w:spacing w:before="0" w:beforeAutospacing="0" w:after="0" w:afterAutospacing="0"/>
        <w:jc w:val="both"/>
        <w:textAlignment w:val="baseline"/>
        <w:rPr>
          <w:b w:val="0"/>
          <w:bCs w:val="0"/>
          <w:color w:val="1F1F1F"/>
          <w:sz w:val="22"/>
          <w:szCs w:val="22"/>
        </w:rPr>
      </w:pPr>
      <w:r>
        <w:rPr>
          <w:b w:val="0"/>
          <w:bCs w:val="0"/>
          <w:color w:val="1F1F1F"/>
          <w:sz w:val="22"/>
          <w:szCs w:val="22"/>
        </w:rPr>
        <w:t xml:space="preserve">Welsh Government (2023) Religion, values and ethics within the Curriculum For Wales </w:t>
      </w:r>
      <w:hyperlink r:id="rId13" w:history="1">
        <w:r w:rsidRPr="00437C2A">
          <w:rPr>
            <w:rStyle w:val="Hyperlink"/>
            <w:b w:val="0"/>
            <w:bCs w:val="0"/>
            <w:sz w:val="22"/>
            <w:szCs w:val="22"/>
          </w:rPr>
          <w:t>https://hwb.gov.wales/playlists/view/f1232378-83e0-4e42-9c99-fa5fe5962c9f/en/1</w:t>
        </w:r>
      </w:hyperlink>
      <w:r>
        <w:rPr>
          <w:b w:val="0"/>
          <w:bCs w:val="0"/>
          <w:color w:val="1F1F1F"/>
          <w:sz w:val="22"/>
          <w:szCs w:val="22"/>
        </w:rPr>
        <w:t xml:space="preserve"> </w:t>
      </w:r>
    </w:p>
    <w:p w14:paraId="1AD7E378" w14:textId="77777777" w:rsidR="009378D0" w:rsidRPr="009378D0" w:rsidRDefault="009378D0" w:rsidP="00B7298C">
      <w:pPr>
        <w:pStyle w:val="Heading1"/>
        <w:spacing w:before="0" w:beforeAutospacing="0" w:after="0" w:afterAutospacing="0"/>
        <w:jc w:val="both"/>
        <w:textAlignment w:val="baseline"/>
        <w:rPr>
          <w:b w:val="0"/>
          <w:bCs w:val="0"/>
          <w:caps/>
          <w:color w:val="000000" w:themeColor="text1"/>
          <w:spacing w:val="300"/>
          <w:sz w:val="22"/>
          <w:szCs w:val="22"/>
        </w:rPr>
      </w:pPr>
    </w:p>
    <w:sectPr w:rsidR="009378D0" w:rsidRPr="00937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368A7"/>
    <w:multiLevelType w:val="hybridMultilevel"/>
    <w:tmpl w:val="303E1B4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3C54D6D"/>
    <w:multiLevelType w:val="multilevel"/>
    <w:tmpl w:val="459E2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E44312"/>
    <w:multiLevelType w:val="multilevel"/>
    <w:tmpl w:val="B7BC4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4110413">
    <w:abstractNumId w:val="1"/>
  </w:num>
  <w:num w:numId="2" w16cid:durableId="1787575456">
    <w:abstractNumId w:val="0"/>
  </w:num>
  <w:num w:numId="3" w16cid:durableId="1993020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ACB"/>
    <w:rsid w:val="00030FB6"/>
    <w:rsid w:val="000F6131"/>
    <w:rsid w:val="001C6C2E"/>
    <w:rsid w:val="00207A4B"/>
    <w:rsid w:val="002837F4"/>
    <w:rsid w:val="003045B5"/>
    <w:rsid w:val="00336E23"/>
    <w:rsid w:val="003C78B6"/>
    <w:rsid w:val="003D099C"/>
    <w:rsid w:val="00404617"/>
    <w:rsid w:val="00464BF3"/>
    <w:rsid w:val="004E1B1E"/>
    <w:rsid w:val="0056149E"/>
    <w:rsid w:val="005763E7"/>
    <w:rsid w:val="00593D14"/>
    <w:rsid w:val="006055B3"/>
    <w:rsid w:val="006412DD"/>
    <w:rsid w:val="00656F07"/>
    <w:rsid w:val="00674B6D"/>
    <w:rsid w:val="00726455"/>
    <w:rsid w:val="00763382"/>
    <w:rsid w:val="007B738E"/>
    <w:rsid w:val="007F62C1"/>
    <w:rsid w:val="008727CF"/>
    <w:rsid w:val="009378D0"/>
    <w:rsid w:val="009C2502"/>
    <w:rsid w:val="00A041EC"/>
    <w:rsid w:val="00A64CC4"/>
    <w:rsid w:val="00B02C9B"/>
    <w:rsid w:val="00B7298C"/>
    <w:rsid w:val="00BD5ACB"/>
    <w:rsid w:val="00BF0B7B"/>
    <w:rsid w:val="00C24F9B"/>
    <w:rsid w:val="00C3084C"/>
    <w:rsid w:val="00C3728C"/>
    <w:rsid w:val="00C94736"/>
    <w:rsid w:val="00DB2426"/>
    <w:rsid w:val="00DD56A6"/>
    <w:rsid w:val="00DF5552"/>
    <w:rsid w:val="00E17FA4"/>
    <w:rsid w:val="00F0222A"/>
    <w:rsid w:val="00F644B4"/>
    <w:rsid w:val="00FA26EF"/>
    <w:rsid w:val="00FA68DB"/>
    <w:rsid w:val="00FC3D25"/>
    <w:rsid w:val="00FC4975"/>
    <w:rsid w:val="00FF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95FC54"/>
  <w15:chartTrackingRefBased/>
  <w15:docId w15:val="{7FD8A9CD-2ACC-D147-9A3C-3E937AB5F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78D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5ACB"/>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BD5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78B6"/>
    <w:rPr>
      <w:color w:val="0563C1" w:themeColor="hyperlink"/>
      <w:u w:val="single"/>
    </w:rPr>
  </w:style>
  <w:style w:type="character" w:styleId="UnresolvedMention">
    <w:name w:val="Unresolved Mention"/>
    <w:basedOn w:val="DefaultParagraphFont"/>
    <w:uiPriority w:val="99"/>
    <w:semiHidden/>
    <w:unhideWhenUsed/>
    <w:rsid w:val="003C78B6"/>
    <w:rPr>
      <w:color w:val="605E5C"/>
      <w:shd w:val="clear" w:color="auto" w:fill="E1DFDD"/>
    </w:rPr>
  </w:style>
  <w:style w:type="character" w:styleId="FollowedHyperlink">
    <w:name w:val="FollowedHyperlink"/>
    <w:basedOn w:val="DefaultParagraphFont"/>
    <w:uiPriority w:val="99"/>
    <w:semiHidden/>
    <w:unhideWhenUsed/>
    <w:rsid w:val="003C78B6"/>
    <w:rPr>
      <w:color w:val="954F72" w:themeColor="followedHyperlink"/>
      <w:u w:val="single"/>
    </w:rPr>
  </w:style>
  <w:style w:type="paragraph" w:styleId="ListParagraph">
    <w:name w:val="List Paragraph"/>
    <w:basedOn w:val="Normal"/>
    <w:uiPriority w:val="63"/>
    <w:qFormat/>
    <w:rsid w:val="00BF0B7B"/>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DB2426"/>
  </w:style>
  <w:style w:type="character" w:customStyle="1" w:styleId="Heading1Char">
    <w:name w:val="Heading 1 Char"/>
    <w:basedOn w:val="DefaultParagraphFont"/>
    <w:link w:val="Heading1"/>
    <w:uiPriority w:val="9"/>
    <w:rsid w:val="009378D0"/>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176237">
      <w:bodyDiv w:val="1"/>
      <w:marLeft w:val="0"/>
      <w:marRight w:val="0"/>
      <w:marTop w:val="0"/>
      <w:marBottom w:val="0"/>
      <w:divBdr>
        <w:top w:val="none" w:sz="0" w:space="0" w:color="auto"/>
        <w:left w:val="none" w:sz="0" w:space="0" w:color="auto"/>
        <w:bottom w:val="none" w:sz="0" w:space="0" w:color="auto"/>
        <w:right w:val="none" w:sz="0" w:space="0" w:color="auto"/>
      </w:divBdr>
    </w:div>
    <w:div w:id="310713597">
      <w:bodyDiv w:val="1"/>
      <w:marLeft w:val="0"/>
      <w:marRight w:val="0"/>
      <w:marTop w:val="0"/>
      <w:marBottom w:val="0"/>
      <w:divBdr>
        <w:top w:val="none" w:sz="0" w:space="0" w:color="auto"/>
        <w:left w:val="none" w:sz="0" w:space="0" w:color="auto"/>
        <w:bottom w:val="none" w:sz="0" w:space="0" w:color="auto"/>
        <w:right w:val="none" w:sz="0" w:space="0" w:color="auto"/>
      </w:divBdr>
    </w:div>
    <w:div w:id="627707354">
      <w:bodyDiv w:val="1"/>
      <w:marLeft w:val="0"/>
      <w:marRight w:val="0"/>
      <w:marTop w:val="0"/>
      <w:marBottom w:val="0"/>
      <w:divBdr>
        <w:top w:val="none" w:sz="0" w:space="0" w:color="auto"/>
        <w:left w:val="none" w:sz="0" w:space="0" w:color="auto"/>
        <w:bottom w:val="none" w:sz="0" w:space="0" w:color="auto"/>
        <w:right w:val="none" w:sz="0" w:space="0" w:color="auto"/>
      </w:divBdr>
    </w:div>
    <w:div w:id="686640966">
      <w:bodyDiv w:val="1"/>
      <w:marLeft w:val="0"/>
      <w:marRight w:val="0"/>
      <w:marTop w:val="0"/>
      <w:marBottom w:val="0"/>
      <w:divBdr>
        <w:top w:val="none" w:sz="0" w:space="0" w:color="auto"/>
        <w:left w:val="none" w:sz="0" w:space="0" w:color="auto"/>
        <w:bottom w:val="none" w:sz="0" w:space="0" w:color="auto"/>
        <w:right w:val="none" w:sz="0" w:space="0" w:color="auto"/>
      </w:divBdr>
    </w:div>
    <w:div w:id="1124696016">
      <w:bodyDiv w:val="1"/>
      <w:marLeft w:val="0"/>
      <w:marRight w:val="0"/>
      <w:marTop w:val="0"/>
      <w:marBottom w:val="0"/>
      <w:divBdr>
        <w:top w:val="none" w:sz="0" w:space="0" w:color="auto"/>
        <w:left w:val="none" w:sz="0" w:space="0" w:color="auto"/>
        <w:bottom w:val="none" w:sz="0" w:space="0" w:color="auto"/>
        <w:right w:val="none" w:sz="0" w:space="0" w:color="auto"/>
      </w:divBdr>
    </w:div>
    <w:div w:id="200241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wales.blog.gov.wales/2018/06/20/how-areas-of-learning-and-experience-are-being-developed-as-a-central-element-of-the-new-curriculum/" TargetMode="External"/><Relationship Id="rId13" Type="http://schemas.openxmlformats.org/officeDocument/2006/relationships/hyperlink" Target="https://hwb.gov.wales/playlists/view/f1232378-83e0-4e42-9c99-fa5fe5962c9f/en/1" TargetMode="External"/><Relationship Id="rId3" Type="http://schemas.openxmlformats.org/officeDocument/2006/relationships/settings" Target="settings.xml"/><Relationship Id="rId7" Type="http://schemas.openxmlformats.org/officeDocument/2006/relationships/hyperlink" Target="https://doi.org/10.1177/1356336X16652081" TargetMode="External"/><Relationship Id="rId12" Type="http://schemas.openxmlformats.org/officeDocument/2006/relationships/hyperlink" Target="https://hwb.gov.wales/curriculum-for-wales/designing-your-curriculum/pedag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37/edu0000282" TargetMode="External"/><Relationship Id="rId11" Type="http://schemas.openxmlformats.org/officeDocument/2006/relationships/hyperlink" Target="https://hwb.gov.wales/curriculum-for-wales/designing-your-curriculum/developing-a-vision-for-curriculum-design/#curriculum-design-and-the-four-purposes" TargetMode="External"/><Relationship Id="rId5" Type="http://schemas.openxmlformats.org/officeDocument/2006/relationships/hyperlink" Target="https://doi.org/10.3163/1536-5050.103.3.010" TargetMode="External"/><Relationship Id="rId15" Type="http://schemas.openxmlformats.org/officeDocument/2006/relationships/theme" Target="theme/theme1.xml"/><Relationship Id="rId10" Type="http://schemas.openxmlformats.org/officeDocument/2006/relationships/hyperlink" Target="https://hwb.gov.wales/curriculum-for-wales/health-and-well-being/" TargetMode="External"/><Relationship Id="rId4" Type="http://schemas.openxmlformats.org/officeDocument/2006/relationships/webSettings" Target="webSettings.xml"/><Relationship Id="rId9" Type="http://schemas.openxmlformats.org/officeDocument/2006/relationships/hyperlink" Target="https://educationwales.blog.gov.wales/2020/03/02/areas-of-learning-and-experience-as-a-central-element-of-the-new-curriculu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3300</Words>
  <Characters>18811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(2317130)</dc:creator>
  <cp:keywords/>
  <dc:description/>
  <cp:lastModifiedBy>Emily James (2317130)</cp:lastModifiedBy>
  <cp:revision>2</cp:revision>
  <cp:lastPrinted>2024-03-18T18:52:00Z</cp:lastPrinted>
  <dcterms:created xsi:type="dcterms:W3CDTF">2024-03-18T22:22:00Z</dcterms:created>
  <dcterms:modified xsi:type="dcterms:W3CDTF">2024-03-18T22:22:00Z</dcterms:modified>
</cp:coreProperties>
</file>