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Times New Roman" w:hAnsi="Times New Roman" w:cs="Times New Roman" w:eastAsia="Times New Roman"/>
          <w:b/>
          <w:color w:val="auto"/>
          <w:spacing w:val="0"/>
          <w:position w:val="0"/>
          <w:sz w:val="40"/>
          <w:shd w:fill="auto" w:val="clear"/>
        </w:rPr>
      </w:pPr>
      <w:r>
        <w:object w:dxaOrig="3240" w:dyaOrig="2642">
          <v:rect xmlns:o="urn:schemas-microsoft-com:office:office" xmlns:v="urn:schemas-microsoft-com:vml" id="rectole0000000000" style="width:162.000000pt;height:132.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no : 2030081</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 Luiza Georgiana Lisac</w:t>
      </w:r>
    </w:p>
    <w:p>
      <w:pPr>
        <w:spacing w:before="0" w:after="200" w:line="240"/>
        <w:ind w:right="0" w:left="0" w:firstLine="0"/>
        <w:jc w:val="center"/>
        <w:rPr>
          <w:rFonts w:ascii="Arial" w:hAnsi="Arial" w:cs="Arial" w:eastAsia="Arial"/>
          <w:b/>
          <w:color w:val="auto"/>
          <w:spacing w:val="0"/>
          <w:position w:val="0"/>
          <w:sz w:val="24"/>
          <w:shd w:fill="auto" w:val="clear"/>
        </w:rPr>
      </w:pPr>
    </w:p>
    <w:p>
      <w:pPr>
        <w:spacing w:before="0" w:after="200" w:line="240"/>
        <w:ind w:right="0" w:left="0" w:firstLine="0"/>
        <w:jc w:val="center"/>
        <w:rPr>
          <w:rFonts w:ascii="Arial" w:hAnsi="Arial" w:cs="Arial" w:eastAsia="Arial"/>
          <w:b/>
          <w:color w:val="auto"/>
          <w:spacing w:val="0"/>
          <w:position w:val="0"/>
          <w:sz w:val="24"/>
          <w:shd w:fill="auto" w:val="clear"/>
        </w:rPr>
      </w:pP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Programme: BA Business Management</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The Global Business Environment</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 LCCB4005</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Assessment 2 Environmental Analysis of an industry</w:t>
      </w:r>
    </w:p>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w:hAnsi="Calibri" w:cs="Calibri" w:eastAsia="Calibri"/>
          <w:color w:val="2F5496"/>
          <w:spacing w:val="0"/>
          <w:position w:val="0"/>
          <w:sz w:val="32"/>
          <w:u w:val="single"/>
          <w:shd w:fill="auto" w:val="clear"/>
        </w:rPr>
      </w:pPr>
      <w:r>
        <w:rPr>
          <w:rFonts w:ascii="Calibri" w:hAnsi="Calibri" w:cs="Calibri" w:eastAsia="Calibri"/>
          <w:color w:val="2F5496"/>
          <w:spacing w:val="0"/>
          <w:position w:val="0"/>
          <w:sz w:val="32"/>
          <w:u w:val="single"/>
          <w:shd w:fill="auto" w:val="clear"/>
        </w:rPr>
        <w:t xml:space="preserve">Table of Contents</w:t>
      </w:r>
    </w:p>
    <w:p>
      <w:pPr>
        <w:keepNext w:val="true"/>
        <w:keepLines w:val="true"/>
        <w:spacing w:before="240" w:after="0" w:line="259"/>
        <w:ind w:right="0" w:left="0" w:firstLine="0"/>
        <w:jc w:val="left"/>
        <w:rPr>
          <w:rFonts w:ascii="Calibri" w:hAnsi="Calibri" w:cs="Calibri" w:eastAsia="Calibri"/>
          <w:color w:val="2F5496"/>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balance in global economy is returning back as the businesses are reopening. Constant vaccination programs removing the fear from the human minds and the consumers are returning back. However, the aftershock of the pandemic is still affecting the business process and economy. Lots of precautions making the business processes time consuming and costly. The assignment is going to discuss about the factors affecting the global economy and the changing features of the international business.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Understanding the changes in global business environment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Covid19 pandemic has disrupted the world economics and pushed the whole world towards a deep recession. The shopping trends and market behaviour is changing. Technology is taking the major role in a business process.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changing business trends are creating some major forces which are leading a prominent role in global business environment.</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Uneven economic recovery: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Global economy is recovering on a regular basis. The recovery rate of economy is not same for all the countries around the globe. The difference in vaccination programs speed, infection control efforts and number of new infection rate is affecting the rate of economic growth (</w:t>
      </w:r>
      <w:r>
        <w:rPr>
          <w:rFonts w:ascii="Times New Roman" w:hAnsi="Times New Roman" w:cs="Times New Roman" w:eastAsia="Times New Roman"/>
          <w:color w:val="auto"/>
          <w:spacing w:val="0"/>
          <w:position w:val="0"/>
          <w:sz w:val="24"/>
          <w:shd w:fill="FFFFFF" w:val="clear"/>
        </w:rPr>
        <w:t xml:space="preserve">Loayza et al, 2020</w:t>
      </w: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Increasing debts:</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public debts are increasing in all countries around the world. The growing and developing markets are facing a formidable challenge due to the huge financial requirements (</w:t>
      </w:r>
      <w:r>
        <w:rPr>
          <w:rFonts w:ascii="Times New Roman" w:hAnsi="Times New Roman" w:cs="Times New Roman" w:eastAsia="Times New Roman"/>
          <w:color w:val="auto"/>
          <w:spacing w:val="0"/>
          <w:position w:val="0"/>
          <w:sz w:val="24"/>
          <w:shd w:fill="FFFFFF" w:val="clear"/>
        </w:rPr>
        <w:t xml:space="preserve">Abuselidze, 2021</w:t>
      </w:r>
      <w:r>
        <w:rPr>
          <w:rFonts w:ascii="Times New Roman" w:hAnsi="Times New Roman" w:cs="Times New Roman" w:eastAsia="Times New Roman"/>
          <w:color w:val="auto"/>
          <w:spacing w:val="0"/>
          <w:position w:val="0"/>
          <w:sz w:val="24"/>
          <w:shd w:fill="auto" w:val="clear"/>
        </w:rPr>
        <w:t xml:space="preserve">). The sharp increase in debt is compelling the governments to lower the spending. From this scenario the countries like India, Brazil and South Africa will sense the negative effect after pandemic. </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object w:dxaOrig="7531" w:dyaOrig="3297">
          <v:rect xmlns:o="urn:schemas-microsoft-com:office:office" xmlns:v="urn:schemas-microsoft-com:vml" id="rectole0000000001" style="width:376.550000pt;height:164.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(Abuselidze, 2021)</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Globalisation: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Pandemic has provided a vulnerable challenge to the global trading. The critical supplies like medical supplies structure improved but the global exports took a massive drop (</w:t>
      </w:r>
      <w:r>
        <w:rPr>
          <w:rFonts w:ascii="Times New Roman" w:hAnsi="Times New Roman" w:cs="Times New Roman" w:eastAsia="Times New Roman"/>
          <w:color w:val="auto"/>
          <w:spacing w:val="0"/>
          <w:position w:val="0"/>
          <w:sz w:val="24"/>
          <w:shd w:fill="FFFFFF" w:val="clear"/>
        </w:rPr>
        <w:t xml:space="preserve">Su</w:t>
      </w:r>
      <w:r>
        <w:rPr>
          <w:rFonts w:ascii="Times New Roman" w:hAnsi="Times New Roman" w:cs="Times New Roman" w:eastAsia="Times New Roman"/>
          <w:color w:val="auto"/>
          <w:spacing w:val="0"/>
          <w:position w:val="0"/>
          <w:sz w:val="24"/>
          <w:shd w:fill="FFFFFF" w:val="clear"/>
        </w:rPr>
        <w:t xml:space="preserve">łkowski, 2020</w:t>
      </w:r>
      <w:r>
        <w:rPr>
          <w:rFonts w:ascii="Times New Roman" w:hAnsi="Times New Roman" w:cs="Times New Roman" w:eastAsia="Times New Roman"/>
          <w:color w:val="auto"/>
          <w:spacing w:val="0"/>
          <w:position w:val="0"/>
          <w:sz w:val="24"/>
          <w:shd w:fill="auto" w:val="clear"/>
        </w:rPr>
        <w:t xml:space="preserve">). The logistics and supply chain were hugely disturbed by the strict lockdowns. The transformation of globalisation after the pandemic will decide the fate of global retailing, manufacturing and customer landscape. </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object w:dxaOrig="7272" w:dyaOrig="3182">
          <v:rect xmlns:o="urn:schemas-microsoft-com:office:office" xmlns:v="urn:schemas-microsoft-com:vml" id="rectole0000000002" style="width:363.600000pt;height:159.1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Su</w:t>
      </w:r>
      <w:r>
        <w:rPr>
          <w:rFonts w:ascii="Times New Roman" w:hAnsi="Times New Roman" w:cs="Times New Roman" w:eastAsia="Times New Roman"/>
          <w:color w:val="auto"/>
          <w:spacing w:val="0"/>
          <w:position w:val="0"/>
          <w:sz w:val="24"/>
          <w:shd w:fill="FFFFFF" w:val="clear"/>
        </w:rPr>
        <w:t xml:space="preserve">łkowski, 2020</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Increased value-added activities: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developing economy is continuously shifting towards value added activities. The consumers spending habit preferring the service industries like hospitality, education, retailing and finance. The technological progress of e-commerce platform is helping the service industry to stay profitable by reducing the cost.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Changing boundaries of the new market: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of increasing financial need the developing economies will present valuable contribution in global GDP increment. Till the year 2040 the 75% contribution will be generated from the developing markets (</w:t>
      </w:r>
      <w:r>
        <w:rPr>
          <w:rFonts w:ascii="Times New Roman" w:hAnsi="Times New Roman" w:cs="Times New Roman" w:eastAsia="Times New Roman"/>
          <w:color w:val="auto"/>
          <w:spacing w:val="0"/>
          <w:position w:val="0"/>
          <w:sz w:val="24"/>
          <w:shd w:fill="FFFFFF" w:val="clear"/>
        </w:rPr>
        <w:t xml:space="preserve">Eichengreen, 2021</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object w:dxaOrig="8308" w:dyaOrig="3312">
          <v:rect xmlns:o="urn:schemas-microsoft-com:office:office" xmlns:v="urn:schemas-microsoft-com:vml" id="rectole0000000003" style="width:415.400000pt;height:165.6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Eichengreen,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Asia Pacific region is showing the best potential Purchasing Power Parity (PPP) in this upcoming time as the middle-class consumers are raising in this region (</w:t>
      </w:r>
      <w:r>
        <w:rPr>
          <w:rFonts w:ascii="Times New Roman" w:hAnsi="Times New Roman" w:cs="Times New Roman" w:eastAsia="Times New Roman"/>
          <w:color w:val="auto"/>
          <w:spacing w:val="0"/>
          <w:position w:val="0"/>
          <w:sz w:val="24"/>
          <w:shd w:fill="FFFFFF" w:val="clear"/>
        </w:rPr>
        <w:t xml:space="preserve">Eichengreen, 2021</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Global environmental analysis: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PESTEL analysis:</w:t>
      </w:r>
      <w:r>
        <w:rPr>
          <w:rFonts w:ascii="Times New Roman" w:hAnsi="Times New Roman" w:cs="Times New Roman" w:eastAsia="Times New Roman"/>
          <w:color w:val="auto"/>
          <w:spacing w:val="0"/>
          <w:position w:val="0"/>
          <w:sz w:val="24"/>
          <w:shd w:fill="auto" w:val="clear"/>
        </w:rPr>
        <w:t xml:space="preserve"> The PESTEL analysis provides an insight of the macro-environmental factors related to the market. The analysis is discussed below:</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Factors:</w:t>
      </w:r>
    </w:p>
    <w:p>
      <w:pPr>
        <w:numPr>
          <w:ilvl w:val="0"/>
          <w:numId w:val="22"/>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Diplomatic frictions among the major economies are affecting the foreign trades.</w:t>
      </w:r>
    </w:p>
    <w:p>
      <w:pPr>
        <w:numPr>
          <w:ilvl w:val="0"/>
          <w:numId w:val="22"/>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trade agreements such as NAFTA, ASEAN and EU are offering favourable trading terms among the members but not so favourable for the non-members (</w:t>
      </w:r>
      <w:r>
        <w:rPr>
          <w:rFonts w:ascii="Times New Roman" w:hAnsi="Times New Roman" w:cs="Times New Roman" w:eastAsia="Times New Roman"/>
          <w:color w:val="000000"/>
          <w:spacing w:val="0"/>
          <w:position w:val="0"/>
          <w:sz w:val="24"/>
          <w:u w:val="single"/>
          <w:shd w:fill="FFFFFF" w:val="clear"/>
        </w:rPr>
        <w:t xml:space="preserve">Minghui, 2021</w:t>
      </w:r>
      <w:r>
        <w:rPr>
          <w:rFonts w:ascii="Times New Roman" w:hAnsi="Times New Roman" w:cs="Times New Roman" w:eastAsia="Times New Roman"/>
          <w:color w:val="000000"/>
          <w:spacing w:val="0"/>
          <w:position w:val="0"/>
          <w:sz w:val="24"/>
          <w:u w:val="single"/>
          <w:shd w:fill="auto" w:val="clear"/>
        </w:rPr>
        <w:t xml:space="preserve">). </w:t>
      </w:r>
    </w:p>
    <w:p>
      <w:pPr>
        <w:numPr>
          <w:ilvl w:val="0"/>
          <w:numId w:val="22"/>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Political involvement and corruption are playing a major role in the global business.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Factors:</w:t>
      </w:r>
    </w:p>
    <w:p>
      <w:pPr>
        <w:numPr>
          <w:ilvl w:val="0"/>
          <w:numId w:val="2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Covid19 pandemics and strict lockdowns created a great economic disturbance.</w:t>
      </w:r>
    </w:p>
    <w:p>
      <w:pPr>
        <w:numPr>
          <w:ilvl w:val="0"/>
          <w:numId w:val="2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buying power of the customers has decreased. </w:t>
      </w:r>
    </w:p>
    <w:p>
      <w:pPr>
        <w:numPr>
          <w:ilvl w:val="0"/>
          <w:numId w:val="25"/>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A sharp increase in the number of personal debts can be noticed.</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Factor:</w:t>
      </w:r>
    </w:p>
    <w:p>
      <w:pPr>
        <w:numPr>
          <w:ilvl w:val="0"/>
          <w:numId w:val="28"/>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rising potential of the middle class buyers changing the marketing style.</w:t>
      </w:r>
    </w:p>
    <w:p>
      <w:pPr>
        <w:numPr>
          <w:ilvl w:val="0"/>
          <w:numId w:val="28"/>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Pandemic situation has decreased the productivity and increased a shortage of talent (</w:t>
      </w:r>
      <w:r>
        <w:rPr>
          <w:rFonts w:ascii="Times New Roman" w:hAnsi="Times New Roman" w:cs="Times New Roman" w:eastAsia="Times New Roman"/>
          <w:color w:val="000000"/>
          <w:spacing w:val="0"/>
          <w:position w:val="0"/>
          <w:sz w:val="24"/>
          <w:u w:val="single"/>
          <w:shd w:fill="FFFFFF" w:val="clear"/>
        </w:rPr>
        <w:t xml:space="preserve">Eichengreen, 2021)</w:t>
      </w:r>
      <w:r>
        <w:rPr>
          <w:rFonts w:ascii="Times New Roman" w:hAnsi="Times New Roman" w:cs="Times New Roman" w:eastAsia="Times New Roman"/>
          <w:color w:val="000000"/>
          <w:spacing w:val="0"/>
          <w:position w:val="0"/>
          <w:sz w:val="24"/>
          <w:u w:val="single"/>
          <w:shd w:fill="auto" w:val="clear"/>
        </w:rPr>
        <w:t xml:space="preserve">.</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Factor:</w:t>
      </w:r>
    </w:p>
    <w:p>
      <w:pPr>
        <w:numPr>
          <w:ilvl w:val="0"/>
          <w:numId w:val="31"/>
        </w:numPr>
        <w:spacing w:before="0" w:after="0" w:line="48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Shopping is becoming more technology oriented rather than physical stores.</w:t>
      </w:r>
    </w:p>
    <w:p>
      <w:pPr>
        <w:numPr>
          <w:ilvl w:val="0"/>
          <w:numId w:val="31"/>
        </w:numPr>
        <w:spacing w:before="0" w:after="0" w:line="48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Raising e-commerce technology and secure online money transferring systems are becoming beneficial for the MNC’s (</w:t>
      </w:r>
      <w:r>
        <w:rPr>
          <w:rFonts w:ascii="Times New Roman" w:hAnsi="Times New Roman" w:cs="Times New Roman" w:eastAsia="Times New Roman"/>
          <w:color w:val="000000"/>
          <w:spacing w:val="0"/>
          <w:position w:val="0"/>
          <w:sz w:val="24"/>
          <w:u w:val="single"/>
          <w:shd w:fill="FFFFFF" w:val="clear"/>
        </w:rPr>
        <w:t xml:space="preserve">Torres de Oliveira et al, 2020</w:t>
      </w:r>
      <w:r>
        <w:rPr>
          <w:rFonts w:ascii="Times New Roman" w:hAnsi="Times New Roman" w:cs="Times New Roman" w:eastAsia="Times New Roman"/>
          <w:color w:val="000000"/>
          <w:spacing w:val="0"/>
          <w:position w:val="0"/>
          <w:sz w:val="24"/>
          <w:u w:val="single"/>
          <w:shd w:fill="auto" w:val="clear"/>
        </w:rPr>
        <w:t xml:space="preserve">).</w:t>
      </w:r>
    </w:p>
    <w:p>
      <w:pPr>
        <w:numPr>
          <w:ilvl w:val="0"/>
          <w:numId w:val="31"/>
        </w:numPr>
        <w:spacing w:before="0" w:after="160" w:line="48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Global traders are adapting advance AI and machine learning technologies to provide a better customer friendly and cost-effective services.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Factors:</w:t>
      </w:r>
    </w:p>
    <w:p>
      <w:pPr>
        <w:numPr>
          <w:ilvl w:val="0"/>
          <w:numId w:val="34"/>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instability of global climate is affecting the retail business and service sectors. It is affecting a negative impact on the seasonal services and products consumptions.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Factors:</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changing taxation policies of the countries around the globe are providing challenges for the global trading. </w:t>
      </w:r>
    </w:p>
    <w:p>
      <w:pPr>
        <w:numPr>
          <w:ilvl w:val="0"/>
          <w:numId w:val="36"/>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MNC’s are facing legal problems due to the differences in local labour laws, minimum wages and employee safety acts.</w:t>
      </w:r>
    </w:p>
    <w:p>
      <w:pPr>
        <w:spacing w:before="0" w:after="16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Porter’s Diamond: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Porter’s Diamond theory can be used to analyse the competitive advantage of nations. The four elements of Porter’s Diamond are discussed below:</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Firm strategy: </w:t>
      </w:r>
    </w:p>
    <w:p>
      <w:pPr>
        <w:numPr>
          <w:ilvl w:val="0"/>
          <w:numId w:val="39"/>
        </w:numPr>
        <w:spacing w:before="0" w:after="0" w:line="480"/>
        <w:ind w:right="0" w:left="720" w:hanging="36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Technological innovation is presenting new opportunities to the global market to improve services and make them more customers specific and cost effective.</w:t>
      </w:r>
    </w:p>
    <w:p>
      <w:pPr>
        <w:numPr>
          <w:ilvl w:val="0"/>
          <w:numId w:val="39"/>
        </w:numPr>
        <w:spacing w:before="0" w:after="160" w:line="480"/>
        <w:ind w:right="0" w:left="720" w:hanging="36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A market assessment is necessary to understand the changed market demands.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Conditional factors:</w:t>
      </w:r>
    </w:p>
    <w:p>
      <w:pPr>
        <w:numPr>
          <w:ilvl w:val="0"/>
          <w:numId w:val="42"/>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Technological advancement will help the global business to solve customer’s problems with innovation and creativity.</w:t>
      </w:r>
    </w:p>
    <w:p>
      <w:pPr>
        <w:numPr>
          <w:ilvl w:val="0"/>
          <w:numId w:val="42"/>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Customer specific digital marketing strategies will provide a definite upper hand to the industry (</w:t>
      </w:r>
      <w:r>
        <w:rPr>
          <w:rFonts w:ascii="Times New Roman" w:hAnsi="Times New Roman" w:cs="Times New Roman" w:eastAsia="Times New Roman"/>
          <w:color w:val="000000"/>
          <w:spacing w:val="0"/>
          <w:position w:val="0"/>
          <w:sz w:val="24"/>
          <w:u w:val="single"/>
          <w:shd w:fill="FFFFFF" w:val="clear"/>
        </w:rPr>
        <w:t xml:space="preserve">Olson et al, 2021</w:t>
      </w:r>
      <w:r>
        <w:rPr>
          <w:rFonts w:ascii="Times New Roman" w:hAnsi="Times New Roman" w:cs="Times New Roman" w:eastAsia="Times New Roman"/>
          <w:color w:val="000000"/>
          <w:spacing w:val="0"/>
          <w:position w:val="0"/>
          <w:sz w:val="24"/>
          <w:u w:val="single"/>
          <w:shd w:fill="auto" w:val="clear"/>
        </w:rPr>
        <w:t xml:space="preserve">).</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Support to the industry:</w:t>
      </w:r>
    </w:p>
    <w:p>
      <w:pPr>
        <w:numPr>
          <w:ilvl w:val="0"/>
          <w:numId w:val="45"/>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e-commerce platform and digital money transferring systems are offering greater support the businesses.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Demand factors:</w:t>
      </w:r>
    </w:p>
    <w:p>
      <w:pPr>
        <w:numPr>
          <w:ilvl w:val="0"/>
          <w:numId w:val="47"/>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raising potential of the </w:t>
      </w:r>
      <w:r>
        <w:rPr>
          <w:rFonts w:ascii="Times New Roman" w:hAnsi="Times New Roman" w:cs="Times New Roman" w:eastAsia="Times New Roman"/>
          <w:color w:val="auto"/>
          <w:spacing w:val="0"/>
          <w:position w:val="0"/>
          <w:sz w:val="24"/>
          <w:shd w:fill="auto" w:val="clear"/>
        </w:rPr>
        <w:t xml:space="preserve">middle class</w:t>
      </w:r>
      <w:r>
        <w:rPr>
          <w:rFonts w:ascii="Times New Roman" w:hAnsi="Times New Roman" w:cs="Times New Roman" w:eastAsia="Times New Roman"/>
          <w:color w:val="000000"/>
          <w:spacing w:val="0"/>
          <w:position w:val="0"/>
          <w:sz w:val="24"/>
          <w:u w:val="single"/>
          <w:shd w:fill="auto" w:val="clear"/>
        </w:rPr>
        <w:t xml:space="preserve"> buyers are demanding the focus over volume business as China is doing.</w:t>
      </w:r>
    </w:p>
    <w:p>
      <w:pPr>
        <w:numPr>
          <w:ilvl w:val="0"/>
          <w:numId w:val="47"/>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demand of investment in technological improvement is increasing.</w:t>
      </w:r>
    </w:p>
    <w:p>
      <w:pPr>
        <w:spacing w:before="0" w:after="16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Value Network analysis: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Value network analysis provides an evaluation of the factors adding value or benefits to the network. Value network analysis can be done for the internal factors or external factors.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Internal factors:</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employees are the most essential internal assets of a business organisation. The strategy a company takes to attain its employee needs regulates the employee wellbeing and productivity. A better employee retention rate attracts better talents, increase reliability and sense of responsibility (</w:t>
      </w:r>
      <w:r>
        <w:rPr>
          <w:rFonts w:ascii="Times New Roman" w:hAnsi="Times New Roman" w:cs="Times New Roman" w:eastAsia="Times New Roman"/>
          <w:color w:val="auto"/>
          <w:spacing w:val="0"/>
          <w:position w:val="0"/>
          <w:sz w:val="24"/>
          <w:shd w:fill="FFFFFF" w:val="clear"/>
        </w:rPr>
        <w:t xml:space="preserve">Shanock et al, 2019</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focus on CSR activities helps a company to improve their brand image among the population. Some customers always prefer to buy from a company which is socially and environmentally responsible.</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External factors: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innovative strategies and creative thinking are added advantage of global business. The customers prefer a creative solution of their problems. Innovative business process is necessary for the business development and reduces expanses simultaneously. A careful market assessment is a crucial internal factor to improve business problems.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better choice of suppliers helps a company to attain a better profit margin. The global traders should consider all the potential option before choosing one.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transparent relation with the stakeholders like investors, partners and shareholders is necessary for business development as both the parties have similar intentions (</w:t>
      </w:r>
      <w:r>
        <w:rPr>
          <w:rFonts w:ascii="Times New Roman" w:hAnsi="Times New Roman" w:cs="Times New Roman" w:eastAsia="Times New Roman"/>
          <w:color w:val="auto"/>
          <w:spacing w:val="0"/>
          <w:position w:val="0"/>
          <w:sz w:val="24"/>
          <w:shd w:fill="FFFFFF" w:val="clear"/>
        </w:rPr>
        <w:t xml:space="preserve">Shanock et al, 2019</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Porter’s five forces: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Porter’s five forces consider the broad external factors and determine the competitive benefits of the business.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Industrial competitions: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Competitive environment reduces the profit margin. The global traders should invest in the less crowded sectors to attain growth.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New entrants: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new entrants in the market increase the competition. They can easily provide best value to the customers and transfer the controlling power to the customers.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Supplier’s power:</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global trader should consider all the options before choosing a supplier. More supplier options provide company a stable supply chain and the power of negotiation (</w:t>
      </w:r>
      <w:r>
        <w:rPr>
          <w:rFonts w:ascii="Times New Roman" w:hAnsi="Times New Roman" w:cs="Times New Roman" w:eastAsia="Times New Roman"/>
          <w:color w:val="auto"/>
          <w:spacing w:val="0"/>
          <w:position w:val="0"/>
          <w:sz w:val="24"/>
          <w:shd w:fill="FFFFFF" w:val="clear"/>
        </w:rPr>
        <w:t xml:space="preserve">Shanock et al, 2019</w:t>
      </w:r>
      <w:r>
        <w:rPr>
          <w:rFonts w:ascii="Times New Roman" w:hAnsi="Times New Roman" w:cs="Times New Roman" w:eastAsia="Times New Roman"/>
          <w:color w:val="auto"/>
          <w:spacing w:val="0"/>
          <w:position w:val="0"/>
          <w:sz w:val="24"/>
          <w:shd w:fill="auto" w:val="clear"/>
        </w:rPr>
        <w:t xml:space="preserve">).</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Customer’s power:</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Customers buying potential indicates a healthy environment for the business. The negotiation power of the customers decreases the profit margin. A larger customer base extends the negotiation power of accompany.</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substitute: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presence of substitute products or services in market generates threat for the future of a company. A company can impose more favourable terms and better prices when there are less or no substitutes available. </w:t>
      </w: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Reasons for international trading:</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Less dependency on local market: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International trading helps a company to reduce the pressure of local economic situation and competition.  At the same time a company can improve their customer base and brand value by the international trading.</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Improved success chance: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careful investigation of foreign market and providing necessary products or services which would be appealing for the local customer of that territory, improves the chances of success for a company. As per UK Trade and Investment (UKTI) a company has 12% better chance of survival fi they invest in international trading (</w:t>
      </w:r>
      <w:r>
        <w:rPr>
          <w:rFonts w:ascii="Times New Roman" w:hAnsi="Times New Roman" w:cs="Times New Roman" w:eastAsia="Times New Roman"/>
          <w:color w:val="auto"/>
          <w:spacing w:val="0"/>
          <w:position w:val="0"/>
          <w:sz w:val="24"/>
          <w:shd w:fill="FFFFFF" w:val="clear"/>
        </w:rPr>
        <w:t xml:space="preserve">Royles, 2017</w:t>
      </w:r>
      <w:r>
        <w:rPr>
          <w:rFonts w:ascii="Times New Roman" w:hAnsi="Times New Roman" w:cs="Times New Roman" w:eastAsia="Times New Roman"/>
          <w:color w:val="auto"/>
          <w:spacing w:val="0"/>
          <w:position w:val="0"/>
          <w:sz w:val="24"/>
          <w:shd w:fill="auto" w:val="clear"/>
        </w:rPr>
        <w:t xml:space="preserve">).</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Improves productivity and efficiency: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International trading develops the efficiency of a company by improving the infrastructure. International trading requires a specific qualities and appeal to get acceptance in the foreign market. A company need to improve their efficiency to reach those acceptance criteria.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improvement: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company can reach unlimited number of customers with the help of foreign trading. This situation improves the company’s power of negotiation and imposes more favourable terms or prices.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Innovation: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 company involved in international trading requires innovative and creative approaches to satisfy a wide range of customers. The product or service the company is providing should be appealing, satisfactory and equally affordable (</w:t>
      </w:r>
      <w:r>
        <w:rPr>
          <w:rFonts w:ascii="Times New Roman" w:hAnsi="Times New Roman" w:cs="Times New Roman" w:eastAsia="Times New Roman"/>
          <w:color w:val="auto"/>
          <w:spacing w:val="0"/>
          <w:position w:val="0"/>
          <w:sz w:val="24"/>
          <w:shd w:fill="FFFFFF" w:val="clear"/>
        </w:rPr>
        <w:t xml:space="preserve">Buchinskaia et al, 2019</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Growth:</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International trading opens the opportunity to satisfy a large number of customer bases. A better product or service which satisfies the customers leads a company towards better future growth. </w:t>
      </w: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Understanding the current international economy:</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Emerging market trends:</w:t>
      </w:r>
    </w:p>
    <w:p>
      <w:pPr>
        <w:numPr>
          <w:ilvl w:val="0"/>
          <w:numId w:val="66"/>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digital payment services are reshaping the new market trends and helping the e-commerce platform to increase the market frontiers. The digital wallet and online payment systems are boosting the international business (</w:t>
      </w:r>
      <w:r>
        <w:rPr>
          <w:rFonts w:ascii="Times New Roman" w:hAnsi="Times New Roman" w:cs="Times New Roman" w:eastAsia="Times New Roman"/>
          <w:color w:val="000000"/>
          <w:spacing w:val="0"/>
          <w:position w:val="0"/>
          <w:sz w:val="24"/>
          <w:u w:val="single"/>
          <w:shd w:fill="FFFFFF" w:val="clear"/>
        </w:rPr>
        <w:t xml:space="preserve">Adrian et al, 2019</w:t>
      </w:r>
      <w:r>
        <w:rPr>
          <w:rFonts w:ascii="Times New Roman" w:hAnsi="Times New Roman" w:cs="Times New Roman" w:eastAsia="Times New Roman"/>
          <w:color w:val="000000"/>
          <w:spacing w:val="0"/>
          <w:position w:val="0"/>
          <w:sz w:val="24"/>
          <w:u w:val="single"/>
          <w:shd w:fill="auto" w:val="clear"/>
        </w:rPr>
        <w:t xml:space="preserve">).</w:t>
      </w:r>
    </w:p>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object w:dxaOrig="8654" w:dyaOrig="3614">
          <v:rect xmlns:o="urn:schemas-microsoft-com:office:office" xmlns:v="urn:schemas-microsoft-com:vml" id="rectole0000000004" style="width:432.700000pt;height:180.7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Adrian et al, 2019</w:t>
      </w:r>
      <w:r>
        <w:rPr>
          <w:rFonts w:ascii="Times New Roman" w:hAnsi="Times New Roman" w:cs="Times New Roman" w:eastAsia="Times New Roman"/>
          <w:color w:val="auto"/>
          <w:spacing w:val="0"/>
          <w:position w:val="0"/>
          <w:sz w:val="24"/>
          <w:shd w:fill="auto" w:val="clear"/>
        </w:rPr>
        <w:t xml:space="preserve">)</w:t>
      </w:r>
    </w:p>
    <w:p>
      <w:pPr>
        <w:numPr>
          <w:ilvl w:val="0"/>
          <w:numId w:val="69"/>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development of mobile technology induced a sharp rise in internet use. The e-commerce is largely depending on this platform. </w:t>
      </w:r>
    </w:p>
    <w:p>
      <w:pPr>
        <w:numPr>
          <w:ilvl w:val="0"/>
          <w:numId w:val="69"/>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pharmaceutical market and the markets related to medical equipment have experienced a huge growth.</w:t>
      </w:r>
    </w:p>
    <w:p>
      <w:pPr>
        <w:numPr>
          <w:ilvl w:val="0"/>
          <w:numId w:val="69"/>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A rapid raise of the financial services such as financial exchanges, insurances can be notice in these days (</w:t>
      </w:r>
      <w:r>
        <w:rPr>
          <w:rFonts w:ascii="Times New Roman" w:hAnsi="Times New Roman" w:cs="Times New Roman" w:eastAsia="Times New Roman"/>
          <w:color w:val="000000"/>
          <w:spacing w:val="0"/>
          <w:position w:val="0"/>
          <w:sz w:val="24"/>
          <w:u w:val="single"/>
          <w:shd w:fill="FFFFFF" w:val="clear"/>
        </w:rPr>
        <w:t xml:space="preserve">Agur et al, 2020</w:t>
      </w:r>
      <w:r>
        <w:rPr>
          <w:rFonts w:ascii="Times New Roman" w:hAnsi="Times New Roman" w:cs="Times New Roman" w:eastAsia="Times New Roman"/>
          <w:color w:val="000000"/>
          <w:spacing w:val="0"/>
          <w:position w:val="0"/>
          <w:sz w:val="24"/>
          <w:u w:val="single"/>
          <w:shd w:fill="auto" w:val="clear"/>
        </w:rPr>
        <w:t xml:space="preserve">).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Micro-environmental factors:</w:t>
      </w:r>
    </w:p>
    <w:p>
      <w:pPr>
        <w:numPr>
          <w:ilvl w:val="0"/>
          <w:numId w:val="72"/>
        </w:numPr>
        <w:spacing w:before="0" w:after="0" w:line="480"/>
        <w:ind w:right="0" w:left="720" w:hanging="36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Customers are the most important micro-environmental factor. The economic shock aroused due to Covid19 pandemic decreased the buying power of the potential customers. This situation posing a threat to the emerging markets. </w:t>
      </w:r>
    </w:p>
    <w:p>
      <w:pPr>
        <w:numPr>
          <w:ilvl w:val="0"/>
          <w:numId w:val="72"/>
        </w:numPr>
        <w:spacing w:before="0" w:after="0" w:line="480"/>
        <w:ind w:right="0" w:left="720" w:hanging="36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Skilled workers are works as assets of a company. A skilled worker improves the efficiency and workforce of a company. </w:t>
      </w:r>
    </w:p>
    <w:p>
      <w:pPr>
        <w:numPr>
          <w:ilvl w:val="0"/>
          <w:numId w:val="72"/>
        </w:numPr>
        <w:spacing w:before="0" w:after="0" w:line="480"/>
        <w:ind w:right="0" w:left="720" w:hanging="36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A better supplier base provides a company a better position in terms of negotiation power and supply assurance. An efficient supply network provides a better inventory structure. </w:t>
      </w:r>
    </w:p>
    <w:p>
      <w:pPr>
        <w:numPr>
          <w:ilvl w:val="0"/>
          <w:numId w:val="72"/>
        </w:numPr>
        <w:spacing w:before="0" w:after="160" w:line="480"/>
        <w:ind w:right="0" w:left="720" w:hanging="36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Market competition decreases the profit margin of a company. A company should improvise a better marketing strategy to stay ahead in the market competition (</w:t>
      </w:r>
      <w:r>
        <w:rPr>
          <w:rFonts w:ascii="Times New Roman" w:hAnsi="Times New Roman" w:cs="Times New Roman" w:eastAsia="Times New Roman"/>
          <w:color w:val="000000"/>
          <w:spacing w:val="0"/>
          <w:position w:val="0"/>
          <w:sz w:val="24"/>
          <w:u w:val="single"/>
          <w:shd w:fill="FFFFFF" w:val="clear"/>
        </w:rPr>
        <w:t xml:space="preserve">Shanock et al, 2019</w:t>
      </w:r>
      <w:r>
        <w:rPr>
          <w:rFonts w:ascii="Times New Roman" w:hAnsi="Times New Roman" w:cs="Times New Roman" w:eastAsia="Times New Roman"/>
          <w:color w:val="000000"/>
          <w:spacing w:val="0"/>
          <w:position w:val="0"/>
          <w:sz w:val="24"/>
          <w:u w:val="single"/>
          <w:shd w:fill="auto" w:val="clear"/>
        </w:rPr>
        <w:t xml:space="preserve">).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Macro-environmental factors:</w:t>
      </w:r>
    </w:p>
    <w:p>
      <w:pPr>
        <w:numPr>
          <w:ilvl w:val="0"/>
          <w:numId w:val="7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Better interest rate signifies better return on investment. Higher interest rates indicate the strength of the economy. </w:t>
      </w:r>
    </w:p>
    <w:p>
      <w:pPr>
        <w:numPr>
          <w:ilvl w:val="0"/>
          <w:numId w:val="7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Rapid growth in inflation rate indicates an unhealthy economic environment. Higher inflation decreases the profit margin as the return on investment decreases (</w:t>
      </w:r>
      <w:r>
        <w:rPr>
          <w:rFonts w:ascii="Times New Roman" w:hAnsi="Times New Roman" w:cs="Times New Roman" w:eastAsia="Times New Roman"/>
          <w:color w:val="000000"/>
          <w:spacing w:val="0"/>
          <w:position w:val="0"/>
          <w:sz w:val="24"/>
          <w:u w:val="single"/>
          <w:shd w:fill="FFFFFF" w:val="clear"/>
        </w:rPr>
        <w:t xml:space="preserve">Meyer et al, 2021</w:t>
      </w:r>
      <w:r>
        <w:rPr>
          <w:rFonts w:ascii="Times New Roman" w:hAnsi="Times New Roman" w:cs="Times New Roman" w:eastAsia="Times New Roman"/>
          <w:color w:val="000000"/>
          <w:spacing w:val="0"/>
          <w:position w:val="0"/>
          <w:sz w:val="24"/>
          <w:u w:val="single"/>
          <w:shd w:fill="auto" w:val="clear"/>
        </w:rPr>
        <w:t xml:space="preserve">).</w:t>
      </w:r>
    </w:p>
    <w:p>
      <w:pPr>
        <w:numPr>
          <w:ilvl w:val="0"/>
          <w:numId w:val="7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fiscal policy taken by the large banks and government agencies determines the flow of currency. The fiscal policies help a company to estimate the profit margin. </w:t>
      </w:r>
    </w:p>
    <w:p>
      <w:pPr>
        <w:numPr>
          <w:ilvl w:val="0"/>
          <w:numId w:val="7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better growth in GDP increases the buying power of the consumers and provides better investment opportunities.</w:t>
      </w:r>
    </w:p>
    <w:p>
      <w:pPr>
        <w:numPr>
          <w:ilvl w:val="0"/>
          <w:numId w:val="75"/>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Favourable trading policies provide better business opportunities for the international traders.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Short-term changes: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recovery of the economy is not happening equally across the globe. The speed of vaccination and health infrastructures are regulating the economic recovery process. A quarterly reporting of finance will be more appropriate to track the financial progress in this current situation (</w:t>
      </w:r>
      <w:r>
        <w:rPr>
          <w:rFonts w:ascii="Times New Roman" w:hAnsi="Times New Roman" w:cs="Times New Roman" w:eastAsia="Times New Roman"/>
          <w:color w:val="auto"/>
          <w:spacing w:val="0"/>
          <w:position w:val="0"/>
          <w:sz w:val="24"/>
          <w:shd w:fill="FFFFFF" w:val="clear"/>
        </w:rPr>
        <w:t xml:space="preserve">Meyer et al, 2021</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inflation rate and interest rate is considerable information before allocating resources and funds in foreign markets. The fiscal policy of local government is also needed to be considered before investing in foreign locations.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buying power of potential consumers had decreased due to the economic disturbance and unemployment. As the economy is recovering the buying power will also return back.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Long-term changes: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technological preference was increasing since a long time but the lockdown restrictions and fear of contamination provided e-commerce the leading role in business. This preference will put a long-term effect on the digital transformations of the business processes. The e-commerce platform and digital money transfer system will shape the future of the organisations (</w:t>
      </w:r>
      <w:r>
        <w:rPr>
          <w:rFonts w:ascii="Times New Roman" w:hAnsi="Times New Roman" w:cs="Times New Roman" w:eastAsia="Times New Roman"/>
          <w:color w:val="auto"/>
          <w:spacing w:val="0"/>
          <w:position w:val="0"/>
          <w:sz w:val="24"/>
          <w:shd w:fill="FFFFFF" w:val="clear"/>
        </w:rPr>
        <w:t xml:space="preserve">Meyer et al, 2021</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traditional structure of business will change. Companies will take computed risks, follow the predictions and the use of most recent digital innovations will be increased. The manufacturing and service industries both will be digitally reformed.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supply chain process will be reconfigured. Policies will be evaluated to make the supply network more sustainable.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object w:dxaOrig="8654" w:dyaOrig="3902">
          <v:rect xmlns:o="urn:schemas-microsoft-com:office:office" xmlns:v="urn:schemas-microsoft-com:vml" id="rectole0000000005" style="width:432.700000pt;height:195.1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long-term environmental changes</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Meyer et al,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Features of the current international economy:</w:t>
      </w:r>
    </w:p>
    <w:p>
      <w:pPr>
        <w:numPr>
          <w:ilvl w:val="0"/>
          <w:numId w:val="81"/>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market is more technology driven.</w:t>
      </w:r>
    </w:p>
    <w:p>
      <w:pPr>
        <w:numPr>
          <w:ilvl w:val="0"/>
          <w:numId w:val="81"/>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More customer centric marketing style and customer friendly services.</w:t>
      </w:r>
    </w:p>
    <w:p>
      <w:pPr>
        <w:numPr>
          <w:ilvl w:val="0"/>
          <w:numId w:val="81"/>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The business processes are structuring with more automotive technologies and less human involvement</w:t>
      </w:r>
    </w:p>
    <w:p>
      <w:pPr>
        <w:numPr>
          <w:ilvl w:val="0"/>
          <w:numId w:val="81"/>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Health and safety measures are mandatory requirements for every business process.</w:t>
      </w:r>
    </w:p>
    <w:p>
      <w:pPr>
        <w:numPr>
          <w:ilvl w:val="0"/>
          <w:numId w:val="81"/>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Developed supply chain management (</w:t>
      </w:r>
      <w:r>
        <w:rPr>
          <w:rFonts w:ascii="Times New Roman" w:hAnsi="Times New Roman" w:cs="Times New Roman" w:eastAsia="Times New Roman"/>
          <w:color w:val="000000"/>
          <w:spacing w:val="0"/>
          <w:position w:val="0"/>
          <w:sz w:val="24"/>
          <w:u w:val="single"/>
          <w:shd w:fill="FFFFFF" w:val="clear"/>
        </w:rPr>
        <w:t xml:space="preserve">Meyer et al, 2021</w:t>
      </w:r>
      <w:r>
        <w:rPr>
          <w:rFonts w:ascii="Times New Roman" w:hAnsi="Times New Roman" w:cs="Times New Roman" w:eastAsia="Times New Roman"/>
          <w:color w:val="000000"/>
          <w:spacing w:val="0"/>
          <w:position w:val="0"/>
          <w:sz w:val="24"/>
          <w:u w:val="single"/>
          <w:shd w:fill="auto" w:val="clear"/>
        </w:rPr>
        <w:t xml:space="preserve">).</w:t>
      </w:r>
    </w:p>
    <w:p>
      <w:pPr>
        <w:numPr>
          <w:ilvl w:val="0"/>
          <w:numId w:val="81"/>
        </w:numPr>
        <w:spacing w:before="0" w:after="16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Careful assessment of business environments before processing an investment.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changing market structure will provide better growth opportunities to the brands and companies willing to invest in this new market trend. This assignment has discussed how the recent pandemic situation affected the global trends and how the companies are changing their business styles to adapt the changing habits. The business approaches became more customer specific and technology driven. The assignment has also discussed about the macro-environmental factors and the current trends in international business.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Abuselidze, G., 2021. The influence of Covid-19 on the Public Debt Growth and default risk: a fiscal sustainability analysis. In </w:t>
      </w:r>
      <w:r>
        <w:rPr>
          <w:rFonts w:ascii="Times New Roman" w:hAnsi="Times New Roman" w:cs="Times New Roman" w:eastAsia="Times New Roman"/>
          <w:i/>
          <w:color w:val="auto"/>
          <w:spacing w:val="0"/>
          <w:position w:val="0"/>
          <w:sz w:val="24"/>
          <w:shd w:fill="FFFFFF" w:val="clear"/>
        </w:rPr>
        <w:t xml:space="preserve">Proceedings of the International Scientific and Practical Conference on Sustainable Development of Regional Infrastructure-ISSDRI</w:t>
      </w:r>
      <w:r>
        <w:rPr>
          <w:rFonts w:ascii="Times New Roman" w:hAnsi="Times New Roman" w:cs="Times New Roman" w:eastAsia="Times New Roman"/>
          <w:color w:val="auto"/>
          <w:spacing w:val="0"/>
          <w:position w:val="0"/>
          <w:sz w:val="24"/>
          <w:shd w:fill="FFFFFF" w:val="clear"/>
        </w:rPr>
        <w:t xml:space="preserve"> (pp. 151-159).</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Adrian, T. and Mancini-Griffoli, T., 2019. The rise of digital money. </w:t>
      </w:r>
      <w:r>
        <w:rPr>
          <w:rFonts w:ascii="Times New Roman" w:hAnsi="Times New Roman" w:cs="Times New Roman" w:eastAsia="Times New Roman"/>
          <w:i/>
          <w:color w:val="auto"/>
          <w:spacing w:val="0"/>
          <w:position w:val="0"/>
          <w:sz w:val="24"/>
          <w:shd w:fill="FFFFFF" w:val="clear"/>
        </w:rPr>
        <w:t xml:space="preserve">Annual Review of Financial Economics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Agur, I., Peria, S.M. and Rochon, C., 2020. Digital financial services and the pandemic: Opportunities and risks for emerging and developing economies. </w:t>
      </w:r>
      <w:r>
        <w:rPr>
          <w:rFonts w:ascii="Times New Roman" w:hAnsi="Times New Roman" w:cs="Times New Roman" w:eastAsia="Times New Roman"/>
          <w:i/>
          <w:color w:val="auto"/>
          <w:spacing w:val="0"/>
          <w:position w:val="0"/>
          <w:sz w:val="24"/>
          <w:shd w:fill="FFFFFF" w:val="clear"/>
        </w:rPr>
        <w:t xml:space="preserve">International Monetary Fund Special Series on COVID-19, Transactions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w:t>
      </w:r>
      <w:r>
        <w:rPr>
          <w:rFonts w:ascii="Times New Roman" w:hAnsi="Times New Roman" w:cs="Times New Roman" w:eastAsia="Times New Roman"/>
          <w:color w:val="auto"/>
          <w:spacing w:val="0"/>
          <w:position w:val="0"/>
          <w:sz w:val="24"/>
          <w:shd w:fill="FFFFFF" w:val="clear"/>
        </w:rPr>
        <w:t xml:space="preserve">, pp.2-1.</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Buchinskaia, O. and Stremousova, E., 2019, April. Sources of innovation activity as a factor of economic development. In International Scientific Conference" Contemporary Issues in Business, Management and Education", International Scientific Conference" Contemporary Issues in Business, Management and Economics Engineering" (pp. 30-39).</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Eichengreen, B., 2021. Financial Development in Asia: The Role of Policy and Institutions, with Special Reference to China. </w:t>
      </w:r>
      <w:r>
        <w:rPr>
          <w:rFonts w:ascii="Times New Roman" w:hAnsi="Times New Roman" w:cs="Times New Roman" w:eastAsia="Times New Roman"/>
          <w:i/>
          <w:color w:val="auto"/>
          <w:spacing w:val="0"/>
          <w:position w:val="0"/>
          <w:sz w:val="24"/>
          <w:shd w:fill="FFFFFF" w:val="clear"/>
        </w:rPr>
        <w:t xml:space="preserve">World Scientific Book Chapters</w:t>
      </w:r>
      <w:r>
        <w:rPr>
          <w:rFonts w:ascii="Times New Roman" w:hAnsi="Times New Roman" w:cs="Times New Roman" w:eastAsia="Times New Roman"/>
          <w:color w:val="auto"/>
          <w:spacing w:val="0"/>
          <w:position w:val="0"/>
          <w:sz w:val="24"/>
          <w:shd w:fill="FFFFFF" w:val="clear"/>
        </w:rPr>
        <w:t xml:space="preserve">, pp.86-131.</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Loayza, N.V., Sanghi, A., Shaharuddin, N. and Wuester, L., 2020. Recovery from the pandemic crisis: balancing short-term and long-term concerns. </w:t>
      </w:r>
      <w:r>
        <w:rPr>
          <w:rFonts w:ascii="Times New Roman" w:hAnsi="Times New Roman" w:cs="Times New Roman" w:eastAsia="Times New Roman"/>
          <w:i/>
          <w:color w:val="auto"/>
          <w:spacing w:val="0"/>
          <w:position w:val="0"/>
          <w:sz w:val="24"/>
          <w:shd w:fill="FFFFFF" w:val="clear"/>
        </w:rPr>
        <w:t xml:space="preserve">Research and Policy Brief. World Bank, Washington, DC. Retrieved from </w:t>
      </w:r>
      <w:hyperlink xmlns:r="http://schemas.openxmlformats.org/officeDocument/2006/relationships" r:id="docRId12">
        <w:r>
          <w:rPr>
            <w:rFonts w:ascii="Times New Roman" w:hAnsi="Times New Roman" w:cs="Times New Roman" w:eastAsia="Times New Roman"/>
            <w:i/>
            <w:color w:val="0000FF"/>
            <w:spacing w:val="0"/>
            <w:position w:val="0"/>
            <w:sz w:val="24"/>
            <w:u w:val="single"/>
            <w:shd w:fill="FFFFFF" w:val="clear"/>
          </w:rPr>
          <w:t xml:space="preserve">https://openknowledge</w:t>
        </w:r>
      </w:hyperlink>
      <w:r>
        <w:rPr>
          <w:rFonts w:ascii="Times New Roman" w:hAnsi="Times New Roman" w:cs="Times New Roman" w:eastAsia="Times New Roman"/>
          <w:i/>
          <w:color w:val="auto"/>
          <w:spacing w:val="0"/>
          <w:position w:val="0"/>
          <w:sz w:val="24"/>
          <w:shd w:fill="FFFFFF" w:val="clear"/>
        </w:rPr>
        <w:t xml:space="preserve">. worldbank. org/handle/10986/34462</w:t>
      </w:r>
      <w:r>
        <w:rPr>
          <w:rFonts w:ascii="Times New Roman" w:hAnsi="Times New Roman" w:cs="Times New Roman" w:eastAsia="Times New Roman"/>
          <w:color w:val="auto"/>
          <w:spacing w:val="0"/>
          <w:position w:val="0"/>
          <w:sz w:val="24"/>
          <w:shd w:fill="FFFFFF"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Meyer, B.H., Prescott, B. and Sheng, X.S., 2021. The impact of the COVID-19 pandemic on business expectations. </w:t>
      </w:r>
      <w:r>
        <w:rPr>
          <w:rFonts w:ascii="Times New Roman" w:hAnsi="Times New Roman" w:cs="Times New Roman" w:eastAsia="Times New Roman"/>
          <w:i/>
          <w:color w:val="auto"/>
          <w:spacing w:val="0"/>
          <w:position w:val="0"/>
          <w:sz w:val="24"/>
          <w:shd w:fill="FFFFFF" w:val="clear"/>
        </w:rPr>
        <w:t xml:space="preserve">International Journal of Forecasting</w:t>
      </w:r>
      <w:r>
        <w:rPr>
          <w:rFonts w:ascii="Times New Roman" w:hAnsi="Times New Roman" w:cs="Times New Roman" w:eastAsia="Times New Roman"/>
          <w:color w:val="auto"/>
          <w:spacing w:val="0"/>
          <w:position w:val="0"/>
          <w:sz w:val="24"/>
          <w:shd w:fill="FFFFFF"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Minghui, S., 2021. Free Trade Agreements, New Trade Rules and Global Trading System Restructuring. </w:t>
      </w:r>
      <w:r>
        <w:rPr>
          <w:rFonts w:ascii="Times New Roman" w:hAnsi="Times New Roman" w:cs="Times New Roman" w:eastAsia="Times New Roman"/>
          <w:i/>
          <w:color w:val="auto"/>
          <w:spacing w:val="0"/>
          <w:position w:val="0"/>
          <w:sz w:val="24"/>
          <w:shd w:fill="FFFFFF" w:val="clear"/>
        </w:rPr>
        <w:t xml:space="preserve">J. WTO &amp; China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w:t>
      </w:r>
      <w:r>
        <w:rPr>
          <w:rFonts w:ascii="Times New Roman" w:hAnsi="Times New Roman" w:cs="Times New Roman" w:eastAsia="Times New Roman"/>
          <w:color w:val="auto"/>
          <w:spacing w:val="0"/>
          <w:position w:val="0"/>
          <w:sz w:val="24"/>
          <w:shd w:fill="FFFFFF" w:val="clear"/>
        </w:rPr>
        <w:t xml:space="preserve">, p.92.</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Olson, E.M., Olson, K.M., Czaplewski, A.J. and Key, T.M., 2021. Business strategy and the management of digital marketing. </w:t>
      </w:r>
      <w:r>
        <w:rPr>
          <w:rFonts w:ascii="Times New Roman" w:hAnsi="Times New Roman" w:cs="Times New Roman" w:eastAsia="Times New Roman"/>
          <w:i/>
          <w:color w:val="auto"/>
          <w:spacing w:val="0"/>
          <w:position w:val="0"/>
          <w:sz w:val="24"/>
          <w:shd w:fill="FFFFFF" w:val="clear"/>
        </w:rPr>
        <w:t xml:space="preserve">Business Horizons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64</w:t>
      </w:r>
      <w:r>
        <w:rPr>
          <w:rFonts w:ascii="Times New Roman" w:hAnsi="Times New Roman" w:cs="Times New Roman" w:eastAsia="Times New Roman"/>
          <w:color w:val="auto"/>
          <w:spacing w:val="0"/>
          <w:position w:val="0"/>
          <w:sz w:val="24"/>
          <w:shd w:fill="FFFFFF" w:val="clear"/>
        </w:rPr>
        <w:t xml:space="preserve">(2), pp.285-293.</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Royles, E., 2017. Sub-state diplomacy: Understanding the international opportunity structures. </w:t>
      </w:r>
      <w:r>
        <w:rPr>
          <w:rFonts w:ascii="Times New Roman" w:hAnsi="Times New Roman" w:cs="Times New Roman" w:eastAsia="Times New Roman"/>
          <w:i/>
          <w:color w:val="auto"/>
          <w:spacing w:val="0"/>
          <w:position w:val="0"/>
          <w:sz w:val="24"/>
          <w:shd w:fill="FFFFFF" w:val="clear"/>
        </w:rPr>
        <w:t xml:space="preserve">Regional &amp; Federal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27</w:t>
      </w:r>
      <w:r>
        <w:rPr>
          <w:rFonts w:ascii="Times New Roman" w:hAnsi="Times New Roman" w:cs="Times New Roman" w:eastAsia="Times New Roman"/>
          <w:color w:val="auto"/>
          <w:spacing w:val="0"/>
          <w:position w:val="0"/>
          <w:sz w:val="24"/>
          <w:shd w:fill="FFFFFF" w:val="clear"/>
        </w:rPr>
        <w:t xml:space="preserve">(4), pp.393-416.</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Shanock, L.R., Eisenberger, R., Heggestad, E.D., Malone, G., Clark, L., Dunn, A.M., Kirkland, J. and Woznyj, H., 2019. Treating employees well: The value of organizational support theory in human resource management. </w:t>
      </w:r>
      <w:r>
        <w:rPr>
          <w:rFonts w:ascii="Times New Roman" w:hAnsi="Times New Roman" w:cs="Times New Roman" w:eastAsia="Times New Roman"/>
          <w:i/>
          <w:color w:val="auto"/>
          <w:spacing w:val="0"/>
          <w:position w:val="0"/>
          <w:sz w:val="24"/>
          <w:shd w:fill="FFFFFF" w:val="clear"/>
        </w:rPr>
        <w:t xml:space="preserve">The Psychologist-Manager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22</w:t>
      </w:r>
      <w:r>
        <w:rPr>
          <w:rFonts w:ascii="Times New Roman" w:hAnsi="Times New Roman" w:cs="Times New Roman" w:eastAsia="Times New Roman"/>
          <w:color w:val="auto"/>
          <w:spacing w:val="0"/>
          <w:position w:val="0"/>
          <w:sz w:val="24"/>
          <w:shd w:fill="FFFFFF" w:val="clear"/>
        </w:rPr>
        <w:t xml:space="preserve">(3-4), p.168.</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Su</w:t>
      </w:r>
      <w:r>
        <w:rPr>
          <w:rFonts w:ascii="Times New Roman" w:hAnsi="Times New Roman" w:cs="Times New Roman" w:eastAsia="Times New Roman"/>
          <w:color w:val="auto"/>
          <w:spacing w:val="0"/>
          <w:position w:val="0"/>
          <w:sz w:val="24"/>
          <w:shd w:fill="FFFFFF" w:val="clear"/>
        </w:rPr>
        <w:t xml:space="preserve">łkowski, Ł., 2020. Covid-19 pandemic; recession, virtual revolution leading to de-globalization?. </w:t>
      </w:r>
      <w:r>
        <w:rPr>
          <w:rFonts w:ascii="Times New Roman" w:hAnsi="Times New Roman" w:cs="Times New Roman" w:eastAsia="Times New Roman"/>
          <w:i/>
          <w:color w:val="auto"/>
          <w:spacing w:val="0"/>
          <w:position w:val="0"/>
          <w:sz w:val="24"/>
          <w:shd w:fill="FFFFFF" w:val="clear"/>
        </w:rPr>
        <w:t xml:space="preserve">Journal of Intercultural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12</w:t>
      </w:r>
      <w:r>
        <w:rPr>
          <w:rFonts w:ascii="Times New Roman" w:hAnsi="Times New Roman" w:cs="Times New Roman" w:eastAsia="Times New Roman"/>
          <w:color w:val="auto"/>
          <w:spacing w:val="0"/>
          <w:position w:val="0"/>
          <w:sz w:val="24"/>
          <w:shd w:fill="FFFFFF" w:val="clear"/>
        </w:rPr>
        <w:t xml:space="preserve">(1), pp.1-11.</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Torres de Oliveira, R., Indulska, M. and Zalan, T., 2020. Guest editorial: Blockchain and the multinational enterprise: Progress, challenges and future research avenues. </w:t>
      </w:r>
      <w:r>
        <w:rPr>
          <w:rFonts w:ascii="Times New Roman" w:hAnsi="Times New Roman" w:cs="Times New Roman" w:eastAsia="Times New Roman"/>
          <w:i/>
          <w:color w:val="auto"/>
          <w:spacing w:val="0"/>
          <w:position w:val="0"/>
          <w:sz w:val="24"/>
          <w:shd w:fill="FFFFFF" w:val="clear"/>
        </w:rPr>
        <w:t xml:space="preserve">Review of International Business and Strategy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30</w:t>
      </w:r>
      <w:r>
        <w:rPr>
          <w:rFonts w:ascii="Times New Roman" w:hAnsi="Times New Roman" w:cs="Times New Roman" w:eastAsia="Times New Roman"/>
          <w:color w:val="auto"/>
          <w:spacing w:val="0"/>
          <w:position w:val="0"/>
          <w:sz w:val="24"/>
          <w:shd w:fill="FFFFFF" w:val="clear"/>
        </w:rPr>
        <w:t xml:space="preserve">(2), pp.145-161.</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num w:numId="22">
    <w:abstractNumId w:val="84"/>
  </w:num>
  <w:num w:numId="25">
    <w:abstractNumId w:val="78"/>
  </w:num>
  <w:num w:numId="28">
    <w:abstractNumId w:val="72"/>
  </w:num>
  <w:num w:numId="31">
    <w:abstractNumId w:val="66"/>
  </w:num>
  <w:num w:numId="34">
    <w:abstractNumId w:val="60"/>
  </w:num>
  <w:num w:numId="36">
    <w:abstractNumId w:val="54"/>
  </w:num>
  <w:num w:numId="39">
    <w:abstractNumId w:val="48"/>
  </w:num>
  <w:num w:numId="42">
    <w:abstractNumId w:val="42"/>
  </w:num>
  <w:num w:numId="45">
    <w:abstractNumId w:val="36"/>
  </w:num>
  <w:num w:numId="47">
    <w:abstractNumId w:val="30"/>
  </w:num>
  <w:num w:numId="66">
    <w:abstractNumId w:val="24"/>
  </w:num>
  <w:num w:numId="69">
    <w:abstractNumId w:val="18"/>
  </w:num>
  <w:num w:numId="72">
    <w:abstractNumId w:val="12"/>
  </w:num>
  <w:num w:numId="75">
    <w:abstractNumId w:val="6"/>
  </w:num>
  <w:num w:numId="8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styles.xml" Id="docRId14" Type="http://schemas.openxmlformats.org/officeDocument/2006/relationships/styles"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openknowledge/" Id="docRId12"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s>
</file>