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AE0316" w14:textId="2814D82E" w:rsidR="00DA4440" w:rsidRPr="006F2183" w:rsidRDefault="00CB5028" w:rsidP="006F2183">
      <w:pPr>
        <w:pStyle w:val="Heading1"/>
        <w:jc w:val="center"/>
        <w:rPr>
          <w:sz w:val="44"/>
          <w:szCs w:val="44"/>
        </w:rPr>
      </w:pPr>
      <w:r w:rsidRPr="006F2183">
        <w:rPr>
          <w:sz w:val="44"/>
          <w:szCs w:val="44"/>
        </w:rPr>
        <w:t>An HR Report</w:t>
      </w:r>
      <w:r>
        <w:rPr>
          <w:sz w:val="44"/>
          <w:szCs w:val="44"/>
        </w:rPr>
        <w:t xml:space="preserve"> on </w:t>
      </w:r>
      <w:r w:rsidRPr="006F2183">
        <w:rPr>
          <w:sz w:val="44"/>
          <w:szCs w:val="44"/>
        </w:rPr>
        <w:t>Business Transformation, Digital Technology Trends and Flexible Working</w:t>
      </w:r>
    </w:p>
    <w:p w14:paraId="5DE28FBF" w14:textId="77777777" w:rsidR="00CB5028" w:rsidRDefault="00CB5028" w:rsidP="006F2183">
      <w:pPr>
        <w:jc w:val="center"/>
        <w:rPr>
          <w:rFonts w:ascii="Arial" w:hAnsi="Arial" w:cs="Arial"/>
        </w:rPr>
      </w:pPr>
    </w:p>
    <w:p w14:paraId="2FB948F9" w14:textId="42B61223" w:rsidR="00DA4440" w:rsidRPr="006F2183" w:rsidRDefault="00000000" w:rsidP="006F2183">
      <w:pPr>
        <w:jc w:val="center"/>
        <w:rPr>
          <w:rFonts w:ascii="Arial" w:hAnsi="Arial" w:cs="Arial"/>
        </w:rPr>
      </w:pPr>
      <w:r w:rsidRPr="006F2183">
        <w:rPr>
          <w:rFonts w:ascii="Arial" w:hAnsi="Arial" w:cs="Arial"/>
        </w:rPr>
        <w:t xml:space="preserve">Name: </w:t>
      </w:r>
      <w:r w:rsidR="006F2183">
        <w:rPr>
          <w:rFonts w:ascii="Arial" w:hAnsi="Arial" w:cs="Arial"/>
        </w:rPr>
        <w:t>Durga Bai</w:t>
      </w:r>
    </w:p>
    <w:p w14:paraId="7231342C" w14:textId="44788783" w:rsidR="00DA4440" w:rsidRPr="006F2183" w:rsidRDefault="00000000" w:rsidP="004C593F">
      <w:pPr>
        <w:jc w:val="center"/>
        <w:rPr>
          <w:rFonts w:ascii="Arial" w:hAnsi="Arial" w:cs="Arial"/>
        </w:rPr>
      </w:pPr>
      <w:r w:rsidRPr="006F2183">
        <w:rPr>
          <w:rFonts w:ascii="Arial" w:hAnsi="Arial" w:cs="Arial"/>
        </w:rPr>
        <w:t xml:space="preserve">Student Number: </w:t>
      </w:r>
      <w:r w:rsidR="00E4599B">
        <w:rPr>
          <w:rFonts w:ascii="Arial" w:hAnsi="Arial" w:cs="Arial"/>
        </w:rPr>
        <w:t>2407124</w:t>
      </w:r>
    </w:p>
    <w:p w14:paraId="64AB7345" w14:textId="5A90A003" w:rsidR="00DA4440" w:rsidRPr="006F2183" w:rsidRDefault="00000000" w:rsidP="004C593F">
      <w:pPr>
        <w:jc w:val="center"/>
        <w:rPr>
          <w:rFonts w:ascii="Arial" w:hAnsi="Arial" w:cs="Arial"/>
        </w:rPr>
      </w:pPr>
      <w:r w:rsidRPr="006F2183">
        <w:rPr>
          <w:rFonts w:ascii="Arial" w:hAnsi="Arial" w:cs="Arial"/>
        </w:rPr>
        <w:t>Module Code and Title</w:t>
      </w:r>
      <w:r w:rsidR="00E3409A">
        <w:rPr>
          <w:rFonts w:ascii="Arial" w:hAnsi="Arial" w:cs="Arial"/>
        </w:rPr>
        <w:t xml:space="preserve">: </w:t>
      </w:r>
      <w:r w:rsidR="00A33D40" w:rsidRPr="009F4BEF">
        <w:rPr>
          <w:rFonts w:ascii="Arial" w:eastAsia="Times New Roman" w:hAnsi="Arial" w:cs="Arial"/>
          <w:b/>
          <w:lang w:eastAsia="en-GB"/>
        </w:rPr>
        <w:t>LCLM5002</w:t>
      </w:r>
      <w:r w:rsidR="00A33D40">
        <w:rPr>
          <w:rFonts w:ascii="Arial" w:eastAsia="Times New Roman" w:hAnsi="Arial" w:cs="Arial"/>
          <w:b/>
          <w:lang w:eastAsia="en-GB"/>
        </w:rPr>
        <w:t xml:space="preserve"> -</w:t>
      </w:r>
      <w:r w:rsidR="00BA47CE">
        <w:rPr>
          <w:rFonts w:ascii="Arial" w:eastAsia="Times New Roman" w:hAnsi="Arial" w:cs="Arial"/>
          <w:b/>
          <w:lang w:eastAsia="en-GB"/>
        </w:rPr>
        <w:t xml:space="preserve"> </w:t>
      </w:r>
      <w:r w:rsidR="00BA47CE" w:rsidRPr="00BA47CE">
        <w:rPr>
          <w:rFonts w:ascii="Arial" w:eastAsia="Times New Roman" w:hAnsi="Arial" w:cs="Arial"/>
          <w:b/>
          <w:lang w:eastAsia="en-GB"/>
        </w:rPr>
        <w:t>Developing and Managing Individuals and Teams</w:t>
      </w:r>
    </w:p>
    <w:p w14:paraId="29D057C4" w14:textId="77777777" w:rsidR="003E6A61" w:rsidRDefault="00000000" w:rsidP="004C593F">
      <w:pPr>
        <w:spacing w:before="120" w:after="120" w:line="240" w:lineRule="auto"/>
        <w:jc w:val="center"/>
        <w:rPr>
          <w:rFonts w:ascii="Arial" w:eastAsia="Times New Roman" w:hAnsi="Arial" w:cs="Arial"/>
          <w:b/>
          <w:bCs/>
          <w:lang w:eastAsia="en-GB"/>
        </w:rPr>
      </w:pPr>
      <w:r w:rsidRPr="006F2183">
        <w:rPr>
          <w:rFonts w:ascii="Arial" w:hAnsi="Arial" w:cs="Arial"/>
        </w:rPr>
        <w:t xml:space="preserve">Lecturer: </w:t>
      </w:r>
      <w:r w:rsidR="003E6A61">
        <w:rPr>
          <w:rFonts w:ascii="Arial" w:eastAsia="Times New Roman" w:hAnsi="Arial" w:cs="Arial"/>
          <w:b/>
          <w:bCs/>
          <w:lang w:eastAsia="en-GB"/>
        </w:rPr>
        <w:t>Nishi Ramsurrun</w:t>
      </w:r>
    </w:p>
    <w:p w14:paraId="503D4592" w14:textId="19467547" w:rsidR="00DA4440" w:rsidRPr="006F2183" w:rsidRDefault="00000000" w:rsidP="004C593F">
      <w:pPr>
        <w:jc w:val="center"/>
        <w:rPr>
          <w:rFonts w:ascii="Arial" w:hAnsi="Arial" w:cs="Arial"/>
        </w:rPr>
      </w:pPr>
      <w:r w:rsidRPr="006F2183">
        <w:rPr>
          <w:rFonts w:ascii="Arial" w:hAnsi="Arial" w:cs="Arial"/>
        </w:rPr>
        <w:t xml:space="preserve">Assignment Title: </w:t>
      </w:r>
      <w:r w:rsidR="004C593F" w:rsidRPr="004C593F">
        <w:rPr>
          <w:rFonts w:ascii="Arial" w:hAnsi="Arial" w:cs="Arial"/>
        </w:rPr>
        <w:t>Component 2- Individual Report</w:t>
      </w:r>
    </w:p>
    <w:p w14:paraId="59A2E068" w14:textId="77777777" w:rsidR="00DA4440" w:rsidRPr="006F2183" w:rsidRDefault="00000000">
      <w:pPr>
        <w:rPr>
          <w:rFonts w:ascii="Arial" w:hAnsi="Arial" w:cs="Arial"/>
        </w:rPr>
      </w:pPr>
      <w:r w:rsidRPr="006F2183">
        <w:rPr>
          <w:rFonts w:ascii="Arial" w:hAnsi="Arial" w:cs="Arial"/>
        </w:rPr>
        <w:br w:type="page"/>
      </w:r>
    </w:p>
    <w:p w14:paraId="5887E4F9" w14:textId="77777777" w:rsidR="00DA4440" w:rsidRPr="006F2183" w:rsidRDefault="00000000" w:rsidP="00B9018C">
      <w:pPr>
        <w:pStyle w:val="Heading1"/>
      </w:pPr>
      <w:r w:rsidRPr="006F2183">
        <w:lastRenderedPageBreak/>
        <w:t>Introduction</w:t>
      </w:r>
    </w:p>
    <w:p w14:paraId="0E4A2E0C" w14:textId="77777777" w:rsidR="00B9018C" w:rsidRDefault="00B9018C" w:rsidP="00445810">
      <w:pPr>
        <w:rPr>
          <w:rFonts w:ascii="Arial" w:hAnsi="Arial" w:cs="Arial"/>
        </w:rPr>
      </w:pPr>
    </w:p>
    <w:p w14:paraId="3FE8916E" w14:textId="3BE2FE7F" w:rsidR="00445810" w:rsidRPr="006F2183" w:rsidRDefault="00445810" w:rsidP="00445810">
      <w:pPr>
        <w:rPr>
          <w:rFonts w:ascii="Arial" w:hAnsi="Arial" w:cs="Arial"/>
        </w:rPr>
      </w:pPr>
      <w:r w:rsidRPr="006F2183">
        <w:rPr>
          <w:rFonts w:ascii="Arial" w:hAnsi="Arial" w:cs="Arial"/>
        </w:rPr>
        <w:t xml:space="preserve">The modern organizational environment is typified by rapid technological advancement, changing </w:t>
      </w:r>
      <w:proofErr w:type="spellStart"/>
      <w:r w:rsidRPr="006F2183">
        <w:rPr>
          <w:rFonts w:ascii="Arial" w:hAnsi="Arial" w:cs="Arial"/>
        </w:rPr>
        <w:t>labour</w:t>
      </w:r>
      <w:proofErr w:type="spellEnd"/>
      <w:r w:rsidRPr="006F2183">
        <w:rPr>
          <w:rFonts w:ascii="Arial" w:hAnsi="Arial" w:cs="Arial"/>
        </w:rPr>
        <w:t xml:space="preserve"> market expectations, and the continuing imperative for businesses to transform if they are to remain competitive. These pressures have driven many firms-particularly those based in large urban centers such as London and Birmingham-to pursue ambitious transformation programs marrying digitalization with new models of flexible working. While this kind of change can yield improved productivity, customer responsiveness, and cost efficiencies, if poorly managed, it can result in significant disruption for the workforce. This report is written from the perspective of a newly appointed HR practitioner within the HR department of a London or Birmingham-based company. The task is to address a growing number of employee grievances during the first month in the post. Overall, these grievances appear to have emanated from a combination of organizational restructuring in line with business transformation, the rapid introduction of digital technologies, and changes in hybrid and remote work arrangements.</w:t>
      </w:r>
    </w:p>
    <w:p w14:paraId="60C1B101" w14:textId="284CB9D7" w:rsidR="00445810" w:rsidRPr="006F2183" w:rsidRDefault="00445810" w:rsidP="00445810">
      <w:pPr>
        <w:rPr>
          <w:rFonts w:ascii="Arial" w:hAnsi="Arial" w:cs="Arial"/>
        </w:rPr>
      </w:pPr>
      <w:r w:rsidRPr="006F2183">
        <w:rPr>
          <w:rFonts w:ascii="Arial" w:hAnsi="Arial" w:cs="Arial"/>
        </w:rPr>
        <w:t>This report discusses those specific factors in detail, evaluates contemporary HR practices that could be applied to mitigate the resulting issues, and critically considers how departmental managers can ensure urgent implementation of such practices. The theoretical underpinning for this report will be from established theoretical frameworks</w:t>
      </w:r>
      <w:r w:rsidR="00491566">
        <w:rPr>
          <w:rFonts w:ascii="Arial" w:hAnsi="Arial" w:cs="Arial"/>
        </w:rPr>
        <w:t xml:space="preserve"> (</w:t>
      </w:r>
      <w:r w:rsidRPr="006F2183">
        <w:rPr>
          <w:rFonts w:ascii="Arial" w:hAnsi="Arial" w:cs="Arial"/>
        </w:rPr>
        <w:t xml:space="preserve">namely, change management and </w:t>
      </w:r>
      <w:r w:rsidR="00491566" w:rsidRPr="006F2183">
        <w:rPr>
          <w:rFonts w:ascii="Arial" w:hAnsi="Arial" w:cs="Arial"/>
        </w:rPr>
        <w:t>organizational</w:t>
      </w:r>
      <w:r w:rsidRPr="006F2183">
        <w:rPr>
          <w:rFonts w:ascii="Arial" w:hAnsi="Arial" w:cs="Arial"/>
        </w:rPr>
        <w:t xml:space="preserve"> justice</w:t>
      </w:r>
      <w:r w:rsidR="00491566">
        <w:rPr>
          <w:rFonts w:ascii="Arial" w:hAnsi="Arial" w:cs="Arial"/>
        </w:rPr>
        <w:t xml:space="preserve">) </w:t>
      </w:r>
      <w:r w:rsidRPr="006F2183">
        <w:rPr>
          <w:rFonts w:ascii="Arial" w:hAnsi="Arial" w:cs="Arial"/>
        </w:rPr>
        <w:t>drawing on contemporary research into digital transformation and flexible work for grounding practical recommendations. This report is organized as stated in the brief: explanation of key factors; evaluation of HR practices to address those factors; critical appraisal of managerial responsibilities in implementing practices promptly; and, finally, evidence-based recommendations with a conclusion.</w:t>
      </w:r>
    </w:p>
    <w:p w14:paraId="40B395AD" w14:textId="77777777" w:rsidR="00445810" w:rsidRPr="006F2183" w:rsidRDefault="00445810" w:rsidP="00445810">
      <w:pPr>
        <w:rPr>
          <w:rFonts w:ascii="Arial" w:hAnsi="Arial" w:cs="Arial"/>
        </w:rPr>
      </w:pPr>
    </w:p>
    <w:p w14:paraId="4481DDF2" w14:textId="11D7EC3A" w:rsidR="00445810" w:rsidRPr="00B9018C" w:rsidRDefault="00445810" w:rsidP="00B9018C">
      <w:pPr>
        <w:pStyle w:val="Heading1"/>
      </w:pPr>
      <w:r w:rsidRPr="00B9018C">
        <w:t xml:space="preserve">1. </w:t>
      </w:r>
      <w:r w:rsidR="007F787F" w:rsidRPr="00B9018C">
        <w:rPr>
          <w:lang w:eastAsia="en-GB"/>
        </w:rPr>
        <w:t>An explanation of the specific factors related to business transformation, digital technology trends and flexible working arrangements within the organization</w:t>
      </w:r>
    </w:p>
    <w:p w14:paraId="2618ACB1" w14:textId="77777777" w:rsidR="00B9018C" w:rsidRDefault="00B9018C" w:rsidP="00445810">
      <w:pPr>
        <w:rPr>
          <w:rFonts w:ascii="Arial" w:hAnsi="Arial" w:cs="Arial"/>
        </w:rPr>
      </w:pPr>
    </w:p>
    <w:p w14:paraId="546EA046" w14:textId="430EB3E8" w:rsidR="00445810" w:rsidRPr="006F2183" w:rsidRDefault="00445810" w:rsidP="00445810">
      <w:pPr>
        <w:rPr>
          <w:rFonts w:ascii="Arial" w:hAnsi="Arial" w:cs="Arial"/>
        </w:rPr>
      </w:pPr>
      <w:r w:rsidRPr="006F2183">
        <w:rPr>
          <w:rFonts w:ascii="Arial" w:hAnsi="Arial" w:cs="Arial"/>
        </w:rPr>
        <w:t xml:space="preserve">Business transformation in modern organizations typically encompasses structural redesign, process reengineering, and cultural change aimed at improving competitiveness for long-term survival. In the context of the company in question, the transformation so far has included the redefinition of business units, consolidation of roles, and a move toward agile cross-functional teams. These were implemented to accelerate delivery while limiting duplication. This, however, has also brought </w:t>
      </w:r>
      <w:r w:rsidR="006D25BA" w:rsidRPr="006F2183">
        <w:rPr>
          <w:rFonts w:ascii="Arial" w:hAnsi="Arial" w:cs="Arial"/>
        </w:rPr>
        <w:t>several</w:t>
      </w:r>
      <w:r w:rsidRPr="006F2183">
        <w:rPr>
          <w:rFonts w:ascii="Arial" w:hAnsi="Arial" w:cs="Arial"/>
        </w:rPr>
        <w:t xml:space="preserve"> stress points </w:t>
      </w:r>
      <w:r w:rsidR="002036D0" w:rsidRPr="006F2183">
        <w:rPr>
          <w:rFonts w:ascii="Arial" w:hAnsi="Arial" w:cs="Arial"/>
        </w:rPr>
        <w:t>to</w:t>
      </w:r>
      <w:r w:rsidRPr="006F2183">
        <w:rPr>
          <w:rFonts w:ascii="Arial" w:hAnsi="Arial" w:cs="Arial"/>
        </w:rPr>
        <w:t xml:space="preserve"> the workforce. First, role ambiguity and uncertainty arise when job </w:t>
      </w:r>
      <w:r w:rsidRPr="006F2183">
        <w:rPr>
          <w:rFonts w:ascii="Arial" w:hAnsi="Arial" w:cs="Arial"/>
        </w:rPr>
        <w:lastRenderedPageBreak/>
        <w:t xml:space="preserve">descriptions are changed or reporting lines are recalibrated; generally, employees lack clarity over expectations, accountability, and career paths. Empirical studies have demonstrated that ambiguity during reorganization correlates with the rise in stress-related complaints and formal grievances. Second, the readjustment of workload </w:t>
      </w:r>
      <w:r w:rsidR="006D25BA" w:rsidRPr="006F2183">
        <w:rPr>
          <w:rFonts w:ascii="Arial" w:hAnsi="Arial" w:cs="Arial"/>
        </w:rPr>
        <w:t>after</w:t>
      </w:r>
      <w:r w:rsidRPr="006F2183">
        <w:rPr>
          <w:rFonts w:ascii="Arial" w:hAnsi="Arial" w:cs="Arial"/>
        </w:rPr>
        <w:t xml:space="preserve"> consolidation may lead to an uneven distribution of tasks; some employees face increases either in intensity or responsibility without corresponding support and recognition. Such perceptions of unfairness lie at the core of grievance formation and can undermine trust in leadership.</w:t>
      </w:r>
    </w:p>
    <w:p w14:paraId="42ECE76B" w14:textId="2E8B297A" w:rsidR="00445810" w:rsidRPr="006F2183" w:rsidRDefault="00445810" w:rsidP="00445810">
      <w:pPr>
        <w:rPr>
          <w:rFonts w:ascii="Arial" w:hAnsi="Arial" w:cs="Arial"/>
        </w:rPr>
      </w:pPr>
      <w:r w:rsidRPr="006F2183">
        <w:rPr>
          <w:rFonts w:ascii="Arial" w:hAnsi="Arial" w:cs="Arial"/>
        </w:rPr>
        <w:t xml:space="preserve">Digital technology trends are an accelerating driver of organizational change, evident in this company through its cloud-based ERP systems, AI-enabled analytics, automated HR platforms, and collaborative communication tools. These technologies promise and sometimes deliver great efficiency gains and enable data-driven decision-making. However, they also create other, negative workforce implications: tech-driven automation may trigger fear of redundancy, particularly when employees feel technology is replacing rather than augmenting human roles. The deployment of analytics capable of surveillance or algorithmic performance monitoring raises concerns over matters like privacy, fairness, and obscurity in the decision-making process. The employees, according to studies on algorithmic management, are more likely to resent technologies perceived as unfair or inscrutable and hence generate increased conflict and </w:t>
      </w:r>
      <w:r w:rsidR="006D25BA" w:rsidRPr="006F2183">
        <w:rPr>
          <w:rFonts w:ascii="Arial" w:hAnsi="Arial" w:cs="Arial"/>
        </w:rPr>
        <w:t>grievance</w:t>
      </w:r>
      <w:r w:rsidRPr="006F2183">
        <w:rPr>
          <w:rFonts w:ascii="Arial" w:hAnsi="Arial" w:cs="Arial"/>
        </w:rPr>
        <w:t>.</w:t>
      </w:r>
    </w:p>
    <w:p w14:paraId="06A8145C" w14:textId="77777777" w:rsidR="00445810" w:rsidRPr="006F2183" w:rsidRDefault="00445810" w:rsidP="00445810">
      <w:pPr>
        <w:rPr>
          <w:rFonts w:ascii="Arial" w:hAnsi="Arial" w:cs="Arial"/>
        </w:rPr>
      </w:pPr>
      <w:r w:rsidRPr="006F2183">
        <w:rPr>
          <w:rFonts w:ascii="Arial" w:hAnsi="Arial" w:cs="Arial"/>
        </w:rPr>
        <w:t>Furthermore, this shift onto digital communication platforms weakens informal social ties and reduces incidental support from face-to-face interaction. A loss of such social capital diminishes problem-solving and teamwork, increasing the potential for interpersonal misunderstandings and formal complaints (Putnam, 2000).</w:t>
      </w:r>
    </w:p>
    <w:p w14:paraId="1C3D4866" w14:textId="4D6DDF9E" w:rsidR="00445810" w:rsidRPr="006F2183" w:rsidRDefault="00445810" w:rsidP="00445810">
      <w:pPr>
        <w:rPr>
          <w:rFonts w:ascii="Arial" w:hAnsi="Arial" w:cs="Arial"/>
        </w:rPr>
      </w:pPr>
      <w:r w:rsidRPr="006F2183">
        <w:rPr>
          <w:rFonts w:ascii="Arial" w:hAnsi="Arial" w:cs="Arial"/>
        </w:rPr>
        <w:t xml:space="preserve">Hybrid and remote work models have become mainstream in the aftermath of broader social and technological changes. Hybrid working offers many employees an improvement in work-life balance and reduces commuting burdens. In practice, though, hybrid models can create differential treatment effects: proximity bias, in which those physically present in the office receive greater visibility, mentorship, and access to opportunities, can disadvantage remote workers. On-site staff may feel resentful if it seems that their remote colleagues are avoiding operational duties. Managers </w:t>
      </w:r>
      <w:r w:rsidR="006D25BA" w:rsidRPr="006F2183">
        <w:rPr>
          <w:rFonts w:ascii="Arial" w:hAnsi="Arial" w:cs="Arial"/>
        </w:rPr>
        <w:t>must</w:t>
      </w:r>
      <w:r w:rsidRPr="006F2183">
        <w:rPr>
          <w:rFonts w:ascii="Arial" w:hAnsi="Arial" w:cs="Arial"/>
        </w:rPr>
        <w:t xml:space="preserve"> balance flexibility with mechanisms that ensure fair workload distribution and equal access to development opportunities. Often, remote workers report difficulties in acquiring informal learning, and weaker career advancement signals create perceptions of stalled progression that can morph into grievances.</w:t>
      </w:r>
    </w:p>
    <w:p w14:paraId="3D470F19" w14:textId="77777777" w:rsidR="00445810" w:rsidRPr="006F2183" w:rsidRDefault="00445810" w:rsidP="00445810">
      <w:pPr>
        <w:rPr>
          <w:rFonts w:ascii="Arial" w:hAnsi="Arial" w:cs="Arial"/>
        </w:rPr>
      </w:pPr>
      <w:r w:rsidRPr="006F2183">
        <w:rPr>
          <w:rFonts w:ascii="Arial" w:hAnsi="Arial" w:cs="Arial"/>
        </w:rPr>
        <w:t xml:space="preserve">Insufficient digital infrastructure interlinks with flexible working to amplify grievances. Where home-working equipment, network reliability, and secure access to corporate systems are inconsistent, employees feel frustration and </w:t>
      </w:r>
      <w:proofErr w:type="gramStart"/>
      <w:r w:rsidRPr="006F2183">
        <w:rPr>
          <w:rFonts w:ascii="Arial" w:hAnsi="Arial" w:cs="Arial"/>
        </w:rPr>
        <w:t>lowered</w:t>
      </w:r>
      <w:proofErr w:type="gramEnd"/>
      <w:r w:rsidRPr="006F2183">
        <w:rPr>
          <w:rFonts w:ascii="Arial" w:hAnsi="Arial" w:cs="Arial"/>
        </w:rPr>
        <w:t xml:space="preserve"> productivity. Differential access to technology often aligns with socio-economic or role-based divisions, compounding perceptions of unfairness. Thus, in the current organizational context, a complex mix of organizational restructuring, rapid technology adoption, and unevenly implemented flexible working policies gives rise to a set of grievances. </w:t>
      </w:r>
      <w:r w:rsidRPr="006F2183">
        <w:rPr>
          <w:rFonts w:ascii="Arial" w:hAnsi="Arial" w:cs="Arial"/>
        </w:rPr>
        <w:lastRenderedPageBreak/>
        <w:t>Therefore, addressing these will require technical, educational, and relational strategies that are systematically implemented with empathy by HR interventions.</w:t>
      </w:r>
    </w:p>
    <w:p w14:paraId="289FC5B0" w14:textId="1C21ED21" w:rsidR="00445810" w:rsidRPr="00B9018C" w:rsidRDefault="00445810" w:rsidP="0083651F">
      <w:pPr>
        <w:pStyle w:val="Heading1"/>
      </w:pPr>
      <w:r w:rsidRPr="00B9018C">
        <w:t xml:space="preserve">2. </w:t>
      </w:r>
      <w:r w:rsidR="00D62BB2" w:rsidRPr="00B9018C">
        <w:rPr>
          <w:lang w:eastAsia="en-GB"/>
        </w:rPr>
        <w:t xml:space="preserve">An evaluation of different contemporary HR practices to address each </w:t>
      </w:r>
      <w:bookmarkStart w:id="0" w:name="_Int_r567a7im"/>
      <w:proofErr w:type="gramStart"/>
      <w:r w:rsidR="00D62BB2" w:rsidRPr="00B9018C">
        <w:rPr>
          <w:lang w:eastAsia="en-GB"/>
        </w:rPr>
        <w:t>aforementioned factor</w:t>
      </w:r>
      <w:bookmarkEnd w:id="0"/>
      <w:proofErr w:type="gramEnd"/>
      <w:r w:rsidR="00D62BB2" w:rsidRPr="00B9018C">
        <w:rPr>
          <w:lang w:eastAsia="en-GB"/>
        </w:rPr>
        <w:t>?</w:t>
      </w:r>
    </w:p>
    <w:p w14:paraId="3FFEDC2C" w14:textId="77777777" w:rsidR="00B9018C" w:rsidRDefault="00B9018C" w:rsidP="005A7151">
      <w:pPr>
        <w:rPr>
          <w:rFonts w:ascii="Arial" w:hAnsi="Arial" w:cs="Arial"/>
        </w:rPr>
      </w:pPr>
    </w:p>
    <w:p w14:paraId="50A561A9" w14:textId="1BA5BAE0" w:rsidR="00491566" w:rsidRDefault="00445810" w:rsidP="005A7151">
      <w:pPr>
        <w:rPr>
          <w:rFonts w:ascii="Arial" w:hAnsi="Arial" w:cs="Arial"/>
        </w:rPr>
      </w:pPr>
      <w:r w:rsidRPr="006F2183">
        <w:rPr>
          <w:rFonts w:ascii="Arial" w:hAnsi="Arial" w:cs="Arial"/>
        </w:rPr>
        <w:t>Effective restructuring requires robust, people-centered change programs. Kotter's eight-step model is a useful macro framework for sequencing change: creating urgency, forming guiding coalitions, and anchoring new approaches. Operationally, HR should design a phased implementation plan that encompasses stakeholder mapping, co-design sessions with the employees concerned, and clear milestones. Co-design-where employees take part in shaping new roles and processes-reduces resistance by granting agency and increasing perceived fairness. Strategic communication needs to be multi-channel-town halls, manager briefings, and intranet updates-emphasizing transparency around the rationale, timelines, and expected impacts. Frequent two-way communications, incorporating pulse surveys and Q&amp;A forums, allow HR to identify emerging concerns early and adapt interventions accordingly.</w:t>
      </w:r>
    </w:p>
    <w:p w14:paraId="58307564" w14:textId="228242C0" w:rsidR="005A7151" w:rsidRPr="006F2183" w:rsidRDefault="005A7151" w:rsidP="005A7151">
      <w:pPr>
        <w:rPr>
          <w:rFonts w:ascii="Arial" w:hAnsi="Arial" w:cs="Arial"/>
        </w:rPr>
      </w:pPr>
      <w:r w:rsidRPr="006F2183">
        <w:rPr>
          <w:rFonts w:ascii="Arial" w:hAnsi="Arial" w:cs="Arial"/>
        </w:rPr>
        <w:t>In addition, there is a dire need for HR to provide appropriate training programs in which competency mapping may be carried out to discover critical skill gaps, role-based learning pathways, and just-in-time e-learning modules. Blended learning combines instructor-led workshops, peer coaching, and digital microlearning in ways that balance different learning preferences and time constraints, according to Noe (2017). Career pathing and transparent internal mobility processes reassure employees regarding progression prospects during restructuring and may reduce anxiety and turnover.</w:t>
      </w:r>
    </w:p>
    <w:p w14:paraId="7349EA47" w14:textId="4B4F5B7A" w:rsidR="005A7151" w:rsidRPr="006F2183" w:rsidRDefault="005A7151" w:rsidP="005A7151">
      <w:pPr>
        <w:rPr>
          <w:rFonts w:ascii="Arial" w:hAnsi="Arial" w:cs="Arial"/>
        </w:rPr>
      </w:pPr>
      <w:r w:rsidRPr="006F2183">
        <w:rPr>
          <w:rFonts w:ascii="Arial" w:hAnsi="Arial" w:cs="Arial"/>
        </w:rPr>
        <w:t>However, the HR role in digital transformation does not stop at training; it extends to the advocacy of ethical governance of technology. There is a need to develop digital literacy initiatives that focus attention not only on practical competence in using new platforms but also on critical understanding of how algorithmic decisions are made. Training should demystify AI features by making it explicit that automated tools are designed to enhance and not replace human judgment. For that, collaboration with IT is required to develop accessible user guides, help</w:t>
      </w:r>
      <w:r w:rsidR="00491566">
        <w:rPr>
          <w:rFonts w:ascii="Arial" w:hAnsi="Arial" w:cs="Arial"/>
        </w:rPr>
        <w:t xml:space="preserve"> </w:t>
      </w:r>
      <w:r w:rsidRPr="006F2183">
        <w:rPr>
          <w:rFonts w:ascii="Arial" w:hAnsi="Arial" w:cs="Arial"/>
        </w:rPr>
        <w:t>desks, and peer support networks. More importantly, governance frameworks should detail clear policies on data use, employee privacy, and the acceptable scope of performance analytics. The establishment of an oversight committee that includes employee representation serves to establish transparency and trust for workers (Morley et al., 2020).</w:t>
      </w:r>
    </w:p>
    <w:p w14:paraId="3226579E" w14:textId="365057E8" w:rsidR="005A7151" w:rsidRPr="006F2183" w:rsidRDefault="005A7151" w:rsidP="005A7151">
      <w:pPr>
        <w:rPr>
          <w:rFonts w:ascii="Arial" w:hAnsi="Arial" w:cs="Arial"/>
        </w:rPr>
      </w:pPr>
      <w:r w:rsidRPr="006F2183">
        <w:rPr>
          <w:rFonts w:ascii="Arial" w:hAnsi="Arial" w:cs="Arial"/>
        </w:rPr>
        <w:t xml:space="preserve">The new model of HR practice calls for a shift from annual reviews to ongoing performance dialogues informed by regular check-ins, 360-degree feedback, and development plans. Where performance metrics in digitally mediated environments are used, these must be </w:t>
      </w:r>
      <w:r w:rsidR="00491566" w:rsidRPr="006F2183">
        <w:rPr>
          <w:rFonts w:ascii="Arial" w:hAnsi="Arial" w:cs="Arial"/>
        </w:rPr>
        <w:t>contextualized</w:t>
      </w:r>
      <w:r w:rsidRPr="006F2183">
        <w:rPr>
          <w:rFonts w:ascii="Arial" w:hAnsi="Arial" w:cs="Arial"/>
        </w:rPr>
        <w:t xml:space="preserve"> through manager-led qualitative assessments to combat overreliance on algorithmic indicators. Embedding wellbeing into performance </w:t>
      </w:r>
      <w:r w:rsidR="00C87890">
        <w:rPr>
          <w:rFonts w:ascii="Arial" w:hAnsi="Arial" w:cs="Arial"/>
        </w:rPr>
        <w:lastRenderedPageBreak/>
        <w:t xml:space="preserve">discussions </w:t>
      </w:r>
      <w:r w:rsidRPr="006F2183">
        <w:rPr>
          <w:rFonts w:ascii="Arial" w:hAnsi="Arial" w:cs="Arial"/>
        </w:rPr>
        <w:t xml:space="preserve">provides support for early intervention and </w:t>
      </w:r>
      <w:r w:rsidR="00016DF4" w:rsidRPr="006F2183">
        <w:rPr>
          <w:rFonts w:ascii="Arial" w:hAnsi="Arial" w:cs="Arial"/>
        </w:rPr>
        <w:t>evidence of</w:t>
      </w:r>
      <w:r w:rsidRPr="006F2183">
        <w:rPr>
          <w:rFonts w:ascii="Arial" w:hAnsi="Arial" w:cs="Arial"/>
        </w:rPr>
        <w:t xml:space="preserve"> organizational concern for employee health.</w:t>
      </w:r>
    </w:p>
    <w:p w14:paraId="42EFE325" w14:textId="4B1602EB" w:rsidR="005A7151" w:rsidRPr="006F2183" w:rsidRDefault="005A7151" w:rsidP="005A7151">
      <w:pPr>
        <w:rPr>
          <w:rFonts w:ascii="Arial" w:hAnsi="Arial" w:cs="Arial"/>
        </w:rPr>
      </w:pPr>
      <w:r w:rsidRPr="006F2183">
        <w:rPr>
          <w:rFonts w:ascii="Arial" w:hAnsi="Arial" w:cs="Arial"/>
        </w:rPr>
        <w:t xml:space="preserve">Hybrid-working policies should spell out expectations-core hours, meeting norms, availability, and suitability of role for remote work. To counteract proximity bias, organizations </w:t>
      </w:r>
      <w:r w:rsidR="006D25BA" w:rsidRPr="006F2183">
        <w:rPr>
          <w:rFonts w:ascii="Arial" w:hAnsi="Arial" w:cs="Arial"/>
        </w:rPr>
        <w:t>must</w:t>
      </w:r>
      <w:r w:rsidRPr="006F2183">
        <w:rPr>
          <w:rFonts w:ascii="Arial" w:hAnsi="Arial" w:cs="Arial"/>
        </w:rPr>
        <w:t xml:space="preserve"> implement practices that allow distributed visibility, such as rotation of days in the office or digital mentoring programs that deliberately embed remote workers into high-visibility projects. Training for managers should include remote performance management, fair task delegation, and inclusive meeting practice, like not talking over remote voices.</w:t>
      </w:r>
    </w:p>
    <w:p w14:paraId="3BBC834B" w14:textId="77777777" w:rsidR="005A7151" w:rsidRPr="006F2183" w:rsidRDefault="005A7151" w:rsidP="005A7151">
      <w:pPr>
        <w:rPr>
          <w:rFonts w:ascii="Arial" w:hAnsi="Arial" w:cs="Arial"/>
        </w:rPr>
      </w:pPr>
      <w:r w:rsidRPr="006F2183">
        <w:rPr>
          <w:rFonts w:ascii="Arial" w:hAnsi="Arial" w:cs="Arial"/>
        </w:rPr>
        <w:t>To counter infrastructure disparities, HR should liaise with IT and finance to ensure that employees have the necessary hardware, secure VPN access, and reliable collaboration tools. Subsidies or equipment-provision schemes decrease inequity and practical barriers to productivity. Strong IT service-level agreements for remote workers reduce downtime and frustration.</w:t>
      </w:r>
    </w:p>
    <w:p w14:paraId="4DB5D39D" w14:textId="77777777" w:rsidR="005A7151" w:rsidRPr="006F2183" w:rsidRDefault="005A7151" w:rsidP="005A7151">
      <w:pPr>
        <w:rPr>
          <w:rFonts w:ascii="Arial" w:hAnsi="Arial" w:cs="Arial"/>
        </w:rPr>
      </w:pPr>
      <w:r w:rsidRPr="006F2183">
        <w:rPr>
          <w:rFonts w:ascii="Arial" w:hAnsi="Arial" w:cs="Arial"/>
        </w:rPr>
        <w:t>Modern grievance management emphasizes the need for early, informal resolution. HR should equip managers with mediation skills and promote confidential channels through which issues can be raised. Where appropriate, restorative practices can rebuild relationships and restore trust more successfully than adversarial formal procedures. There is a need to aggregate and analyze data from grievance cases for systemic patterns rather than simply regarding complaints as isolated incidents.</w:t>
      </w:r>
    </w:p>
    <w:p w14:paraId="0D7F1369" w14:textId="6C8B27EF" w:rsidR="005A7151" w:rsidRPr="00B938B1" w:rsidRDefault="005A7151" w:rsidP="00E5724E">
      <w:pPr>
        <w:pStyle w:val="Heading1"/>
        <w:rPr>
          <w:sz w:val="22"/>
          <w:szCs w:val="22"/>
        </w:rPr>
      </w:pPr>
      <w:r w:rsidRPr="006F2183">
        <w:rPr>
          <w:sz w:val="22"/>
          <w:szCs w:val="22"/>
        </w:rPr>
        <w:t xml:space="preserve"> </w:t>
      </w:r>
      <w:r w:rsidR="0083651F" w:rsidRPr="0083651F">
        <w:t>3.</w:t>
      </w:r>
      <w:r w:rsidR="00B938B1" w:rsidRPr="0083651F">
        <w:rPr>
          <w:lang w:eastAsia="en-GB"/>
        </w:rPr>
        <w:t>A critical</w:t>
      </w:r>
      <w:r w:rsidR="00B938B1" w:rsidRPr="71730342">
        <w:rPr>
          <w:lang w:eastAsia="en-GB"/>
        </w:rPr>
        <w:t xml:space="preserve"> evaluation of how departmental managers can ensure these contemporary practices are being implemented as a matter of urgency</w:t>
      </w:r>
    </w:p>
    <w:p w14:paraId="28CDB06C" w14:textId="77777777" w:rsidR="0083651F" w:rsidRDefault="0083651F" w:rsidP="005A7151">
      <w:pPr>
        <w:rPr>
          <w:rFonts w:ascii="Arial" w:hAnsi="Arial" w:cs="Arial"/>
        </w:rPr>
      </w:pPr>
    </w:p>
    <w:p w14:paraId="42F0ECBF" w14:textId="3C33C307" w:rsidR="005A7151" w:rsidRPr="006F2183" w:rsidRDefault="005A7151" w:rsidP="005A7151">
      <w:pPr>
        <w:rPr>
          <w:rFonts w:ascii="Arial" w:hAnsi="Arial" w:cs="Arial"/>
        </w:rPr>
      </w:pPr>
      <w:r w:rsidRPr="006F2183">
        <w:rPr>
          <w:rFonts w:ascii="Arial" w:hAnsi="Arial" w:cs="Arial"/>
        </w:rPr>
        <w:t xml:space="preserve">Managers are the men and women who operationalize strategy, and without managerial engagement, HR initiatives remain aspirational. The urgency of implementation in a grievance-heavy environment requires that managers act decisively across </w:t>
      </w:r>
      <w:r w:rsidR="006D25BA" w:rsidRPr="006F2183">
        <w:rPr>
          <w:rFonts w:ascii="Arial" w:hAnsi="Arial" w:cs="Arial"/>
        </w:rPr>
        <w:t>several</w:t>
      </w:r>
      <w:r w:rsidRPr="006F2183">
        <w:rPr>
          <w:rFonts w:ascii="Arial" w:hAnsi="Arial" w:cs="Arial"/>
        </w:rPr>
        <w:t xml:space="preserve"> domains.</w:t>
      </w:r>
    </w:p>
    <w:p w14:paraId="28D018F1" w14:textId="7DB8BD21" w:rsidR="005A7151" w:rsidRPr="006F2183" w:rsidRDefault="005A7151" w:rsidP="005A7151">
      <w:pPr>
        <w:rPr>
          <w:rFonts w:ascii="Arial" w:hAnsi="Arial" w:cs="Arial"/>
        </w:rPr>
      </w:pPr>
      <w:r w:rsidRPr="006F2183">
        <w:rPr>
          <w:rFonts w:ascii="Arial" w:hAnsi="Arial" w:cs="Arial"/>
        </w:rPr>
        <w:t xml:space="preserve">Managers must visibly lead, which means communicating strategic messages in team-specific plans. This should happen through regular meetings that indicate what will change, why, and </w:t>
      </w:r>
      <w:r w:rsidR="006D25BA" w:rsidRPr="006F2183">
        <w:rPr>
          <w:rFonts w:ascii="Arial" w:hAnsi="Arial" w:cs="Arial"/>
        </w:rPr>
        <w:t>how clearly</w:t>
      </w:r>
      <w:r w:rsidRPr="006F2183">
        <w:rPr>
          <w:rFonts w:ascii="Arial" w:hAnsi="Arial" w:cs="Arial"/>
        </w:rPr>
        <w:t xml:space="preserve"> </w:t>
      </w:r>
      <w:proofErr w:type="gramStart"/>
      <w:r w:rsidRPr="006F2183">
        <w:rPr>
          <w:rFonts w:ascii="Arial" w:hAnsi="Arial" w:cs="Arial"/>
        </w:rPr>
        <w:t>specifying</w:t>
      </w:r>
      <w:proofErr w:type="gramEnd"/>
      <w:r w:rsidRPr="006F2183">
        <w:rPr>
          <w:rFonts w:ascii="Arial" w:hAnsi="Arial" w:cs="Arial"/>
        </w:rPr>
        <w:t xml:space="preserve"> what needs to happen now and what the short-term priorities are. They should lead by example through training, using new systems openly, and sharing early-adopter experiences in a way that normalizes learning curves.</w:t>
      </w:r>
    </w:p>
    <w:p w14:paraId="11B28616" w14:textId="77777777" w:rsidR="005A7151" w:rsidRPr="006F2183" w:rsidRDefault="005A7151" w:rsidP="005A7151">
      <w:pPr>
        <w:rPr>
          <w:rFonts w:ascii="Arial" w:hAnsi="Arial" w:cs="Arial"/>
        </w:rPr>
      </w:pPr>
      <w:r w:rsidRPr="006F2183">
        <w:rPr>
          <w:rFonts w:ascii="Arial" w:hAnsi="Arial" w:cs="Arial"/>
        </w:rPr>
        <w:t>Urgent implementation depends on managers' safeguarding time for staff development, scheduling training into work plans, temporarily delegating operational tasks, and adjusting workloads to allow attendance at learning sessions. Managers who do not prioritize development may undermine adoption and increase complaints.</w:t>
      </w:r>
    </w:p>
    <w:p w14:paraId="1AA8F994" w14:textId="59472E37" w:rsidR="005A7151" w:rsidRPr="006F2183" w:rsidRDefault="005A7151" w:rsidP="005A7151">
      <w:pPr>
        <w:rPr>
          <w:rFonts w:ascii="Arial" w:hAnsi="Arial" w:cs="Arial"/>
        </w:rPr>
      </w:pPr>
      <w:r w:rsidRPr="006F2183">
        <w:rPr>
          <w:rFonts w:ascii="Arial" w:hAnsi="Arial" w:cs="Arial"/>
        </w:rPr>
        <w:lastRenderedPageBreak/>
        <w:t>Managers should look at the data</w:t>
      </w:r>
      <w:r w:rsidR="00CE3F41">
        <w:rPr>
          <w:rFonts w:ascii="Arial" w:hAnsi="Arial" w:cs="Arial"/>
        </w:rPr>
        <w:t xml:space="preserve"> (</w:t>
      </w:r>
      <w:r w:rsidRPr="006F2183">
        <w:rPr>
          <w:rFonts w:ascii="Arial" w:hAnsi="Arial" w:cs="Arial"/>
        </w:rPr>
        <w:t>pulse surveys, engagement metrics, and performance indicators</w:t>
      </w:r>
      <w:r w:rsidR="00CE3F41">
        <w:rPr>
          <w:rFonts w:ascii="Arial" w:hAnsi="Arial" w:cs="Arial"/>
        </w:rPr>
        <w:t xml:space="preserve">) </w:t>
      </w:r>
      <w:r w:rsidRPr="006F2183">
        <w:rPr>
          <w:rFonts w:ascii="Arial" w:hAnsi="Arial" w:cs="Arial"/>
        </w:rPr>
        <w:t>that explain how practices are doing. Rapid iteration based on feedback is critical. For example, if a new tool creates confusion, managers should elevate concerns to HR/IT and pilot alternative approaches rather than wait for formal evaluation cycles. The result of this agile problem-solving is less frustration and evidence of responsiveness.</w:t>
      </w:r>
    </w:p>
    <w:p w14:paraId="1A85B03D" w14:textId="4F991D6E" w:rsidR="005A7151" w:rsidRPr="006F2183" w:rsidRDefault="005A7151" w:rsidP="005A7151">
      <w:pPr>
        <w:rPr>
          <w:rFonts w:ascii="Arial" w:hAnsi="Arial" w:cs="Arial"/>
        </w:rPr>
      </w:pPr>
      <w:r w:rsidRPr="006F2183">
        <w:rPr>
          <w:rFonts w:ascii="Arial" w:hAnsi="Arial" w:cs="Arial"/>
        </w:rPr>
        <w:t xml:space="preserve">Managers should make sure that remote workers get due shares of decisions, project visibility, and performance opportunities. Clearly spelled-out criteria for performance review and a transparent system of workload distribution create perceptions of fairness. Opportunities for </w:t>
      </w:r>
      <w:r w:rsidR="006D25BA" w:rsidRPr="006F2183">
        <w:rPr>
          <w:rFonts w:ascii="Arial" w:hAnsi="Arial" w:cs="Arial"/>
        </w:rPr>
        <w:t>stretching</w:t>
      </w:r>
      <w:r w:rsidRPr="006F2183">
        <w:rPr>
          <w:rFonts w:ascii="Arial" w:hAnsi="Arial" w:cs="Arial"/>
        </w:rPr>
        <w:t xml:space="preserve"> assignments and visibility at meetings should be equally provided to remote workers to maintain career momentum.</w:t>
      </w:r>
    </w:p>
    <w:p w14:paraId="78C67432" w14:textId="77777777" w:rsidR="005A7151" w:rsidRPr="006F2183" w:rsidRDefault="005A7151" w:rsidP="005A7151">
      <w:pPr>
        <w:rPr>
          <w:rFonts w:ascii="Arial" w:hAnsi="Arial" w:cs="Arial"/>
        </w:rPr>
      </w:pPr>
      <w:r w:rsidRPr="006F2183">
        <w:rPr>
          <w:rFonts w:ascii="Arial" w:hAnsi="Arial" w:cs="Arial"/>
        </w:rPr>
        <w:t>Given that many grievances concern interpersonal matters, which are accentuated by change, managers must be equipped with emotional intelligence, conflict mediation, and active listening. HR's role should encompass offering fast-track training programs to equip managers with such skills and coaching support in handling complex disputes.</w:t>
      </w:r>
    </w:p>
    <w:p w14:paraId="5F627535" w14:textId="0E4DD54D" w:rsidR="005A7151" w:rsidRPr="006F2183" w:rsidRDefault="005A7151" w:rsidP="005A7151">
      <w:pPr>
        <w:rPr>
          <w:rFonts w:ascii="Arial" w:hAnsi="Arial" w:cs="Arial"/>
        </w:rPr>
      </w:pPr>
      <w:r w:rsidRPr="006F2183">
        <w:rPr>
          <w:rFonts w:ascii="Arial" w:hAnsi="Arial" w:cs="Arial"/>
        </w:rPr>
        <w:t xml:space="preserve">Accountability mechanisms, through clear KPIs on adoption rates, training completion, grievance reduction targets, and wellbeing metrics that link managerial performance evaluation and incentives to such KPIs, further the implementation urgency. It </w:t>
      </w:r>
      <w:r w:rsidR="00202F26" w:rsidRPr="006F2183">
        <w:rPr>
          <w:rFonts w:ascii="Arial" w:hAnsi="Arial" w:cs="Arial"/>
        </w:rPr>
        <w:t>shows</w:t>
      </w:r>
      <w:r w:rsidRPr="006F2183">
        <w:rPr>
          <w:rFonts w:ascii="Arial" w:hAnsi="Arial" w:cs="Arial"/>
        </w:rPr>
        <w:t xml:space="preserve"> seriousness about implementation. However, such targets should be carefully designed to be equitable across teams with differences in context.</w:t>
      </w:r>
    </w:p>
    <w:p w14:paraId="689FB8AE" w14:textId="22C507A9" w:rsidR="005A7151" w:rsidRPr="006F2183" w:rsidRDefault="005A7151" w:rsidP="00E5724E">
      <w:pPr>
        <w:pStyle w:val="Heading1"/>
      </w:pPr>
      <w:r w:rsidRPr="006F2183">
        <w:t xml:space="preserve">4. Conclusion </w:t>
      </w:r>
    </w:p>
    <w:p w14:paraId="76AF27DF" w14:textId="77777777" w:rsidR="00B9018C" w:rsidRDefault="00B9018C" w:rsidP="005A7151">
      <w:pPr>
        <w:rPr>
          <w:rFonts w:ascii="Arial" w:hAnsi="Arial" w:cs="Arial"/>
        </w:rPr>
      </w:pPr>
    </w:p>
    <w:p w14:paraId="1B15AD91" w14:textId="65D9FC41" w:rsidR="005A7151" w:rsidRPr="006F2183" w:rsidRDefault="005A7151" w:rsidP="005A7151">
      <w:pPr>
        <w:rPr>
          <w:rFonts w:ascii="Arial" w:hAnsi="Arial" w:cs="Arial"/>
        </w:rPr>
      </w:pPr>
      <w:r w:rsidRPr="006F2183">
        <w:rPr>
          <w:rFonts w:ascii="Arial" w:hAnsi="Arial" w:cs="Arial"/>
        </w:rPr>
        <w:t xml:space="preserve">This report has examined the </w:t>
      </w:r>
      <w:r w:rsidR="00202F26" w:rsidRPr="006F2183">
        <w:rPr>
          <w:rFonts w:ascii="Arial" w:hAnsi="Arial" w:cs="Arial"/>
        </w:rPr>
        <w:t>drivers</w:t>
      </w:r>
      <w:r w:rsidRPr="006F2183">
        <w:rPr>
          <w:rFonts w:ascii="Arial" w:hAnsi="Arial" w:cs="Arial"/>
        </w:rPr>
        <w:t xml:space="preserve"> of increased employee grievances for an organization based in London or Birmingham that is undergoing business transformation, rapid digital technology adoption, and a shift to flexible working. The analysis demonstrates that clearly, grievances are not administrative issues but symptoms of deeper dynamics concerning fairness, capability, and communication. HR is best placed to lead a comprehensive response that encompasses structural redesign, digital competence, infrastructure provisioning, and inclusive hybrid practices. Of course, HR cannot deliver these interventions itself; it requires departmental managers to be active partners in implementation.</w:t>
      </w:r>
    </w:p>
    <w:p w14:paraId="2FEA026E" w14:textId="77777777" w:rsidR="00DA4440" w:rsidRPr="006F2183" w:rsidRDefault="00000000" w:rsidP="00E5724E">
      <w:pPr>
        <w:pStyle w:val="Heading1"/>
      </w:pPr>
      <w:r w:rsidRPr="006F2183">
        <w:br/>
        <w:t>References</w:t>
      </w:r>
    </w:p>
    <w:p w14:paraId="408E33C6" w14:textId="77777777" w:rsidR="008F5E38" w:rsidRDefault="008F5E38" w:rsidP="008F5E38">
      <w:pPr>
        <w:rPr>
          <w:rFonts w:ascii="Arial" w:hAnsi="Arial" w:cs="Arial"/>
          <w:b/>
          <w:bCs/>
          <w:lang w:val="en-GB"/>
        </w:rPr>
      </w:pPr>
    </w:p>
    <w:p w14:paraId="6D41555C" w14:textId="0D74452B" w:rsidR="008F5E38" w:rsidRPr="008F5E38" w:rsidRDefault="008F5E38" w:rsidP="008F5E38">
      <w:pPr>
        <w:rPr>
          <w:rFonts w:ascii="Arial" w:hAnsi="Arial" w:cs="Arial"/>
          <w:lang w:val="en-GB"/>
        </w:rPr>
      </w:pPr>
      <w:r w:rsidRPr="008F5E38">
        <w:rPr>
          <w:rFonts w:ascii="Arial" w:hAnsi="Arial" w:cs="Arial"/>
          <w:lang w:val="en-GB"/>
        </w:rPr>
        <w:t xml:space="preserve">Burnes, B. (2017). </w:t>
      </w:r>
      <w:r w:rsidRPr="008F5E38">
        <w:rPr>
          <w:rFonts w:ascii="Arial" w:hAnsi="Arial" w:cs="Arial"/>
          <w:i/>
          <w:iCs/>
          <w:lang w:val="en-GB"/>
        </w:rPr>
        <w:t>Managing Change</w:t>
      </w:r>
      <w:r w:rsidRPr="008F5E38">
        <w:rPr>
          <w:rFonts w:ascii="Arial" w:hAnsi="Arial" w:cs="Arial"/>
          <w:lang w:val="en-GB"/>
        </w:rPr>
        <w:t>. 7th ed. Harlow: Pearson Education Limited.</w:t>
      </w:r>
    </w:p>
    <w:p w14:paraId="7E74A334" w14:textId="77777777" w:rsidR="008F5E38" w:rsidRPr="008F5E38" w:rsidRDefault="008F5E38" w:rsidP="008F5E38">
      <w:pPr>
        <w:rPr>
          <w:rFonts w:ascii="Arial" w:hAnsi="Arial" w:cs="Arial"/>
          <w:lang w:val="en-GB"/>
        </w:rPr>
      </w:pPr>
      <w:r w:rsidRPr="008F5E38">
        <w:rPr>
          <w:rFonts w:ascii="Arial" w:hAnsi="Arial" w:cs="Arial"/>
          <w:lang w:val="en-GB"/>
        </w:rPr>
        <w:t xml:space="preserve">Choudhury, P. (2020). </w:t>
      </w:r>
      <w:r w:rsidRPr="008F5E38">
        <w:rPr>
          <w:rFonts w:ascii="Arial" w:hAnsi="Arial" w:cs="Arial"/>
          <w:i/>
          <w:iCs/>
          <w:lang w:val="en-GB"/>
        </w:rPr>
        <w:t>Work-From-Anywhere</w:t>
      </w:r>
      <w:r w:rsidRPr="008F5E38">
        <w:rPr>
          <w:rFonts w:ascii="Arial" w:hAnsi="Arial" w:cs="Arial"/>
          <w:lang w:val="en-GB"/>
        </w:rPr>
        <w:t>. Strategic Management Journal.</w:t>
      </w:r>
    </w:p>
    <w:p w14:paraId="5BA5FA99" w14:textId="77777777" w:rsidR="008F5E38" w:rsidRPr="008F5E38" w:rsidRDefault="008F5E38" w:rsidP="008F5E38">
      <w:pPr>
        <w:rPr>
          <w:rFonts w:ascii="Arial" w:hAnsi="Arial" w:cs="Arial"/>
          <w:lang w:val="en-GB"/>
        </w:rPr>
      </w:pPr>
      <w:r w:rsidRPr="008F5E38">
        <w:rPr>
          <w:rFonts w:ascii="Arial" w:hAnsi="Arial" w:cs="Arial"/>
          <w:lang w:val="en-GB"/>
        </w:rPr>
        <w:lastRenderedPageBreak/>
        <w:t xml:space="preserve">Davenport T (2018). </w:t>
      </w:r>
      <w:r w:rsidRPr="008F5E38">
        <w:rPr>
          <w:rFonts w:ascii="Arial" w:hAnsi="Arial" w:cs="Arial"/>
          <w:i/>
          <w:iCs/>
          <w:lang w:val="en-GB"/>
        </w:rPr>
        <w:t>Artificial Intelligence in the Real World</w:t>
      </w:r>
      <w:r w:rsidRPr="008F5E38">
        <w:rPr>
          <w:rFonts w:ascii="Arial" w:hAnsi="Arial" w:cs="Arial"/>
          <w:lang w:val="en-GB"/>
        </w:rPr>
        <w:t>. North Star Editions, Inc.</w:t>
      </w:r>
    </w:p>
    <w:p w14:paraId="098BB167" w14:textId="77777777" w:rsidR="008F5E38" w:rsidRPr="008F5E38" w:rsidRDefault="008F5E38" w:rsidP="008F5E38">
      <w:pPr>
        <w:rPr>
          <w:rFonts w:ascii="Arial" w:hAnsi="Arial" w:cs="Arial"/>
          <w:lang w:val="en-GB"/>
        </w:rPr>
      </w:pPr>
      <w:r w:rsidRPr="008F5E38">
        <w:rPr>
          <w:rFonts w:ascii="Arial" w:hAnsi="Arial" w:cs="Arial"/>
          <w:lang w:val="en-GB"/>
        </w:rPr>
        <w:t xml:space="preserve">Goleman, D. (2018). </w:t>
      </w:r>
      <w:r w:rsidRPr="008F5E38">
        <w:rPr>
          <w:rFonts w:ascii="Arial" w:hAnsi="Arial" w:cs="Arial"/>
          <w:i/>
          <w:iCs/>
          <w:lang w:val="en-GB"/>
        </w:rPr>
        <w:t>Working with Emotional Intelligence</w:t>
      </w:r>
      <w:r w:rsidRPr="008F5E38">
        <w:rPr>
          <w:rFonts w:ascii="Arial" w:hAnsi="Arial" w:cs="Arial"/>
          <w:lang w:val="en-GB"/>
        </w:rPr>
        <w:t>. New York: Bantam Books.</w:t>
      </w:r>
    </w:p>
    <w:p w14:paraId="4F216C85" w14:textId="77777777" w:rsidR="008F5E38" w:rsidRPr="008F5E38" w:rsidRDefault="008F5E38" w:rsidP="008F5E38">
      <w:pPr>
        <w:rPr>
          <w:rFonts w:ascii="Arial" w:hAnsi="Arial" w:cs="Arial"/>
          <w:lang w:val="en-GB"/>
        </w:rPr>
      </w:pPr>
      <w:r w:rsidRPr="008F5E38">
        <w:rPr>
          <w:rFonts w:ascii="Arial" w:hAnsi="Arial" w:cs="Arial"/>
          <w:lang w:val="en-GB"/>
        </w:rPr>
        <w:t xml:space="preserve">Kotter, J.P. (2012). </w:t>
      </w:r>
      <w:r w:rsidRPr="008F5E38">
        <w:rPr>
          <w:rFonts w:ascii="Arial" w:hAnsi="Arial" w:cs="Arial"/>
          <w:i/>
          <w:iCs/>
          <w:lang w:val="en-GB"/>
        </w:rPr>
        <w:t>Leading Change</w:t>
      </w:r>
      <w:r w:rsidRPr="008F5E38">
        <w:rPr>
          <w:rFonts w:ascii="Arial" w:hAnsi="Arial" w:cs="Arial"/>
          <w:lang w:val="en-GB"/>
        </w:rPr>
        <w:t>. Boston, Massachusetts: Harvard Business Review Press.</w:t>
      </w:r>
    </w:p>
    <w:p w14:paraId="504D1BAF" w14:textId="77777777" w:rsidR="008F5E38" w:rsidRPr="008F5E38" w:rsidRDefault="008F5E38" w:rsidP="008F5E38">
      <w:pPr>
        <w:rPr>
          <w:rFonts w:ascii="Arial" w:hAnsi="Arial" w:cs="Arial"/>
          <w:lang w:val="en-GB"/>
        </w:rPr>
      </w:pPr>
      <w:r w:rsidRPr="008F5E38">
        <w:rPr>
          <w:rFonts w:ascii="Arial" w:hAnsi="Arial" w:cs="Arial"/>
          <w:lang w:val="en-GB"/>
        </w:rPr>
        <w:t xml:space="preserve">Morley, J., Machado, C.C.V., Burr, C., Cowls, J., Joshi, I., Taddeo, M. and </w:t>
      </w:r>
      <w:proofErr w:type="spellStart"/>
      <w:r w:rsidRPr="008F5E38">
        <w:rPr>
          <w:rFonts w:ascii="Arial" w:hAnsi="Arial" w:cs="Arial"/>
          <w:lang w:val="en-GB"/>
        </w:rPr>
        <w:t>Floridi</w:t>
      </w:r>
      <w:proofErr w:type="spellEnd"/>
      <w:r w:rsidRPr="008F5E38">
        <w:rPr>
          <w:rFonts w:ascii="Arial" w:hAnsi="Arial" w:cs="Arial"/>
          <w:lang w:val="en-GB"/>
        </w:rPr>
        <w:t xml:space="preserve">, L. (2020). The ethics of AI in health care: A mapping review. </w:t>
      </w:r>
      <w:r w:rsidRPr="008F5E38">
        <w:rPr>
          <w:rFonts w:ascii="Arial" w:hAnsi="Arial" w:cs="Arial"/>
          <w:i/>
          <w:iCs/>
          <w:lang w:val="en-GB"/>
        </w:rPr>
        <w:t>Social Science &amp; Medicine</w:t>
      </w:r>
      <w:r w:rsidRPr="008F5E38">
        <w:rPr>
          <w:rFonts w:ascii="Arial" w:hAnsi="Arial" w:cs="Arial"/>
          <w:lang w:val="en-GB"/>
        </w:rPr>
        <w:t xml:space="preserve">, 260(113172), p.113172. </w:t>
      </w:r>
      <w:proofErr w:type="spellStart"/>
      <w:proofErr w:type="gramStart"/>
      <w:r w:rsidRPr="008F5E38">
        <w:rPr>
          <w:rFonts w:ascii="Arial" w:hAnsi="Arial" w:cs="Arial"/>
          <w:lang w:val="en-GB"/>
        </w:rPr>
        <w:t>doi:https</w:t>
      </w:r>
      <w:proofErr w:type="spellEnd"/>
      <w:r w:rsidRPr="008F5E38">
        <w:rPr>
          <w:rFonts w:ascii="Arial" w:hAnsi="Arial" w:cs="Arial"/>
          <w:lang w:val="en-GB"/>
        </w:rPr>
        <w:t>://doi.org/10.1016/j.socscimed.2020.113172</w:t>
      </w:r>
      <w:proofErr w:type="gramEnd"/>
      <w:r w:rsidRPr="008F5E38">
        <w:rPr>
          <w:rFonts w:ascii="Arial" w:hAnsi="Arial" w:cs="Arial"/>
          <w:lang w:val="en-GB"/>
        </w:rPr>
        <w:t>.</w:t>
      </w:r>
    </w:p>
    <w:p w14:paraId="392BDB98" w14:textId="77777777" w:rsidR="008F5E38" w:rsidRPr="008F5E38" w:rsidRDefault="008F5E38" w:rsidP="008F5E38">
      <w:pPr>
        <w:rPr>
          <w:rFonts w:ascii="Arial" w:hAnsi="Arial" w:cs="Arial"/>
          <w:lang w:val="en-GB"/>
        </w:rPr>
      </w:pPr>
      <w:r w:rsidRPr="008F5E38">
        <w:rPr>
          <w:rFonts w:ascii="Arial" w:hAnsi="Arial" w:cs="Arial"/>
          <w:lang w:val="en-GB"/>
        </w:rPr>
        <w:t xml:space="preserve">Noe, R.A. (2020). </w:t>
      </w:r>
      <w:r w:rsidRPr="008F5E38">
        <w:rPr>
          <w:rFonts w:ascii="Arial" w:hAnsi="Arial" w:cs="Arial"/>
          <w:i/>
          <w:iCs/>
          <w:lang w:val="en-GB"/>
        </w:rPr>
        <w:t>Employee Training and Development</w:t>
      </w:r>
      <w:r w:rsidRPr="008F5E38">
        <w:rPr>
          <w:rFonts w:ascii="Arial" w:hAnsi="Arial" w:cs="Arial"/>
          <w:lang w:val="en-GB"/>
        </w:rPr>
        <w:t>. 9th ed. New York, NY: McGraw-Hill Education.</w:t>
      </w:r>
    </w:p>
    <w:p w14:paraId="629439F2" w14:textId="77777777" w:rsidR="008F5E38" w:rsidRPr="008F5E38" w:rsidRDefault="008F5E38" w:rsidP="008F5E38">
      <w:pPr>
        <w:rPr>
          <w:rFonts w:ascii="Arial" w:hAnsi="Arial" w:cs="Arial"/>
          <w:lang w:val="en-GB"/>
        </w:rPr>
      </w:pPr>
      <w:r w:rsidRPr="008F5E38">
        <w:rPr>
          <w:rFonts w:ascii="Arial" w:hAnsi="Arial" w:cs="Arial"/>
          <w:lang w:val="en-GB"/>
        </w:rPr>
        <w:t xml:space="preserve">Putnam, R.D. (2000). </w:t>
      </w:r>
      <w:r w:rsidRPr="008F5E38">
        <w:rPr>
          <w:rFonts w:ascii="Arial" w:hAnsi="Arial" w:cs="Arial"/>
          <w:i/>
          <w:iCs/>
          <w:lang w:val="en-GB"/>
        </w:rPr>
        <w:t>Bowling Alone: The Collapse and Revival of American Community</w:t>
      </w:r>
      <w:r w:rsidRPr="008F5E38">
        <w:rPr>
          <w:rFonts w:ascii="Arial" w:hAnsi="Arial" w:cs="Arial"/>
          <w:lang w:val="en-GB"/>
        </w:rPr>
        <w:t>. New York: Simon &amp; Schuster.</w:t>
      </w:r>
    </w:p>
    <w:p w14:paraId="3F6BFC78" w14:textId="6B7FF00C" w:rsidR="00DA4440" w:rsidRPr="006F2183" w:rsidRDefault="00000000">
      <w:pPr>
        <w:rPr>
          <w:rFonts w:ascii="Arial" w:hAnsi="Arial" w:cs="Arial"/>
        </w:rPr>
      </w:pPr>
      <w:r w:rsidRPr="006F2183">
        <w:rPr>
          <w:rFonts w:ascii="Arial" w:hAnsi="Arial" w:cs="Arial"/>
        </w:rPr>
        <w:br/>
      </w:r>
    </w:p>
    <w:sectPr w:rsidR="00DA4440" w:rsidRPr="006F2183" w:rsidSect="00034616">
      <w:headerReference w:type="even" r:id="rId8"/>
      <w:headerReference w:type="default" r:id="rId9"/>
      <w:footerReference w:type="even" r:id="rId10"/>
      <w:footerReference w:type="default" r:id="rId11"/>
      <w:headerReference w:type="first" r:id="rId12"/>
      <w:footerReference w:type="first" r:id="rId13"/>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1011B" w14:textId="77777777" w:rsidR="00DF69DC" w:rsidRDefault="00DF69DC" w:rsidP="00CB5028">
      <w:pPr>
        <w:spacing w:after="0" w:line="240" w:lineRule="auto"/>
      </w:pPr>
      <w:r>
        <w:separator/>
      </w:r>
    </w:p>
  </w:endnote>
  <w:endnote w:type="continuationSeparator" w:id="0">
    <w:p w14:paraId="4246A703" w14:textId="77777777" w:rsidR="00DF69DC" w:rsidRDefault="00DF69DC" w:rsidP="00CB50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4E5EE1" w14:textId="77777777" w:rsidR="00CB5028" w:rsidRDefault="00CB50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2766148"/>
      <w:docPartObj>
        <w:docPartGallery w:val="Page Numbers (Bottom of Page)"/>
        <w:docPartUnique/>
      </w:docPartObj>
    </w:sdtPr>
    <w:sdtContent>
      <w:p w14:paraId="4B728AC2" w14:textId="02785CBC" w:rsidR="00CB5028" w:rsidRDefault="00CB5028">
        <w:pPr>
          <w:pStyle w:val="Footer"/>
          <w:jc w:val="right"/>
        </w:pPr>
        <w:r>
          <w:fldChar w:fldCharType="begin"/>
        </w:r>
        <w:r>
          <w:instrText>PAGE   \* MERGEFORMAT</w:instrText>
        </w:r>
        <w:r>
          <w:fldChar w:fldCharType="separate"/>
        </w:r>
        <w:r>
          <w:rPr>
            <w:lang w:val="en-GB"/>
          </w:rPr>
          <w:t>2</w:t>
        </w:r>
        <w:r>
          <w:fldChar w:fldCharType="end"/>
        </w:r>
      </w:p>
    </w:sdtContent>
  </w:sdt>
  <w:p w14:paraId="4B625E64" w14:textId="77777777" w:rsidR="00CB5028" w:rsidRDefault="00CB50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3F109" w14:textId="77777777" w:rsidR="00CB5028" w:rsidRDefault="00CB50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C7D79" w14:textId="77777777" w:rsidR="00DF69DC" w:rsidRDefault="00DF69DC" w:rsidP="00CB5028">
      <w:pPr>
        <w:spacing w:after="0" w:line="240" w:lineRule="auto"/>
      </w:pPr>
      <w:r>
        <w:separator/>
      </w:r>
    </w:p>
  </w:footnote>
  <w:footnote w:type="continuationSeparator" w:id="0">
    <w:p w14:paraId="791FA117" w14:textId="77777777" w:rsidR="00DF69DC" w:rsidRDefault="00DF69DC" w:rsidP="00CB50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560AE7" w14:textId="77777777" w:rsidR="00CB5028" w:rsidRDefault="00CB50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0EA934" w14:textId="77777777" w:rsidR="00CB5028" w:rsidRDefault="00CB50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BB5920" w14:textId="77777777" w:rsidR="00CB5028" w:rsidRDefault="00CB50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21092882">
    <w:abstractNumId w:val="8"/>
  </w:num>
  <w:num w:numId="2" w16cid:durableId="1113600359">
    <w:abstractNumId w:val="6"/>
  </w:num>
  <w:num w:numId="3" w16cid:durableId="1805386493">
    <w:abstractNumId w:val="5"/>
  </w:num>
  <w:num w:numId="4" w16cid:durableId="395277257">
    <w:abstractNumId w:val="4"/>
  </w:num>
  <w:num w:numId="5" w16cid:durableId="1900705465">
    <w:abstractNumId w:val="7"/>
  </w:num>
  <w:num w:numId="6" w16cid:durableId="1418794904">
    <w:abstractNumId w:val="3"/>
  </w:num>
  <w:num w:numId="7" w16cid:durableId="1087069125">
    <w:abstractNumId w:val="2"/>
  </w:num>
  <w:num w:numId="8" w16cid:durableId="382607019">
    <w:abstractNumId w:val="1"/>
  </w:num>
  <w:num w:numId="9" w16cid:durableId="128028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6DF4"/>
    <w:rsid w:val="00034616"/>
    <w:rsid w:val="00057264"/>
    <w:rsid w:val="0006063C"/>
    <w:rsid w:val="0015074B"/>
    <w:rsid w:val="0018798E"/>
    <w:rsid w:val="001B0F78"/>
    <w:rsid w:val="00202F26"/>
    <w:rsid w:val="002036D0"/>
    <w:rsid w:val="0024686D"/>
    <w:rsid w:val="0029639D"/>
    <w:rsid w:val="002F52B7"/>
    <w:rsid w:val="00326F90"/>
    <w:rsid w:val="00355713"/>
    <w:rsid w:val="00362AC6"/>
    <w:rsid w:val="003E6A61"/>
    <w:rsid w:val="00445810"/>
    <w:rsid w:val="00491566"/>
    <w:rsid w:val="004C593F"/>
    <w:rsid w:val="00505591"/>
    <w:rsid w:val="005A7151"/>
    <w:rsid w:val="006915DF"/>
    <w:rsid w:val="006D25BA"/>
    <w:rsid w:val="006F2183"/>
    <w:rsid w:val="00701077"/>
    <w:rsid w:val="007F787F"/>
    <w:rsid w:val="00804169"/>
    <w:rsid w:val="00806383"/>
    <w:rsid w:val="00833404"/>
    <w:rsid w:val="0083651F"/>
    <w:rsid w:val="008F5E38"/>
    <w:rsid w:val="00934FC9"/>
    <w:rsid w:val="00967FFB"/>
    <w:rsid w:val="00A33D40"/>
    <w:rsid w:val="00AA1D8D"/>
    <w:rsid w:val="00B10EE2"/>
    <w:rsid w:val="00B47730"/>
    <w:rsid w:val="00B9018C"/>
    <w:rsid w:val="00B938B1"/>
    <w:rsid w:val="00BA47CE"/>
    <w:rsid w:val="00BA756D"/>
    <w:rsid w:val="00BD444A"/>
    <w:rsid w:val="00C00E82"/>
    <w:rsid w:val="00C87890"/>
    <w:rsid w:val="00CB0664"/>
    <w:rsid w:val="00CB5028"/>
    <w:rsid w:val="00CE3F41"/>
    <w:rsid w:val="00D1601F"/>
    <w:rsid w:val="00D62BB2"/>
    <w:rsid w:val="00DA4440"/>
    <w:rsid w:val="00DE0437"/>
    <w:rsid w:val="00DF69DC"/>
    <w:rsid w:val="00E3409A"/>
    <w:rsid w:val="00E4599B"/>
    <w:rsid w:val="00E46B50"/>
    <w:rsid w:val="00E5724E"/>
    <w:rsid w:val="00EB3E5C"/>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BEFA2DC"/>
  <w14:defaultImageDpi w14:val="300"/>
  <w15:docId w15:val="{D9E5EF77-1F8D-4A94-B103-A1AB6AD5E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7</Pages>
  <Words>2010</Words>
  <Characters>13160</Characters>
  <Application>Microsoft Office Word</Application>
  <DocSecurity>0</DocSecurity>
  <Lines>213</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15132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Panav khemani</cp:lastModifiedBy>
  <cp:revision>42</cp:revision>
  <dcterms:created xsi:type="dcterms:W3CDTF">2025-11-17T07:51:00Z</dcterms:created>
  <dcterms:modified xsi:type="dcterms:W3CDTF">2025-11-20T21:32:00Z</dcterms:modified>
  <cp:category/>
</cp:coreProperties>
</file>