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0644208" w14:textId="16BADA5F" w:rsidR="00D04DEB" w:rsidRDefault="00D04DEB" w:rsidP="006129F3">
      <w:pPr>
        <w:pStyle w:val="Title"/>
        <w:jc w:val="center"/>
      </w:pPr>
      <w:r w:rsidRPr="006129F3">
        <w:t>Conflict vs Consensus Police: How Sociological theory portray the public perception of policing</w:t>
      </w:r>
    </w:p>
    <w:p w14:paraId="5A89C675" w14:textId="77777777" w:rsidR="006129F3" w:rsidRDefault="006129F3" w:rsidP="006129F3"/>
    <w:p w14:paraId="7F632DA1" w14:textId="143501A0" w:rsidR="006129F3" w:rsidRPr="006129F3" w:rsidRDefault="006129F3" w:rsidP="006129F3">
      <w:pPr>
        <w:jc w:val="center"/>
        <w:rPr>
          <w:rFonts w:ascii="Arial" w:hAnsi="Arial" w:cs="Arial"/>
          <w:b/>
          <w:bCs/>
          <w:sz w:val="32"/>
          <w:szCs w:val="32"/>
          <w:u w:val="single"/>
        </w:rPr>
      </w:pPr>
      <w:r w:rsidRPr="006129F3">
        <w:rPr>
          <w:rFonts w:ascii="Arial" w:hAnsi="Arial" w:cs="Arial"/>
          <w:b/>
          <w:bCs/>
          <w:sz w:val="32"/>
          <w:szCs w:val="32"/>
          <w:u w:val="single"/>
        </w:rPr>
        <w:t>Literature Review:</w:t>
      </w:r>
    </w:p>
    <w:p w14:paraId="121B9F7A" w14:textId="77777777" w:rsidR="00923E0C" w:rsidRDefault="00923E0C" w:rsidP="006129F3">
      <w:pPr>
        <w:shd w:val="clear" w:color="auto" w:fill="FFFFFF"/>
        <w:spacing w:after="0" w:line="240" w:lineRule="auto"/>
        <w:textAlignment w:val="baseline"/>
        <w:rPr>
          <w:sz w:val="32"/>
          <w:szCs w:val="32"/>
        </w:rPr>
      </w:pPr>
    </w:p>
    <w:p w14:paraId="6BB2812A" w14:textId="2B7E8447" w:rsidR="006129F3" w:rsidRPr="006129F3" w:rsidRDefault="006129F3" w:rsidP="006129F3">
      <w:pPr>
        <w:pBdr>
          <w:bottom w:val="single" w:sz="6" w:space="1" w:color="auto"/>
        </w:pBdr>
        <w:shd w:val="clear" w:color="auto" w:fill="FFFFFF"/>
        <w:spacing w:after="0" w:line="240" w:lineRule="auto"/>
        <w:textAlignment w:val="baseline"/>
        <w:rPr>
          <w:rFonts w:ascii="Arial" w:hAnsi="Arial" w:cs="Arial"/>
          <w:b/>
          <w:bCs/>
          <w:i/>
          <w:iCs/>
          <w:sz w:val="32"/>
          <w:szCs w:val="32"/>
        </w:rPr>
      </w:pPr>
      <w:r w:rsidRPr="006129F3">
        <w:rPr>
          <w:rFonts w:ascii="Arial" w:hAnsi="Arial" w:cs="Arial"/>
          <w:b/>
          <w:bCs/>
          <w:i/>
          <w:iCs/>
          <w:sz w:val="32"/>
          <w:szCs w:val="32"/>
        </w:rPr>
        <w:t>Introduction:</w:t>
      </w:r>
    </w:p>
    <w:p w14:paraId="3B77E5A2" w14:textId="77777777" w:rsidR="006129F3" w:rsidRPr="006129F3" w:rsidRDefault="006129F3" w:rsidP="006129F3">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1D49D80A" w14:textId="38DF671A" w:rsidR="00923E0C" w:rsidRDefault="00923E0C"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In literacy and writing, Consensus vs Conflict theories debate their theorems on how the public view the police. The below writing highlights how these theories are evidenced in opinions broadcasted and shared in different versions of media and reports which will evidence how credible these theories are at representing the public opinion.</w:t>
      </w:r>
    </w:p>
    <w:p w14:paraId="3014AF06" w14:textId="77777777" w:rsidR="00C8546E" w:rsidRDefault="00C8546E"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78876CDB" w14:textId="3D982886" w:rsidR="0083243C" w:rsidRPr="006129F3" w:rsidRDefault="0083243C" w:rsidP="00923E0C">
      <w:pPr>
        <w:pBdr>
          <w:bottom w:val="single" w:sz="6" w:space="1" w:color="auto"/>
        </w:pBdr>
        <w:shd w:val="clear" w:color="auto" w:fill="FFFFFF"/>
        <w:spacing w:after="0" w:line="240" w:lineRule="auto"/>
        <w:textAlignment w:val="baseline"/>
        <w:rPr>
          <w:rFonts w:ascii="Arial" w:eastAsia="Times New Roman" w:hAnsi="Arial" w:cs="Arial"/>
          <w:b/>
          <w:bCs/>
          <w:i/>
          <w:iCs/>
          <w:color w:val="404040"/>
          <w:kern w:val="0"/>
          <w:sz w:val="32"/>
          <w:szCs w:val="32"/>
          <w:lang w:eastAsia="en-GB"/>
          <w14:ligatures w14:val="none"/>
        </w:rPr>
      </w:pPr>
      <w:r w:rsidRPr="006129F3">
        <w:rPr>
          <w:rFonts w:ascii="Arial" w:eastAsia="Times New Roman" w:hAnsi="Arial" w:cs="Arial"/>
          <w:b/>
          <w:bCs/>
          <w:i/>
          <w:iCs/>
          <w:color w:val="404040"/>
          <w:kern w:val="0"/>
          <w:sz w:val="32"/>
          <w:szCs w:val="32"/>
          <w:lang w:eastAsia="en-GB"/>
          <w14:ligatures w14:val="none"/>
        </w:rPr>
        <w:t>Conflict:</w:t>
      </w:r>
    </w:p>
    <w:p w14:paraId="1AD1808C" w14:textId="77777777" w:rsidR="0083243C" w:rsidRDefault="0083243C"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1E43D033" w14:textId="77777777" w:rsidR="00BF305D" w:rsidRDefault="00923E0C"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Initially, Conflict theory </w:t>
      </w:r>
      <w:r w:rsidR="00BF305D">
        <w:rPr>
          <w:rFonts w:ascii="Arial" w:eastAsia="Times New Roman" w:hAnsi="Arial" w:cs="Arial"/>
          <w:color w:val="404040"/>
          <w:kern w:val="0"/>
          <w:sz w:val="24"/>
          <w:szCs w:val="24"/>
          <w:lang w:eastAsia="en-GB"/>
          <w14:ligatures w14:val="none"/>
        </w:rPr>
        <w:t xml:space="preserve">has not been defined by one sociologist but many from several theories. It can be surmised as an amalgamation of theories that are based upon the ideology that individuals and groups of society connect via conflict rather than agreement. These theories which include heavy influences of Marxism, focus on social disagreements such as social class, gender and race as reasons of conflict in society. </w:t>
      </w:r>
    </w:p>
    <w:p w14:paraId="07DF95DD" w14:textId="248B5365" w:rsidR="00C8546E" w:rsidRDefault="00BF305D"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Within Marxism, there are 2 focal points of which writers have theorised how the public view the police and official state. These being “Selective Law Enforcement” and “The State and Law Making”.</w:t>
      </w:r>
    </w:p>
    <w:p w14:paraId="4612A21A" w14:textId="501151EC" w:rsidR="00BF305D" w:rsidRDefault="00BF305D"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In his 2001 book “The Rich get </w:t>
      </w:r>
      <w:proofErr w:type="gramStart"/>
      <w:r>
        <w:rPr>
          <w:rFonts w:ascii="Arial" w:eastAsia="Times New Roman" w:hAnsi="Arial" w:cs="Arial"/>
          <w:color w:val="404040"/>
          <w:kern w:val="0"/>
          <w:sz w:val="24"/>
          <w:szCs w:val="24"/>
          <w:lang w:eastAsia="en-GB"/>
          <w14:ligatures w14:val="none"/>
        </w:rPr>
        <w:t>Richer</w:t>
      </w:r>
      <w:proofErr w:type="gramEnd"/>
      <w:r>
        <w:rPr>
          <w:rFonts w:ascii="Arial" w:eastAsia="Times New Roman" w:hAnsi="Arial" w:cs="Arial"/>
          <w:color w:val="404040"/>
          <w:kern w:val="0"/>
          <w:sz w:val="24"/>
          <w:szCs w:val="24"/>
          <w:lang w:eastAsia="en-GB"/>
          <w14:ligatures w14:val="none"/>
        </w:rPr>
        <w:t xml:space="preserve"> and the Poor get Prison”, Jeffrey Reiman theorises that crimes committed by the upper class are accepted and unlikely to be treated as a criminal offence </w:t>
      </w:r>
      <w:sdt>
        <w:sdtPr>
          <w:rPr>
            <w:rFonts w:ascii="Arial" w:eastAsia="Times New Roman" w:hAnsi="Arial" w:cs="Arial"/>
            <w:color w:val="404040"/>
            <w:kern w:val="0"/>
            <w:sz w:val="24"/>
            <w:szCs w:val="24"/>
            <w:lang w:eastAsia="en-GB"/>
            <w14:ligatures w14:val="none"/>
          </w:rPr>
          <w:id w:val="76958874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Jef16 \l 2057 </w:instrText>
          </w:r>
          <w:r>
            <w:rPr>
              <w:rFonts w:ascii="Arial" w:eastAsia="Times New Roman" w:hAnsi="Arial" w:cs="Arial"/>
              <w:color w:val="404040"/>
              <w:kern w:val="0"/>
              <w:sz w:val="24"/>
              <w:szCs w:val="24"/>
              <w:lang w:eastAsia="en-GB"/>
              <w14:ligatures w14:val="none"/>
            </w:rPr>
            <w:fldChar w:fldCharType="separate"/>
          </w:r>
          <w:r w:rsidRPr="00BF305D">
            <w:rPr>
              <w:rFonts w:ascii="Arial" w:eastAsia="Times New Roman" w:hAnsi="Arial" w:cs="Arial"/>
              <w:noProof/>
              <w:color w:val="404040"/>
              <w:kern w:val="0"/>
              <w:sz w:val="24"/>
              <w:szCs w:val="24"/>
              <w:lang w:eastAsia="en-GB"/>
              <w14:ligatures w14:val="none"/>
            </w:rPr>
            <w:t>(Jeffrey Reiman, 2016)</w:t>
          </w:r>
          <w:r>
            <w:rPr>
              <w:rFonts w:ascii="Arial" w:eastAsia="Times New Roman" w:hAnsi="Arial" w:cs="Arial"/>
              <w:color w:val="404040"/>
              <w:kern w:val="0"/>
              <w:sz w:val="24"/>
              <w:szCs w:val="24"/>
              <w:lang w:eastAsia="en-GB"/>
              <w14:ligatures w14:val="none"/>
            </w:rPr>
            <w:fldChar w:fldCharType="end"/>
          </w:r>
        </w:sdtContent>
      </w:sdt>
      <w:r w:rsidR="00173265">
        <w:rPr>
          <w:rFonts w:ascii="Arial" w:eastAsia="Times New Roman" w:hAnsi="Arial" w:cs="Arial"/>
          <w:color w:val="404040"/>
          <w:kern w:val="0"/>
          <w:sz w:val="24"/>
          <w:szCs w:val="24"/>
          <w:lang w:eastAsia="en-GB"/>
          <w14:ligatures w14:val="none"/>
        </w:rPr>
        <w:t xml:space="preserve">. This idea presents the theory that police and state are “selective” in their prosecution and pursuit of crimes against those in the upper class and the crimes they are likely to commit. These being established as “complex crimes easily undetectable but the common man” such as fraud, exploitation and coercion in original Marxism writing by Karl Marx </w:t>
      </w:r>
      <w:sdt>
        <w:sdtPr>
          <w:rPr>
            <w:rFonts w:ascii="Arial" w:eastAsia="Times New Roman" w:hAnsi="Arial" w:cs="Arial"/>
            <w:color w:val="404040"/>
            <w:kern w:val="0"/>
            <w:sz w:val="24"/>
            <w:szCs w:val="24"/>
            <w:lang w:eastAsia="en-GB"/>
            <w14:ligatures w14:val="none"/>
          </w:rPr>
          <w:id w:val="-1764374450"/>
          <w:citation/>
        </w:sdtPr>
        <w:sdtEndPr/>
        <w:sdtContent>
          <w:r w:rsidR="00173265">
            <w:rPr>
              <w:rFonts w:ascii="Arial" w:eastAsia="Times New Roman" w:hAnsi="Arial" w:cs="Arial"/>
              <w:color w:val="404040"/>
              <w:kern w:val="0"/>
              <w:sz w:val="24"/>
              <w:szCs w:val="24"/>
              <w:lang w:eastAsia="en-GB"/>
              <w14:ligatures w14:val="none"/>
            </w:rPr>
            <w:fldChar w:fldCharType="begin"/>
          </w:r>
          <w:r w:rsidR="00173265">
            <w:rPr>
              <w:rFonts w:ascii="Arial" w:eastAsia="Times New Roman" w:hAnsi="Arial" w:cs="Arial"/>
              <w:color w:val="404040"/>
              <w:kern w:val="0"/>
              <w:sz w:val="24"/>
              <w:szCs w:val="24"/>
              <w:lang w:eastAsia="en-GB"/>
              <w14:ligatures w14:val="none"/>
            </w:rPr>
            <w:instrText xml:space="preserve"> CITATION Kar15 \l 2057 </w:instrText>
          </w:r>
          <w:r w:rsidR="00173265">
            <w:rPr>
              <w:rFonts w:ascii="Arial" w:eastAsia="Times New Roman" w:hAnsi="Arial" w:cs="Arial"/>
              <w:color w:val="404040"/>
              <w:kern w:val="0"/>
              <w:sz w:val="24"/>
              <w:szCs w:val="24"/>
              <w:lang w:eastAsia="en-GB"/>
              <w14:ligatures w14:val="none"/>
            </w:rPr>
            <w:fldChar w:fldCharType="separate"/>
          </w:r>
          <w:r w:rsidR="00173265" w:rsidRPr="00173265">
            <w:rPr>
              <w:rFonts w:ascii="Arial" w:eastAsia="Times New Roman" w:hAnsi="Arial" w:cs="Arial"/>
              <w:noProof/>
              <w:color w:val="404040"/>
              <w:kern w:val="0"/>
              <w:sz w:val="24"/>
              <w:szCs w:val="24"/>
              <w:lang w:eastAsia="en-GB"/>
              <w14:ligatures w14:val="none"/>
            </w:rPr>
            <w:t>(Karl Marx, 2015)</w:t>
          </w:r>
          <w:r w:rsidR="00173265">
            <w:rPr>
              <w:rFonts w:ascii="Arial" w:eastAsia="Times New Roman" w:hAnsi="Arial" w:cs="Arial"/>
              <w:color w:val="404040"/>
              <w:kern w:val="0"/>
              <w:sz w:val="24"/>
              <w:szCs w:val="24"/>
              <w:lang w:eastAsia="en-GB"/>
              <w14:ligatures w14:val="none"/>
            </w:rPr>
            <w:fldChar w:fldCharType="end"/>
          </w:r>
        </w:sdtContent>
      </w:sdt>
      <w:r w:rsidR="00173265">
        <w:rPr>
          <w:rFonts w:ascii="Arial" w:eastAsia="Times New Roman" w:hAnsi="Arial" w:cs="Arial"/>
          <w:color w:val="404040"/>
          <w:kern w:val="0"/>
          <w:sz w:val="24"/>
          <w:szCs w:val="24"/>
          <w:lang w:eastAsia="en-GB"/>
          <w14:ligatures w14:val="none"/>
        </w:rPr>
        <w:t>. Reiman focuses his work upon crimes committed within the workplace that exploit rules and these go unpunished comparatively to crimes such as assault, theft and burglary. This includes the ignorance of health and safety laws whereby corporations are unpunished for the nescience</w:t>
      </w:r>
      <w:r w:rsidR="001023D5">
        <w:rPr>
          <w:rFonts w:ascii="Arial" w:eastAsia="Times New Roman" w:hAnsi="Arial" w:cs="Arial"/>
          <w:color w:val="404040"/>
          <w:kern w:val="0"/>
          <w:sz w:val="24"/>
          <w:szCs w:val="24"/>
          <w:lang w:eastAsia="en-GB"/>
          <w14:ligatures w14:val="none"/>
        </w:rPr>
        <w:t xml:space="preserve"> of these laws as well as the exploitation of tax laws such as offshore accounting to avoid taxes in place that the corporation must pay.</w:t>
      </w:r>
    </w:p>
    <w:p w14:paraId="76A8370C" w14:textId="100B17D8" w:rsidR="00C8546E" w:rsidRDefault="001023D5"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A recent study based on tax fraud that highlights selective law enforcement shows that although there have been a recent influx of “measures” in the last decade to combat tax fraud, </w:t>
      </w:r>
      <w:r w:rsidR="00C8546E">
        <w:rPr>
          <w:rFonts w:ascii="Arial" w:eastAsia="Times New Roman" w:hAnsi="Arial" w:cs="Arial"/>
          <w:color w:val="404040"/>
          <w:kern w:val="0"/>
          <w:sz w:val="24"/>
          <w:szCs w:val="24"/>
          <w:lang w:eastAsia="en-GB"/>
          <w14:ligatures w14:val="none"/>
        </w:rPr>
        <w:t xml:space="preserve">these measures are focused on enforcement of revenue gain rather than the combating of the fraud itself </w:t>
      </w:r>
      <w:sdt>
        <w:sdtPr>
          <w:rPr>
            <w:rFonts w:ascii="Arial" w:eastAsia="Times New Roman" w:hAnsi="Arial" w:cs="Arial"/>
            <w:color w:val="404040"/>
            <w:kern w:val="0"/>
            <w:sz w:val="24"/>
            <w:szCs w:val="24"/>
            <w:lang w:eastAsia="en-GB"/>
            <w14:ligatures w14:val="none"/>
          </w:rPr>
          <w:id w:val="-460646150"/>
          <w:citation/>
        </w:sdtPr>
        <w:sdtEndPr/>
        <w:sdtContent>
          <w:r w:rsidR="00C8546E">
            <w:rPr>
              <w:rFonts w:ascii="Arial" w:eastAsia="Times New Roman" w:hAnsi="Arial" w:cs="Arial"/>
              <w:color w:val="404040"/>
              <w:kern w:val="0"/>
              <w:sz w:val="24"/>
              <w:szCs w:val="24"/>
              <w:lang w:eastAsia="en-GB"/>
              <w14:ligatures w14:val="none"/>
            </w:rPr>
            <w:fldChar w:fldCharType="begin"/>
          </w:r>
          <w:r w:rsidR="00C8546E">
            <w:rPr>
              <w:rFonts w:ascii="Arial" w:eastAsia="Times New Roman" w:hAnsi="Arial" w:cs="Arial"/>
              <w:color w:val="404040"/>
              <w:kern w:val="0"/>
              <w:sz w:val="24"/>
              <w:szCs w:val="24"/>
              <w:lang w:eastAsia="en-GB"/>
              <w14:ligatures w14:val="none"/>
            </w:rPr>
            <w:instrText xml:space="preserve"> CITATION Rit201 \l 2057 </w:instrText>
          </w:r>
          <w:r w:rsidR="00C8546E">
            <w:rPr>
              <w:rFonts w:ascii="Arial" w:eastAsia="Times New Roman" w:hAnsi="Arial" w:cs="Arial"/>
              <w:color w:val="404040"/>
              <w:kern w:val="0"/>
              <w:sz w:val="24"/>
              <w:szCs w:val="24"/>
              <w:lang w:eastAsia="en-GB"/>
              <w14:ligatures w14:val="none"/>
            </w:rPr>
            <w:fldChar w:fldCharType="separate"/>
          </w:r>
          <w:r w:rsidR="00C8546E" w:rsidRPr="00C8546E">
            <w:rPr>
              <w:rFonts w:ascii="Arial" w:eastAsia="Times New Roman" w:hAnsi="Arial" w:cs="Arial"/>
              <w:noProof/>
              <w:color w:val="404040"/>
              <w:kern w:val="0"/>
              <w:sz w:val="24"/>
              <w:szCs w:val="24"/>
              <w:lang w:eastAsia="en-GB"/>
              <w14:ligatures w14:val="none"/>
            </w:rPr>
            <w:t>(Feria, 2020)</w:t>
          </w:r>
          <w:r w:rsidR="00C8546E">
            <w:rPr>
              <w:rFonts w:ascii="Arial" w:eastAsia="Times New Roman" w:hAnsi="Arial" w:cs="Arial"/>
              <w:color w:val="404040"/>
              <w:kern w:val="0"/>
              <w:sz w:val="24"/>
              <w:szCs w:val="24"/>
              <w:lang w:eastAsia="en-GB"/>
              <w14:ligatures w14:val="none"/>
            </w:rPr>
            <w:fldChar w:fldCharType="end"/>
          </w:r>
        </w:sdtContent>
      </w:sdt>
      <w:r w:rsidR="00C8546E">
        <w:rPr>
          <w:rFonts w:ascii="Arial" w:eastAsia="Times New Roman" w:hAnsi="Arial" w:cs="Arial"/>
          <w:color w:val="404040"/>
          <w:kern w:val="0"/>
          <w:sz w:val="24"/>
          <w:szCs w:val="24"/>
          <w:lang w:eastAsia="en-GB"/>
          <w14:ligatures w14:val="none"/>
        </w:rPr>
        <w:t xml:space="preserve">. This study highlighted and </w:t>
      </w:r>
      <w:r w:rsidR="00C8546E">
        <w:rPr>
          <w:rFonts w:ascii="Arial" w:eastAsia="Times New Roman" w:hAnsi="Arial" w:cs="Arial"/>
          <w:color w:val="404040"/>
          <w:kern w:val="0"/>
          <w:sz w:val="24"/>
          <w:szCs w:val="24"/>
          <w:lang w:eastAsia="en-GB"/>
          <w14:ligatures w14:val="none"/>
        </w:rPr>
        <w:lastRenderedPageBreak/>
        <w:t xml:space="preserve">argued that the state creates enforcement measures that reimburses revenue rather than measures that will help prevent tax fraud and create laws that make it more adverse to achieve tax fraud. Feria’s study emphasises the ideology that Reiman and Karl Marx present of “Selective Law Enforcement” and “The State and Law Making” by evidencing that the state </w:t>
      </w:r>
      <w:proofErr w:type="gramStart"/>
      <w:r w:rsidR="00C8546E">
        <w:rPr>
          <w:rFonts w:ascii="Arial" w:eastAsia="Times New Roman" w:hAnsi="Arial" w:cs="Arial"/>
          <w:color w:val="404040"/>
          <w:kern w:val="0"/>
          <w:sz w:val="24"/>
          <w:szCs w:val="24"/>
          <w:lang w:eastAsia="en-GB"/>
          <w14:ligatures w14:val="none"/>
        </w:rPr>
        <w:t>do</w:t>
      </w:r>
      <w:proofErr w:type="gramEnd"/>
      <w:r w:rsidR="00C8546E">
        <w:rPr>
          <w:rFonts w:ascii="Arial" w:eastAsia="Times New Roman" w:hAnsi="Arial" w:cs="Arial"/>
          <w:color w:val="404040"/>
          <w:kern w:val="0"/>
          <w:sz w:val="24"/>
          <w:szCs w:val="24"/>
          <w:lang w:eastAsia="en-GB"/>
          <w14:ligatures w14:val="none"/>
        </w:rPr>
        <w:t xml:space="preserve"> not create laws that help prevent fraud rather than seek recompense for it and thus creating a cycle of keeping the upper class in power through monetary value.</w:t>
      </w:r>
    </w:p>
    <w:p w14:paraId="15ABC0CC" w14:textId="787372E8" w:rsidR="005F7CEC" w:rsidRDefault="005F7CEC" w:rsidP="005F7CE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Further to these two theorems, William Chambliss conducted a study in 1978 within Seattle that focuses upon Selective Law Enforcement. Chambliss’ report showed that 70% of arrests were for public drunkenness whilst white collar crimes involving lead politicians, official state heads and other important upper-class individuals were all but ignored. Some of these crimes he identified from official statistics and reports were in relation to organised crime prostitution that effected the community at large; in particular that of the lower class. </w:t>
      </w:r>
      <w:sdt>
        <w:sdtPr>
          <w:rPr>
            <w:rFonts w:ascii="Arial" w:eastAsia="Times New Roman" w:hAnsi="Arial" w:cs="Arial"/>
            <w:color w:val="404040"/>
            <w:kern w:val="0"/>
            <w:sz w:val="24"/>
            <w:szCs w:val="24"/>
            <w:lang w:eastAsia="en-GB"/>
            <w14:ligatures w14:val="none"/>
          </w:rPr>
          <w:id w:val="2118707266"/>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Wil78 \l 2057 </w:instrText>
          </w:r>
          <w:r>
            <w:rPr>
              <w:rFonts w:ascii="Arial" w:eastAsia="Times New Roman" w:hAnsi="Arial" w:cs="Arial"/>
              <w:color w:val="404040"/>
              <w:kern w:val="0"/>
              <w:sz w:val="24"/>
              <w:szCs w:val="24"/>
              <w:lang w:eastAsia="en-GB"/>
              <w14:ligatures w14:val="none"/>
            </w:rPr>
            <w:fldChar w:fldCharType="separate"/>
          </w:r>
          <w:r w:rsidRPr="00C11F13">
            <w:rPr>
              <w:rFonts w:ascii="Arial" w:eastAsia="Times New Roman" w:hAnsi="Arial" w:cs="Arial"/>
              <w:noProof/>
              <w:color w:val="404040"/>
              <w:kern w:val="0"/>
              <w:sz w:val="24"/>
              <w:szCs w:val="24"/>
              <w:lang w:eastAsia="en-GB"/>
              <w14:ligatures w14:val="none"/>
            </w:rPr>
            <w:t>(Chambliss, 1978)</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Chambliss’ report, which</w:t>
      </w:r>
      <w:r w:rsidR="008E31DC">
        <w:rPr>
          <w:rFonts w:ascii="Arial" w:eastAsia="Times New Roman" w:hAnsi="Arial" w:cs="Arial"/>
          <w:color w:val="404040"/>
          <w:kern w:val="0"/>
          <w:sz w:val="24"/>
          <w:szCs w:val="24"/>
          <w:lang w:eastAsia="en-GB"/>
          <w14:ligatures w14:val="none"/>
        </w:rPr>
        <w:t xml:space="preserve"> </w:t>
      </w:r>
      <w:r>
        <w:rPr>
          <w:rFonts w:ascii="Arial" w:eastAsia="Times New Roman" w:hAnsi="Arial" w:cs="Arial"/>
          <w:color w:val="404040"/>
          <w:kern w:val="0"/>
          <w:sz w:val="24"/>
          <w:szCs w:val="24"/>
          <w:lang w:eastAsia="en-GB"/>
          <w14:ligatures w14:val="none"/>
        </w:rPr>
        <w:t>contains credible evidence from official police reports of Seattle further underlines the issue of Selective Law Enforcement as the police and state created those reports themselves. Chambliss’ report and theorem of Selective Law Enforcement is further substantiated by a report from Richard Murphey in 2011 where, as a tax researcher, has found that in 2011 the outstanding debt estimated from tax evasion, fraud and ev</w:t>
      </w:r>
      <w:r w:rsidR="008E31DC">
        <w:rPr>
          <w:rFonts w:ascii="Arial" w:eastAsia="Times New Roman" w:hAnsi="Arial" w:cs="Arial"/>
          <w:color w:val="404040"/>
          <w:kern w:val="0"/>
          <w:sz w:val="24"/>
          <w:szCs w:val="24"/>
          <w:lang w:eastAsia="en-GB"/>
          <w14:ligatures w14:val="none"/>
        </w:rPr>
        <w:t>ersion</w:t>
      </w:r>
      <w:r>
        <w:rPr>
          <w:rFonts w:ascii="Arial" w:eastAsia="Times New Roman" w:hAnsi="Arial" w:cs="Arial"/>
          <w:color w:val="404040"/>
          <w:kern w:val="0"/>
          <w:sz w:val="24"/>
          <w:szCs w:val="24"/>
          <w:lang w:eastAsia="en-GB"/>
          <w14:ligatures w14:val="none"/>
        </w:rPr>
        <w:t xml:space="preserve"> amounted to £120 billion whereas benefit fraud only amounted to £1.1 billion </w:t>
      </w:r>
      <w:sdt>
        <w:sdtPr>
          <w:rPr>
            <w:rFonts w:ascii="Arial" w:eastAsia="Times New Roman" w:hAnsi="Arial" w:cs="Arial"/>
            <w:color w:val="404040"/>
            <w:kern w:val="0"/>
            <w:sz w:val="24"/>
            <w:szCs w:val="24"/>
            <w:lang w:eastAsia="en-GB"/>
            <w14:ligatures w14:val="none"/>
          </w:rPr>
          <w:id w:val="-1382545252"/>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Ric11 \l 2057 </w:instrText>
          </w:r>
          <w:r>
            <w:rPr>
              <w:rFonts w:ascii="Arial" w:eastAsia="Times New Roman" w:hAnsi="Arial" w:cs="Arial"/>
              <w:color w:val="404040"/>
              <w:kern w:val="0"/>
              <w:sz w:val="24"/>
              <w:szCs w:val="24"/>
              <w:lang w:eastAsia="en-GB"/>
              <w14:ligatures w14:val="none"/>
            </w:rPr>
            <w:fldChar w:fldCharType="separate"/>
          </w:r>
          <w:r w:rsidRPr="005F7CEC">
            <w:rPr>
              <w:rFonts w:ascii="Arial" w:eastAsia="Times New Roman" w:hAnsi="Arial" w:cs="Arial"/>
              <w:noProof/>
              <w:color w:val="404040"/>
              <w:kern w:val="0"/>
              <w:sz w:val="24"/>
              <w:szCs w:val="24"/>
              <w:lang w:eastAsia="en-GB"/>
              <w14:ligatures w14:val="none"/>
            </w:rPr>
            <w:t>(Murphey, 2011)</w:t>
          </w:r>
          <w:r>
            <w:rPr>
              <w:rFonts w:ascii="Arial" w:eastAsia="Times New Roman" w:hAnsi="Arial" w:cs="Arial"/>
              <w:color w:val="404040"/>
              <w:kern w:val="0"/>
              <w:sz w:val="24"/>
              <w:szCs w:val="24"/>
              <w:lang w:eastAsia="en-GB"/>
              <w14:ligatures w14:val="none"/>
            </w:rPr>
            <w:fldChar w:fldCharType="end"/>
          </w:r>
        </w:sdtContent>
      </w:sdt>
      <w:r w:rsidR="00E80DDF">
        <w:rPr>
          <w:rFonts w:ascii="Arial" w:eastAsia="Times New Roman" w:hAnsi="Arial" w:cs="Arial"/>
          <w:color w:val="404040"/>
          <w:kern w:val="0"/>
          <w:sz w:val="24"/>
          <w:szCs w:val="24"/>
          <w:lang w:eastAsia="en-GB"/>
          <w14:ligatures w14:val="none"/>
        </w:rPr>
        <w:t xml:space="preserve">. This report demonstrates Chambliss’ idea of Selective Law Enforcement whereby </w:t>
      </w:r>
      <w:proofErr w:type="gramStart"/>
      <w:r w:rsidR="00E80DDF">
        <w:rPr>
          <w:rFonts w:ascii="Arial" w:eastAsia="Times New Roman" w:hAnsi="Arial" w:cs="Arial"/>
          <w:color w:val="404040"/>
          <w:kern w:val="0"/>
          <w:sz w:val="24"/>
          <w:szCs w:val="24"/>
          <w:lang w:eastAsia="en-GB"/>
          <w14:ligatures w14:val="none"/>
        </w:rPr>
        <w:t>white collar</w:t>
      </w:r>
      <w:proofErr w:type="gramEnd"/>
      <w:r w:rsidR="00E80DDF">
        <w:rPr>
          <w:rFonts w:ascii="Arial" w:eastAsia="Times New Roman" w:hAnsi="Arial" w:cs="Arial"/>
          <w:color w:val="404040"/>
          <w:kern w:val="0"/>
          <w:sz w:val="24"/>
          <w:szCs w:val="24"/>
          <w:lang w:eastAsia="en-GB"/>
          <w14:ligatures w14:val="none"/>
        </w:rPr>
        <w:t xml:space="preserve"> crime of tax evasion, tax debt and fraud amounts to a substantial amount more than benefit fraud. Marxism would argue that this is due to the media portraying the idea of benefit fraud being more prevalent than tax evasion and the media being controlled by the elite and upper classes. Despite the media stating so, the credible report from Murphey who took statistics from state findings portrays the opposite opinion with factual evidence that white collar crime causes more financial damage to society than benefit fraud from those in the lower class. Marxism would argue that this is a form of control over the lower class. </w:t>
      </w:r>
    </w:p>
    <w:p w14:paraId="39AAC58E" w14:textId="223149BB" w:rsidR="00E80DDF" w:rsidRPr="00923E0C" w:rsidRDefault="00E80DDF" w:rsidP="005F7CE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Despite evidence stating so, the public deemed benefit fraud to be of concern as per a report from UK Government Social Research. The research report conducted in 2023 showed that “</w:t>
      </w:r>
      <w:r w:rsidRPr="00E80DDF">
        <w:rPr>
          <w:rFonts w:ascii="Arial" w:eastAsia="Times New Roman" w:hAnsi="Arial" w:cs="Arial"/>
          <w:color w:val="404040"/>
          <w:kern w:val="0"/>
          <w:sz w:val="24"/>
          <w:szCs w:val="24"/>
          <w:lang w:eastAsia="en-GB"/>
          <w14:ligatures w14:val="none"/>
        </w:rPr>
        <w:t>62% of respondents saw fraud and error in the system as a big problem; 39% thought it was on the increase (compared to 5% who thought it was decreasing); and around a third (31%) believed “most” incorrect benefit claims are a result of dishonesty</w:t>
      </w:r>
      <w:r>
        <w:rPr>
          <w:rFonts w:ascii="Arial" w:eastAsia="Times New Roman" w:hAnsi="Arial" w:cs="Arial"/>
          <w:color w:val="404040"/>
          <w:kern w:val="0"/>
          <w:sz w:val="24"/>
          <w:szCs w:val="24"/>
          <w:lang w:eastAsia="en-GB"/>
          <w14:ligatures w14:val="none"/>
        </w:rPr>
        <w:t xml:space="preserve">” </w:t>
      </w:r>
      <w:sdt>
        <w:sdtPr>
          <w:rPr>
            <w:rFonts w:ascii="Arial" w:eastAsia="Times New Roman" w:hAnsi="Arial" w:cs="Arial"/>
            <w:color w:val="404040"/>
            <w:kern w:val="0"/>
            <w:sz w:val="24"/>
            <w:szCs w:val="24"/>
            <w:lang w:eastAsia="en-GB"/>
            <w14:ligatures w14:val="none"/>
          </w:rPr>
          <w:id w:val="-860737550"/>
          <w:citation/>
        </w:sdtPr>
        <w:sdtEnd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UKG23 \l 2057 </w:instrText>
          </w:r>
          <w:r>
            <w:rPr>
              <w:rFonts w:ascii="Arial" w:eastAsia="Times New Roman" w:hAnsi="Arial" w:cs="Arial"/>
              <w:color w:val="404040"/>
              <w:kern w:val="0"/>
              <w:sz w:val="24"/>
              <w:szCs w:val="24"/>
              <w:lang w:eastAsia="en-GB"/>
              <w14:ligatures w14:val="none"/>
            </w:rPr>
            <w:fldChar w:fldCharType="separate"/>
          </w:r>
          <w:r w:rsidRPr="00E80DDF">
            <w:rPr>
              <w:rFonts w:ascii="Arial" w:eastAsia="Times New Roman" w:hAnsi="Arial" w:cs="Arial"/>
              <w:noProof/>
              <w:color w:val="404040"/>
              <w:kern w:val="0"/>
              <w:sz w:val="24"/>
              <w:szCs w:val="24"/>
              <w:lang w:eastAsia="en-GB"/>
              <w14:ligatures w14:val="none"/>
            </w:rPr>
            <w:t>(UK Governement Social Research, 2023)</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xml:space="preserve">. This report showing the </w:t>
      </w:r>
      <w:proofErr w:type="spellStart"/>
      <w:r>
        <w:rPr>
          <w:rFonts w:ascii="Arial" w:eastAsia="Times New Roman" w:hAnsi="Arial" w:cs="Arial"/>
          <w:color w:val="404040"/>
          <w:kern w:val="0"/>
          <w:sz w:val="24"/>
          <w:szCs w:val="24"/>
          <w:lang w:eastAsia="en-GB"/>
          <w14:ligatures w14:val="none"/>
        </w:rPr>
        <w:t>publics</w:t>
      </w:r>
      <w:proofErr w:type="spellEnd"/>
      <w:r>
        <w:rPr>
          <w:rFonts w:ascii="Arial" w:eastAsia="Times New Roman" w:hAnsi="Arial" w:cs="Arial"/>
          <w:color w:val="404040"/>
          <w:kern w:val="0"/>
          <w:sz w:val="24"/>
          <w:szCs w:val="24"/>
          <w:lang w:eastAsia="en-GB"/>
          <w14:ligatures w14:val="none"/>
        </w:rPr>
        <w:t xml:space="preserve"> perception in correlation with the report conducted by Murphey and Chambliss’ theory, it can be presumed that the public’s perception on benefit fraud is stained by the media’s heavy portrayal that it is of concern despite the evidence from Murphey’s tax research showing otherwise. </w:t>
      </w:r>
      <w:r w:rsidR="00502B04">
        <w:rPr>
          <w:rFonts w:ascii="Arial" w:eastAsia="Times New Roman" w:hAnsi="Arial" w:cs="Arial"/>
          <w:color w:val="404040"/>
          <w:kern w:val="0"/>
          <w:sz w:val="24"/>
          <w:szCs w:val="24"/>
          <w:lang w:eastAsia="en-GB"/>
          <w14:ligatures w14:val="none"/>
        </w:rPr>
        <w:t>An overall thesis concluding that despite evidence, the public’s opinion on policing action and accountability may not be reliable compared to the actual reality of what police are counteracting, responding to and tackling.</w:t>
      </w:r>
    </w:p>
    <w:p w14:paraId="787E05A7" w14:textId="77777777" w:rsidR="005F7CEC" w:rsidRDefault="005F7CEC"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2E1B8D0F" w14:textId="0B19B3E7" w:rsidR="0082109F" w:rsidRDefault="0082109F"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Analysing these theories and reports, it is evident that alongside Feria’s report, the ideology of “The State and Law Making” is prevalent to today’s society as it demonstrates the state’s laws focus on reparation of fraud through monetary gain rather than the prevention of tax fraud which in turn, effects only those paying tax which are predominantly lower to middle classes. Further to this, Feria’s study is credible due to its use of current laws that are still present in modern society. The theory of Selective Law Enforcement is also evidenced in an IPSOS study into the </w:t>
      </w:r>
      <w:r>
        <w:rPr>
          <w:rFonts w:ascii="Arial" w:eastAsia="Times New Roman" w:hAnsi="Arial" w:cs="Arial"/>
          <w:color w:val="404040"/>
          <w:kern w:val="0"/>
          <w:sz w:val="24"/>
          <w:szCs w:val="24"/>
          <w:lang w:eastAsia="en-GB"/>
          <w14:ligatures w14:val="none"/>
        </w:rPr>
        <w:lastRenderedPageBreak/>
        <w:t xml:space="preserve">public perception of police. 4,709 British adults were interviewed on their perceptions of police and within the interview, </w:t>
      </w:r>
      <w:r w:rsidR="000B6232">
        <w:rPr>
          <w:rFonts w:ascii="Arial" w:eastAsia="Times New Roman" w:hAnsi="Arial" w:cs="Arial"/>
          <w:color w:val="404040"/>
          <w:kern w:val="0"/>
          <w:sz w:val="24"/>
          <w:szCs w:val="24"/>
          <w:lang w:eastAsia="en-GB"/>
          <w14:ligatures w14:val="none"/>
        </w:rPr>
        <w:t>they were asked “</w:t>
      </w:r>
      <w:r w:rsidR="000B6232" w:rsidRPr="000B6232">
        <w:rPr>
          <w:rFonts w:ascii="Arial" w:eastAsia="Times New Roman" w:hAnsi="Arial" w:cs="Arial"/>
          <w:color w:val="404040"/>
          <w:kern w:val="0"/>
          <w:sz w:val="24"/>
          <w:szCs w:val="24"/>
          <w:lang w:eastAsia="en-GB"/>
          <w14:ligatures w14:val="none"/>
        </w:rPr>
        <w:t>In the past 12 months how effective, if at all, do you think the police in your local area have been at each of the following?</w:t>
      </w:r>
      <w:r w:rsidR="000B6232">
        <w:rPr>
          <w:rFonts w:ascii="Arial" w:eastAsia="Times New Roman" w:hAnsi="Arial" w:cs="Arial"/>
          <w:color w:val="404040"/>
          <w:kern w:val="0"/>
          <w:sz w:val="24"/>
          <w:szCs w:val="24"/>
          <w:lang w:eastAsia="en-GB"/>
          <w14:ligatures w14:val="none"/>
        </w:rPr>
        <w:t xml:space="preserve">”. The result of the question posed that the public believe that their local police are least effective at tackling online cultural issues and protecting those who are online comparatively to those who are at greatest risk </w:t>
      </w:r>
      <w:sdt>
        <w:sdtPr>
          <w:rPr>
            <w:rFonts w:ascii="Arial" w:eastAsia="Times New Roman" w:hAnsi="Arial" w:cs="Arial"/>
            <w:color w:val="404040"/>
            <w:kern w:val="0"/>
            <w:sz w:val="24"/>
            <w:szCs w:val="24"/>
            <w:lang w:eastAsia="en-GB"/>
            <w14:ligatures w14:val="none"/>
          </w:rPr>
          <w:id w:val="673691176"/>
          <w:citation/>
        </w:sdtPr>
        <w:sdtEndPr/>
        <w:sdtContent>
          <w:r w:rsidR="000B6232">
            <w:rPr>
              <w:rFonts w:ascii="Arial" w:eastAsia="Times New Roman" w:hAnsi="Arial" w:cs="Arial"/>
              <w:color w:val="404040"/>
              <w:kern w:val="0"/>
              <w:sz w:val="24"/>
              <w:szCs w:val="24"/>
              <w:lang w:eastAsia="en-GB"/>
              <w14:ligatures w14:val="none"/>
            </w:rPr>
            <w:fldChar w:fldCharType="begin"/>
          </w:r>
          <w:r w:rsidR="000B6232">
            <w:rPr>
              <w:rFonts w:ascii="Arial" w:eastAsia="Times New Roman" w:hAnsi="Arial" w:cs="Arial"/>
              <w:color w:val="404040"/>
              <w:kern w:val="0"/>
              <w:sz w:val="24"/>
              <w:szCs w:val="24"/>
              <w:lang w:eastAsia="en-GB"/>
              <w14:ligatures w14:val="none"/>
            </w:rPr>
            <w:instrText xml:space="preserve"> CITATION IPS20 \l 2057 </w:instrText>
          </w:r>
          <w:r w:rsidR="000B6232">
            <w:rPr>
              <w:rFonts w:ascii="Arial" w:eastAsia="Times New Roman" w:hAnsi="Arial" w:cs="Arial"/>
              <w:color w:val="404040"/>
              <w:kern w:val="0"/>
              <w:sz w:val="24"/>
              <w:szCs w:val="24"/>
              <w:lang w:eastAsia="en-GB"/>
              <w14:ligatures w14:val="none"/>
            </w:rPr>
            <w:fldChar w:fldCharType="separate"/>
          </w:r>
          <w:r w:rsidR="000B6232" w:rsidRPr="000B6232">
            <w:rPr>
              <w:rFonts w:ascii="Arial" w:eastAsia="Times New Roman" w:hAnsi="Arial" w:cs="Arial"/>
              <w:noProof/>
              <w:color w:val="404040"/>
              <w:kern w:val="0"/>
              <w:sz w:val="24"/>
              <w:szCs w:val="24"/>
              <w:lang w:eastAsia="en-GB"/>
              <w14:ligatures w14:val="none"/>
            </w:rPr>
            <w:t>(IPSOS, 2020)</w:t>
          </w:r>
          <w:r w:rsidR="000B6232">
            <w:rPr>
              <w:rFonts w:ascii="Arial" w:eastAsia="Times New Roman" w:hAnsi="Arial" w:cs="Arial"/>
              <w:color w:val="404040"/>
              <w:kern w:val="0"/>
              <w:sz w:val="24"/>
              <w:szCs w:val="24"/>
              <w:lang w:eastAsia="en-GB"/>
              <w14:ligatures w14:val="none"/>
            </w:rPr>
            <w:fldChar w:fldCharType="end"/>
          </w:r>
        </w:sdtContent>
      </w:sdt>
      <w:r w:rsidR="000B6232">
        <w:rPr>
          <w:rFonts w:ascii="Arial" w:eastAsia="Times New Roman" w:hAnsi="Arial" w:cs="Arial"/>
          <w:color w:val="404040"/>
          <w:kern w:val="0"/>
          <w:sz w:val="24"/>
          <w:szCs w:val="24"/>
          <w:lang w:eastAsia="en-GB"/>
          <w14:ligatures w14:val="none"/>
        </w:rPr>
        <w:t xml:space="preserve">. This study further accentuates that the public perceive the police to be inept at tackling online crime such as fraud. Combined with the beforementioned theories, it could be perceived that the police choose to tackle fraud inefficiently due to the monetary value it brings the state and that it does not </w:t>
      </w:r>
      <w:proofErr w:type="gramStart"/>
      <w:r w:rsidR="000B6232">
        <w:rPr>
          <w:rFonts w:ascii="Arial" w:eastAsia="Times New Roman" w:hAnsi="Arial" w:cs="Arial"/>
          <w:color w:val="404040"/>
          <w:kern w:val="0"/>
          <w:sz w:val="24"/>
          <w:szCs w:val="24"/>
          <w:lang w:eastAsia="en-GB"/>
          <w14:ligatures w14:val="none"/>
        </w:rPr>
        <w:t>effect</w:t>
      </w:r>
      <w:proofErr w:type="gramEnd"/>
      <w:r w:rsidR="000B6232">
        <w:rPr>
          <w:rFonts w:ascii="Arial" w:eastAsia="Times New Roman" w:hAnsi="Arial" w:cs="Arial"/>
          <w:color w:val="404040"/>
          <w:kern w:val="0"/>
          <w:sz w:val="24"/>
          <w:szCs w:val="24"/>
          <w:lang w:eastAsia="en-GB"/>
          <w14:ligatures w14:val="none"/>
        </w:rPr>
        <w:t xml:space="preserve"> those who are in power or the elite of society.</w:t>
      </w:r>
    </w:p>
    <w:p w14:paraId="55D11654" w14:textId="73B9C384" w:rsidR="0082109F" w:rsidRDefault="000B6232"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On the other hand, i</w:t>
      </w:r>
      <w:r w:rsidR="0082109F">
        <w:rPr>
          <w:rFonts w:ascii="Arial" w:eastAsia="Times New Roman" w:hAnsi="Arial" w:cs="Arial"/>
          <w:color w:val="404040"/>
          <w:kern w:val="0"/>
          <w:sz w:val="24"/>
          <w:szCs w:val="24"/>
          <w:lang w:eastAsia="en-GB"/>
          <w14:ligatures w14:val="none"/>
        </w:rPr>
        <w:t>t can be argued that the originality of the theory from Marx and Reiman is outdated due to the original theories being published some hundred years before.</w:t>
      </w:r>
      <w:r>
        <w:rPr>
          <w:rFonts w:ascii="Arial" w:eastAsia="Times New Roman" w:hAnsi="Arial" w:cs="Arial"/>
          <w:color w:val="404040"/>
          <w:kern w:val="0"/>
          <w:sz w:val="24"/>
          <w:szCs w:val="24"/>
          <w:lang w:eastAsia="en-GB"/>
          <w14:ligatures w14:val="none"/>
        </w:rPr>
        <w:t xml:space="preserve"> Further, a criticism of the </w:t>
      </w:r>
      <w:proofErr w:type="gramStart"/>
      <w:r>
        <w:rPr>
          <w:rFonts w:ascii="Arial" w:eastAsia="Times New Roman" w:hAnsi="Arial" w:cs="Arial"/>
          <w:color w:val="404040"/>
          <w:kern w:val="0"/>
          <w:sz w:val="24"/>
          <w:szCs w:val="24"/>
          <w:lang w:eastAsia="en-GB"/>
          <w14:ligatures w14:val="none"/>
        </w:rPr>
        <w:t>above mentioned</w:t>
      </w:r>
      <w:proofErr w:type="gramEnd"/>
      <w:r>
        <w:rPr>
          <w:rFonts w:ascii="Arial" w:eastAsia="Times New Roman" w:hAnsi="Arial" w:cs="Arial"/>
          <w:color w:val="404040"/>
          <w:kern w:val="0"/>
          <w:sz w:val="24"/>
          <w:szCs w:val="24"/>
          <w:lang w:eastAsia="en-GB"/>
          <w14:ligatures w14:val="none"/>
        </w:rPr>
        <w:t xml:space="preserve"> reports and theories is that the IPSOS study does not present the idea that police are choosing to tackle fraud ineptly. It could be the matter that due to the complexity of the crime that local police are ill-trained in the matter and require further support in dealing with complex investigations into fraud.</w:t>
      </w:r>
      <w:r w:rsidR="008F671A">
        <w:rPr>
          <w:rFonts w:ascii="Arial" w:eastAsia="Times New Roman" w:hAnsi="Arial" w:cs="Arial"/>
          <w:color w:val="404040"/>
          <w:kern w:val="0"/>
          <w:sz w:val="24"/>
          <w:szCs w:val="24"/>
          <w:lang w:eastAsia="en-GB"/>
          <w14:ligatures w14:val="none"/>
        </w:rPr>
        <w:t xml:space="preserve"> A further criticism of the above is that the culmination of Richard Murphey, Chambliss and the research study from UK Government again does not demonstrate evidence that the media influences the public’s opinion that benefit fraud is more prevalent than white collar fraud. No evidence suggests the media is at hand of influencing the public and only theorises that it is used to control lower class opinions. Consensus theorists would argue that the media is used to inform society of the most prevalent issues it faces and creates cohesion in society</w:t>
      </w:r>
      <w:r w:rsidR="00ED0FA8">
        <w:rPr>
          <w:rFonts w:ascii="Arial" w:eastAsia="Times New Roman" w:hAnsi="Arial" w:cs="Arial"/>
          <w:color w:val="404040"/>
          <w:kern w:val="0"/>
          <w:sz w:val="24"/>
          <w:szCs w:val="24"/>
          <w:lang w:eastAsia="en-GB"/>
          <w14:ligatures w14:val="none"/>
        </w:rPr>
        <w:t xml:space="preserve"> by uniting social groups against the issue </w:t>
      </w:r>
      <w:sdt>
        <w:sdtPr>
          <w:rPr>
            <w:rFonts w:ascii="Arial" w:eastAsia="Times New Roman" w:hAnsi="Arial" w:cs="Arial"/>
            <w:color w:val="404040"/>
            <w:kern w:val="0"/>
            <w:sz w:val="24"/>
            <w:szCs w:val="24"/>
            <w:lang w:eastAsia="en-GB"/>
            <w14:ligatures w14:val="none"/>
          </w:rPr>
          <w:id w:val="1278520647"/>
          <w:citation/>
        </w:sdtPr>
        <w:sdtEndPr/>
        <w:sdtContent>
          <w:r w:rsidR="008F671A">
            <w:rPr>
              <w:rFonts w:ascii="Arial" w:eastAsia="Times New Roman" w:hAnsi="Arial" w:cs="Arial"/>
              <w:color w:val="404040"/>
              <w:kern w:val="0"/>
              <w:sz w:val="24"/>
              <w:szCs w:val="24"/>
              <w:lang w:eastAsia="en-GB"/>
              <w14:ligatures w14:val="none"/>
            </w:rPr>
            <w:fldChar w:fldCharType="begin"/>
          </w:r>
          <w:r w:rsidR="008F671A">
            <w:rPr>
              <w:rFonts w:ascii="Arial" w:eastAsia="Times New Roman" w:hAnsi="Arial" w:cs="Arial"/>
              <w:color w:val="404040"/>
              <w:kern w:val="0"/>
              <w:sz w:val="24"/>
              <w:szCs w:val="24"/>
              <w:lang w:eastAsia="en-GB"/>
              <w14:ligatures w14:val="none"/>
            </w:rPr>
            <w:instrText xml:space="preserve"> CITATION Tal64 \l 2057 </w:instrText>
          </w:r>
          <w:r w:rsidR="008F671A">
            <w:rPr>
              <w:rFonts w:ascii="Arial" w:eastAsia="Times New Roman" w:hAnsi="Arial" w:cs="Arial"/>
              <w:color w:val="404040"/>
              <w:kern w:val="0"/>
              <w:sz w:val="24"/>
              <w:szCs w:val="24"/>
              <w:lang w:eastAsia="en-GB"/>
              <w14:ligatures w14:val="none"/>
            </w:rPr>
            <w:fldChar w:fldCharType="separate"/>
          </w:r>
          <w:r w:rsidR="008F671A" w:rsidRPr="008F671A">
            <w:rPr>
              <w:rFonts w:ascii="Arial" w:eastAsia="Times New Roman" w:hAnsi="Arial" w:cs="Arial"/>
              <w:noProof/>
              <w:color w:val="404040"/>
              <w:kern w:val="0"/>
              <w:sz w:val="24"/>
              <w:szCs w:val="24"/>
              <w:lang w:eastAsia="en-GB"/>
              <w14:ligatures w14:val="none"/>
            </w:rPr>
            <w:t>(Parsons, 1964)</w:t>
          </w:r>
          <w:r w:rsidR="008F671A">
            <w:rPr>
              <w:rFonts w:ascii="Arial" w:eastAsia="Times New Roman" w:hAnsi="Arial" w:cs="Arial"/>
              <w:color w:val="404040"/>
              <w:kern w:val="0"/>
              <w:sz w:val="24"/>
              <w:szCs w:val="24"/>
              <w:lang w:eastAsia="en-GB"/>
              <w14:ligatures w14:val="none"/>
            </w:rPr>
            <w:fldChar w:fldCharType="end"/>
          </w:r>
        </w:sdtContent>
      </w:sdt>
      <w:r w:rsidR="008F671A">
        <w:rPr>
          <w:rFonts w:ascii="Arial" w:eastAsia="Times New Roman" w:hAnsi="Arial" w:cs="Arial"/>
          <w:color w:val="404040"/>
          <w:kern w:val="0"/>
          <w:sz w:val="24"/>
          <w:szCs w:val="24"/>
          <w:lang w:eastAsia="en-GB"/>
          <w14:ligatures w14:val="none"/>
        </w:rPr>
        <w:t>.</w:t>
      </w:r>
    </w:p>
    <w:p w14:paraId="418E9B59" w14:textId="77777777" w:rsidR="0082109F" w:rsidRDefault="0082109F"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3F594317" w14:textId="53B28056" w:rsidR="0083243C" w:rsidRPr="006129F3" w:rsidRDefault="0083243C" w:rsidP="00923E0C">
      <w:pPr>
        <w:pBdr>
          <w:bottom w:val="single" w:sz="6" w:space="1" w:color="auto"/>
        </w:pBdr>
        <w:shd w:val="clear" w:color="auto" w:fill="FFFFFF"/>
        <w:spacing w:after="0" w:line="240" w:lineRule="auto"/>
        <w:textAlignment w:val="baseline"/>
        <w:rPr>
          <w:rFonts w:ascii="Arial" w:eastAsia="Times New Roman" w:hAnsi="Arial" w:cs="Arial"/>
          <w:b/>
          <w:bCs/>
          <w:i/>
          <w:iCs/>
          <w:color w:val="404040"/>
          <w:kern w:val="0"/>
          <w:sz w:val="32"/>
          <w:szCs w:val="32"/>
          <w:lang w:eastAsia="en-GB"/>
          <w14:ligatures w14:val="none"/>
        </w:rPr>
      </w:pPr>
      <w:r w:rsidRPr="006129F3">
        <w:rPr>
          <w:rFonts w:ascii="Arial" w:eastAsia="Times New Roman" w:hAnsi="Arial" w:cs="Arial"/>
          <w:b/>
          <w:bCs/>
          <w:i/>
          <w:iCs/>
          <w:color w:val="404040"/>
          <w:kern w:val="0"/>
          <w:sz w:val="32"/>
          <w:szCs w:val="32"/>
          <w:lang w:eastAsia="en-GB"/>
          <w14:ligatures w14:val="none"/>
        </w:rPr>
        <w:t>Consensus:</w:t>
      </w:r>
    </w:p>
    <w:p w14:paraId="2B954BB6" w14:textId="77777777" w:rsidR="0083243C" w:rsidRDefault="0083243C"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530F8D83" w14:textId="048DF401" w:rsidR="0083243C" w:rsidRDefault="0083243C"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Consensus theory has strong ties to the unity and togetherness of society and in turn between public and police.</w:t>
      </w:r>
      <w:r w:rsidR="00237917">
        <w:rPr>
          <w:rFonts w:ascii="Arial" w:eastAsia="Times New Roman" w:hAnsi="Arial" w:cs="Arial"/>
          <w:color w:val="404040"/>
          <w:kern w:val="0"/>
          <w:sz w:val="24"/>
          <w:szCs w:val="24"/>
          <w:lang w:eastAsia="en-GB"/>
          <w14:ligatures w14:val="none"/>
        </w:rPr>
        <w:t xml:space="preserve"> Consensus theory comprises of mainly functionalist theorists who believe the relationship between </w:t>
      </w:r>
      <w:proofErr w:type="gramStart"/>
      <w:r w:rsidR="00237917">
        <w:rPr>
          <w:rFonts w:ascii="Arial" w:eastAsia="Times New Roman" w:hAnsi="Arial" w:cs="Arial"/>
          <w:color w:val="404040"/>
          <w:kern w:val="0"/>
          <w:sz w:val="24"/>
          <w:szCs w:val="24"/>
          <w:lang w:eastAsia="en-GB"/>
          <w14:ligatures w14:val="none"/>
        </w:rPr>
        <w:t>public</w:t>
      </w:r>
      <w:proofErr w:type="gramEnd"/>
      <w:r w:rsidR="00237917">
        <w:rPr>
          <w:rFonts w:ascii="Arial" w:eastAsia="Times New Roman" w:hAnsi="Arial" w:cs="Arial"/>
          <w:color w:val="404040"/>
          <w:kern w:val="0"/>
          <w:sz w:val="24"/>
          <w:szCs w:val="24"/>
          <w:lang w:eastAsia="en-GB"/>
          <w14:ligatures w14:val="none"/>
        </w:rPr>
        <w:t xml:space="preserve"> and police is harmonious and that the police is comprised of persons to and from the community it serves and representative of the local social groups </w:t>
      </w:r>
      <w:sdt>
        <w:sdtPr>
          <w:rPr>
            <w:rFonts w:ascii="Arial" w:eastAsia="Times New Roman" w:hAnsi="Arial" w:cs="Arial"/>
            <w:color w:val="404040"/>
            <w:kern w:val="0"/>
            <w:sz w:val="24"/>
            <w:szCs w:val="24"/>
            <w:lang w:eastAsia="en-GB"/>
            <w14:ligatures w14:val="none"/>
          </w:rPr>
          <w:id w:val="1053122569"/>
          <w:citation/>
        </w:sdtPr>
        <w:sdtContent>
          <w:r w:rsidR="00237917">
            <w:rPr>
              <w:rFonts w:ascii="Arial" w:eastAsia="Times New Roman" w:hAnsi="Arial" w:cs="Arial"/>
              <w:color w:val="404040"/>
              <w:kern w:val="0"/>
              <w:sz w:val="24"/>
              <w:szCs w:val="24"/>
              <w:lang w:eastAsia="en-GB"/>
              <w14:ligatures w14:val="none"/>
            </w:rPr>
            <w:fldChar w:fldCharType="begin"/>
          </w:r>
          <w:r w:rsidR="00237917">
            <w:rPr>
              <w:rFonts w:ascii="Arial" w:eastAsia="Times New Roman" w:hAnsi="Arial" w:cs="Arial"/>
              <w:color w:val="404040"/>
              <w:kern w:val="0"/>
              <w:sz w:val="24"/>
              <w:szCs w:val="24"/>
              <w:lang w:eastAsia="en-GB"/>
              <w14:ligatures w14:val="none"/>
            </w:rPr>
            <w:instrText xml:space="preserve"> CITATION Emi38 \l 2057 </w:instrText>
          </w:r>
          <w:r w:rsidR="00237917">
            <w:rPr>
              <w:rFonts w:ascii="Arial" w:eastAsia="Times New Roman" w:hAnsi="Arial" w:cs="Arial"/>
              <w:color w:val="404040"/>
              <w:kern w:val="0"/>
              <w:sz w:val="24"/>
              <w:szCs w:val="24"/>
              <w:lang w:eastAsia="en-GB"/>
              <w14:ligatures w14:val="none"/>
            </w:rPr>
            <w:fldChar w:fldCharType="separate"/>
          </w:r>
          <w:r w:rsidR="00237917" w:rsidRPr="00237917">
            <w:rPr>
              <w:rFonts w:ascii="Arial" w:eastAsia="Times New Roman" w:hAnsi="Arial" w:cs="Arial"/>
              <w:noProof/>
              <w:color w:val="404040"/>
              <w:kern w:val="0"/>
              <w:sz w:val="24"/>
              <w:szCs w:val="24"/>
              <w:lang w:eastAsia="en-GB"/>
              <w14:ligatures w14:val="none"/>
            </w:rPr>
            <w:t>(Durkheim, 1938)</w:t>
          </w:r>
          <w:r w:rsidR="00237917">
            <w:rPr>
              <w:rFonts w:ascii="Arial" w:eastAsia="Times New Roman" w:hAnsi="Arial" w:cs="Arial"/>
              <w:color w:val="404040"/>
              <w:kern w:val="0"/>
              <w:sz w:val="24"/>
              <w:szCs w:val="24"/>
              <w:lang w:eastAsia="en-GB"/>
              <w14:ligatures w14:val="none"/>
            </w:rPr>
            <w:fldChar w:fldCharType="end"/>
          </w:r>
        </w:sdtContent>
      </w:sdt>
      <w:r w:rsidR="007B6075">
        <w:rPr>
          <w:rFonts w:ascii="Arial" w:eastAsia="Times New Roman" w:hAnsi="Arial" w:cs="Arial"/>
          <w:color w:val="404040"/>
          <w:kern w:val="0"/>
          <w:sz w:val="24"/>
          <w:szCs w:val="24"/>
          <w:lang w:eastAsia="en-GB"/>
          <w14:ligatures w14:val="none"/>
        </w:rPr>
        <w:t xml:space="preserve">. Police are seen as a welcome presence in the </w:t>
      </w:r>
      <w:proofErr w:type="gramStart"/>
      <w:r w:rsidR="007B6075">
        <w:rPr>
          <w:rFonts w:ascii="Arial" w:eastAsia="Times New Roman" w:hAnsi="Arial" w:cs="Arial"/>
          <w:color w:val="404040"/>
          <w:kern w:val="0"/>
          <w:sz w:val="24"/>
          <w:szCs w:val="24"/>
          <w:lang w:eastAsia="en-GB"/>
          <w14:ligatures w14:val="none"/>
        </w:rPr>
        <w:t>community</w:t>
      </w:r>
      <w:proofErr w:type="gramEnd"/>
      <w:r w:rsidR="007B6075">
        <w:rPr>
          <w:rFonts w:ascii="Arial" w:eastAsia="Times New Roman" w:hAnsi="Arial" w:cs="Arial"/>
          <w:color w:val="404040"/>
          <w:kern w:val="0"/>
          <w:sz w:val="24"/>
          <w:szCs w:val="24"/>
          <w:lang w:eastAsia="en-GB"/>
          <w14:ligatures w14:val="none"/>
        </w:rPr>
        <w:t xml:space="preserve"> and it is a value that is needed within society. </w:t>
      </w:r>
    </w:p>
    <w:p w14:paraId="425EC185" w14:textId="77777777" w:rsidR="007B6075" w:rsidRDefault="007B6075"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64E6F1AF" w14:textId="48B5BC1B" w:rsidR="007B6075" w:rsidRDefault="007B6075"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The view on police, punishment and the state are viewed mostly in a positive light in consensus theory. As stated above, it is a bond between community and police whereby police work on a “Policing by consent” theory.</w:t>
      </w:r>
      <w:r w:rsidR="00400983">
        <w:rPr>
          <w:rFonts w:ascii="Arial" w:eastAsia="Times New Roman" w:hAnsi="Arial" w:cs="Arial"/>
          <w:color w:val="404040"/>
          <w:kern w:val="0"/>
          <w:sz w:val="24"/>
          <w:szCs w:val="24"/>
          <w:lang w:eastAsia="en-GB"/>
          <w14:ligatures w14:val="none"/>
        </w:rPr>
        <w:t xml:space="preserve"> This theory developed by Robert Peel was contained in his “Peelian Principles” issued to the Metropolitan Police in 1829 whereby the 9 principles he stated confirmed police will work by the consent of the public and this is where their power derives, not by the power gave from the state </w:t>
      </w:r>
      <w:sdt>
        <w:sdtPr>
          <w:rPr>
            <w:rFonts w:ascii="Arial" w:eastAsia="Times New Roman" w:hAnsi="Arial" w:cs="Arial"/>
            <w:color w:val="404040"/>
            <w:kern w:val="0"/>
            <w:sz w:val="24"/>
            <w:szCs w:val="24"/>
            <w:lang w:eastAsia="en-GB"/>
            <w14:ligatures w14:val="none"/>
          </w:rPr>
          <w:id w:val="-1024171306"/>
          <w:citation/>
        </w:sdtPr>
        <w:sdtContent>
          <w:r w:rsidR="00400983">
            <w:rPr>
              <w:rFonts w:ascii="Arial" w:eastAsia="Times New Roman" w:hAnsi="Arial" w:cs="Arial"/>
              <w:color w:val="404040"/>
              <w:kern w:val="0"/>
              <w:sz w:val="24"/>
              <w:szCs w:val="24"/>
              <w:lang w:eastAsia="en-GB"/>
              <w14:ligatures w14:val="none"/>
            </w:rPr>
            <w:fldChar w:fldCharType="begin"/>
          </w:r>
          <w:r w:rsidR="00400983">
            <w:rPr>
              <w:rFonts w:ascii="Arial" w:eastAsia="Times New Roman" w:hAnsi="Arial" w:cs="Arial"/>
              <w:color w:val="404040"/>
              <w:kern w:val="0"/>
              <w:sz w:val="24"/>
              <w:szCs w:val="24"/>
              <w:lang w:eastAsia="en-GB"/>
              <w14:ligatures w14:val="none"/>
            </w:rPr>
            <w:instrText xml:space="preserve"> CITATION GOV12 \l 2057 </w:instrText>
          </w:r>
          <w:r w:rsidR="00400983">
            <w:rPr>
              <w:rFonts w:ascii="Arial" w:eastAsia="Times New Roman" w:hAnsi="Arial" w:cs="Arial"/>
              <w:color w:val="404040"/>
              <w:kern w:val="0"/>
              <w:sz w:val="24"/>
              <w:szCs w:val="24"/>
              <w:lang w:eastAsia="en-GB"/>
              <w14:ligatures w14:val="none"/>
            </w:rPr>
            <w:fldChar w:fldCharType="separate"/>
          </w:r>
          <w:r w:rsidR="00400983" w:rsidRPr="00400983">
            <w:rPr>
              <w:rFonts w:ascii="Arial" w:eastAsia="Times New Roman" w:hAnsi="Arial" w:cs="Arial"/>
              <w:noProof/>
              <w:color w:val="404040"/>
              <w:kern w:val="0"/>
              <w:sz w:val="24"/>
              <w:szCs w:val="24"/>
              <w:lang w:eastAsia="en-GB"/>
              <w14:ligatures w14:val="none"/>
            </w:rPr>
            <w:t>(GOV.UK, 2012)</w:t>
          </w:r>
          <w:r w:rsidR="00400983">
            <w:rPr>
              <w:rFonts w:ascii="Arial" w:eastAsia="Times New Roman" w:hAnsi="Arial" w:cs="Arial"/>
              <w:color w:val="404040"/>
              <w:kern w:val="0"/>
              <w:sz w:val="24"/>
              <w:szCs w:val="24"/>
              <w:lang w:eastAsia="en-GB"/>
              <w14:ligatures w14:val="none"/>
            </w:rPr>
            <w:fldChar w:fldCharType="end"/>
          </w:r>
        </w:sdtContent>
      </w:sdt>
      <w:r w:rsidR="00400983">
        <w:rPr>
          <w:rFonts w:ascii="Arial" w:eastAsia="Times New Roman" w:hAnsi="Arial" w:cs="Arial"/>
          <w:color w:val="404040"/>
          <w:kern w:val="0"/>
          <w:sz w:val="24"/>
          <w:szCs w:val="24"/>
          <w:lang w:eastAsia="en-GB"/>
          <w14:ligatures w14:val="none"/>
        </w:rPr>
        <w:t>.</w:t>
      </w:r>
    </w:p>
    <w:p w14:paraId="775B3288" w14:textId="78C58341" w:rsidR="00930174" w:rsidRDefault="00400983"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With this basis, Consensus theory derives a form of cohesion and the necessity of crime within society. Focusing on the legitimacy and why the public conform to authority, </w:t>
      </w:r>
      <w:proofErr w:type="gramStart"/>
      <w:r>
        <w:rPr>
          <w:rFonts w:ascii="Arial" w:eastAsia="Times New Roman" w:hAnsi="Arial" w:cs="Arial"/>
          <w:color w:val="404040"/>
          <w:kern w:val="0"/>
          <w:sz w:val="24"/>
          <w:szCs w:val="24"/>
          <w:lang w:eastAsia="en-GB"/>
          <w14:ligatures w14:val="none"/>
        </w:rPr>
        <w:t>It</w:t>
      </w:r>
      <w:proofErr w:type="gramEnd"/>
      <w:r>
        <w:rPr>
          <w:rFonts w:ascii="Arial" w:eastAsia="Times New Roman" w:hAnsi="Arial" w:cs="Arial"/>
          <w:color w:val="404040"/>
          <w:kern w:val="0"/>
          <w:sz w:val="24"/>
          <w:szCs w:val="24"/>
          <w:lang w:eastAsia="en-GB"/>
          <w14:ligatures w14:val="none"/>
        </w:rPr>
        <w:t xml:space="preserve"> is stated that the </w:t>
      </w:r>
      <w:r w:rsidR="00930174">
        <w:rPr>
          <w:rFonts w:ascii="Arial" w:eastAsia="Times New Roman" w:hAnsi="Arial" w:cs="Arial"/>
          <w:color w:val="404040"/>
          <w:kern w:val="0"/>
          <w:sz w:val="24"/>
          <w:szCs w:val="24"/>
          <w:lang w:eastAsia="en-GB"/>
          <w14:ligatures w14:val="none"/>
        </w:rPr>
        <w:t xml:space="preserve">legitimacy of policing does not come from the effectiveness of dealing with crime but from the fairness of dealing with the crime. The public were observed to be more concerned with the fairness of prosecution and treatment of victim rather than the effectiveness of dealing with the matter </w:t>
      </w:r>
      <w:sdt>
        <w:sdtPr>
          <w:rPr>
            <w:rFonts w:ascii="Arial" w:eastAsia="Times New Roman" w:hAnsi="Arial" w:cs="Arial"/>
            <w:color w:val="404040"/>
            <w:kern w:val="0"/>
            <w:sz w:val="24"/>
            <w:szCs w:val="24"/>
            <w:lang w:eastAsia="en-GB"/>
            <w14:ligatures w14:val="none"/>
          </w:rPr>
          <w:id w:val="1846737488"/>
          <w:citation/>
        </w:sdtPr>
        <w:sdtContent>
          <w:r w:rsidR="00930174">
            <w:rPr>
              <w:rFonts w:ascii="Arial" w:eastAsia="Times New Roman" w:hAnsi="Arial" w:cs="Arial"/>
              <w:color w:val="404040"/>
              <w:kern w:val="0"/>
              <w:sz w:val="24"/>
              <w:szCs w:val="24"/>
              <w:lang w:eastAsia="en-GB"/>
              <w14:ligatures w14:val="none"/>
            </w:rPr>
            <w:fldChar w:fldCharType="begin"/>
          </w:r>
          <w:r w:rsidR="00930174">
            <w:rPr>
              <w:rFonts w:ascii="Arial" w:eastAsia="Times New Roman" w:hAnsi="Arial" w:cs="Arial"/>
              <w:color w:val="404040"/>
              <w:kern w:val="0"/>
              <w:sz w:val="24"/>
              <w:szCs w:val="24"/>
              <w:lang w:eastAsia="en-GB"/>
              <w14:ligatures w14:val="none"/>
            </w:rPr>
            <w:instrText xml:space="preserve"> CITATION Fie05 \l 2057 </w:instrText>
          </w:r>
          <w:r w:rsidR="00930174">
            <w:rPr>
              <w:rFonts w:ascii="Arial" w:eastAsia="Times New Roman" w:hAnsi="Arial" w:cs="Arial"/>
              <w:color w:val="404040"/>
              <w:kern w:val="0"/>
              <w:sz w:val="24"/>
              <w:szCs w:val="24"/>
              <w:lang w:eastAsia="en-GB"/>
              <w14:ligatures w14:val="none"/>
            </w:rPr>
            <w:fldChar w:fldCharType="separate"/>
          </w:r>
          <w:r w:rsidR="00930174" w:rsidRPr="00930174">
            <w:rPr>
              <w:rFonts w:ascii="Arial" w:eastAsia="Times New Roman" w:hAnsi="Arial" w:cs="Arial"/>
              <w:noProof/>
              <w:color w:val="404040"/>
              <w:kern w:val="0"/>
              <w:sz w:val="24"/>
              <w:szCs w:val="24"/>
              <w:lang w:eastAsia="en-GB"/>
              <w14:ligatures w14:val="none"/>
            </w:rPr>
            <w:t>(Fielding, 2005)</w:t>
          </w:r>
          <w:r w:rsidR="00930174">
            <w:rPr>
              <w:rFonts w:ascii="Arial" w:eastAsia="Times New Roman" w:hAnsi="Arial" w:cs="Arial"/>
              <w:color w:val="404040"/>
              <w:kern w:val="0"/>
              <w:sz w:val="24"/>
              <w:szCs w:val="24"/>
              <w:lang w:eastAsia="en-GB"/>
              <w14:ligatures w14:val="none"/>
            </w:rPr>
            <w:fldChar w:fldCharType="end"/>
          </w:r>
        </w:sdtContent>
      </w:sdt>
      <w:r w:rsidR="00930174">
        <w:rPr>
          <w:rFonts w:ascii="Arial" w:eastAsia="Times New Roman" w:hAnsi="Arial" w:cs="Arial"/>
          <w:color w:val="404040"/>
          <w:kern w:val="0"/>
          <w:sz w:val="24"/>
          <w:szCs w:val="24"/>
          <w:lang w:eastAsia="en-GB"/>
          <w14:ligatures w14:val="none"/>
        </w:rPr>
        <w:t>. A report conducted by the Ministry of Justice shows public confidence in police in 201</w:t>
      </w:r>
      <w:r w:rsidR="00A40C90">
        <w:rPr>
          <w:rFonts w:ascii="Arial" w:eastAsia="Times New Roman" w:hAnsi="Arial" w:cs="Arial"/>
          <w:color w:val="404040"/>
          <w:kern w:val="0"/>
          <w:sz w:val="24"/>
          <w:szCs w:val="24"/>
          <w:lang w:eastAsia="en-GB"/>
          <w14:ligatures w14:val="none"/>
        </w:rPr>
        <w:t>3</w:t>
      </w:r>
      <w:r w:rsidR="00930174">
        <w:rPr>
          <w:rFonts w:ascii="Arial" w:eastAsia="Times New Roman" w:hAnsi="Arial" w:cs="Arial"/>
          <w:color w:val="404040"/>
          <w:kern w:val="0"/>
          <w:sz w:val="24"/>
          <w:szCs w:val="24"/>
          <w:lang w:eastAsia="en-GB"/>
          <w14:ligatures w14:val="none"/>
        </w:rPr>
        <w:t>/1</w:t>
      </w:r>
      <w:r w:rsidR="00A40C90">
        <w:rPr>
          <w:rFonts w:ascii="Arial" w:eastAsia="Times New Roman" w:hAnsi="Arial" w:cs="Arial"/>
          <w:color w:val="404040"/>
          <w:kern w:val="0"/>
          <w:sz w:val="24"/>
          <w:szCs w:val="24"/>
          <w:lang w:eastAsia="en-GB"/>
          <w14:ligatures w14:val="none"/>
        </w:rPr>
        <w:t>4</w:t>
      </w:r>
      <w:r w:rsidR="00930174">
        <w:rPr>
          <w:rFonts w:ascii="Arial" w:eastAsia="Times New Roman" w:hAnsi="Arial" w:cs="Arial"/>
          <w:color w:val="404040"/>
          <w:kern w:val="0"/>
          <w:sz w:val="24"/>
          <w:szCs w:val="24"/>
          <w:lang w:eastAsia="en-GB"/>
          <w14:ligatures w14:val="none"/>
        </w:rPr>
        <w:t xml:space="preserve"> which showed that </w:t>
      </w:r>
      <w:r w:rsidR="00A40C90">
        <w:rPr>
          <w:rFonts w:ascii="Arial" w:eastAsia="Times New Roman" w:hAnsi="Arial" w:cs="Arial"/>
          <w:color w:val="404040"/>
          <w:kern w:val="0"/>
          <w:sz w:val="24"/>
          <w:szCs w:val="24"/>
          <w:lang w:eastAsia="en-GB"/>
          <w14:ligatures w14:val="none"/>
        </w:rPr>
        <w:t xml:space="preserve">public confidence was predominantly high and </w:t>
      </w:r>
      <w:r w:rsidR="00A40C90">
        <w:rPr>
          <w:rFonts w:ascii="Arial" w:eastAsia="Times New Roman" w:hAnsi="Arial" w:cs="Arial"/>
          <w:color w:val="404040"/>
          <w:kern w:val="0"/>
          <w:sz w:val="24"/>
          <w:szCs w:val="24"/>
          <w:lang w:eastAsia="en-GB"/>
          <w14:ligatures w14:val="none"/>
        </w:rPr>
        <w:lastRenderedPageBreak/>
        <w:t xml:space="preserve">believed that fairness was at the forefront of their opinion for confidence. This trend was seemingly increasing and continues to increase due to the policies and procedures applied by police to make responding fairer </w:t>
      </w:r>
      <w:sdt>
        <w:sdtPr>
          <w:rPr>
            <w:rFonts w:ascii="Arial" w:eastAsia="Times New Roman" w:hAnsi="Arial" w:cs="Arial"/>
            <w:color w:val="404040"/>
            <w:kern w:val="0"/>
            <w:sz w:val="24"/>
            <w:szCs w:val="24"/>
            <w:lang w:eastAsia="en-GB"/>
            <w14:ligatures w14:val="none"/>
          </w:rPr>
          <w:id w:val="-44752312"/>
          <w:citation/>
        </w:sdtPr>
        <w:sdtContent>
          <w:r w:rsidR="00A40C90">
            <w:rPr>
              <w:rFonts w:ascii="Arial" w:eastAsia="Times New Roman" w:hAnsi="Arial" w:cs="Arial"/>
              <w:color w:val="404040"/>
              <w:kern w:val="0"/>
              <w:sz w:val="24"/>
              <w:szCs w:val="24"/>
              <w:lang w:eastAsia="en-GB"/>
              <w14:ligatures w14:val="none"/>
            </w:rPr>
            <w:fldChar w:fldCharType="begin"/>
          </w:r>
          <w:r w:rsidR="00A40C90">
            <w:rPr>
              <w:rFonts w:ascii="Arial" w:eastAsia="Times New Roman" w:hAnsi="Arial" w:cs="Arial"/>
              <w:color w:val="404040"/>
              <w:kern w:val="0"/>
              <w:sz w:val="24"/>
              <w:szCs w:val="24"/>
              <w:lang w:eastAsia="en-GB"/>
              <w14:ligatures w14:val="none"/>
            </w:rPr>
            <w:instrText xml:space="preserve"> CITATION Kri15 \l 2057 </w:instrText>
          </w:r>
          <w:r w:rsidR="00A40C90">
            <w:rPr>
              <w:rFonts w:ascii="Arial" w:eastAsia="Times New Roman" w:hAnsi="Arial" w:cs="Arial"/>
              <w:color w:val="404040"/>
              <w:kern w:val="0"/>
              <w:sz w:val="24"/>
              <w:szCs w:val="24"/>
              <w:lang w:eastAsia="en-GB"/>
              <w14:ligatures w14:val="none"/>
            </w:rPr>
            <w:fldChar w:fldCharType="separate"/>
          </w:r>
          <w:r w:rsidR="00A40C90" w:rsidRPr="00A40C90">
            <w:rPr>
              <w:rFonts w:ascii="Arial" w:eastAsia="Times New Roman" w:hAnsi="Arial" w:cs="Arial"/>
              <w:noProof/>
              <w:color w:val="404040"/>
              <w:kern w:val="0"/>
              <w:sz w:val="24"/>
              <w:szCs w:val="24"/>
              <w:lang w:eastAsia="en-GB"/>
              <w14:ligatures w14:val="none"/>
            </w:rPr>
            <w:t>(Jansson, 2015)</w:t>
          </w:r>
          <w:r w:rsidR="00A40C90">
            <w:rPr>
              <w:rFonts w:ascii="Arial" w:eastAsia="Times New Roman" w:hAnsi="Arial" w:cs="Arial"/>
              <w:color w:val="404040"/>
              <w:kern w:val="0"/>
              <w:sz w:val="24"/>
              <w:szCs w:val="24"/>
              <w:lang w:eastAsia="en-GB"/>
              <w14:ligatures w14:val="none"/>
            </w:rPr>
            <w:fldChar w:fldCharType="end"/>
          </w:r>
        </w:sdtContent>
      </w:sdt>
      <w:r w:rsidR="00A40C90">
        <w:rPr>
          <w:rFonts w:ascii="Arial" w:eastAsia="Times New Roman" w:hAnsi="Arial" w:cs="Arial"/>
          <w:color w:val="404040"/>
          <w:kern w:val="0"/>
          <w:sz w:val="24"/>
          <w:szCs w:val="24"/>
          <w:lang w:eastAsia="en-GB"/>
          <w14:ligatures w14:val="none"/>
        </w:rPr>
        <w:t>. Analysing this and applying the theory presented by Fielding and Peel, the ideology of fairness being precedent over effectiveness is applicable to modern day society as the study evidences the theory suggested by Fielding where the public are more concerned in the fairness of prosecution and treatment which leads to the legitimacy of the police.</w:t>
      </w:r>
    </w:p>
    <w:p w14:paraId="324DCC12" w14:textId="5F249D74" w:rsidR="00A40C90" w:rsidRDefault="00A40C90"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Further to this, consensus theorists argue that the public only comply with the law due to the legitimacy of the criminal justice system </w:t>
      </w:r>
      <w:sdt>
        <w:sdtPr>
          <w:rPr>
            <w:rFonts w:ascii="Arial" w:eastAsia="Times New Roman" w:hAnsi="Arial" w:cs="Arial"/>
            <w:color w:val="404040"/>
            <w:kern w:val="0"/>
            <w:sz w:val="24"/>
            <w:szCs w:val="24"/>
            <w:lang w:eastAsia="en-GB"/>
            <w14:ligatures w14:val="none"/>
          </w:rPr>
          <w:id w:val="-1478216243"/>
          <w:citation/>
        </w:sdtPr>
        <w:sdtContent>
          <w:r w:rsidR="00087331">
            <w:rPr>
              <w:rFonts w:ascii="Arial" w:eastAsia="Times New Roman" w:hAnsi="Arial" w:cs="Arial"/>
              <w:color w:val="404040"/>
              <w:kern w:val="0"/>
              <w:sz w:val="24"/>
              <w:szCs w:val="24"/>
              <w:lang w:eastAsia="en-GB"/>
              <w14:ligatures w14:val="none"/>
            </w:rPr>
            <w:fldChar w:fldCharType="begin"/>
          </w:r>
          <w:r w:rsidR="00087331">
            <w:rPr>
              <w:rFonts w:ascii="Arial" w:eastAsia="Times New Roman" w:hAnsi="Arial" w:cs="Arial"/>
              <w:color w:val="404040"/>
              <w:kern w:val="0"/>
              <w:sz w:val="24"/>
              <w:szCs w:val="24"/>
              <w:lang w:eastAsia="en-GB"/>
              <w14:ligatures w14:val="none"/>
            </w:rPr>
            <w:instrText xml:space="preserve">CITATION Mik05 \l 2057 </w:instrText>
          </w:r>
          <w:r w:rsidR="00087331">
            <w:rPr>
              <w:rFonts w:ascii="Arial" w:eastAsia="Times New Roman" w:hAnsi="Arial" w:cs="Arial"/>
              <w:color w:val="404040"/>
              <w:kern w:val="0"/>
              <w:sz w:val="24"/>
              <w:szCs w:val="24"/>
              <w:lang w:eastAsia="en-GB"/>
              <w14:ligatures w14:val="none"/>
            </w:rPr>
            <w:fldChar w:fldCharType="separate"/>
          </w:r>
          <w:r w:rsidR="00087331" w:rsidRPr="00087331">
            <w:rPr>
              <w:rFonts w:ascii="Arial" w:eastAsia="Times New Roman" w:hAnsi="Arial" w:cs="Arial"/>
              <w:noProof/>
              <w:color w:val="404040"/>
              <w:kern w:val="0"/>
              <w:sz w:val="24"/>
              <w:szCs w:val="24"/>
              <w:lang w:eastAsia="en-GB"/>
              <w14:ligatures w14:val="none"/>
            </w:rPr>
            <w:t>(Brogden &amp; Nijhar, 2005)</w:t>
          </w:r>
          <w:r w:rsidR="00087331">
            <w:rPr>
              <w:rFonts w:ascii="Arial" w:eastAsia="Times New Roman" w:hAnsi="Arial" w:cs="Arial"/>
              <w:color w:val="404040"/>
              <w:kern w:val="0"/>
              <w:sz w:val="24"/>
              <w:szCs w:val="24"/>
              <w:lang w:eastAsia="en-GB"/>
              <w14:ligatures w14:val="none"/>
            </w:rPr>
            <w:fldChar w:fldCharType="end"/>
          </w:r>
        </w:sdtContent>
      </w:sdt>
      <w:r w:rsidR="00087331">
        <w:rPr>
          <w:rFonts w:ascii="Arial" w:eastAsia="Times New Roman" w:hAnsi="Arial" w:cs="Arial"/>
          <w:color w:val="404040"/>
          <w:kern w:val="0"/>
          <w:sz w:val="24"/>
          <w:szCs w:val="24"/>
          <w:lang w:eastAsia="en-GB"/>
          <w14:ligatures w14:val="none"/>
        </w:rPr>
        <w:t>. It is stated that the police and criminal justice system present punishment to reinforce the norms and expectations from persons in society. These punishments and consequences, provide the legitimacy of the criminal justice system which in turn creates conformity to law in society. The public then, view the police and criminal justice system as legitimate due to the consequences they know will be applied should they deviate from social norms. This theory is evidenced in a report on Public Opinion and Understanding of Sentence from UK Parliament whereby it evidenced that of the applicants to the study, 5</w:t>
      </w:r>
      <w:r w:rsidR="00EF4B3B">
        <w:rPr>
          <w:rFonts w:ascii="Arial" w:eastAsia="Times New Roman" w:hAnsi="Arial" w:cs="Arial"/>
          <w:color w:val="404040"/>
          <w:kern w:val="0"/>
          <w:sz w:val="24"/>
          <w:szCs w:val="24"/>
          <w:lang w:eastAsia="en-GB"/>
          <w14:ligatures w14:val="none"/>
        </w:rPr>
        <w:t>2% felt confident in the consequences and punishments provided in sentencing and 54% thought it was fair. Further applying Fielding’s theory to the study coincided with the theory of legitimacy from Brogden &amp; Nijhar it is evident that the report demonstrates that the legitimacy of the criminal justice system and police stems from the fairness and treatment of the public rather than its effectiveness. This legitimacy then reinforces norms and expectations to the public which creates social cohesion and conformity to law.</w:t>
      </w:r>
    </w:p>
    <w:p w14:paraId="58123858" w14:textId="77777777" w:rsidR="00DF7E9F" w:rsidRDefault="00DF7E9F"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33498C1D" w14:textId="21AA2511" w:rsidR="00DF7E9F" w:rsidRDefault="00DF7E9F"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Interactionism is also key when analysing Consensus theory and the public perception on policing. Interactionism is defined </w:t>
      </w:r>
      <w:r w:rsidR="00C42616">
        <w:rPr>
          <w:rFonts w:ascii="Arial" w:eastAsia="Times New Roman" w:hAnsi="Arial" w:cs="Arial"/>
          <w:color w:val="404040"/>
          <w:kern w:val="0"/>
          <w:sz w:val="24"/>
          <w:szCs w:val="24"/>
          <w:lang w:eastAsia="en-GB"/>
          <w14:ligatures w14:val="none"/>
        </w:rPr>
        <w:t xml:space="preserve">as “a micro-sociological perspective that argues that meaning is a product of interactions or repeated interactions between individuals and social groups” </w:t>
      </w:r>
      <w:sdt>
        <w:sdtPr>
          <w:rPr>
            <w:rFonts w:ascii="Arial" w:eastAsia="Times New Roman" w:hAnsi="Arial" w:cs="Arial"/>
            <w:color w:val="404040"/>
            <w:kern w:val="0"/>
            <w:sz w:val="24"/>
            <w:szCs w:val="24"/>
            <w:lang w:eastAsia="en-GB"/>
            <w14:ligatures w14:val="none"/>
          </w:rPr>
          <w:id w:val="-789041426"/>
          <w:citation/>
        </w:sdtPr>
        <w:sdtContent>
          <w:r w:rsidR="00C42616">
            <w:rPr>
              <w:rFonts w:ascii="Arial" w:eastAsia="Times New Roman" w:hAnsi="Arial" w:cs="Arial"/>
              <w:color w:val="404040"/>
              <w:kern w:val="0"/>
              <w:sz w:val="24"/>
              <w:szCs w:val="24"/>
              <w:lang w:eastAsia="en-GB"/>
              <w14:ligatures w14:val="none"/>
            </w:rPr>
            <w:fldChar w:fldCharType="begin"/>
          </w:r>
          <w:r w:rsidR="00C42616">
            <w:rPr>
              <w:rFonts w:ascii="Arial" w:eastAsia="Times New Roman" w:hAnsi="Arial" w:cs="Arial"/>
              <w:color w:val="404040"/>
              <w:kern w:val="0"/>
              <w:sz w:val="24"/>
              <w:szCs w:val="24"/>
              <w:lang w:eastAsia="en-GB"/>
              <w14:ligatures w14:val="none"/>
            </w:rPr>
            <w:instrText xml:space="preserve"> CITATION Geo34 \l 2057 </w:instrText>
          </w:r>
          <w:r w:rsidR="00C42616">
            <w:rPr>
              <w:rFonts w:ascii="Arial" w:eastAsia="Times New Roman" w:hAnsi="Arial" w:cs="Arial"/>
              <w:color w:val="404040"/>
              <w:kern w:val="0"/>
              <w:sz w:val="24"/>
              <w:szCs w:val="24"/>
              <w:lang w:eastAsia="en-GB"/>
              <w14:ligatures w14:val="none"/>
            </w:rPr>
            <w:fldChar w:fldCharType="separate"/>
          </w:r>
          <w:r w:rsidR="00C42616" w:rsidRPr="00C42616">
            <w:rPr>
              <w:rFonts w:ascii="Arial" w:eastAsia="Times New Roman" w:hAnsi="Arial" w:cs="Arial"/>
              <w:noProof/>
              <w:color w:val="404040"/>
              <w:kern w:val="0"/>
              <w:sz w:val="24"/>
              <w:szCs w:val="24"/>
              <w:lang w:eastAsia="en-GB"/>
              <w14:ligatures w14:val="none"/>
            </w:rPr>
            <w:t>(Mead, 1934)</w:t>
          </w:r>
          <w:r w:rsidR="00C42616">
            <w:rPr>
              <w:rFonts w:ascii="Arial" w:eastAsia="Times New Roman" w:hAnsi="Arial" w:cs="Arial"/>
              <w:color w:val="404040"/>
              <w:kern w:val="0"/>
              <w:sz w:val="24"/>
              <w:szCs w:val="24"/>
              <w:lang w:eastAsia="en-GB"/>
              <w14:ligatures w14:val="none"/>
            </w:rPr>
            <w:fldChar w:fldCharType="end"/>
          </w:r>
        </w:sdtContent>
      </w:sdt>
      <w:r w:rsidR="00C42616">
        <w:rPr>
          <w:rFonts w:ascii="Arial" w:eastAsia="Times New Roman" w:hAnsi="Arial" w:cs="Arial"/>
          <w:color w:val="404040"/>
          <w:kern w:val="0"/>
          <w:sz w:val="24"/>
          <w:szCs w:val="24"/>
          <w:lang w:eastAsia="en-GB"/>
          <w14:ligatures w14:val="none"/>
        </w:rPr>
        <w:t>. This theory concurs with functionalist theory and comes under consensus theory as it argues that positive interactions between public and police creates legitimacy however, Interactionist theorists look at these interactions on a micro scale rather than society as a whole.</w:t>
      </w:r>
    </w:p>
    <w:p w14:paraId="5D923E91" w14:textId="228028E1" w:rsidR="00C42616" w:rsidRDefault="00C42616" w:rsidP="00923E0C">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When evaluating the public’s perception on police, it is seen that positive and negative interactions with police effect the overall confidence and trust in police </w:t>
      </w:r>
      <w:sdt>
        <w:sdtPr>
          <w:rPr>
            <w:rFonts w:ascii="Arial" w:eastAsia="Times New Roman" w:hAnsi="Arial" w:cs="Arial"/>
            <w:color w:val="404040"/>
            <w:kern w:val="0"/>
            <w:sz w:val="24"/>
            <w:szCs w:val="24"/>
            <w:lang w:eastAsia="en-GB"/>
            <w14:ligatures w14:val="none"/>
          </w:rPr>
          <w:id w:val="-689525970"/>
          <w:citation/>
        </w:sdt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Mil16 \l 2057 </w:instrText>
          </w:r>
          <w:r>
            <w:rPr>
              <w:rFonts w:ascii="Arial" w:eastAsia="Times New Roman" w:hAnsi="Arial" w:cs="Arial"/>
              <w:color w:val="404040"/>
              <w:kern w:val="0"/>
              <w:sz w:val="24"/>
              <w:szCs w:val="24"/>
              <w:lang w:eastAsia="en-GB"/>
              <w14:ligatures w14:val="none"/>
            </w:rPr>
            <w:fldChar w:fldCharType="separate"/>
          </w:r>
          <w:r w:rsidRPr="00C42616">
            <w:rPr>
              <w:rFonts w:ascii="Arial" w:eastAsia="Times New Roman" w:hAnsi="Arial" w:cs="Arial"/>
              <w:noProof/>
              <w:color w:val="404040"/>
              <w:kern w:val="0"/>
              <w:sz w:val="24"/>
              <w:szCs w:val="24"/>
              <w:lang w:eastAsia="en-GB"/>
              <w14:ligatures w14:val="none"/>
            </w:rPr>
            <w:t>(Miller &amp; D'Souza, 2016)</w:t>
          </w:r>
          <w:r>
            <w:rPr>
              <w:rFonts w:ascii="Arial" w:eastAsia="Times New Roman" w:hAnsi="Arial" w:cs="Arial"/>
              <w:color w:val="404040"/>
              <w:kern w:val="0"/>
              <w:sz w:val="24"/>
              <w:szCs w:val="24"/>
              <w:lang w:eastAsia="en-GB"/>
              <w14:ligatures w14:val="none"/>
            </w:rPr>
            <w:fldChar w:fldCharType="end"/>
          </w:r>
        </w:sdtContent>
      </w:sdt>
      <w:r w:rsidR="002B34A0">
        <w:rPr>
          <w:rFonts w:ascii="Arial" w:eastAsia="Times New Roman" w:hAnsi="Arial" w:cs="Arial"/>
          <w:color w:val="404040"/>
          <w:kern w:val="0"/>
          <w:sz w:val="24"/>
          <w:szCs w:val="24"/>
          <w:lang w:eastAsia="en-GB"/>
          <w14:ligatures w14:val="none"/>
        </w:rPr>
        <w:t xml:space="preserve">. This journal article which looked at searches conducted by police found that those who had a negative interaction with police were associated with negative opinions of the police and had a higher influence on those who broadcasted positive interactions with police to the public. On a micro scale, it was found that those who did have a positive experience with police were likely to engage more frequently with police and be more aware of crime in their area comparatively to those who had a negative view to be ignorant of crime occurring in their area. Peyton supports this by showing that the public’s perception is vital for the effective function of the police and is driven by the perceptions of the public to act as a social institution and individual officers </w:t>
      </w:r>
      <w:r w:rsidR="00F71AA7" w:rsidRPr="00F71AA7">
        <w:rPr>
          <w:rFonts w:ascii="Arial" w:eastAsia="Times New Roman" w:hAnsi="Arial" w:cs="Arial"/>
          <w:noProof/>
          <w:color w:val="404040"/>
          <w:kern w:val="0"/>
          <w:sz w:val="24"/>
          <w:szCs w:val="24"/>
          <w:lang w:eastAsia="en-GB"/>
          <w14:ligatures w14:val="none"/>
        </w:rPr>
        <w:t>(Peyton et al, 2019)</w:t>
      </w:r>
      <w:r w:rsidR="00F71AA7">
        <w:rPr>
          <w:rFonts w:ascii="Arial" w:eastAsia="Times New Roman" w:hAnsi="Arial" w:cs="Arial"/>
          <w:noProof/>
          <w:color w:val="404040"/>
          <w:kern w:val="0"/>
          <w:sz w:val="24"/>
          <w:szCs w:val="24"/>
          <w:lang w:eastAsia="en-GB"/>
          <w14:ligatures w14:val="none"/>
        </w:rPr>
        <w:t xml:space="preserve">. Assessing both theories, it is seen that in order to achieve confidence and legitimacy in police, a positive interaction is required in order for that interaction to be broadcast to the wider public to reinforce a positive overall opinion on the police. In relation to the functionalist theorists, this positive interaction then creates police legitimacy as persons with a positive opinion on police are more likely to engage, report and assist in the action against deviance and crime in society and reinforcing the norms and values agreed upon by the public. Further, the UK Parliament report highlights that </w:t>
      </w:r>
      <w:r w:rsidR="00F71AA7">
        <w:rPr>
          <w:rFonts w:ascii="Arial" w:eastAsia="Times New Roman" w:hAnsi="Arial" w:cs="Arial"/>
          <w:noProof/>
          <w:color w:val="404040"/>
          <w:kern w:val="0"/>
          <w:sz w:val="24"/>
          <w:szCs w:val="24"/>
          <w:lang w:eastAsia="en-GB"/>
          <w14:ligatures w14:val="none"/>
        </w:rPr>
        <w:lastRenderedPageBreak/>
        <w:t xml:space="preserve">interactions with police are marjorely positive due to the percentages showing confidence and trust in police and the fairness of treatment. This evidence shows that overall, interactions with police are positive and help build trust and legitimacy </w:t>
      </w:r>
      <w:r w:rsidR="00DC0150">
        <w:rPr>
          <w:rFonts w:ascii="Arial" w:eastAsia="Times New Roman" w:hAnsi="Arial" w:cs="Arial"/>
          <w:noProof/>
          <w:color w:val="404040"/>
          <w:kern w:val="0"/>
          <w:sz w:val="24"/>
          <w:szCs w:val="24"/>
          <w:lang w:eastAsia="en-GB"/>
          <w14:ligatures w14:val="none"/>
        </w:rPr>
        <w:t>for the police which in turn benefits police further due to the public engaging by reporting more crime, assisting police during investigations and taking a proactive role in the prevention and intervention of crime.</w:t>
      </w:r>
    </w:p>
    <w:p w14:paraId="6F6DA370" w14:textId="77777777" w:rsidR="00DC0150" w:rsidRDefault="00DC0150" w:rsidP="00923E0C">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p>
    <w:p w14:paraId="68F2040B" w14:textId="01580DF4" w:rsidR="00DC0150" w:rsidRPr="006129F3" w:rsidRDefault="00DC0150" w:rsidP="00923E0C">
      <w:pPr>
        <w:pBdr>
          <w:bottom w:val="single" w:sz="6" w:space="1" w:color="auto"/>
        </w:pBdr>
        <w:shd w:val="clear" w:color="auto" w:fill="FFFFFF"/>
        <w:spacing w:after="0" w:line="240" w:lineRule="auto"/>
        <w:textAlignment w:val="baseline"/>
        <w:rPr>
          <w:rFonts w:ascii="Arial" w:eastAsia="Times New Roman" w:hAnsi="Arial" w:cs="Arial"/>
          <w:b/>
          <w:bCs/>
          <w:i/>
          <w:iCs/>
          <w:noProof/>
          <w:color w:val="404040"/>
          <w:kern w:val="0"/>
          <w:sz w:val="32"/>
          <w:szCs w:val="32"/>
          <w:lang w:eastAsia="en-GB"/>
          <w14:ligatures w14:val="none"/>
        </w:rPr>
      </w:pPr>
      <w:r w:rsidRPr="006129F3">
        <w:rPr>
          <w:rFonts w:ascii="Arial" w:eastAsia="Times New Roman" w:hAnsi="Arial" w:cs="Arial"/>
          <w:b/>
          <w:bCs/>
          <w:i/>
          <w:iCs/>
          <w:noProof/>
          <w:color w:val="404040"/>
          <w:kern w:val="0"/>
          <w:sz w:val="32"/>
          <w:szCs w:val="32"/>
          <w:lang w:eastAsia="en-GB"/>
          <w14:ligatures w14:val="none"/>
        </w:rPr>
        <w:t>Analysis</w:t>
      </w:r>
      <w:r w:rsidR="005D41E0" w:rsidRPr="006129F3">
        <w:rPr>
          <w:rFonts w:ascii="Arial" w:eastAsia="Times New Roman" w:hAnsi="Arial" w:cs="Arial"/>
          <w:b/>
          <w:bCs/>
          <w:i/>
          <w:iCs/>
          <w:noProof/>
          <w:color w:val="404040"/>
          <w:kern w:val="0"/>
          <w:sz w:val="32"/>
          <w:szCs w:val="32"/>
          <w:lang w:eastAsia="en-GB"/>
          <w14:ligatures w14:val="none"/>
        </w:rPr>
        <w:t>,</w:t>
      </w:r>
      <w:r w:rsidRPr="006129F3">
        <w:rPr>
          <w:rFonts w:ascii="Arial" w:eastAsia="Times New Roman" w:hAnsi="Arial" w:cs="Arial"/>
          <w:b/>
          <w:bCs/>
          <w:i/>
          <w:iCs/>
          <w:noProof/>
          <w:color w:val="404040"/>
          <w:kern w:val="0"/>
          <w:sz w:val="32"/>
          <w:szCs w:val="32"/>
          <w:lang w:eastAsia="en-GB"/>
          <w14:ligatures w14:val="none"/>
        </w:rPr>
        <w:t xml:space="preserve"> Review</w:t>
      </w:r>
      <w:r w:rsidR="005D41E0" w:rsidRPr="006129F3">
        <w:rPr>
          <w:rFonts w:ascii="Arial" w:eastAsia="Times New Roman" w:hAnsi="Arial" w:cs="Arial"/>
          <w:b/>
          <w:bCs/>
          <w:i/>
          <w:iCs/>
          <w:noProof/>
          <w:color w:val="404040"/>
          <w:kern w:val="0"/>
          <w:sz w:val="32"/>
          <w:szCs w:val="32"/>
          <w:lang w:eastAsia="en-GB"/>
          <w14:ligatures w14:val="none"/>
        </w:rPr>
        <w:t xml:space="preserve"> and Conclusion</w:t>
      </w:r>
      <w:r w:rsidRPr="006129F3">
        <w:rPr>
          <w:rFonts w:ascii="Arial" w:eastAsia="Times New Roman" w:hAnsi="Arial" w:cs="Arial"/>
          <w:b/>
          <w:bCs/>
          <w:i/>
          <w:iCs/>
          <w:noProof/>
          <w:color w:val="404040"/>
          <w:kern w:val="0"/>
          <w:sz w:val="32"/>
          <w:szCs w:val="32"/>
          <w:lang w:eastAsia="en-GB"/>
          <w14:ligatures w14:val="none"/>
        </w:rPr>
        <w:t>:</w:t>
      </w:r>
    </w:p>
    <w:p w14:paraId="52895A1F" w14:textId="77777777" w:rsidR="00DC0150" w:rsidRDefault="00DC0150" w:rsidP="00923E0C">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p>
    <w:p w14:paraId="676103A7" w14:textId="0C9C2BBB" w:rsidR="00DC0150" w:rsidRDefault="00DC0150" w:rsidP="00923E0C">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noProof/>
          <w:color w:val="404040"/>
          <w:kern w:val="0"/>
          <w:sz w:val="24"/>
          <w:szCs w:val="24"/>
          <w:lang w:eastAsia="en-GB"/>
          <w14:ligatures w14:val="none"/>
        </w:rPr>
        <w:t>Reviewing the literacy stated above there are arguments for and against both macro perspectives when analysing the publics perception on the police.</w:t>
      </w:r>
    </w:p>
    <w:p w14:paraId="4AD49029" w14:textId="290F4235" w:rsidR="00DC0150" w:rsidRDefault="00DC0150" w:rsidP="00923E0C">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noProof/>
          <w:color w:val="404040"/>
          <w:kern w:val="0"/>
          <w:sz w:val="24"/>
          <w:szCs w:val="24"/>
          <w:lang w:eastAsia="en-GB"/>
          <w14:ligatures w14:val="none"/>
        </w:rPr>
        <w:t>Initially, conflict and consensus perspectives counteract one anothers opinions as conflict states that the relationship between police and public is built on conflicting opinions whereby consensus argues that it is harmonious. Evidence above shows that despite conflicting theories, the UK parliament report shows a majority of public are trusting and confident in the police due to the fairness it provides. However, Conflict theories stated above would argue that the public’s perception is misconstrued due to the publication of material that sways the public away from the real issues at hand which help legitimise the elite in power.</w:t>
      </w:r>
    </w:p>
    <w:p w14:paraId="441676AE" w14:textId="3E65EC00" w:rsidR="00DC0150" w:rsidRDefault="00DC0150" w:rsidP="00923E0C">
      <w:pPr>
        <w:shd w:val="clear" w:color="auto" w:fill="FFFFFF"/>
        <w:spacing w:after="0" w:line="240" w:lineRule="auto"/>
        <w:textAlignment w:val="baseline"/>
        <w:rPr>
          <w:rFonts w:ascii="Arial" w:eastAsia="Times New Roman" w:hAnsi="Arial" w:cs="Arial"/>
          <w:noProof/>
          <w:color w:val="404040"/>
          <w:kern w:val="0"/>
          <w:sz w:val="24"/>
          <w:szCs w:val="24"/>
          <w:lang w:eastAsia="en-GB"/>
          <w14:ligatures w14:val="none"/>
        </w:rPr>
      </w:pPr>
      <w:r>
        <w:rPr>
          <w:rFonts w:ascii="Arial" w:eastAsia="Times New Roman" w:hAnsi="Arial" w:cs="Arial"/>
          <w:noProof/>
          <w:color w:val="404040"/>
          <w:kern w:val="0"/>
          <w:sz w:val="24"/>
          <w:szCs w:val="24"/>
          <w:lang w:eastAsia="en-GB"/>
          <w14:ligatures w14:val="none"/>
        </w:rPr>
        <w:t>When asssessing the above literature it is understood that no macro perspective has the answer to whether the public has a positive or negative opinion on the police</w:t>
      </w:r>
      <w:r w:rsidR="005D41E0">
        <w:rPr>
          <w:rFonts w:ascii="Arial" w:eastAsia="Times New Roman" w:hAnsi="Arial" w:cs="Arial"/>
          <w:noProof/>
          <w:color w:val="404040"/>
          <w:kern w:val="0"/>
          <w:sz w:val="24"/>
          <w:szCs w:val="24"/>
          <w:lang w:eastAsia="en-GB"/>
          <w14:ligatures w14:val="none"/>
        </w:rPr>
        <w:t>. It is wholly agreed upon that the relationship between police and public is complex and can be analysed both on macro and micro scales giving both varying results as presented above.</w:t>
      </w:r>
    </w:p>
    <w:p w14:paraId="521671A8" w14:textId="50A727C1" w:rsidR="00EF4B3B" w:rsidRDefault="00EF4B3B"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7FC73C44" w14:textId="3C36F8A6" w:rsidR="005D41E0" w:rsidRDefault="005D41E0"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It is agreed upon that without trust and confidence in the police, they are limited in their ability to act and prevent crime </w:t>
      </w:r>
      <w:sdt>
        <w:sdtPr>
          <w:rPr>
            <w:rFonts w:ascii="Arial" w:eastAsia="Times New Roman" w:hAnsi="Arial" w:cs="Arial"/>
            <w:color w:val="404040"/>
            <w:kern w:val="0"/>
            <w:sz w:val="24"/>
            <w:szCs w:val="24"/>
            <w:lang w:eastAsia="en-GB"/>
            <w14:ligatures w14:val="none"/>
          </w:rPr>
          <w:id w:val="930700228"/>
          <w:citation/>
        </w:sdtPr>
        <w:sdtContent>
          <w:r>
            <w:rPr>
              <w:rFonts w:ascii="Arial" w:eastAsia="Times New Roman" w:hAnsi="Arial" w:cs="Arial"/>
              <w:color w:val="404040"/>
              <w:kern w:val="0"/>
              <w:sz w:val="24"/>
              <w:szCs w:val="24"/>
              <w:lang w:eastAsia="en-GB"/>
              <w14:ligatures w14:val="none"/>
            </w:rPr>
            <w:fldChar w:fldCharType="begin"/>
          </w:r>
          <w:r>
            <w:rPr>
              <w:rFonts w:ascii="Arial" w:eastAsia="Times New Roman" w:hAnsi="Arial" w:cs="Arial"/>
              <w:color w:val="404040"/>
              <w:kern w:val="0"/>
              <w:sz w:val="24"/>
              <w:szCs w:val="24"/>
              <w:lang w:eastAsia="en-GB"/>
              <w14:ligatures w14:val="none"/>
            </w:rPr>
            <w:instrText xml:space="preserve"> CITATION Ros05 \l 2057 </w:instrText>
          </w:r>
          <w:r>
            <w:rPr>
              <w:rFonts w:ascii="Arial" w:eastAsia="Times New Roman" w:hAnsi="Arial" w:cs="Arial"/>
              <w:color w:val="404040"/>
              <w:kern w:val="0"/>
              <w:sz w:val="24"/>
              <w:szCs w:val="24"/>
              <w:lang w:eastAsia="en-GB"/>
              <w14:ligatures w14:val="none"/>
            </w:rPr>
            <w:fldChar w:fldCharType="separate"/>
          </w:r>
          <w:r w:rsidRPr="005D41E0">
            <w:rPr>
              <w:rFonts w:ascii="Arial" w:eastAsia="Times New Roman" w:hAnsi="Arial" w:cs="Arial"/>
              <w:noProof/>
              <w:color w:val="404040"/>
              <w:kern w:val="0"/>
              <w:sz w:val="24"/>
              <w:szCs w:val="24"/>
              <w:lang w:eastAsia="en-GB"/>
              <w14:ligatures w14:val="none"/>
            </w:rPr>
            <w:t>(Rosenbaum, 2005)</w:t>
          </w:r>
          <w:r>
            <w:rPr>
              <w:rFonts w:ascii="Arial" w:eastAsia="Times New Roman" w:hAnsi="Arial" w:cs="Arial"/>
              <w:color w:val="404040"/>
              <w:kern w:val="0"/>
              <w:sz w:val="24"/>
              <w:szCs w:val="24"/>
              <w:lang w:eastAsia="en-GB"/>
              <w14:ligatures w14:val="none"/>
            </w:rPr>
            <w:fldChar w:fldCharType="end"/>
          </w:r>
        </w:sdtContent>
      </w:sdt>
      <w:r>
        <w:rPr>
          <w:rFonts w:ascii="Arial" w:eastAsia="Times New Roman" w:hAnsi="Arial" w:cs="Arial"/>
          <w:color w:val="404040"/>
          <w:kern w:val="0"/>
          <w:sz w:val="24"/>
          <w:szCs w:val="24"/>
          <w:lang w:eastAsia="en-GB"/>
          <w14:ligatures w14:val="none"/>
        </w:rPr>
        <w:t>. Whether it is conflict who argues that reform is needed within police to take power away from the elite or whether it is consensus theorem who believe the police function the way it does to reinforce social norms agreed upon by the public, both macro perspectives agree that without the trust and confidence of the public, the police would have no power to perform as a social institution.</w:t>
      </w:r>
    </w:p>
    <w:p w14:paraId="77869162" w14:textId="0ED65706" w:rsidR="005D41E0" w:rsidRDefault="005D41E0"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r>
        <w:rPr>
          <w:rFonts w:ascii="Arial" w:eastAsia="Times New Roman" w:hAnsi="Arial" w:cs="Arial"/>
          <w:color w:val="404040"/>
          <w:kern w:val="0"/>
          <w:sz w:val="24"/>
          <w:szCs w:val="24"/>
          <w:lang w:eastAsia="en-GB"/>
          <w14:ligatures w14:val="none"/>
        </w:rPr>
        <w:t xml:space="preserve">With evidence from reports, studies and findings conducted by official state reports, the police and individual theorists, the large amount of findings present the evidence that public confidence in police is in the majority and is continuing to rise despite, on a micro-level, individual/social groups believing that this trust is built on fear of repercussion, the fear of rising against those in power or having a negative interaction with police. </w:t>
      </w:r>
    </w:p>
    <w:p w14:paraId="40A28A98" w14:textId="77777777" w:rsidR="005D41E0" w:rsidRDefault="005D41E0"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209B845E" w14:textId="25E0CE0E" w:rsidR="00D76867" w:rsidRPr="00D76867" w:rsidRDefault="00D76867" w:rsidP="00923E0C">
      <w:pPr>
        <w:shd w:val="clear" w:color="auto" w:fill="FFFFFF"/>
        <w:spacing w:after="0" w:line="240" w:lineRule="auto"/>
        <w:textAlignment w:val="baseline"/>
        <w:rPr>
          <w:rFonts w:ascii="Arial" w:eastAsia="Times New Roman" w:hAnsi="Arial" w:cs="Arial"/>
          <w:b/>
          <w:bCs/>
          <w:i/>
          <w:iCs/>
          <w:color w:val="404040"/>
          <w:kern w:val="0"/>
          <w:sz w:val="24"/>
          <w:szCs w:val="24"/>
          <w:lang w:eastAsia="en-GB"/>
          <w14:ligatures w14:val="none"/>
        </w:rPr>
      </w:pPr>
      <w:r>
        <w:rPr>
          <w:rFonts w:ascii="Arial" w:eastAsia="Times New Roman" w:hAnsi="Arial" w:cs="Arial"/>
          <w:b/>
          <w:bCs/>
          <w:i/>
          <w:iCs/>
          <w:color w:val="404040"/>
          <w:kern w:val="0"/>
          <w:sz w:val="24"/>
          <w:szCs w:val="24"/>
          <w:lang w:eastAsia="en-GB"/>
          <w14:ligatures w14:val="none"/>
        </w:rPr>
        <w:t>2668 Words</w:t>
      </w:r>
    </w:p>
    <w:sdt>
      <w:sdtPr>
        <w:id w:val="1789399490"/>
        <w:docPartObj>
          <w:docPartGallery w:val="Bibliographies"/>
          <w:docPartUnique/>
        </w:docPartObj>
      </w:sdtPr>
      <w:sdtEndPr>
        <w:rPr>
          <w:rFonts w:asciiTheme="minorHAnsi" w:eastAsiaTheme="minorHAnsi" w:hAnsiTheme="minorHAnsi" w:cstheme="minorBidi"/>
          <w:color w:val="auto"/>
          <w:sz w:val="22"/>
          <w:szCs w:val="22"/>
        </w:rPr>
      </w:sdtEndPr>
      <w:sdtContent>
        <w:p w14:paraId="3C50CEED" w14:textId="59ABF7F7" w:rsidR="005D41E0" w:rsidRDefault="005D41E0">
          <w:pPr>
            <w:pStyle w:val="Heading1"/>
            <w:pBdr>
              <w:bottom w:val="single" w:sz="6" w:space="1" w:color="auto"/>
            </w:pBdr>
            <w:rPr>
              <w:rFonts w:ascii="Arial" w:hAnsi="Arial" w:cs="Arial"/>
              <w:b/>
              <w:bCs/>
              <w:i/>
              <w:iCs/>
              <w:sz w:val="32"/>
              <w:szCs w:val="32"/>
            </w:rPr>
          </w:pPr>
          <w:r w:rsidRPr="00D76867">
            <w:rPr>
              <w:rFonts w:ascii="Arial" w:hAnsi="Arial" w:cs="Arial"/>
              <w:b/>
              <w:bCs/>
              <w:i/>
              <w:iCs/>
              <w:sz w:val="32"/>
              <w:szCs w:val="32"/>
            </w:rPr>
            <w:t>Bibliography</w:t>
          </w:r>
        </w:p>
        <w:p w14:paraId="44D52C18" w14:textId="77777777" w:rsidR="00D76867" w:rsidRPr="00D76867" w:rsidRDefault="00D76867" w:rsidP="00D76867"/>
        <w:sdt>
          <w:sdtPr>
            <w:id w:val="111145805"/>
            <w:bibliography/>
          </w:sdtPr>
          <w:sdtContent>
            <w:p w14:paraId="06D14A6D" w14:textId="77777777" w:rsidR="005D41E0" w:rsidRDefault="005D41E0" w:rsidP="005D41E0">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Brogden, M., &amp; Nijhar, P. (2005). </w:t>
              </w:r>
              <w:r>
                <w:rPr>
                  <w:i/>
                  <w:iCs/>
                  <w:noProof/>
                </w:rPr>
                <w:t>Community Policing.</w:t>
              </w:r>
              <w:r>
                <w:rPr>
                  <w:noProof/>
                </w:rPr>
                <w:t xml:space="preserve"> London: Willan.</w:t>
              </w:r>
            </w:p>
            <w:p w14:paraId="2620DD23" w14:textId="77777777" w:rsidR="005D41E0" w:rsidRDefault="005D41E0" w:rsidP="005D41E0">
              <w:pPr>
                <w:pStyle w:val="Bibliography"/>
                <w:ind w:left="720" w:hanging="720"/>
                <w:rPr>
                  <w:noProof/>
                </w:rPr>
              </w:pPr>
              <w:r>
                <w:rPr>
                  <w:noProof/>
                </w:rPr>
                <w:t xml:space="preserve">Chambliss, W. (1978). </w:t>
              </w:r>
              <w:r>
                <w:rPr>
                  <w:i/>
                  <w:iCs/>
                  <w:noProof/>
                </w:rPr>
                <w:t>On the Take: From Petty Crooks to Presidents.</w:t>
              </w:r>
              <w:r>
                <w:rPr>
                  <w:noProof/>
                </w:rPr>
                <w:t xml:space="preserve"> Bloomington, Indiana: Indiana University Press.</w:t>
              </w:r>
            </w:p>
            <w:p w14:paraId="55D061A1" w14:textId="77777777" w:rsidR="005D41E0" w:rsidRDefault="005D41E0" w:rsidP="005D41E0">
              <w:pPr>
                <w:pStyle w:val="Bibliography"/>
                <w:ind w:left="720" w:hanging="720"/>
                <w:rPr>
                  <w:noProof/>
                </w:rPr>
              </w:pPr>
              <w:r>
                <w:rPr>
                  <w:noProof/>
                </w:rPr>
                <w:t xml:space="preserve">Durkheim, E. (1938). </w:t>
              </w:r>
              <w:r>
                <w:rPr>
                  <w:i/>
                  <w:iCs/>
                  <w:noProof/>
                </w:rPr>
                <w:t>The Rules of Sociological Method.</w:t>
              </w:r>
              <w:r>
                <w:rPr>
                  <w:noProof/>
                </w:rPr>
                <w:t xml:space="preserve"> Chicago: Chicago University Press.</w:t>
              </w:r>
            </w:p>
            <w:p w14:paraId="363E3621" w14:textId="77777777" w:rsidR="005D41E0" w:rsidRDefault="005D41E0" w:rsidP="005D41E0">
              <w:pPr>
                <w:pStyle w:val="Bibliography"/>
                <w:ind w:left="720" w:hanging="720"/>
                <w:rPr>
                  <w:noProof/>
                </w:rPr>
              </w:pPr>
              <w:r>
                <w:rPr>
                  <w:noProof/>
                </w:rPr>
                <w:lastRenderedPageBreak/>
                <w:t xml:space="preserve">Feria, R. D. (2020). Tax Fraud and Selective Law Enforcement. </w:t>
              </w:r>
              <w:r>
                <w:rPr>
                  <w:i/>
                  <w:iCs/>
                  <w:noProof/>
                </w:rPr>
                <w:t>Journal of Law and Society</w:t>
              </w:r>
              <w:r>
                <w:rPr>
                  <w:noProof/>
                </w:rPr>
                <w:t>, 240-270.</w:t>
              </w:r>
            </w:p>
            <w:p w14:paraId="0BAF6543" w14:textId="77777777" w:rsidR="005D41E0" w:rsidRDefault="005D41E0" w:rsidP="005D41E0">
              <w:pPr>
                <w:pStyle w:val="Bibliography"/>
                <w:ind w:left="720" w:hanging="720"/>
                <w:rPr>
                  <w:noProof/>
                </w:rPr>
              </w:pPr>
              <w:r>
                <w:rPr>
                  <w:noProof/>
                </w:rPr>
                <w:t xml:space="preserve">Fielding, N. (2005). Concepts and Theory of Community Policing. </w:t>
              </w:r>
              <w:r>
                <w:rPr>
                  <w:i/>
                  <w:iCs/>
                  <w:noProof/>
                </w:rPr>
                <w:t>The Howard Journal of Criminal Justice Vol 44 Is 5</w:t>
              </w:r>
              <w:r>
                <w:rPr>
                  <w:noProof/>
                </w:rPr>
                <w:t>, 460-472.</w:t>
              </w:r>
            </w:p>
            <w:p w14:paraId="62CC6393" w14:textId="77777777" w:rsidR="005D41E0" w:rsidRDefault="005D41E0" w:rsidP="005D41E0">
              <w:pPr>
                <w:pStyle w:val="Bibliography"/>
                <w:ind w:left="720" w:hanging="720"/>
                <w:rPr>
                  <w:noProof/>
                </w:rPr>
              </w:pPr>
              <w:r>
                <w:rPr>
                  <w:noProof/>
                </w:rPr>
                <w:t xml:space="preserve">GOV.UK. (2012, December 10th). </w:t>
              </w:r>
              <w:r>
                <w:rPr>
                  <w:i/>
                  <w:iCs/>
                  <w:noProof/>
                </w:rPr>
                <w:t>Definition of policing by consent</w:t>
              </w:r>
              <w:r>
                <w:rPr>
                  <w:noProof/>
                </w:rPr>
                <w:t>. Retrieved from GOV.UK: https://www.gov.uk/government/publications/policing-by-consent/definition-of-policing-by-consent</w:t>
              </w:r>
            </w:p>
            <w:p w14:paraId="5614ECFF" w14:textId="77777777" w:rsidR="005D41E0" w:rsidRDefault="005D41E0" w:rsidP="005D41E0">
              <w:pPr>
                <w:pStyle w:val="Bibliography"/>
                <w:ind w:left="720" w:hanging="720"/>
                <w:rPr>
                  <w:noProof/>
                </w:rPr>
              </w:pPr>
              <w:r>
                <w:rPr>
                  <w:noProof/>
                </w:rPr>
                <w:t xml:space="preserve">IPSOS. (2020). </w:t>
              </w:r>
              <w:r>
                <w:rPr>
                  <w:i/>
                  <w:iCs/>
                  <w:noProof/>
                </w:rPr>
                <w:t>Public perceptions .</w:t>
              </w:r>
              <w:r>
                <w:rPr>
                  <w:noProof/>
                </w:rPr>
                <w:t xml:space="preserve"> London: IPSOS.</w:t>
              </w:r>
            </w:p>
            <w:p w14:paraId="7BD4D05E" w14:textId="77777777" w:rsidR="005D41E0" w:rsidRDefault="005D41E0" w:rsidP="005D41E0">
              <w:pPr>
                <w:pStyle w:val="Bibliography"/>
                <w:ind w:left="720" w:hanging="720"/>
                <w:rPr>
                  <w:noProof/>
                </w:rPr>
              </w:pPr>
              <w:r>
                <w:rPr>
                  <w:noProof/>
                </w:rPr>
                <w:t xml:space="preserve">Jansson, K. (2015). </w:t>
              </w:r>
              <w:r>
                <w:rPr>
                  <w:i/>
                  <w:iCs/>
                  <w:noProof/>
                </w:rPr>
                <w:t>Public confidence in the Criminal Justice System - Findings from the Crime Survey for England and Wales 2013/14.</w:t>
              </w:r>
              <w:r>
                <w:rPr>
                  <w:noProof/>
                </w:rPr>
                <w:t xml:space="preserve"> London: Ministry of Justice.</w:t>
              </w:r>
            </w:p>
            <w:p w14:paraId="2E4AAF45" w14:textId="77777777" w:rsidR="005D41E0" w:rsidRDefault="005D41E0" w:rsidP="005D41E0">
              <w:pPr>
                <w:pStyle w:val="Bibliography"/>
                <w:ind w:left="720" w:hanging="720"/>
                <w:rPr>
                  <w:noProof/>
                </w:rPr>
              </w:pPr>
              <w:r>
                <w:rPr>
                  <w:noProof/>
                </w:rPr>
                <w:t xml:space="preserve">Jeffrey Reiman, P. L. (2016). </w:t>
              </w:r>
              <w:r>
                <w:rPr>
                  <w:i/>
                  <w:iCs/>
                  <w:noProof/>
                </w:rPr>
                <w:t>The Rich Get Richer and The Poor Get Prison (11th edition).</w:t>
              </w:r>
              <w:r>
                <w:rPr>
                  <w:noProof/>
                </w:rPr>
                <w:t xml:space="preserve"> New York: Routledge.</w:t>
              </w:r>
            </w:p>
            <w:p w14:paraId="0232AD22" w14:textId="77777777" w:rsidR="005D41E0" w:rsidRDefault="005D41E0" w:rsidP="005D41E0">
              <w:pPr>
                <w:pStyle w:val="Bibliography"/>
                <w:ind w:left="720" w:hanging="720"/>
                <w:rPr>
                  <w:noProof/>
                </w:rPr>
              </w:pPr>
              <w:r>
                <w:rPr>
                  <w:noProof/>
                </w:rPr>
                <w:t xml:space="preserve">Karl Marx, F. E. (2015). </w:t>
              </w:r>
              <w:r>
                <w:rPr>
                  <w:i/>
                  <w:iCs/>
                  <w:noProof/>
                </w:rPr>
                <w:t>The Communist Manifesto.</w:t>
              </w:r>
              <w:r>
                <w:rPr>
                  <w:noProof/>
                </w:rPr>
                <w:t xml:space="preserve"> London: Penguin Books.</w:t>
              </w:r>
            </w:p>
            <w:p w14:paraId="6D289444" w14:textId="77777777" w:rsidR="005D41E0" w:rsidRDefault="005D41E0" w:rsidP="005D41E0">
              <w:pPr>
                <w:pStyle w:val="Bibliography"/>
                <w:ind w:left="720" w:hanging="720"/>
                <w:rPr>
                  <w:noProof/>
                </w:rPr>
              </w:pPr>
              <w:r>
                <w:rPr>
                  <w:noProof/>
                </w:rPr>
                <w:t xml:space="preserve">Mead, G. H. (1934). </w:t>
              </w:r>
              <w:r>
                <w:rPr>
                  <w:i/>
                  <w:iCs/>
                  <w:noProof/>
                </w:rPr>
                <w:t>Mind, Self, Society.</w:t>
              </w:r>
              <w:r>
                <w:rPr>
                  <w:noProof/>
                </w:rPr>
                <w:t xml:space="preserve"> Chicago: University of Chicago Press.</w:t>
              </w:r>
            </w:p>
            <w:p w14:paraId="48CCE745" w14:textId="77777777" w:rsidR="005D41E0" w:rsidRDefault="005D41E0" w:rsidP="005D41E0">
              <w:pPr>
                <w:pStyle w:val="Bibliography"/>
                <w:ind w:left="720" w:hanging="720"/>
                <w:rPr>
                  <w:noProof/>
                </w:rPr>
              </w:pPr>
              <w:r>
                <w:rPr>
                  <w:noProof/>
                </w:rPr>
                <w:t xml:space="preserve">Miller, J., &amp; D'Souza. (2016). Indirect effects of police searches on community attitudes to the police: resentment or reassurance? </w:t>
              </w:r>
              <w:r>
                <w:rPr>
                  <w:i/>
                  <w:iCs/>
                  <w:noProof/>
                </w:rPr>
                <w:t>The British Journal of Criminology, 56(3)</w:t>
              </w:r>
              <w:r>
                <w:rPr>
                  <w:noProof/>
                </w:rPr>
                <w:t>, 456-478.</w:t>
              </w:r>
            </w:p>
            <w:p w14:paraId="77D1287E" w14:textId="77777777" w:rsidR="005D41E0" w:rsidRDefault="005D41E0" w:rsidP="005D41E0">
              <w:pPr>
                <w:pStyle w:val="Bibliography"/>
                <w:ind w:left="720" w:hanging="720"/>
                <w:rPr>
                  <w:noProof/>
                </w:rPr>
              </w:pPr>
              <w:r>
                <w:rPr>
                  <w:noProof/>
                </w:rPr>
                <w:t xml:space="preserve">Murphey, R. (2011). </w:t>
              </w:r>
              <w:r>
                <w:rPr>
                  <w:i/>
                  <w:iCs/>
                  <w:noProof/>
                </w:rPr>
                <w:t>The Courageous State: Rethinking Economics, Society and the Role of Government.</w:t>
              </w:r>
              <w:r>
                <w:rPr>
                  <w:noProof/>
                </w:rPr>
                <w:t xml:space="preserve"> Cambridge: Searching Finance Ltd.</w:t>
              </w:r>
            </w:p>
            <w:p w14:paraId="2E0B4F3A" w14:textId="77777777" w:rsidR="005D41E0" w:rsidRDefault="005D41E0" w:rsidP="005D41E0">
              <w:pPr>
                <w:pStyle w:val="Bibliography"/>
                <w:ind w:left="720" w:hanging="720"/>
                <w:rPr>
                  <w:noProof/>
                </w:rPr>
              </w:pPr>
              <w:r>
                <w:rPr>
                  <w:noProof/>
                </w:rPr>
                <w:t xml:space="preserve">Parsons, T. (1964). </w:t>
              </w:r>
              <w:r>
                <w:rPr>
                  <w:i/>
                  <w:iCs/>
                  <w:noProof/>
                </w:rPr>
                <w:t>Social Structure and Personality.</w:t>
              </w:r>
              <w:r>
                <w:rPr>
                  <w:noProof/>
                </w:rPr>
                <w:t xml:space="preserve"> Ann Arbor, Michigan: Free Press.</w:t>
              </w:r>
            </w:p>
            <w:p w14:paraId="02EB3BD1" w14:textId="77777777" w:rsidR="005D41E0" w:rsidRDefault="005D41E0" w:rsidP="005D41E0">
              <w:pPr>
                <w:pStyle w:val="Bibliography"/>
                <w:ind w:left="720" w:hanging="720"/>
                <w:rPr>
                  <w:noProof/>
                </w:rPr>
              </w:pPr>
              <w:r>
                <w:rPr>
                  <w:noProof/>
                </w:rPr>
                <w:t xml:space="preserve">Peyton, K., &amp; et al,. (2019). A field experiment on community policing and police legitimacy. </w:t>
              </w:r>
              <w:r>
                <w:rPr>
                  <w:i/>
                  <w:iCs/>
                  <w:noProof/>
                </w:rPr>
                <w:t>Proceedings of the National Academy of Sciences, 116(40)</w:t>
              </w:r>
              <w:r>
                <w:rPr>
                  <w:noProof/>
                </w:rPr>
                <w:t>, 19894-19898.</w:t>
              </w:r>
            </w:p>
            <w:p w14:paraId="156268F1" w14:textId="77777777" w:rsidR="005D41E0" w:rsidRDefault="005D41E0" w:rsidP="005D41E0">
              <w:pPr>
                <w:pStyle w:val="Bibliography"/>
                <w:ind w:left="720" w:hanging="720"/>
                <w:rPr>
                  <w:noProof/>
                </w:rPr>
              </w:pPr>
              <w:r>
                <w:rPr>
                  <w:noProof/>
                </w:rPr>
                <w:t xml:space="preserve">Rosenbaum. (2005). Attitudes toward the police: The effects of direct and vicarious experience. </w:t>
              </w:r>
              <w:r>
                <w:rPr>
                  <w:i/>
                  <w:iCs/>
                  <w:noProof/>
                </w:rPr>
                <w:t>Police Quarterly, 8(3)</w:t>
              </w:r>
              <w:r>
                <w:rPr>
                  <w:noProof/>
                </w:rPr>
                <w:t>, 343-365.</w:t>
              </w:r>
            </w:p>
            <w:p w14:paraId="7B6098E0" w14:textId="77777777" w:rsidR="005D41E0" w:rsidRDefault="005D41E0" w:rsidP="005D41E0">
              <w:pPr>
                <w:pStyle w:val="Bibliography"/>
                <w:ind w:left="720" w:hanging="720"/>
                <w:rPr>
                  <w:noProof/>
                </w:rPr>
              </w:pPr>
              <w:r>
                <w:rPr>
                  <w:noProof/>
                </w:rPr>
                <w:t xml:space="preserve">UK Governement Social Research. (2023). </w:t>
              </w:r>
              <w:r>
                <w:rPr>
                  <w:i/>
                  <w:iCs/>
                  <w:noProof/>
                </w:rPr>
                <w:t>Survey of public perceptions of fraud, error and debt.</w:t>
              </w:r>
              <w:r>
                <w:rPr>
                  <w:noProof/>
                </w:rPr>
                <w:t xml:space="preserve"> London: Department of Work and Pensions.</w:t>
              </w:r>
            </w:p>
            <w:p w14:paraId="031F1E83" w14:textId="633DECA2" w:rsidR="005D41E0" w:rsidRDefault="005D41E0" w:rsidP="005D41E0">
              <w:r>
                <w:rPr>
                  <w:b/>
                  <w:bCs/>
                  <w:noProof/>
                </w:rPr>
                <w:fldChar w:fldCharType="end"/>
              </w:r>
            </w:p>
          </w:sdtContent>
        </w:sdt>
      </w:sdtContent>
    </w:sdt>
    <w:p w14:paraId="73C36683" w14:textId="77777777" w:rsidR="005D41E0" w:rsidRDefault="005D41E0"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p w14:paraId="6F365778" w14:textId="77777777" w:rsidR="00EF4B3B" w:rsidRDefault="00EF4B3B" w:rsidP="00923E0C">
      <w:pPr>
        <w:shd w:val="clear" w:color="auto" w:fill="FFFFFF"/>
        <w:spacing w:after="0" w:line="240" w:lineRule="auto"/>
        <w:textAlignment w:val="baseline"/>
        <w:rPr>
          <w:rFonts w:ascii="Arial" w:eastAsia="Times New Roman" w:hAnsi="Arial" w:cs="Arial"/>
          <w:color w:val="404040"/>
          <w:kern w:val="0"/>
          <w:sz w:val="24"/>
          <w:szCs w:val="24"/>
          <w:lang w:eastAsia="en-GB"/>
          <w14:ligatures w14:val="none"/>
        </w:rPr>
      </w:pPr>
    </w:p>
    <w:sectPr w:rsidR="00EF4B3B" w:rsidSect="000E4A43">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60FC7"/>
    <w:multiLevelType w:val="hybridMultilevel"/>
    <w:tmpl w:val="6D92EAE4"/>
    <w:lvl w:ilvl="0" w:tplc="EE1674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6F16D3"/>
    <w:multiLevelType w:val="hybridMultilevel"/>
    <w:tmpl w:val="330264A0"/>
    <w:lvl w:ilvl="0" w:tplc="6F6C222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CC5CE2"/>
    <w:multiLevelType w:val="hybridMultilevel"/>
    <w:tmpl w:val="B62E8CAC"/>
    <w:lvl w:ilvl="0" w:tplc="CF00BC2E">
      <w:start w:val="12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532DB0"/>
    <w:multiLevelType w:val="multilevel"/>
    <w:tmpl w:val="0CDA4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2D1B02"/>
    <w:multiLevelType w:val="hybridMultilevel"/>
    <w:tmpl w:val="DD8AA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222309"/>
    <w:multiLevelType w:val="hybridMultilevel"/>
    <w:tmpl w:val="D43A4912"/>
    <w:lvl w:ilvl="0" w:tplc="E9668D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E821E3C"/>
    <w:multiLevelType w:val="hybridMultilevel"/>
    <w:tmpl w:val="00E81408"/>
    <w:lvl w:ilvl="0" w:tplc="CB62254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0178169">
    <w:abstractNumId w:val="6"/>
  </w:num>
  <w:num w:numId="2" w16cid:durableId="1705672114">
    <w:abstractNumId w:val="2"/>
  </w:num>
  <w:num w:numId="3" w16cid:durableId="2034767242">
    <w:abstractNumId w:val="5"/>
  </w:num>
  <w:num w:numId="4" w16cid:durableId="1146970812">
    <w:abstractNumId w:val="3"/>
  </w:num>
  <w:num w:numId="5" w16cid:durableId="1631663191">
    <w:abstractNumId w:val="1"/>
  </w:num>
  <w:num w:numId="6" w16cid:durableId="315064197">
    <w:abstractNumId w:val="0"/>
  </w:num>
  <w:num w:numId="7" w16cid:durableId="136632485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4DEB"/>
    <w:rsid w:val="00087331"/>
    <w:rsid w:val="000B6232"/>
    <w:rsid w:val="000D44C9"/>
    <w:rsid w:val="000E4A43"/>
    <w:rsid w:val="001023D5"/>
    <w:rsid w:val="00173265"/>
    <w:rsid w:val="00201045"/>
    <w:rsid w:val="00237917"/>
    <w:rsid w:val="002B34A0"/>
    <w:rsid w:val="00371F30"/>
    <w:rsid w:val="00400983"/>
    <w:rsid w:val="00502B04"/>
    <w:rsid w:val="005D41E0"/>
    <w:rsid w:val="005E55E1"/>
    <w:rsid w:val="005F7CEC"/>
    <w:rsid w:val="006129F3"/>
    <w:rsid w:val="00653590"/>
    <w:rsid w:val="00716488"/>
    <w:rsid w:val="007B6075"/>
    <w:rsid w:val="0082109F"/>
    <w:rsid w:val="0083243C"/>
    <w:rsid w:val="008E31DC"/>
    <w:rsid w:val="008F671A"/>
    <w:rsid w:val="00923E0C"/>
    <w:rsid w:val="00930174"/>
    <w:rsid w:val="00A40C90"/>
    <w:rsid w:val="00AB4490"/>
    <w:rsid w:val="00AE2847"/>
    <w:rsid w:val="00BF305D"/>
    <w:rsid w:val="00C11F13"/>
    <w:rsid w:val="00C357FA"/>
    <w:rsid w:val="00C42616"/>
    <w:rsid w:val="00C8546E"/>
    <w:rsid w:val="00D04DEB"/>
    <w:rsid w:val="00D76867"/>
    <w:rsid w:val="00DC0150"/>
    <w:rsid w:val="00DF7E9F"/>
    <w:rsid w:val="00E366CD"/>
    <w:rsid w:val="00E60540"/>
    <w:rsid w:val="00E7736A"/>
    <w:rsid w:val="00E80DDF"/>
    <w:rsid w:val="00ED0FA8"/>
    <w:rsid w:val="00EF4B3B"/>
    <w:rsid w:val="00F67EC3"/>
    <w:rsid w:val="00F71AA7"/>
    <w:rsid w:val="00FD03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AD8DA"/>
  <w15:chartTrackingRefBased/>
  <w15:docId w15:val="{47C1232C-82C2-4CFC-8306-40B6B70EE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D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4D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4D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4D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4D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4D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4D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4D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4D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4D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4D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4D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4D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4D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4D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4D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4D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4DEB"/>
    <w:rPr>
      <w:rFonts w:eastAsiaTheme="majorEastAsia" w:cstheme="majorBidi"/>
      <w:color w:val="272727" w:themeColor="text1" w:themeTint="D8"/>
    </w:rPr>
  </w:style>
  <w:style w:type="paragraph" w:styleId="Title">
    <w:name w:val="Title"/>
    <w:basedOn w:val="Normal"/>
    <w:next w:val="Normal"/>
    <w:link w:val="TitleChar"/>
    <w:uiPriority w:val="10"/>
    <w:qFormat/>
    <w:rsid w:val="00D04D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4D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4D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4D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4DEB"/>
    <w:pPr>
      <w:spacing w:before="160"/>
      <w:jc w:val="center"/>
    </w:pPr>
    <w:rPr>
      <w:i/>
      <w:iCs/>
      <w:color w:val="404040" w:themeColor="text1" w:themeTint="BF"/>
    </w:rPr>
  </w:style>
  <w:style w:type="character" w:customStyle="1" w:styleId="QuoteChar">
    <w:name w:val="Quote Char"/>
    <w:basedOn w:val="DefaultParagraphFont"/>
    <w:link w:val="Quote"/>
    <w:uiPriority w:val="29"/>
    <w:rsid w:val="00D04DEB"/>
    <w:rPr>
      <w:i/>
      <w:iCs/>
      <w:color w:val="404040" w:themeColor="text1" w:themeTint="BF"/>
    </w:rPr>
  </w:style>
  <w:style w:type="paragraph" w:styleId="ListParagraph">
    <w:name w:val="List Paragraph"/>
    <w:basedOn w:val="Normal"/>
    <w:uiPriority w:val="34"/>
    <w:qFormat/>
    <w:rsid w:val="00D04DEB"/>
    <w:pPr>
      <w:ind w:left="720"/>
      <w:contextualSpacing/>
    </w:pPr>
  </w:style>
  <w:style w:type="character" w:styleId="IntenseEmphasis">
    <w:name w:val="Intense Emphasis"/>
    <w:basedOn w:val="DefaultParagraphFont"/>
    <w:uiPriority w:val="21"/>
    <w:qFormat/>
    <w:rsid w:val="00D04DEB"/>
    <w:rPr>
      <w:i/>
      <w:iCs/>
      <w:color w:val="0F4761" w:themeColor="accent1" w:themeShade="BF"/>
    </w:rPr>
  </w:style>
  <w:style w:type="paragraph" w:styleId="IntenseQuote">
    <w:name w:val="Intense Quote"/>
    <w:basedOn w:val="Normal"/>
    <w:next w:val="Normal"/>
    <w:link w:val="IntenseQuoteChar"/>
    <w:uiPriority w:val="30"/>
    <w:qFormat/>
    <w:rsid w:val="00D04D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4DEB"/>
    <w:rPr>
      <w:i/>
      <w:iCs/>
      <w:color w:val="0F4761" w:themeColor="accent1" w:themeShade="BF"/>
    </w:rPr>
  </w:style>
  <w:style w:type="character" w:styleId="IntenseReference">
    <w:name w:val="Intense Reference"/>
    <w:basedOn w:val="DefaultParagraphFont"/>
    <w:uiPriority w:val="32"/>
    <w:qFormat/>
    <w:rsid w:val="00D04DEB"/>
    <w:rPr>
      <w:b/>
      <w:bCs/>
      <w:smallCaps/>
      <w:color w:val="0F4761" w:themeColor="accent1" w:themeShade="BF"/>
      <w:spacing w:val="5"/>
    </w:rPr>
  </w:style>
  <w:style w:type="character" w:styleId="Strong">
    <w:name w:val="Strong"/>
    <w:basedOn w:val="DefaultParagraphFont"/>
    <w:uiPriority w:val="22"/>
    <w:qFormat/>
    <w:rsid w:val="00E366CD"/>
    <w:rPr>
      <w:b/>
      <w:bCs/>
    </w:rPr>
  </w:style>
  <w:style w:type="character" w:styleId="Hyperlink">
    <w:name w:val="Hyperlink"/>
    <w:basedOn w:val="DefaultParagraphFont"/>
    <w:uiPriority w:val="99"/>
    <w:unhideWhenUsed/>
    <w:rsid w:val="00653590"/>
    <w:rPr>
      <w:color w:val="467886" w:themeColor="hyperlink"/>
      <w:u w:val="single"/>
    </w:rPr>
  </w:style>
  <w:style w:type="character" w:styleId="UnresolvedMention">
    <w:name w:val="Unresolved Mention"/>
    <w:basedOn w:val="DefaultParagraphFont"/>
    <w:uiPriority w:val="99"/>
    <w:semiHidden/>
    <w:unhideWhenUsed/>
    <w:rsid w:val="00653590"/>
    <w:rPr>
      <w:color w:val="605E5C"/>
      <w:shd w:val="clear" w:color="auto" w:fill="E1DFDD"/>
    </w:rPr>
  </w:style>
  <w:style w:type="character" w:styleId="FollowedHyperlink">
    <w:name w:val="FollowedHyperlink"/>
    <w:basedOn w:val="DefaultParagraphFont"/>
    <w:uiPriority w:val="99"/>
    <w:semiHidden/>
    <w:unhideWhenUsed/>
    <w:rsid w:val="00EF4B3B"/>
    <w:rPr>
      <w:color w:val="96607D" w:themeColor="followedHyperlink"/>
      <w:u w:val="single"/>
    </w:rPr>
  </w:style>
  <w:style w:type="paragraph" w:styleId="Bibliography">
    <w:name w:val="Bibliography"/>
    <w:basedOn w:val="Normal"/>
    <w:next w:val="Normal"/>
    <w:uiPriority w:val="37"/>
    <w:unhideWhenUsed/>
    <w:rsid w:val="005D41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121">
      <w:bodyDiv w:val="1"/>
      <w:marLeft w:val="0"/>
      <w:marRight w:val="0"/>
      <w:marTop w:val="0"/>
      <w:marBottom w:val="0"/>
      <w:divBdr>
        <w:top w:val="none" w:sz="0" w:space="0" w:color="auto"/>
        <w:left w:val="none" w:sz="0" w:space="0" w:color="auto"/>
        <w:bottom w:val="none" w:sz="0" w:space="0" w:color="auto"/>
        <w:right w:val="none" w:sz="0" w:space="0" w:color="auto"/>
      </w:divBdr>
    </w:div>
    <w:div w:id="57679789">
      <w:bodyDiv w:val="1"/>
      <w:marLeft w:val="0"/>
      <w:marRight w:val="0"/>
      <w:marTop w:val="0"/>
      <w:marBottom w:val="0"/>
      <w:divBdr>
        <w:top w:val="none" w:sz="0" w:space="0" w:color="auto"/>
        <w:left w:val="none" w:sz="0" w:space="0" w:color="auto"/>
        <w:bottom w:val="none" w:sz="0" w:space="0" w:color="auto"/>
        <w:right w:val="none" w:sz="0" w:space="0" w:color="auto"/>
      </w:divBdr>
    </w:div>
    <w:div w:id="90513597">
      <w:bodyDiv w:val="1"/>
      <w:marLeft w:val="0"/>
      <w:marRight w:val="0"/>
      <w:marTop w:val="0"/>
      <w:marBottom w:val="0"/>
      <w:divBdr>
        <w:top w:val="none" w:sz="0" w:space="0" w:color="auto"/>
        <w:left w:val="none" w:sz="0" w:space="0" w:color="auto"/>
        <w:bottom w:val="none" w:sz="0" w:space="0" w:color="auto"/>
        <w:right w:val="none" w:sz="0" w:space="0" w:color="auto"/>
      </w:divBdr>
    </w:div>
    <w:div w:id="190383545">
      <w:bodyDiv w:val="1"/>
      <w:marLeft w:val="0"/>
      <w:marRight w:val="0"/>
      <w:marTop w:val="0"/>
      <w:marBottom w:val="0"/>
      <w:divBdr>
        <w:top w:val="none" w:sz="0" w:space="0" w:color="auto"/>
        <w:left w:val="none" w:sz="0" w:space="0" w:color="auto"/>
        <w:bottom w:val="none" w:sz="0" w:space="0" w:color="auto"/>
        <w:right w:val="none" w:sz="0" w:space="0" w:color="auto"/>
      </w:divBdr>
    </w:div>
    <w:div w:id="205459039">
      <w:bodyDiv w:val="1"/>
      <w:marLeft w:val="0"/>
      <w:marRight w:val="0"/>
      <w:marTop w:val="0"/>
      <w:marBottom w:val="0"/>
      <w:divBdr>
        <w:top w:val="none" w:sz="0" w:space="0" w:color="auto"/>
        <w:left w:val="none" w:sz="0" w:space="0" w:color="auto"/>
        <w:bottom w:val="none" w:sz="0" w:space="0" w:color="auto"/>
        <w:right w:val="none" w:sz="0" w:space="0" w:color="auto"/>
      </w:divBdr>
    </w:div>
    <w:div w:id="222057988">
      <w:bodyDiv w:val="1"/>
      <w:marLeft w:val="0"/>
      <w:marRight w:val="0"/>
      <w:marTop w:val="0"/>
      <w:marBottom w:val="0"/>
      <w:divBdr>
        <w:top w:val="none" w:sz="0" w:space="0" w:color="auto"/>
        <w:left w:val="none" w:sz="0" w:space="0" w:color="auto"/>
        <w:bottom w:val="none" w:sz="0" w:space="0" w:color="auto"/>
        <w:right w:val="none" w:sz="0" w:space="0" w:color="auto"/>
      </w:divBdr>
    </w:div>
    <w:div w:id="429392554">
      <w:bodyDiv w:val="1"/>
      <w:marLeft w:val="0"/>
      <w:marRight w:val="0"/>
      <w:marTop w:val="0"/>
      <w:marBottom w:val="0"/>
      <w:divBdr>
        <w:top w:val="none" w:sz="0" w:space="0" w:color="auto"/>
        <w:left w:val="none" w:sz="0" w:space="0" w:color="auto"/>
        <w:bottom w:val="none" w:sz="0" w:space="0" w:color="auto"/>
        <w:right w:val="none" w:sz="0" w:space="0" w:color="auto"/>
      </w:divBdr>
    </w:div>
    <w:div w:id="545877014">
      <w:bodyDiv w:val="1"/>
      <w:marLeft w:val="0"/>
      <w:marRight w:val="0"/>
      <w:marTop w:val="0"/>
      <w:marBottom w:val="0"/>
      <w:divBdr>
        <w:top w:val="none" w:sz="0" w:space="0" w:color="auto"/>
        <w:left w:val="none" w:sz="0" w:space="0" w:color="auto"/>
        <w:bottom w:val="none" w:sz="0" w:space="0" w:color="auto"/>
        <w:right w:val="none" w:sz="0" w:space="0" w:color="auto"/>
      </w:divBdr>
    </w:div>
    <w:div w:id="620574297">
      <w:bodyDiv w:val="1"/>
      <w:marLeft w:val="0"/>
      <w:marRight w:val="0"/>
      <w:marTop w:val="0"/>
      <w:marBottom w:val="0"/>
      <w:divBdr>
        <w:top w:val="none" w:sz="0" w:space="0" w:color="auto"/>
        <w:left w:val="none" w:sz="0" w:space="0" w:color="auto"/>
        <w:bottom w:val="none" w:sz="0" w:space="0" w:color="auto"/>
        <w:right w:val="none" w:sz="0" w:space="0" w:color="auto"/>
      </w:divBdr>
    </w:div>
    <w:div w:id="982395287">
      <w:bodyDiv w:val="1"/>
      <w:marLeft w:val="0"/>
      <w:marRight w:val="0"/>
      <w:marTop w:val="0"/>
      <w:marBottom w:val="0"/>
      <w:divBdr>
        <w:top w:val="none" w:sz="0" w:space="0" w:color="auto"/>
        <w:left w:val="none" w:sz="0" w:space="0" w:color="auto"/>
        <w:bottom w:val="none" w:sz="0" w:space="0" w:color="auto"/>
        <w:right w:val="none" w:sz="0" w:space="0" w:color="auto"/>
      </w:divBdr>
    </w:div>
    <w:div w:id="986127517">
      <w:bodyDiv w:val="1"/>
      <w:marLeft w:val="0"/>
      <w:marRight w:val="0"/>
      <w:marTop w:val="0"/>
      <w:marBottom w:val="0"/>
      <w:divBdr>
        <w:top w:val="none" w:sz="0" w:space="0" w:color="auto"/>
        <w:left w:val="none" w:sz="0" w:space="0" w:color="auto"/>
        <w:bottom w:val="none" w:sz="0" w:space="0" w:color="auto"/>
        <w:right w:val="none" w:sz="0" w:space="0" w:color="auto"/>
      </w:divBdr>
    </w:div>
    <w:div w:id="1012073594">
      <w:bodyDiv w:val="1"/>
      <w:marLeft w:val="0"/>
      <w:marRight w:val="0"/>
      <w:marTop w:val="0"/>
      <w:marBottom w:val="0"/>
      <w:divBdr>
        <w:top w:val="none" w:sz="0" w:space="0" w:color="auto"/>
        <w:left w:val="none" w:sz="0" w:space="0" w:color="auto"/>
        <w:bottom w:val="none" w:sz="0" w:space="0" w:color="auto"/>
        <w:right w:val="none" w:sz="0" w:space="0" w:color="auto"/>
      </w:divBdr>
    </w:div>
    <w:div w:id="1014916912">
      <w:bodyDiv w:val="1"/>
      <w:marLeft w:val="0"/>
      <w:marRight w:val="0"/>
      <w:marTop w:val="0"/>
      <w:marBottom w:val="0"/>
      <w:divBdr>
        <w:top w:val="none" w:sz="0" w:space="0" w:color="auto"/>
        <w:left w:val="none" w:sz="0" w:space="0" w:color="auto"/>
        <w:bottom w:val="none" w:sz="0" w:space="0" w:color="auto"/>
        <w:right w:val="none" w:sz="0" w:space="0" w:color="auto"/>
      </w:divBdr>
    </w:div>
    <w:div w:id="1020164364">
      <w:bodyDiv w:val="1"/>
      <w:marLeft w:val="0"/>
      <w:marRight w:val="0"/>
      <w:marTop w:val="0"/>
      <w:marBottom w:val="0"/>
      <w:divBdr>
        <w:top w:val="none" w:sz="0" w:space="0" w:color="auto"/>
        <w:left w:val="none" w:sz="0" w:space="0" w:color="auto"/>
        <w:bottom w:val="none" w:sz="0" w:space="0" w:color="auto"/>
        <w:right w:val="none" w:sz="0" w:space="0" w:color="auto"/>
      </w:divBdr>
    </w:div>
    <w:div w:id="1050423546">
      <w:bodyDiv w:val="1"/>
      <w:marLeft w:val="0"/>
      <w:marRight w:val="0"/>
      <w:marTop w:val="0"/>
      <w:marBottom w:val="0"/>
      <w:divBdr>
        <w:top w:val="none" w:sz="0" w:space="0" w:color="auto"/>
        <w:left w:val="none" w:sz="0" w:space="0" w:color="auto"/>
        <w:bottom w:val="none" w:sz="0" w:space="0" w:color="auto"/>
        <w:right w:val="none" w:sz="0" w:space="0" w:color="auto"/>
      </w:divBdr>
    </w:div>
    <w:div w:id="1052071373">
      <w:bodyDiv w:val="1"/>
      <w:marLeft w:val="0"/>
      <w:marRight w:val="0"/>
      <w:marTop w:val="0"/>
      <w:marBottom w:val="0"/>
      <w:divBdr>
        <w:top w:val="none" w:sz="0" w:space="0" w:color="auto"/>
        <w:left w:val="none" w:sz="0" w:space="0" w:color="auto"/>
        <w:bottom w:val="none" w:sz="0" w:space="0" w:color="auto"/>
        <w:right w:val="none" w:sz="0" w:space="0" w:color="auto"/>
      </w:divBdr>
    </w:div>
    <w:div w:id="1053579444">
      <w:bodyDiv w:val="1"/>
      <w:marLeft w:val="0"/>
      <w:marRight w:val="0"/>
      <w:marTop w:val="0"/>
      <w:marBottom w:val="0"/>
      <w:divBdr>
        <w:top w:val="none" w:sz="0" w:space="0" w:color="auto"/>
        <w:left w:val="none" w:sz="0" w:space="0" w:color="auto"/>
        <w:bottom w:val="none" w:sz="0" w:space="0" w:color="auto"/>
        <w:right w:val="none" w:sz="0" w:space="0" w:color="auto"/>
      </w:divBdr>
    </w:div>
    <w:div w:id="1087652087">
      <w:bodyDiv w:val="1"/>
      <w:marLeft w:val="0"/>
      <w:marRight w:val="0"/>
      <w:marTop w:val="0"/>
      <w:marBottom w:val="0"/>
      <w:divBdr>
        <w:top w:val="none" w:sz="0" w:space="0" w:color="auto"/>
        <w:left w:val="none" w:sz="0" w:space="0" w:color="auto"/>
        <w:bottom w:val="none" w:sz="0" w:space="0" w:color="auto"/>
        <w:right w:val="none" w:sz="0" w:space="0" w:color="auto"/>
      </w:divBdr>
    </w:div>
    <w:div w:id="1180395144">
      <w:bodyDiv w:val="1"/>
      <w:marLeft w:val="0"/>
      <w:marRight w:val="0"/>
      <w:marTop w:val="0"/>
      <w:marBottom w:val="0"/>
      <w:divBdr>
        <w:top w:val="none" w:sz="0" w:space="0" w:color="auto"/>
        <w:left w:val="none" w:sz="0" w:space="0" w:color="auto"/>
        <w:bottom w:val="none" w:sz="0" w:space="0" w:color="auto"/>
        <w:right w:val="none" w:sz="0" w:space="0" w:color="auto"/>
      </w:divBdr>
    </w:div>
    <w:div w:id="1269850346">
      <w:bodyDiv w:val="1"/>
      <w:marLeft w:val="0"/>
      <w:marRight w:val="0"/>
      <w:marTop w:val="0"/>
      <w:marBottom w:val="0"/>
      <w:divBdr>
        <w:top w:val="none" w:sz="0" w:space="0" w:color="auto"/>
        <w:left w:val="none" w:sz="0" w:space="0" w:color="auto"/>
        <w:bottom w:val="none" w:sz="0" w:space="0" w:color="auto"/>
        <w:right w:val="none" w:sz="0" w:space="0" w:color="auto"/>
      </w:divBdr>
    </w:div>
    <w:div w:id="1293512441">
      <w:bodyDiv w:val="1"/>
      <w:marLeft w:val="0"/>
      <w:marRight w:val="0"/>
      <w:marTop w:val="0"/>
      <w:marBottom w:val="0"/>
      <w:divBdr>
        <w:top w:val="none" w:sz="0" w:space="0" w:color="auto"/>
        <w:left w:val="none" w:sz="0" w:space="0" w:color="auto"/>
        <w:bottom w:val="none" w:sz="0" w:space="0" w:color="auto"/>
        <w:right w:val="none" w:sz="0" w:space="0" w:color="auto"/>
      </w:divBdr>
    </w:div>
    <w:div w:id="1336154810">
      <w:bodyDiv w:val="1"/>
      <w:marLeft w:val="0"/>
      <w:marRight w:val="0"/>
      <w:marTop w:val="0"/>
      <w:marBottom w:val="0"/>
      <w:divBdr>
        <w:top w:val="none" w:sz="0" w:space="0" w:color="auto"/>
        <w:left w:val="none" w:sz="0" w:space="0" w:color="auto"/>
        <w:bottom w:val="none" w:sz="0" w:space="0" w:color="auto"/>
        <w:right w:val="none" w:sz="0" w:space="0" w:color="auto"/>
      </w:divBdr>
    </w:div>
    <w:div w:id="1582178699">
      <w:bodyDiv w:val="1"/>
      <w:marLeft w:val="0"/>
      <w:marRight w:val="0"/>
      <w:marTop w:val="0"/>
      <w:marBottom w:val="0"/>
      <w:divBdr>
        <w:top w:val="none" w:sz="0" w:space="0" w:color="auto"/>
        <w:left w:val="none" w:sz="0" w:space="0" w:color="auto"/>
        <w:bottom w:val="none" w:sz="0" w:space="0" w:color="auto"/>
        <w:right w:val="none" w:sz="0" w:space="0" w:color="auto"/>
      </w:divBdr>
    </w:div>
    <w:div w:id="1583559807">
      <w:bodyDiv w:val="1"/>
      <w:marLeft w:val="0"/>
      <w:marRight w:val="0"/>
      <w:marTop w:val="0"/>
      <w:marBottom w:val="0"/>
      <w:divBdr>
        <w:top w:val="none" w:sz="0" w:space="0" w:color="auto"/>
        <w:left w:val="none" w:sz="0" w:space="0" w:color="auto"/>
        <w:bottom w:val="none" w:sz="0" w:space="0" w:color="auto"/>
        <w:right w:val="none" w:sz="0" w:space="0" w:color="auto"/>
      </w:divBdr>
    </w:div>
    <w:div w:id="1604649959">
      <w:bodyDiv w:val="1"/>
      <w:marLeft w:val="0"/>
      <w:marRight w:val="0"/>
      <w:marTop w:val="0"/>
      <w:marBottom w:val="0"/>
      <w:divBdr>
        <w:top w:val="none" w:sz="0" w:space="0" w:color="auto"/>
        <w:left w:val="none" w:sz="0" w:space="0" w:color="auto"/>
        <w:bottom w:val="none" w:sz="0" w:space="0" w:color="auto"/>
        <w:right w:val="none" w:sz="0" w:space="0" w:color="auto"/>
      </w:divBdr>
    </w:div>
    <w:div w:id="1625189813">
      <w:bodyDiv w:val="1"/>
      <w:marLeft w:val="0"/>
      <w:marRight w:val="0"/>
      <w:marTop w:val="0"/>
      <w:marBottom w:val="0"/>
      <w:divBdr>
        <w:top w:val="none" w:sz="0" w:space="0" w:color="auto"/>
        <w:left w:val="none" w:sz="0" w:space="0" w:color="auto"/>
        <w:bottom w:val="none" w:sz="0" w:space="0" w:color="auto"/>
        <w:right w:val="none" w:sz="0" w:space="0" w:color="auto"/>
      </w:divBdr>
    </w:div>
    <w:div w:id="1660619013">
      <w:bodyDiv w:val="1"/>
      <w:marLeft w:val="0"/>
      <w:marRight w:val="0"/>
      <w:marTop w:val="0"/>
      <w:marBottom w:val="0"/>
      <w:divBdr>
        <w:top w:val="none" w:sz="0" w:space="0" w:color="auto"/>
        <w:left w:val="none" w:sz="0" w:space="0" w:color="auto"/>
        <w:bottom w:val="none" w:sz="0" w:space="0" w:color="auto"/>
        <w:right w:val="none" w:sz="0" w:space="0" w:color="auto"/>
      </w:divBdr>
    </w:div>
    <w:div w:id="1924562636">
      <w:bodyDiv w:val="1"/>
      <w:marLeft w:val="0"/>
      <w:marRight w:val="0"/>
      <w:marTop w:val="0"/>
      <w:marBottom w:val="0"/>
      <w:divBdr>
        <w:top w:val="none" w:sz="0" w:space="0" w:color="auto"/>
        <w:left w:val="none" w:sz="0" w:space="0" w:color="auto"/>
        <w:bottom w:val="none" w:sz="0" w:space="0" w:color="auto"/>
        <w:right w:val="none" w:sz="0" w:space="0" w:color="auto"/>
      </w:divBdr>
    </w:div>
    <w:div w:id="207535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Jef16</b:Tag>
    <b:SourceType>Book</b:SourceType>
    <b:Guid>{6C11C882-163F-4589-AF36-CD01A85CA222}</b:Guid>
    <b:Author>
      <b:Author>
        <b:NameList>
          <b:Person>
            <b:Last>Jeffrey Reiman</b:Last>
            <b:First>Paul</b:First>
            <b:Middle>Leighton</b:Middle>
          </b:Person>
        </b:NameList>
      </b:Author>
    </b:Author>
    <b:Title>The Rich Get Richer and The Poor Get Prison (11th edition)</b:Title>
    <b:Year>2016</b:Year>
    <b:City>New York</b:City>
    <b:Publisher>Routledge</b:Publisher>
    <b:RefOrder>1</b:RefOrder>
  </b:Source>
  <b:Source>
    <b:Tag>Kar15</b:Tag>
    <b:SourceType>Book</b:SourceType>
    <b:Guid>{8A9E3E38-7D7F-42E6-AFA4-A2828659989B}</b:Guid>
    <b:Author>
      <b:Author>
        <b:NameList>
          <b:Person>
            <b:Last>Karl Marx</b:Last>
            <b:First>Friedrech</b:First>
            <b:Middle>Engels</b:Middle>
          </b:Person>
        </b:NameList>
      </b:Author>
    </b:Author>
    <b:Title>The Communist Manifesto</b:Title>
    <b:Year>2015</b:Year>
    <b:City>London</b:City>
    <b:Publisher>Penguin Books</b:Publisher>
    <b:RefOrder>2</b:RefOrder>
  </b:Source>
  <b:Source>
    <b:Tag>Rit201</b:Tag>
    <b:SourceType>JournalArticle</b:SourceType>
    <b:Guid>{7F9C512F-042E-44E0-ACC1-93A06BE45C4B}</b:Guid>
    <b:Title>Tax Fraud and Selective Law Enforcement</b:Title>
    <b:Year>2020</b:Year>
    <b:Author>
      <b:Author>
        <b:NameList>
          <b:Person>
            <b:Last>Feria</b:Last>
            <b:First>Rita</b:First>
            <b:Middle>De La</b:Middle>
          </b:Person>
        </b:NameList>
      </b:Author>
    </b:Author>
    <b:JournalName>Journal of Law and Society</b:JournalName>
    <b:Pages>240-270</b:Pages>
    <b:RefOrder>3</b:RefOrder>
  </b:Source>
  <b:Source>
    <b:Tag>Wil78</b:Tag>
    <b:SourceType>Book</b:SourceType>
    <b:Guid>{B9A18913-11F5-44DA-9172-93F122B95DA6}</b:Guid>
    <b:Title>On the Take: From Petty Crooks to Presidents</b:Title>
    <b:Year>1978</b:Year>
    <b:Author>
      <b:Author>
        <b:NameList>
          <b:Person>
            <b:Last>Chambliss</b:Last>
            <b:First>William</b:First>
          </b:Person>
        </b:NameList>
      </b:Author>
    </b:Author>
    <b:City>Bloomington, Indiana</b:City>
    <b:Publisher>Indiana University Press</b:Publisher>
    <b:RefOrder>4</b:RefOrder>
  </b:Source>
  <b:Source>
    <b:Tag>IPS20</b:Tag>
    <b:SourceType>Report</b:SourceType>
    <b:Guid>{C6D5DB23-AB51-45E8-A1FF-491830130D75}</b:Guid>
    <b:Title>Public perceptions </b:Title>
    <b:Year>2020</b:Year>
    <b:City>London</b:City>
    <b:Publisher>IPSOS</b:Publisher>
    <b:Author>
      <b:Author>
        <b:Corporate>IPSOS</b:Corporate>
      </b:Author>
    </b:Author>
    <b:RefOrder>7</b:RefOrder>
  </b:Source>
  <b:Source>
    <b:Tag>Ric11</b:Tag>
    <b:SourceType>Book</b:SourceType>
    <b:Guid>{84DDF2D9-AB6B-4426-9112-E142C67DCE45}</b:Guid>
    <b:Title>The Courageous State: Rethinking Economics, Society and the Role of Government</b:Title>
    <b:Year>2011</b:Year>
    <b:Publisher>Searching Finance Ltd.</b:Publisher>
    <b:City>Cambridge</b:City>
    <b:Author>
      <b:Author>
        <b:NameList>
          <b:Person>
            <b:Last>Murphey</b:Last>
            <b:First>Richard</b:First>
          </b:Person>
        </b:NameList>
      </b:Author>
    </b:Author>
    <b:RefOrder>5</b:RefOrder>
  </b:Source>
  <b:Source>
    <b:Tag>UKG23</b:Tag>
    <b:SourceType>Report</b:SourceType>
    <b:Guid>{062A37CF-ACB2-4AA0-B908-EA3740FCCB49}</b:Guid>
    <b:Title>Survey of public perceptions of fraud, error and debt</b:Title>
    <b:Year>2023</b:Year>
    <b:City>London</b:City>
    <b:Publisher>Department of Work and Pensions</b:Publisher>
    <b:Author>
      <b:Author>
        <b:Corporate>UK Governement Social Research</b:Corporate>
      </b:Author>
    </b:Author>
    <b:RefOrder>6</b:RefOrder>
  </b:Source>
  <b:Source>
    <b:Tag>Tal64</b:Tag>
    <b:SourceType>Book</b:SourceType>
    <b:Guid>{8140D148-73B8-4DAE-BDF6-A498E4182C18}</b:Guid>
    <b:Title>Social Structure and Personality</b:Title>
    <b:Year>1964</b:Year>
    <b:Publisher>Free Press</b:Publisher>
    <b:City>Ann Arbor, Michigan</b:City>
    <b:Author>
      <b:Author>
        <b:NameList>
          <b:Person>
            <b:Last>Parsons</b:Last>
            <b:First>Talcott</b:First>
          </b:Person>
        </b:NameList>
      </b:Author>
    </b:Author>
    <b:RefOrder>8</b:RefOrder>
  </b:Source>
  <b:Source>
    <b:Tag>Emi38</b:Tag>
    <b:SourceType>Book</b:SourceType>
    <b:Guid>{8D30A946-C1F7-4B86-888D-908B2DAA854E}</b:Guid>
    <b:Author>
      <b:Author>
        <b:NameList>
          <b:Person>
            <b:Last>Durkheim</b:Last>
            <b:First>Emile</b:First>
          </b:Person>
        </b:NameList>
      </b:Author>
    </b:Author>
    <b:Title>The Rules of Sociological Method</b:Title>
    <b:Year>1938</b:Year>
    <b:City>Chicago</b:City>
    <b:Publisher>Chicago University Press</b:Publisher>
    <b:RefOrder>9</b:RefOrder>
  </b:Source>
  <b:Source>
    <b:Tag>GOV12</b:Tag>
    <b:SourceType>InternetSite</b:SourceType>
    <b:Guid>{B45ACA64-88D3-4CE1-93A9-2BE8D35E767E}</b:Guid>
    <b:Title>Definition of policing by consent</b:Title>
    <b:Year>2012</b:Year>
    <b:Author>
      <b:Author>
        <b:Corporate>GOV.UK</b:Corporate>
      </b:Author>
    </b:Author>
    <b:InternetSiteTitle>GOV.UK</b:InternetSiteTitle>
    <b:Month>December</b:Month>
    <b:Day>10th</b:Day>
    <b:URL>https://www.gov.uk/government/publications/policing-by-consent/definition-of-policing-by-consent</b:URL>
    <b:RefOrder>10</b:RefOrder>
  </b:Source>
  <b:Source>
    <b:Tag>Fie05</b:Tag>
    <b:SourceType>JournalArticle</b:SourceType>
    <b:Guid>{4F88E5B3-1B72-4957-9AFB-E2AFE3D201DF}</b:Guid>
    <b:Title>Concepts and Theory of Community Policing</b:Title>
    <b:Year>2005</b:Year>
    <b:Author>
      <b:Author>
        <b:NameList>
          <b:Person>
            <b:Last>Fielding</b:Last>
            <b:First>Nigel</b:First>
          </b:Person>
        </b:NameList>
      </b:Author>
    </b:Author>
    <b:JournalName>The Howard Journal of Criminal Justice Vol 44 Is 5</b:JournalName>
    <b:Pages>460-472</b:Pages>
    <b:RefOrder>11</b:RefOrder>
  </b:Source>
  <b:Source>
    <b:Tag>Kri15</b:Tag>
    <b:SourceType>Report</b:SourceType>
    <b:Guid>{D1A85625-FB9B-4AAB-9EB0-525F18856EB0}</b:Guid>
    <b:Title>Public confidence in the Criminal Justice System - Findings from the Crime Survey for England and Wales 2013/14</b:Title>
    <b:Year>2015</b:Year>
    <b:Author>
      <b:Author>
        <b:NameList>
          <b:Person>
            <b:Last>Jansson</b:Last>
            <b:First>Krista</b:First>
          </b:Person>
        </b:NameList>
      </b:Author>
    </b:Author>
    <b:Publisher>Ministry of Justice</b:Publisher>
    <b:City>London</b:City>
    <b:RefOrder>12</b:RefOrder>
  </b:Source>
  <b:Source>
    <b:Tag>Mik05</b:Tag>
    <b:SourceType>Book</b:SourceType>
    <b:Guid>{DD4933BC-6CEC-4FE9-93C2-B57A51081A9F}</b:Guid>
    <b:Title>Community Policing</b:Title>
    <b:Year>2005</b:Year>
    <b:Publisher>Willan</b:Publisher>
    <b:City>London</b:City>
    <b:Author>
      <b:Author>
        <b:NameList>
          <b:Person>
            <b:Last>Brogden</b:Last>
            <b:First>Mike</b:First>
          </b:Person>
          <b:Person>
            <b:Last>Nijhar</b:Last>
            <b:First>Preeti</b:First>
          </b:Person>
        </b:NameList>
      </b:Author>
    </b:Author>
    <b:RefOrder>13</b:RefOrder>
  </b:Source>
  <b:Source>
    <b:Tag>Geo34</b:Tag>
    <b:SourceType>Book</b:SourceType>
    <b:Guid>{84AD1B8E-4D27-421B-9CDA-B4AB3FE62F56}</b:Guid>
    <b:Author>
      <b:Author>
        <b:NameList>
          <b:Person>
            <b:Last>Mead</b:Last>
            <b:First>George</b:First>
            <b:Middle>Herbet</b:Middle>
          </b:Person>
        </b:NameList>
      </b:Author>
    </b:Author>
    <b:Title>Mind, Self, Society</b:Title>
    <b:Year>1934</b:Year>
    <b:City>Chicago</b:City>
    <b:Publisher>University of Chicago Press</b:Publisher>
    <b:RefOrder>14</b:RefOrder>
  </b:Source>
  <b:Source>
    <b:Tag>Mil16</b:Tag>
    <b:SourceType>JournalArticle</b:SourceType>
    <b:Guid>{EBE5A9A5-43D5-4FF6-ADB4-811E7391A2B1}</b:Guid>
    <b:Title>Indirect effects of police searches on community attitudes to the police: resentment or reassurance?</b:Title>
    <b:Year>2016</b:Year>
    <b:JournalName>The British Journal of Criminology, 56(3)</b:JournalName>
    <b:Pages>456-478</b:Pages>
    <b:Author>
      <b:Author>
        <b:NameList>
          <b:Person>
            <b:Last>Miller</b:Last>
            <b:First>J.</b:First>
          </b:Person>
          <b:Person>
            <b:Last>D'Souza</b:Last>
          </b:Person>
        </b:NameList>
      </b:Author>
    </b:Author>
    <b:RefOrder>15</b:RefOrder>
  </b:Source>
  <b:Source>
    <b:Tag>Pey19</b:Tag>
    <b:SourceType>JournalArticle</b:SourceType>
    <b:Guid>{BE05FD56-68FC-44C1-B1F8-1BD6BEF70B19}</b:Guid>
    <b:Title>A field experiment on community policing and police legitimacy</b:Title>
    <b:JournalName>Proceedings of the National Academy of Sciences, 116(40)</b:JournalName>
    <b:Year>2019</b:Year>
    <b:Pages>19894-19898</b:Pages>
    <b:Author>
      <b:Author>
        <b:NameList>
          <b:Person>
            <b:Last>Peyton</b:Last>
            <b:First>K.</b:First>
          </b:Person>
          <b:Person>
            <b:Last>et al,</b:Last>
          </b:Person>
        </b:NameList>
      </b:Author>
    </b:Author>
    <b:RefOrder>17</b:RefOrder>
  </b:Source>
  <b:Source>
    <b:Tag>Ros05</b:Tag>
    <b:SourceType>JournalArticle</b:SourceType>
    <b:Guid>{BC7D490A-0999-48C4-B9AF-C3AE131A106F}</b:Guid>
    <b:Author>
      <b:Author>
        <b:NameList>
          <b:Person>
            <b:Last>Rosenbaum</b:Last>
          </b:Person>
        </b:NameList>
      </b:Author>
    </b:Author>
    <b:Title>Attitudes toward the police: The effects of direct and vicarious experience</b:Title>
    <b:JournalName>Police Quarterly, 8(3)</b:JournalName>
    <b:Year>2005</b:Year>
    <b:Pages>343-365</b:Pages>
    <b:RefOrder>16</b:RefOrder>
  </b:Source>
</b:Sources>
</file>

<file path=customXml/itemProps1.xml><?xml version="1.0" encoding="utf-8"?>
<ds:datastoreItem xmlns:ds="http://schemas.openxmlformats.org/officeDocument/2006/customXml" ds:itemID="{E25363DB-F0DE-4B38-A147-79819DE4F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6</Pages>
  <Words>2874</Words>
  <Characters>16382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Board,Kian swp8359</dc:creator>
  <cp:keywords/>
  <dc:description/>
  <cp:lastModifiedBy>Board,Kian swp8359</cp:lastModifiedBy>
  <cp:revision>10</cp:revision>
  <dcterms:created xsi:type="dcterms:W3CDTF">2024-10-23T10:36:00Z</dcterms:created>
  <dcterms:modified xsi:type="dcterms:W3CDTF">2024-10-31T12:18:00Z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2024-10-23T11:00:47Z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31b4f69b-7b2f-4f60-9cb1-00a7861fd5df</vt:lpwstr>
  </property>
  <property fmtid="{D5CDD505-2E9C-101B-9397-08002B2CF9AE}" pid="8" name="MSIP_Label_66cf8fe5-b7b7-4df7-b38d-1c61ac2f6639_ContentBits">
    <vt:lpwstr>0</vt:lpwstr>
  </property>
</Properties>
</file>