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46390F1C"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3F8296C5">
            <w:pPr>
              <w:rPr>
                <w:rFonts w:ascii="Arial" w:hAnsi="Arial" w:cs="Arial"/>
                <w:sz w:val="22"/>
                <w:szCs w:val="22"/>
              </w:rPr>
            </w:pPr>
            <w:r w:rsidRPr="46390F1C" w:rsidR="28E236F0">
              <w:rPr>
                <w:rFonts w:ascii="Arial" w:hAnsi="Arial" w:cs="Arial"/>
                <w:sz w:val="22"/>
                <w:szCs w:val="22"/>
              </w:rPr>
              <w:t>Kruti Dilipbhai Borad</w:t>
            </w:r>
          </w:p>
        </w:tc>
      </w:tr>
      <w:tr w:rsidRPr="00A42F82" w:rsidR="005E6C44" w:rsidTr="46390F1C"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46390F1C"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32F97F34" w14:textId="5C280D57">
                <w:pPr>
                  <w:jc w:val="center"/>
                  <w:rPr>
                    <w:rFonts w:ascii="Arial" w:hAnsi="Arial" w:cs="Arial"/>
                    <w:sz w:val="22"/>
                    <w:szCs w:val="22"/>
                  </w:rPr>
                </w:pPr>
                <w:r w:rsidRPr="46390F1C" w:rsidR="6B26578A">
                  <w:rPr>
                    <w:rFonts w:ascii="MS Gothic" w:hAnsi="MS Gothic" w:eastAsia="MS Gothic" w:cs="MS Gothic"/>
                    <w:sz w:val="22"/>
                    <w:szCs w:val="22"/>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46390F1C"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5E6C44" w14:paraId="72964C02" w14:textId="16247C51">
            <w:pPr>
              <w:rPr>
                <w:rFonts w:ascii="Arial" w:hAnsi="Arial" w:cs="Arial"/>
                <w:sz w:val="22"/>
                <w:szCs w:val="22"/>
              </w:rPr>
            </w:pPr>
            <w:r w:rsidRPr="46390F1C" w:rsidR="07C62BAC">
              <w:rPr>
                <w:rFonts w:ascii="Arial" w:hAnsi="Arial" w:cs="Arial"/>
                <w:sz w:val="22"/>
                <w:szCs w:val="22"/>
              </w:rPr>
              <w:t xml:space="preserve">Institute of </w:t>
            </w:r>
            <w:r w:rsidRPr="46390F1C" w:rsidR="07C62BAC">
              <w:rPr>
                <w:rFonts w:ascii="Arial" w:hAnsi="Arial" w:cs="Arial"/>
                <w:sz w:val="22"/>
                <w:szCs w:val="22"/>
              </w:rPr>
              <w:t>Inner City</w:t>
            </w:r>
            <w:r w:rsidRPr="46390F1C" w:rsidR="07C62BAC">
              <w:rPr>
                <w:rFonts w:ascii="Arial" w:hAnsi="Arial" w:cs="Arial"/>
                <w:sz w:val="22"/>
                <w:szCs w:val="22"/>
              </w:rPr>
              <w:t xml:space="preserve"> Learning</w:t>
            </w:r>
          </w:p>
        </w:tc>
      </w:tr>
      <w:tr w:rsidRPr="00A42F82" w:rsidR="005E6C44" w:rsidTr="46390F1C"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0978AE01" w:rsidP="46390F1C" w:rsidRDefault="0978AE01" w14:paraId="3847E886" w14:textId="39F9AA08">
            <w:pPr>
              <w:pStyle w:val="Normal"/>
              <w:rPr>
                <w:rFonts w:ascii="Arial" w:hAnsi="Arial" w:cs="Arial"/>
                <w:sz w:val="22"/>
                <w:szCs w:val="22"/>
              </w:rPr>
            </w:pPr>
            <w:r w:rsidRPr="46390F1C" w:rsidR="0978AE01">
              <w:rPr>
                <w:rFonts w:ascii="Arial" w:hAnsi="Arial" w:cs="Arial"/>
                <w:sz w:val="22"/>
                <w:szCs w:val="22"/>
              </w:rPr>
              <w:t>London Campus</w:t>
            </w:r>
          </w:p>
          <w:p w:rsidRPr="00A42F82" w:rsidR="005E6C44" w:rsidP="00A91894" w:rsidRDefault="005E6C44" w14:paraId="57CB938A" w14:textId="77777777">
            <w:pPr>
              <w:rPr>
                <w:rFonts w:ascii="Arial" w:hAnsi="Arial" w:cs="Arial"/>
                <w:sz w:val="22"/>
                <w:szCs w:val="22"/>
              </w:rPr>
            </w:pPr>
          </w:p>
        </w:tc>
      </w:tr>
      <w:tr w:rsidRPr="00A42F82" w:rsidR="005E6C44" w:rsidTr="46390F1C"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77777777">
            <w:pPr>
              <w:rPr>
                <w:rFonts w:ascii="Arial" w:hAnsi="Arial" w:cs="Arial"/>
                <w:sz w:val="22"/>
                <w:szCs w:val="22"/>
              </w:rPr>
            </w:pPr>
          </w:p>
          <w:p w:rsidRPr="00A42F82" w:rsidR="005E6C44" w:rsidP="46390F1C" w:rsidRDefault="005E6C44" w14:paraId="264087AC" w14:textId="3DA7856A">
            <w:pPr>
              <w:rPr>
                <w:rFonts w:ascii="Arial" w:hAnsi="Arial" w:cs="Arial"/>
                <w:sz w:val="22"/>
                <w:szCs w:val="22"/>
              </w:rPr>
            </w:pPr>
            <w:hyperlink r:id="R42e5a3d1b8924302">
              <w:r w:rsidRPr="46390F1C" w:rsidR="7F403BB1">
                <w:rPr>
                  <w:rStyle w:val="Hyperlink"/>
                  <w:rFonts w:ascii="Arial" w:hAnsi="Arial" w:cs="Arial"/>
                  <w:sz w:val="22"/>
                  <w:szCs w:val="22"/>
                </w:rPr>
                <w:t>2406341@student.uwtsd.ac.uk</w:t>
              </w:r>
            </w:hyperlink>
          </w:p>
          <w:p w:rsidRPr="00A42F82" w:rsidR="005E6C44" w:rsidP="00A91894" w:rsidRDefault="005E6C44" w14:paraId="6D16D89E" w14:textId="71C05AF3">
            <w:pPr>
              <w:rPr>
                <w:rFonts w:ascii="Arial" w:hAnsi="Arial" w:cs="Arial"/>
                <w:sz w:val="22"/>
                <w:szCs w:val="22"/>
              </w:rPr>
            </w:pPr>
          </w:p>
        </w:tc>
      </w:tr>
      <w:tr w:rsidRPr="00A42F82" w:rsidR="005E6C44" w:rsidTr="46390F1C"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39209A7D">
            <w:pPr>
              <w:rPr>
                <w:rFonts w:ascii="Arial" w:hAnsi="Arial" w:cs="Arial"/>
                <w:sz w:val="22"/>
                <w:szCs w:val="22"/>
              </w:rPr>
            </w:pPr>
            <w:r w:rsidRPr="46390F1C" w:rsidR="30C70EC9">
              <w:rPr>
                <w:rFonts w:ascii="Arial" w:hAnsi="Arial" w:cs="Arial"/>
                <w:sz w:val="22"/>
                <w:szCs w:val="22"/>
              </w:rPr>
              <w:t>07741083632</w:t>
            </w:r>
          </w:p>
          <w:p w:rsidRPr="00A42F82" w:rsidR="005E6C44" w:rsidP="00A91894" w:rsidRDefault="005E6C44" w14:paraId="331BC1EA" w14:textId="77777777">
            <w:pPr>
              <w:rPr>
                <w:rFonts w:ascii="Arial" w:hAnsi="Arial" w:cs="Arial"/>
                <w:sz w:val="22"/>
                <w:szCs w:val="22"/>
              </w:rPr>
            </w:pPr>
          </w:p>
        </w:tc>
      </w:tr>
      <w:tr w:rsidRPr="00A42F82" w:rsidR="005E6C44" w:rsidTr="46390F1C"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46390F1C"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6E099F35">
            <w:pPr>
              <w:rPr>
                <w:rFonts w:ascii="Arial" w:hAnsi="Arial" w:cs="Arial"/>
                <w:sz w:val="22"/>
                <w:szCs w:val="22"/>
              </w:rPr>
            </w:pPr>
            <w:r w:rsidRPr="46390F1C" w:rsidR="7CC1523F">
              <w:rPr>
                <w:rFonts w:ascii="Arial" w:hAnsi="Arial" w:cs="Arial"/>
                <w:sz w:val="22"/>
                <w:szCs w:val="22"/>
              </w:rPr>
              <w:t>2406341</w:t>
            </w:r>
          </w:p>
        </w:tc>
      </w:tr>
      <w:tr w:rsidRPr="00A42F82" w:rsidR="005E6C44" w:rsidTr="46390F1C"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5E6C44" w14:paraId="660E53A9" w14:textId="71C3AD46">
            <w:pPr>
              <w:rPr>
                <w:rFonts w:ascii="Arial" w:hAnsi="Arial" w:cs="Arial"/>
                <w:sz w:val="22"/>
                <w:szCs w:val="22"/>
              </w:rPr>
            </w:pPr>
            <w:r w:rsidRPr="46390F1C" w:rsidR="552B094B">
              <w:rPr>
                <w:rFonts w:ascii="Arial" w:hAnsi="Arial" w:cs="Arial"/>
                <w:sz w:val="22"/>
                <w:szCs w:val="22"/>
              </w:rPr>
              <w:t>MSc Public Health and social care in practice</w:t>
            </w:r>
          </w:p>
        </w:tc>
      </w:tr>
      <w:tr w:rsidRPr="00A42F82" w:rsidR="005E6C44" w:rsidTr="46390F1C"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5E6C44" w14:paraId="3E5E7D21" w14:textId="6F910617">
            <w:pPr>
              <w:rPr>
                <w:rFonts w:ascii="Arial" w:hAnsi="Arial" w:cs="Arial"/>
                <w:sz w:val="22"/>
                <w:szCs w:val="22"/>
              </w:rPr>
            </w:pPr>
            <w:r w:rsidRPr="46390F1C" w:rsidR="1AF0541E">
              <w:rPr>
                <w:rFonts w:ascii="Arial" w:hAnsi="Arial" w:cs="Arial"/>
                <w:sz w:val="22"/>
                <w:szCs w:val="22"/>
              </w:rPr>
              <w:t>Diola Bijlh</w:t>
            </w:r>
            <w:r w:rsidRPr="46390F1C" w:rsidR="43F8006A">
              <w:rPr>
                <w:rFonts w:ascii="Arial" w:hAnsi="Arial" w:cs="Arial"/>
                <w:sz w:val="22"/>
                <w:szCs w:val="22"/>
              </w:rPr>
              <w:t>out</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46390F1C"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3F32AEB9"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46390F1C" w:rsidRDefault="005E6C44" w14:paraId="57DC1A2E" w14:textId="4865D0A5">
                <w:pPr>
                  <w:autoSpaceDE w:val="0"/>
                  <w:autoSpaceDN w:val="0"/>
                  <w:adjustRightInd w:val="0"/>
                  <w:jc w:val="center"/>
                  <w:rPr>
                    <w:rFonts w:ascii="Arial" w:hAnsi="Arial" w:cs="Arial"/>
                    <w:b w:val="1"/>
                    <w:bCs w:val="1"/>
                    <w:sz w:val="22"/>
                    <w:szCs w:val="22"/>
                  </w:rPr>
                </w:pPr>
                <w:r w:rsidRPr="46390F1C" w:rsidR="65C6BF1F">
                  <w:rPr>
                    <w:rFonts w:ascii="MS Gothic" w:hAnsi="MS Gothic" w:eastAsia="MS Gothic" w:cs="MS Gothic"/>
                    <w:sz w:val="22"/>
                    <w:szCs w:val="22"/>
                  </w:rPr>
                  <w:t>☒</w:t>
                </w:r>
              </w:p>
            </w:tc>
          </w:sdtContent>
        </w:sdt>
      </w:tr>
      <w:tr w:rsidRPr="00A42F82" w:rsidR="005E6C44" w:rsidTr="46390F1C"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46390F1C"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46390F1C"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46390F1C"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46390F1C"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46390F1C"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8800C5"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Pr="00A42F82" w:rsidR="005E6C44" w:rsidP="00A91894" w:rsidRDefault="005E6C44" w14:paraId="5C5BE14D" w14:textId="275E9874">
                <w:pPr>
                  <w:autoSpaceDE w:val="0"/>
                  <w:autoSpaceDN w:val="0"/>
                  <w:adjustRightInd w:val="0"/>
                  <w:jc w:val="center"/>
                  <w:rPr>
                    <w:rFonts w:ascii="Arial" w:hAnsi="Arial" w:cs="Arial"/>
                    <w:sz w:val="22"/>
                    <w:szCs w:val="22"/>
                  </w:rPr>
                </w:pPr>
                <w:r w:rsidRPr="46390F1C" w:rsidR="7921F963">
                  <w:rPr>
                    <w:rFonts w:ascii="MS Gothic" w:hAnsi="MS Gothic" w:eastAsia="MS Gothic" w:cs="MS Gothic"/>
                    <w:sz w:val="22"/>
                    <w:szCs w:val="22"/>
                  </w:rPr>
                  <w:t>☒</w:t>
                </w:r>
              </w:p>
            </w:tc>
          </w:sdtContent>
        </w:sdt>
      </w:tr>
      <w:tr w:rsidRPr="00A42F82" w:rsidR="005E6C44" w:rsidTr="46390F1C"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A42F82" w:rsidR="005E6C44" w:rsidP="46390F1C" w:rsidRDefault="005E6C44" w14:paraId="1F73DACC" w14:textId="31243576">
                <w:pPr>
                  <w:autoSpaceDE w:val="0"/>
                  <w:autoSpaceDN w:val="0"/>
                  <w:adjustRightInd w:val="0"/>
                  <w:jc w:val="center"/>
                  <w:rPr>
                    <w:rFonts w:ascii="Arial" w:hAnsi="Arial" w:cs="Arial"/>
                    <w:i w:val="1"/>
                    <w:iCs w:val="1"/>
                    <w:sz w:val="22"/>
                    <w:szCs w:val="22"/>
                  </w:rPr>
                </w:pPr>
                <w:r w:rsidRPr="46390F1C" w:rsidR="15542F06">
                  <w:rPr>
                    <w:rFonts w:ascii="MS Gothic" w:hAnsi="MS Gothic" w:eastAsia="MS Gothic" w:cs="MS Gothic"/>
                    <w:sz w:val="22"/>
                    <w:szCs w:val="22"/>
                  </w:rPr>
                  <w:t>☒</w:t>
                </w:r>
              </w:p>
            </w:sdtContent>
          </w:sdt>
        </w:tc>
      </w:tr>
      <w:tr w:rsidRPr="00A42F82" w:rsidR="005E6C44" w:rsidTr="46390F1C"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46390F1C" w14:paraId="651A7EAE" w14:textId="77777777">
        <w:trPr>
          <w:trHeight w:val="227"/>
        </w:trPr>
        <w:tc>
          <w:tcPr>
            <w:tcW w:w="562" w:type="dxa"/>
            <w:shd w:val="clear" w:color="auto" w:fill="F2F2F2" w:themeFill="background1" w:themeFillShade="F2"/>
            <w:tcMar/>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Mar/>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Mar/>
          </w:tcPr>
          <w:p w:rsidRPr="00A42F82" w:rsidR="00835382" w:rsidP="46390F1C" w:rsidRDefault="00835382" w14:paraId="0D38BF7C" w14:textId="416BB72F">
            <w:pPr>
              <w:autoSpaceDE w:val="0"/>
              <w:autoSpaceDN w:val="0"/>
              <w:adjustRightInd w:val="0"/>
              <w:rPr>
                <w:rFonts w:ascii="Arial" w:hAnsi="Arial" w:cs="Arial"/>
                <w:sz w:val="22"/>
                <w:szCs w:val="22"/>
              </w:rPr>
            </w:pPr>
            <w:r w:rsidRPr="46390F1C" w:rsidR="5F4C242E">
              <w:rPr>
                <w:rFonts w:ascii="Arial" w:hAnsi="Arial" w:cs="Arial"/>
                <w:sz w:val="22"/>
                <w:szCs w:val="22"/>
              </w:rPr>
              <w:t>N/A</w:t>
            </w: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46390F1C" w14:paraId="73D34D15" w14:textId="77777777">
        <w:trPr>
          <w:trHeight w:val="227"/>
        </w:trPr>
        <w:tc>
          <w:tcPr>
            <w:tcW w:w="562" w:type="dxa"/>
            <w:shd w:val="clear" w:color="auto" w:fill="F2F2F2" w:themeFill="background1" w:themeFillShade="F2"/>
            <w:tcMar/>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Mar/>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Mar/>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46390F1C" w14:paraId="6B017740" w14:textId="77777777">
        <w:trPr>
          <w:trHeight w:val="227"/>
        </w:trPr>
        <w:tc>
          <w:tcPr>
            <w:tcW w:w="562" w:type="dxa"/>
            <w:shd w:val="clear" w:color="auto" w:fill="F2F2F2" w:themeFill="background1" w:themeFillShade="F2"/>
            <w:tcMar/>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Mar/>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46390F1C" w14:paraId="285DF266" w14:textId="77777777">
        <w:tc>
          <w:tcPr>
            <w:tcW w:w="562" w:type="dxa"/>
            <w:shd w:val="clear" w:color="auto" w:fill="F2F2F2" w:themeFill="background1" w:themeFillShade="F2"/>
            <w:tcMar/>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Mar/>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tcMar/>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8800C5"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46390F1C" w14:paraId="52BE4F62" w14:textId="77777777">
        <w:tc>
          <w:tcPr>
            <w:tcW w:w="562" w:type="dxa"/>
            <w:shd w:val="clear" w:color="auto" w:fill="F2F2F2" w:themeFill="background1" w:themeFillShade="F2"/>
            <w:tcMar/>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Mar/>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8800C5"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46390F1C" w14:paraId="3F4F4762" w14:textId="77777777">
        <w:trPr>
          <w:trHeight w:val="386"/>
        </w:trPr>
        <w:tc>
          <w:tcPr>
            <w:tcW w:w="562" w:type="dxa"/>
            <w:shd w:val="clear" w:color="auto" w:fill="F2F2F2" w:themeFill="background1" w:themeFillShade="F2"/>
            <w:tcMar/>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Mar/>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Mar/>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tcMar/>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46390F1C" w14:paraId="11A2010B" w14:textId="77777777">
        <w:trPr>
          <w:trHeight w:val="386"/>
        </w:trPr>
        <w:tc>
          <w:tcPr>
            <w:tcW w:w="562" w:type="dxa"/>
            <w:shd w:val="clear" w:color="auto" w:fill="F2F2F2" w:themeFill="background1" w:themeFillShade="F2"/>
            <w:tcMar/>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Mar/>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tcMar/>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46390F1C" w14:paraId="4284E682" w14:textId="77777777">
        <w:tc>
          <w:tcPr>
            <w:tcW w:w="562" w:type="dxa"/>
            <w:shd w:val="clear" w:color="auto" w:fill="F2F2F2" w:themeFill="background1" w:themeFillShade="F2"/>
            <w:tcMar/>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Mar/>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Mar/>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8800C5"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46390F1C" w14:paraId="7C169A57" w14:textId="77777777">
        <w:tc>
          <w:tcPr>
            <w:tcW w:w="562" w:type="dxa"/>
            <w:shd w:val="clear" w:color="auto" w:fill="F2F2F2" w:themeFill="background1" w:themeFillShade="F2"/>
            <w:tcMar/>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Mar/>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Mar/>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8800C5"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46390F1C"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46390F1C" w:rsidRDefault="004C3D85" w14:paraId="7D97F4FD" w14:textId="782B14E6">
            <w:pPr>
              <w:spacing w:line="360" w:lineRule="auto"/>
              <w:jc w:val="both"/>
              <w:rPr>
                <w:rFonts w:ascii="Arial" w:hAnsi="Arial" w:eastAsia="Arial" w:cs="Arial"/>
                <w:noProof w:val="0"/>
                <w:sz w:val="22"/>
                <w:szCs w:val="22"/>
                <w:lang w:val="en-GB"/>
              </w:rPr>
            </w:pPr>
            <w:r w:rsidRPr="46390F1C" w:rsidR="1CEC2ED4">
              <w:rPr>
                <w:rFonts w:ascii="Arial" w:hAnsi="Arial" w:eastAsia="Arial" w:cs="Arial"/>
                <w:b w:val="0"/>
                <w:bCs w:val="0"/>
                <w:i w:val="0"/>
                <w:iCs w:val="0"/>
                <w:caps w:val="0"/>
                <w:smallCaps w:val="0"/>
                <w:noProof w:val="0"/>
                <w:color w:val="000000" w:themeColor="text1" w:themeTint="FF" w:themeShade="FF"/>
                <w:sz w:val="20"/>
                <w:szCs w:val="20"/>
                <w:lang w:val="en-US"/>
              </w:rPr>
              <w:t>“Evaluating the impact of BCG (Bacillus Calmette Guerin) vaccination campaign on Tuberculosis (TB) in High-Risk Districts of Delhi’s (India) populations’’</w:t>
            </w:r>
          </w:p>
          <w:p w:rsidRPr="00A42F82" w:rsidR="004C3D85" w:rsidP="00A91894" w:rsidRDefault="004C3D85" w14:paraId="44A8F7CA" w14:textId="7718E6C3">
            <w:pPr>
              <w:rPr>
                <w:rFonts w:ascii="Arial" w:hAnsi="Arial" w:cs="Arial"/>
                <w:sz w:val="22"/>
                <w:szCs w:val="22"/>
              </w:rPr>
            </w:pPr>
          </w:p>
        </w:tc>
      </w:tr>
      <w:tr w:rsidRPr="00A42F82" w:rsidR="004C3D85" w:rsidTr="46390F1C"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46390F1C" w:rsidRDefault="004C3D85" w14:paraId="5CD9365A" w14:textId="0B4D83AB">
            <w:pPr>
              <w:pStyle w:val="Normal"/>
              <w:rPr>
                <w:rFonts w:ascii="Arial" w:hAnsi="Arial" w:eastAsia="Arial" w:cs="Arial"/>
                <w:noProof w:val="0"/>
                <w:sz w:val="22"/>
                <w:szCs w:val="22"/>
                <w:lang w:val="en-GB"/>
              </w:rPr>
            </w:pPr>
            <w:r w:rsidRPr="46390F1C" w:rsidR="1508949A">
              <w:rPr>
                <w:rFonts w:ascii="Arial" w:hAnsi="Arial" w:eastAsia="Arial" w:cs="Arial"/>
                <w:b w:val="0"/>
                <w:bCs w:val="0"/>
                <w:i w:val="0"/>
                <w:iCs w:val="0"/>
                <w:caps w:val="0"/>
                <w:smallCaps w:val="0"/>
                <w:noProof w:val="0"/>
                <w:color w:val="000000" w:themeColor="text1" w:themeTint="FF" w:themeShade="FF"/>
                <w:sz w:val="22"/>
                <w:szCs w:val="22"/>
                <w:lang w:val="en-GB"/>
              </w:rPr>
              <w:t>6 October 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46390F1C" w:rsidRDefault="004C3D85" w14:paraId="373913E1" w14:textId="47FD82E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Pr="00A42F82" w:rsidR="004C3D85" w:rsidP="46390F1C" w:rsidRDefault="004C3D85" w14:paraId="091B06D3" w14:textId="5CDFEA79">
            <w:pPr>
              <w:pStyle w:val="Normal"/>
              <w:rPr>
                <w:rFonts w:ascii="Arial" w:hAnsi="Arial" w:eastAsia="Arial" w:cs="Arial"/>
                <w:noProof w:val="0"/>
                <w:sz w:val="22"/>
                <w:szCs w:val="22"/>
                <w:lang w:val="en-GB"/>
              </w:rPr>
            </w:pPr>
            <w:r w:rsidRPr="46390F1C" w:rsidR="71355EBC">
              <w:rPr>
                <w:rFonts w:ascii="Arial" w:hAnsi="Arial" w:eastAsia="Arial" w:cs="Arial"/>
                <w:b w:val="0"/>
                <w:bCs w:val="0"/>
                <w:i w:val="0"/>
                <w:iCs w:val="0"/>
                <w:caps w:val="0"/>
                <w:smallCaps w:val="0"/>
                <w:noProof w:val="0"/>
                <w:color w:val="000000" w:themeColor="text1" w:themeTint="FF" w:themeShade="FF"/>
                <w:sz w:val="22"/>
                <w:szCs w:val="22"/>
                <w:lang w:val="en-GB"/>
              </w:rPr>
              <w:t>2 February 2026</w:t>
            </w:r>
          </w:p>
          <w:p w:rsidRPr="00A42F82" w:rsidR="004C3D85" w:rsidP="00A91894" w:rsidRDefault="004C3D85" w14:paraId="6D32D729" w14:textId="5CA2AC28">
            <w:pPr>
              <w:rPr>
                <w:rFonts w:ascii="Arial" w:hAnsi="Arial" w:cs="Arial"/>
                <w:sz w:val="22"/>
                <w:szCs w:val="22"/>
              </w:rPr>
            </w:pPr>
          </w:p>
        </w:tc>
      </w:tr>
      <w:tr w:rsidRPr="00A42F82" w:rsidR="00F96C3F" w:rsidTr="46390F1C"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46390F1C"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46390F1C" w:rsidR="1CA4F2A2">
              <w:rPr>
                <w:rFonts w:ascii="Arial" w:hAnsi="Arial" w:cs="Arial"/>
                <w:b w:val="1"/>
                <w:bCs w:val="1"/>
                <w:sz w:val="22"/>
                <w:szCs w:val="22"/>
              </w:rPr>
              <w:t>Purpose of Research Activity</w:t>
            </w:r>
          </w:p>
          <w:p w:rsidRPr="00A42F82" w:rsidR="00F96C3F" w:rsidP="46390F1C" w:rsidRDefault="00F96C3F" w14:paraId="115B9ADE" w14:textId="17930EDE">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09D33BD5">
              <w:rPr>
                <w:rFonts w:ascii="Arial" w:hAnsi="Arial" w:eastAsia="Arial" w:cs="Arial"/>
                <w:b w:val="0"/>
                <w:bCs w:val="0"/>
                <w:i w:val="0"/>
                <w:iCs w:val="0"/>
                <w:caps w:val="0"/>
                <w:smallCaps w:val="0"/>
                <w:noProof w:val="0"/>
                <w:color w:val="000000" w:themeColor="text1" w:themeTint="FF" w:themeShade="FF"/>
                <w:sz w:val="20"/>
                <w:szCs w:val="20"/>
                <w:lang w:val="en-GB"/>
              </w:rPr>
              <w:t>Although India has made considerable strides in TB control through mass BCG vaccination, a high incidence of TB persists in several districts of Delhi. This paradox suggests that current campaigns may not be fully effective or are failing to reach the most vulnerable populations (Singh et al, 2025). High-risk urban districts like Northeast Delhi, Shahdara, and Central Delhi, where slums and migrant populations dominate, show consistently high TB prevalence despite ongoing immunisation efforts (Panda, 2023; Clark et al., 2024).</w:t>
            </w:r>
          </w:p>
          <w:p w:rsidRPr="00A42F82" w:rsidR="00F96C3F" w:rsidP="46390F1C" w:rsidRDefault="00F96C3F" w14:paraId="6F3D7DA5" w14:textId="1BB2409A">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09D33BD5">
              <w:rPr>
                <w:rFonts w:ascii="Arial" w:hAnsi="Arial" w:eastAsia="Arial" w:cs="Arial"/>
                <w:b w:val="0"/>
                <w:bCs w:val="0"/>
                <w:i w:val="0"/>
                <w:iCs w:val="0"/>
                <w:caps w:val="0"/>
                <w:smallCaps w:val="0"/>
                <w:noProof w:val="0"/>
                <w:color w:val="000000" w:themeColor="text1" w:themeTint="FF" w:themeShade="FF"/>
                <w:sz w:val="20"/>
                <w:szCs w:val="20"/>
                <w:lang w:val="en-GB"/>
              </w:rPr>
              <w:t xml:space="preserve">There is </w:t>
            </w:r>
            <w:r w:rsidRPr="46390F1C" w:rsidR="09D33BD5">
              <w:rPr>
                <w:rFonts w:ascii="Arial" w:hAnsi="Arial" w:eastAsia="Arial" w:cs="Arial"/>
                <w:b w:val="0"/>
                <w:bCs w:val="0"/>
                <w:i w:val="0"/>
                <w:iCs w:val="0"/>
                <w:caps w:val="0"/>
                <w:smallCaps w:val="0"/>
                <w:noProof w:val="0"/>
                <w:color w:val="000000" w:themeColor="text1" w:themeTint="FF" w:themeShade="FF"/>
                <w:sz w:val="20"/>
                <w:szCs w:val="20"/>
                <w:lang w:val="en-GB"/>
              </w:rPr>
              <w:t>a clear lack</w:t>
            </w:r>
            <w:r w:rsidRPr="46390F1C" w:rsidR="09D33BD5">
              <w:rPr>
                <w:rFonts w:ascii="Arial" w:hAnsi="Arial" w:eastAsia="Arial" w:cs="Arial"/>
                <w:b w:val="0"/>
                <w:bCs w:val="0"/>
                <w:i w:val="0"/>
                <w:iCs w:val="0"/>
                <w:caps w:val="0"/>
                <w:smallCaps w:val="0"/>
                <w:noProof w:val="0"/>
                <w:color w:val="000000" w:themeColor="text1" w:themeTint="FF" w:themeShade="FF"/>
                <w:sz w:val="20"/>
                <w:szCs w:val="20"/>
                <w:lang w:val="en-GB"/>
              </w:rPr>
              <w:t xml:space="preserve"> of district-level, localised research that evaluates the outcomes of BCG vaccination efforts in these areas (Sinha et al., 2022). Understanding why the campaigns are underperforming, whether due to healthcare infrastructure gaps, low community awareness, or systemic inequities, is crucial. Moreover, logistical challenges and vaccine hesitancy in migrant and underprivileged populations </w:t>
            </w:r>
            <w:r w:rsidRPr="46390F1C" w:rsidR="09D33BD5">
              <w:rPr>
                <w:rFonts w:ascii="Arial" w:hAnsi="Arial" w:eastAsia="Arial" w:cs="Arial"/>
                <w:b w:val="0"/>
                <w:bCs w:val="0"/>
                <w:i w:val="0"/>
                <w:iCs w:val="0"/>
                <w:caps w:val="0"/>
                <w:smallCaps w:val="0"/>
                <w:noProof w:val="0"/>
                <w:color w:val="000000" w:themeColor="text1" w:themeTint="FF" w:themeShade="FF"/>
                <w:sz w:val="20"/>
                <w:szCs w:val="20"/>
                <w:lang w:val="en-GB"/>
              </w:rPr>
              <w:t>remain</w:t>
            </w:r>
            <w:r w:rsidRPr="46390F1C" w:rsidR="09D33BD5">
              <w:rPr>
                <w:rFonts w:ascii="Arial" w:hAnsi="Arial" w:eastAsia="Arial" w:cs="Arial"/>
                <w:b w:val="0"/>
                <w:bCs w:val="0"/>
                <w:i w:val="0"/>
                <w:iCs w:val="0"/>
                <w:caps w:val="0"/>
                <w:smallCaps w:val="0"/>
                <w:noProof w:val="0"/>
                <w:color w:val="000000" w:themeColor="text1" w:themeTint="FF" w:themeShade="FF"/>
                <w:sz w:val="20"/>
                <w:szCs w:val="20"/>
                <w:lang w:val="en-GB"/>
              </w:rPr>
              <w:t xml:space="preserve"> underexplored in public health planning (Clark, 2023).</w:t>
            </w:r>
          </w:p>
          <w:p w:rsidRPr="00A42F82" w:rsidR="00F96C3F" w:rsidP="46390F1C" w:rsidRDefault="00F96C3F" w14:paraId="4E42F46B" w14:textId="16F96C5C">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Pr="00A42F82" w:rsidR="00F96C3F" w:rsidP="46390F1C" w:rsidRDefault="00F96C3F" w14:paraId="1504B555" w14:textId="4C31AFB0">
            <w:pPr>
              <w:spacing w:line="360" w:lineRule="auto"/>
              <w:jc w:val="both"/>
            </w:pPr>
            <w:r w:rsidRPr="46390F1C" w:rsidR="1AFE0512">
              <w:rPr>
                <w:rFonts w:ascii="Arial" w:hAnsi="Arial" w:eastAsia="Arial" w:cs="Arial"/>
                <w:b w:val="0"/>
                <w:bCs w:val="0"/>
                <w:i w:val="0"/>
                <w:iCs w:val="0"/>
                <w:caps w:val="0"/>
                <w:smallCaps w:val="0"/>
                <w:noProof w:val="0"/>
                <w:color w:val="000000" w:themeColor="text1" w:themeTint="FF" w:themeShade="FF"/>
                <w:sz w:val="20"/>
                <w:szCs w:val="20"/>
                <w:lang w:val="en-GB"/>
              </w:rPr>
              <w:t xml:space="preserve">This research is both timely and necessary to identify areas for improvement. It will provide evidence-based recommendations to policymakers and public health authorities. It also supports India’s National Strategic 5-year Plan to End TB by 2025, which advocates for granular, district-level interventions (Behera et al., 2020). The originality of this study lies in its focused evaluation of BCG campaign impact in high-risk urban settings, an area often overlooked in broader national statistics (Atmakuri et al, 2018). By addressing these research gaps, the study has the potential to significantly improve vaccination strategies and TB prevention outcomes in India’s urban poor communities. </w:t>
            </w:r>
            <w:r w:rsidRPr="46390F1C" w:rsidR="1AFE0512">
              <w:rPr>
                <w:rFonts w:ascii="Arial" w:hAnsi="Arial" w:eastAsia="Arial" w:cs="Arial"/>
                <w:noProof w:val="0"/>
                <w:sz w:val="20"/>
                <w:szCs w:val="20"/>
                <w:lang w:val="en-GB"/>
              </w:rPr>
              <w:t xml:space="preserve"> </w:t>
            </w:r>
          </w:p>
          <w:p w:rsidRPr="00A42F82" w:rsidR="00F96C3F" w:rsidP="46390F1C" w:rsidRDefault="00F96C3F" w14:paraId="39FAA3A4" w14:textId="40CDFCD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46390F1C"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A42F82" w:rsidR="00F96C3F" w:rsidP="46390F1C" w:rsidRDefault="00F96C3F" w14:paraId="43E4BFAF" w14:textId="77E4D5D7">
            <w:pPr>
              <w:rPr>
                <w:rFonts w:ascii="Arial" w:hAnsi="Arial" w:eastAsia="Arial" w:cs="Arial"/>
                <w:noProof w:val="0"/>
                <w:sz w:val="20"/>
                <w:szCs w:val="20"/>
                <w:lang w:val="en-GB"/>
              </w:rPr>
            </w:pPr>
            <w:r w:rsidRPr="46390F1C" w:rsidR="38CA780D">
              <w:rPr>
                <w:rFonts w:ascii="Arial" w:hAnsi="Arial" w:eastAsia="Arial" w:cs="Arial"/>
                <w:b w:val="0"/>
                <w:bCs w:val="0"/>
                <w:i w:val="0"/>
                <w:iCs w:val="0"/>
                <w:caps w:val="0"/>
                <w:smallCaps w:val="0"/>
                <w:strike w:val="0"/>
                <w:dstrike w:val="0"/>
                <w:noProof w:val="0"/>
                <w:color w:val="000000" w:themeColor="text1" w:themeTint="FF" w:themeShade="FF"/>
                <w:sz w:val="19"/>
                <w:szCs w:val="19"/>
                <w:u w:val="none"/>
                <w:lang w:val="en-GB"/>
              </w:rPr>
              <w:t>What is the impact of BCG vaccination campaigns in high-risk districts of Delhi (India) and their populations?</w:t>
            </w: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46390F1C"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A42F82" w:rsidR="00F96C3F" w:rsidP="46390F1C" w:rsidRDefault="00F96C3F" w14:paraId="19B86C04" w14:textId="4888E708">
            <w:pPr>
              <w:spacing w:line="360" w:lineRule="auto"/>
              <w:jc w:val="both"/>
              <w:rPr>
                <w:rFonts w:ascii="Arial" w:hAnsi="Arial" w:eastAsia="Arial" w:cs="Arial"/>
                <w:noProof w:val="0"/>
                <w:sz w:val="20"/>
                <w:szCs w:val="20"/>
                <w:lang w:val="en-GB"/>
              </w:rPr>
            </w:pPr>
            <w:r w:rsidRPr="46390F1C" w:rsidR="38445FCF">
              <w:rPr>
                <w:rFonts w:ascii="Arial" w:hAnsi="Arial" w:eastAsia="Arial" w:cs="Arial"/>
                <w:b w:val="0"/>
                <w:bCs w:val="0"/>
                <w:i w:val="0"/>
                <w:iCs w:val="0"/>
                <w:caps w:val="0"/>
                <w:smallCaps w:val="0"/>
                <w:noProof w:val="0"/>
                <w:color w:val="000000" w:themeColor="text1" w:themeTint="FF" w:themeShade="FF"/>
                <w:sz w:val="20"/>
                <w:szCs w:val="20"/>
                <w:lang w:val="en-GB"/>
              </w:rPr>
              <w:t>To evaluate the impact of the BCG vaccination campaigns in controlling tuberculosis among high-risk populations in Delhi and to identify the best strategies.</w:t>
            </w:r>
          </w:p>
          <w:p w:rsidRPr="00A42F82" w:rsidR="00F96C3F" w:rsidP="46390F1C" w:rsidRDefault="00F96C3F" w14:paraId="11C896B4" w14:textId="5FC17E5E">
            <w:pPr>
              <w:pStyle w:val="Normal"/>
              <w:rPr>
                <w:rFonts w:ascii="Arial" w:hAnsi="Arial" w:cs="Arial"/>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46390F1C"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Pr="00A42F82" w:rsidR="00F96C3F" w:rsidP="46390F1C" w:rsidRDefault="00F96C3F" w14:paraId="4AAEF40C" w14:textId="3FC62772">
            <w:pPr>
              <w:rPr>
                <w:rFonts w:ascii="Arial" w:hAnsi="Arial" w:eastAsia="Arial" w:cs="Arial"/>
                <w:b w:val="0"/>
                <w:bCs w:val="0"/>
                <w:i w:val="0"/>
                <w:iCs w:val="0"/>
                <w:caps w:val="0"/>
                <w:smallCaps w:val="0"/>
                <w:noProof w:val="0"/>
                <w:color w:val="000000" w:themeColor="text1" w:themeTint="FF" w:themeShade="FF"/>
                <w:sz w:val="20"/>
                <w:szCs w:val="20"/>
                <w:lang w:val="en-GB"/>
              </w:rPr>
            </w:pPr>
          </w:p>
          <w:p w:rsidRPr="00A42F82" w:rsidR="00F96C3F" w:rsidP="46390F1C" w:rsidRDefault="00F96C3F" w14:paraId="068AF508" w14:textId="724FF47D">
            <w:pPr>
              <w:pStyle w:val="ListParagraph"/>
              <w:numPr>
                <w:ilvl w:val="0"/>
                <w:numId w:val="28"/>
              </w:numPr>
              <w:tabs>
                <w:tab w:val="num" w:leader="none" w:pos="720"/>
              </w:tabs>
              <w:spacing w:after="160"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30FD9CC9">
              <w:rPr>
                <w:rFonts w:ascii="Arial" w:hAnsi="Arial" w:eastAsia="Arial" w:cs="Arial"/>
                <w:b w:val="0"/>
                <w:bCs w:val="0"/>
                <w:i w:val="0"/>
                <w:iCs w:val="0"/>
                <w:caps w:val="0"/>
                <w:smallCaps w:val="0"/>
                <w:noProof w:val="0"/>
                <w:color w:val="000000" w:themeColor="text1" w:themeTint="FF" w:themeShade="FF"/>
                <w:sz w:val="20"/>
                <w:szCs w:val="20"/>
                <w:lang w:val="en-GB"/>
              </w:rPr>
              <w:t>To analyse trends in tuberculosis incidence and morbidity in connection with BCG campaign implementation in high-risk districts of Delhi.</w:t>
            </w:r>
          </w:p>
          <w:p w:rsidRPr="00A42F82" w:rsidR="00F96C3F" w:rsidP="46390F1C" w:rsidRDefault="00F96C3F" w14:paraId="5800E552" w14:textId="2B18D468">
            <w:pPr>
              <w:pStyle w:val="ListParagraph"/>
              <w:numPr>
                <w:ilvl w:val="0"/>
                <w:numId w:val="28"/>
              </w:numPr>
              <w:tabs>
                <w:tab w:val="num" w:leader="none" w:pos="720"/>
              </w:tabs>
              <w:spacing w:after="160"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30FD9CC9">
              <w:rPr>
                <w:rFonts w:ascii="Arial" w:hAnsi="Arial" w:eastAsia="Arial" w:cs="Arial"/>
                <w:b w:val="0"/>
                <w:bCs w:val="0"/>
                <w:i w:val="0"/>
                <w:iCs w:val="0"/>
                <w:caps w:val="0"/>
                <w:smallCaps w:val="0"/>
                <w:noProof w:val="0"/>
                <w:color w:val="000000" w:themeColor="text1" w:themeTint="FF" w:themeShade="FF"/>
                <w:sz w:val="20"/>
                <w:szCs w:val="20"/>
                <w:lang w:val="en-GB"/>
              </w:rPr>
              <w:t>To assess the coverage and outreach of BCG vaccination campaigns among high-risk demographic groups in Delhi.</w:t>
            </w:r>
          </w:p>
          <w:p w:rsidRPr="00A42F82" w:rsidR="00F96C3F" w:rsidP="46390F1C" w:rsidRDefault="00F96C3F" w14:paraId="72272B05" w14:textId="6AB8C53A">
            <w:pPr>
              <w:pStyle w:val="ListParagraph"/>
              <w:numPr>
                <w:ilvl w:val="0"/>
                <w:numId w:val="28"/>
              </w:numPr>
              <w:tabs>
                <w:tab w:val="num" w:leader="none" w:pos="720"/>
              </w:tabs>
              <w:spacing w:after="160"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30FD9CC9">
              <w:rPr>
                <w:rFonts w:ascii="Arial" w:hAnsi="Arial" w:eastAsia="Arial" w:cs="Arial"/>
                <w:b w:val="0"/>
                <w:bCs w:val="0"/>
                <w:i w:val="0"/>
                <w:iCs w:val="0"/>
                <w:caps w:val="0"/>
                <w:smallCaps w:val="0"/>
                <w:noProof w:val="0"/>
                <w:color w:val="000000" w:themeColor="text1" w:themeTint="FF" w:themeShade="FF"/>
                <w:sz w:val="20"/>
                <w:szCs w:val="20"/>
                <w:lang w:val="en-GB"/>
              </w:rPr>
              <w:t xml:space="preserve">To </w:t>
            </w:r>
            <w:r w:rsidRPr="46390F1C" w:rsidR="30FD9CC9">
              <w:rPr>
                <w:rFonts w:ascii="Arial" w:hAnsi="Arial" w:eastAsia="Arial" w:cs="Arial"/>
                <w:b w:val="0"/>
                <w:bCs w:val="0"/>
                <w:i w:val="0"/>
                <w:iCs w:val="0"/>
                <w:caps w:val="0"/>
                <w:smallCaps w:val="0"/>
                <w:noProof w:val="0"/>
                <w:color w:val="000000" w:themeColor="text1" w:themeTint="FF" w:themeShade="FF"/>
                <w:sz w:val="20"/>
                <w:szCs w:val="20"/>
                <w:lang w:val="en-GB"/>
              </w:rPr>
              <w:t>identify</w:t>
            </w:r>
            <w:r w:rsidRPr="46390F1C" w:rsidR="30FD9CC9">
              <w:rPr>
                <w:rFonts w:ascii="Arial" w:hAnsi="Arial" w:eastAsia="Arial" w:cs="Arial"/>
                <w:b w:val="0"/>
                <w:bCs w:val="0"/>
                <w:i w:val="0"/>
                <w:iCs w:val="0"/>
                <w:caps w:val="0"/>
                <w:smallCaps w:val="0"/>
                <w:noProof w:val="0"/>
                <w:color w:val="000000" w:themeColor="text1" w:themeTint="FF" w:themeShade="FF"/>
                <w:sz w:val="20"/>
                <w:szCs w:val="20"/>
                <w:lang w:val="en-GB"/>
              </w:rPr>
              <w:t xml:space="preserve"> key barriers to effective BCG vaccination programme implementation in these districts.</w:t>
            </w: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46390F1C"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t>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46390F1C"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A42F82" w:rsidR="00F96C3F" w:rsidP="46390F1C" w:rsidRDefault="00F96C3F" w14:paraId="47F3741E" w14:textId="4742B96E">
            <w:pPr>
              <w:pStyle w:val="Heading1"/>
              <w:keepNext w:val="1"/>
              <w:tabs>
                <w:tab w:val="left" w:leader="none" w:pos="5103"/>
              </w:tabs>
              <w:jc w:val="cente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46390F1C" w:rsidR="20DDBDBB">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Research Methodology</w:t>
            </w:r>
          </w:p>
          <w:p w:rsidRPr="00A42F82" w:rsidR="00F96C3F" w:rsidP="46390F1C" w:rsidRDefault="00F96C3F" w14:paraId="1056C5C0" w14:textId="6198DA43">
            <w:pPr>
              <w:pStyle w:val="Heading1"/>
              <w:keepNext w:val="1"/>
              <w:tabs>
                <w:tab w:val="left" w:leader="none" w:pos="5103"/>
              </w:tabs>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46390F1C" w:rsidR="20DDBDBB">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Research Design</w:t>
            </w:r>
          </w:p>
          <w:p w:rsidRPr="00A42F82" w:rsidR="00F96C3F" w:rsidP="46390F1C" w:rsidRDefault="00F96C3F" w14:paraId="0CC7719F" w14:textId="0DF46C7F">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This study adopts a systematic research design to evaluate the impact of BCG vaccination campaigns on tuberculosis (TB) control in high-risk districts of Delhi. A systematic review will be used to synthesise data from published and grey literature (MacLure et al, 2016). This design ensures a transparent, replicable, and evidence-based analysis of BCG campaign effectiveness in reducing TB incidence in vulnerable urban populations.</w:t>
            </w:r>
          </w:p>
          <w:p w:rsidRPr="00A42F82" w:rsidR="00F96C3F" w:rsidP="46390F1C" w:rsidRDefault="00F96C3F" w14:paraId="1653D1F8" w14:textId="3F9D7882">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 xml:space="preserve">The methodology will follow PRISMA (Preferred Reporting Items for Systematic Reviews and Meta-Analyses) guidelines to enhance rigour and minimise bias (Hutton et al, 2017). Quantitative data on TB incidence, BCG coverage rates, and implementation outcomes will be extracted and analysed thematically and statistically. Qualitative findings, including insights into barriers to vaccine access and campaign outreach, will also be coded and synthesised. This strategy ensures that both the measurable health outcomes and the contextual factors affecting implementation are captured. </w:t>
            </w:r>
          </w:p>
          <w:p w:rsidRPr="00A42F82" w:rsidR="00F96C3F" w:rsidP="46390F1C" w:rsidRDefault="00F96C3F" w14:paraId="416AD311" w14:textId="7CBDCBAA">
            <w:pPr>
              <w:pStyle w:val="Heading1"/>
              <w:keepNext w:val="1"/>
              <w:tabs>
                <w:tab w:val="left" w:leader="none" w:pos="5103"/>
              </w:tabs>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46390F1C" w:rsidR="20DDBDBB">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Search Strategy </w:t>
            </w:r>
          </w:p>
          <w:p w:rsidRPr="00A42F82" w:rsidR="00F96C3F" w:rsidP="46390F1C" w:rsidRDefault="00F96C3F" w14:paraId="42E682C4" w14:textId="18337022">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To ensure a comprehensive and systematic review of relevant literature, a structured search strategy will be employed. Databases such as PubMed, MEDLINE, ScienceDirect, and Google Scholar will be utilised to retrieve peer-reviewed publications and grey literature. In addition, official reports and datasets from the National TB Elimination Programme (NTEP) will be included to incorporate the most current government data relevant to tuberculosis (TB) and BCG vaccination campaigns in Delhi.</w:t>
            </w:r>
          </w:p>
          <w:p w:rsidRPr="00A42F82" w:rsidR="00F96C3F" w:rsidP="46390F1C" w:rsidRDefault="00F96C3F" w14:paraId="62E9D286" w14:textId="711A541F">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Key search terms will be used to build search queries tailored to each database. Key search phrases will include: “BCG vaccine” AND “Tuberculosis” AND “Delhi”, “BCG vaccination” AND “urban slums” AND “India”, “TB incidence” AND “BCG campaign” AND “high-risk districts”, “BCG coverage” OR “immunisation rates” AND “migrant populations”, and “Vaccination barriers” AND “TB control” AND “India”. Boolean operators such as AND, OR, and NOT will be used to refine and expand the search scope, depending on database functionality.</w:t>
            </w:r>
          </w:p>
          <w:p w:rsidRPr="00A42F82" w:rsidR="00F96C3F" w:rsidP="46390F1C" w:rsidRDefault="00F96C3F" w14:paraId="71AD8074" w14:textId="01B70DD7">
            <w:pPr>
              <w:pStyle w:val="Heading1"/>
              <w:keepNext w:val="1"/>
              <w:tabs>
                <w:tab w:val="left" w:leader="none" w:pos="5103"/>
              </w:tabs>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46390F1C" w:rsidR="20DDBDBB">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Quality Assessment Tool </w:t>
            </w:r>
          </w:p>
          <w:p w:rsidRPr="00A42F82" w:rsidR="00F96C3F" w:rsidP="46390F1C" w:rsidRDefault="00F96C3F" w14:paraId="33B3B237" w14:textId="1779C52A">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To ensure the reliability and validity of findings included in this systematic review, a structured quality assessment tool will be employed. The Joanna Briggs Institute (JBI) Critical Appraisal Checklists and the CASP (Critical Appraisal Skills Programme) tools will serve as the primary frameworks, as they are widely recognised for assessing the methodological rigour of both quantitative and qualitative studies (Hilton, 2024). These tools allow for systematic evaluation of study design, sampling strategies, data collection methods, and the appropriateness of statistical or thematic analysis (Haile, 2022).</w:t>
            </w:r>
          </w:p>
          <w:p w:rsidRPr="00A42F82" w:rsidR="00F96C3F" w:rsidP="46390F1C" w:rsidRDefault="00F96C3F" w14:paraId="5A61E962" w14:textId="3BD1830D">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Each selected study will be assessed against specific criteria such as clarity of objectives, adequacy of sample size, reliability of outcome measures, transparency of methodology, and control for potential confounding factors (Hilton, 2024). For qualitative studies, additional emphasis will be placed on credibility, transferability, and the robustness of thematic analysis (Lan et al, 2023). Studies will then be categorised as high, moderate, or low quality based on their scores (Haile, 2022). This assessment ensures that only robust and credible evidence informs the review’s conclusions. Low-quality studies will not be automatically excluded but will be critically appraised to highlight their limitations in interpretation (Lan et al, 2022). By adopting this transparent and systematic approach, the study minimises bias and strengthens the trustworthiness of the final analysis (Haile, 2022).</w:t>
            </w:r>
          </w:p>
          <w:p w:rsidRPr="00A42F82" w:rsidR="00F96C3F" w:rsidP="46390F1C" w:rsidRDefault="00F96C3F" w14:paraId="45CD1DDC" w14:textId="51F5C8B3">
            <w:pPr>
              <w:pStyle w:val="Heading1"/>
              <w:keepNext w:val="1"/>
              <w:tabs>
                <w:tab w:val="left" w:leader="none" w:pos="5103"/>
              </w:tabs>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46390F1C" w:rsidR="20DDBDBB">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Inclusion Criteria </w:t>
            </w:r>
          </w:p>
          <w:p w:rsidRPr="00A42F82" w:rsidR="00F96C3F" w:rsidP="46390F1C" w:rsidRDefault="00F96C3F" w14:paraId="4E29C272" w14:textId="6F1E4CA7">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 xml:space="preserve">For this study, articles will be selected based on clearly defined inclusion criteria to ensure the relevance and quality of data. </w:t>
            </w:r>
          </w:p>
          <w:p w:rsidRPr="00A42F82" w:rsidR="00F96C3F" w:rsidP="46390F1C" w:rsidRDefault="00F96C3F" w14:paraId="7C6F3908" w14:textId="3E96177F">
            <w:pPr>
              <w:pStyle w:val="ListParagraph"/>
              <w:numPr>
                <w:ilvl w:val="0"/>
                <w:numId w:val="29"/>
              </w:numPr>
              <w:spacing w:after="160"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Papers published between 2015 – 2025.</w:t>
            </w:r>
          </w:p>
          <w:p w:rsidRPr="00A42F82" w:rsidR="00F96C3F" w:rsidP="46390F1C" w:rsidRDefault="00F96C3F" w14:paraId="1EF3DAB2" w14:textId="52324BB1">
            <w:pPr>
              <w:pStyle w:val="ListParagraph"/>
              <w:numPr>
                <w:ilvl w:val="0"/>
                <w:numId w:val="29"/>
              </w:numPr>
              <w:spacing w:after="160"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Papers published in the English language only.</w:t>
            </w:r>
          </w:p>
          <w:p w:rsidRPr="00A42F82" w:rsidR="00F96C3F" w:rsidP="46390F1C" w:rsidRDefault="00F96C3F" w14:paraId="70B2B492" w14:textId="1418801D">
            <w:pPr>
              <w:pStyle w:val="ListParagraph"/>
              <w:numPr>
                <w:ilvl w:val="0"/>
                <w:numId w:val="30"/>
              </w:num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 xml:space="preserve">Only studies published in English between 2015 and 2025, covering the last ten years, will be considered to ensure contemporary relevance. </w:t>
            </w:r>
          </w:p>
          <w:p w:rsidRPr="00A42F82" w:rsidR="00F96C3F" w:rsidP="46390F1C" w:rsidRDefault="00F96C3F" w14:paraId="76AE0BF9" w14:textId="48F58FEC">
            <w:pPr>
              <w:pStyle w:val="ListParagraph"/>
              <w:numPr>
                <w:ilvl w:val="0"/>
                <w:numId w:val="30"/>
              </w:num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 xml:space="preserve">The review will include peer-reviewed journal articles, government health reports, and NGO evaluations that provide empirical evidence. </w:t>
            </w:r>
          </w:p>
          <w:p w:rsidRPr="00A42F82" w:rsidR="00F96C3F" w:rsidP="46390F1C" w:rsidRDefault="00F96C3F" w14:paraId="412AC992" w14:textId="2BB997BA">
            <w:pPr>
              <w:pStyle w:val="ListParagraph"/>
              <w:numPr>
                <w:ilvl w:val="0"/>
                <w:numId w:val="30"/>
              </w:num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 xml:space="preserve">Focus will be placed on studies related to BCG vaccination and tuberculosis incidence in urban India, with a particular emphasis on Delhi and its high-risk districts. </w:t>
            </w:r>
          </w:p>
          <w:p w:rsidRPr="00A42F82" w:rsidR="00F96C3F" w:rsidP="46390F1C" w:rsidRDefault="00F96C3F" w14:paraId="0247F41B" w14:textId="6BEBD3A5">
            <w:pPr>
              <w:pStyle w:val="ListParagraph"/>
              <w:numPr>
                <w:ilvl w:val="0"/>
                <w:numId w:val="30"/>
              </w:num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 xml:space="preserve">Both quantitative and qualitative studies will be eligible, allowing for a comprehensive understanding of statistical trends as well as social and behavioural insights. </w:t>
            </w:r>
          </w:p>
          <w:p w:rsidRPr="00A42F82" w:rsidR="00F96C3F" w:rsidP="46390F1C" w:rsidRDefault="00F96C3F" w14:paraId="5809B192" w14:textId="13674BD3">
            <w:pPr>
              <w:pStyle w:val="ListParagraph"/>
              <w:numPr>
                <w:ilvl w:val="0"/>
                <w:numId w:val="30"/>
              </w:num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Additionally, articles must explicitly address at least one of the following: campaign effectiveness, vaccination coverage, or barriers to healthcare access, especially among vulnerable populations like urban slum dwellers and migrants.</w:t>
            </w:r>
          </w:p>
          <w:p w:rsidRPr="00A42F82" w:rsidR="00F96C3F" w:rsidP="46390F1C" w:rsidRDefault="00F96C3F" w14:paraId="0B30BFD0" w14:textId="07542C34">
            <w:pPr>
              <w:pStyle w:val="Heading1"/>
              <w:keepNext w:val="1"/>
              <w:tabs>
                <w:tab w:val="left" w:leader="none" w:pos="5103"/>
              </w:tabs>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46390F1C" w:rsidR="20DDBDBB">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Exclusion Criteria </w:t>
            </w:r>
          </w:p>
          <w:p w:rsidRPr="00A42F82" w:rsidR="00F96C3F" w:rsidP="46390F1C" w:rsidRDefault="00F96C3F" w14:paraId="27343B86" w14:textId="2BB55F58">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 xml:space="preserve">Studies that do not meet the above standards will be excluded from this review. </w:t>
            </w:r>
          </w:p>
          <w:p w:rsidRPr="00A42F82" w:rsidR="00F96C3F" w:rsidP="46390F1C" w:rsidRDefault="00F96C3F" w14:paraId="0A520F9B" w14:textId="77030596">
            <w:pPr>
              <w:pStyle w:val="ListParagraph"/>
              <w:numPr>
                <w:ilvl w:val="0"/>
                <w:numId w:val="29"/>
              </w:numPr>
              <w:spacing w:after="160"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Papers published before 2015.</w:t>
            </w:r>
          </w:p>
          <w:p w:rsidRPr="00A42F82" w:rsidR="00F96C3F" w:rsidP="46390F1C" w:rsidRDefault="00F96C3F" w14:paraId="0D531924" w14:textId="73F93731">
            <w:pPr>
              <w:pStyle w:val="ListParagraph"/>
              <w:numPr>
                <w:ilvl w:val="0"/>
                <w:numId w:val="29"/>
              </w:numPr>
              <w:spacing w:after="160"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Papers published in a non-English language.</w:t>
            </w:r>
          </w:p>
          <w:p w:rsidRPr="00A42F82" w:rsidR="00F96C3F" w:rsidP="46390F1C" w:rsidRDefault="00F96C3F" w14:paraId="43A16D4A" w14:textId="63CFA185">
            <w:pPr>
              <w:pStyle w:val="ListParagraph"/>
              <w:numPr>
                <w:ilvl w:val="0"/>
                <w:numId w:val="29"/>
              </w:numPr>
              <w:spacing w:after="160"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This includes any research not directly related to BCG vaccination or tuberculosis, as well as those that do not focus on India’s urban or high-risk populations.</w:t>
            </w:r>
          </w:p>
          <w:p w:rsidRPr="00A42F82" w:rsidR="00F96C3F" w:rsidP="46390F1C" w:rsidRDefault="00F96C3F" w14:paraId="46E86612" w14:textId="528731FD">
            <w:pPr>
              <w:pStyle w:val="ListParagraph"/>
              <w:numPr>
                <w:ilvl w:val="0"/>
                <w:numId w:val="29"/>
              </w:numPr>
              <w:spacing w:after="160"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 xml:space="preserve"> Any publications outside the 2015–2025 window will be excluded to maintain a focus on the most recent and applicable data. </w:t>
            </w:r>
          </w:p>
          <w:p w:rsidRPr="00A42F82" w:rsidR="00F96C3F" w:rsidP="46390F1C" w:rsidRDefault="00F96C3F" w14:paraId="7418D0CB" w14:textId="2D2009CE">
            <w:pPr>
              <w:pStyle w:val="ListParagraph"/>
              <w:numPr>
                <w:ilvl w:val="0"/>
                <w:numId w:val="29"/>
              </w:numPr>
              <w:spacing w:after="160"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 xml:space="preserve">Editorials, opinion pieces, letters to editors, and articles without empirical data will not be considered, as they lack the methodological robustness required for systematic analysis. </w:t>
            </w:r>
          </w:p>
          <w:p w:rsidRPr="00A42F82" w:rsidR="00F96C3F" w:rsidP="46390F1C" w:rsidRDefault="00F96C3F" w14:paraId="21647067" w14:textId="24FFB29C">
            <w:pPr>
              <w:pStyle w:val="ListParagraph"/>
              <w:numPr>
                <w:ilvl w:val="0"/>
                <w:numId w:val="29"/>
              </w:numPr>
              <w:spacing w:after="160"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Any study that lacks clear objectives, does not present sufficient methodological detail, or fails to demonstrate relevance to district-level TB control efforts in Delhi will be omitted from the final analysis.</w:t>
            </w:r>
          </w:p>
          <w:p w:rsidRPr="00A42F82" w:rsidR="00F96C3F" w:rsidP="46390F1C" w:rsidRDefault="00F96C3F" w14:paraId="76E9319C" w14:textId="173125AC">
            <w:pPr>
              <w:pStyle w:val="Heading1"/>
              <w:keepNext w:val="1"/>
              <w:tabs>
                <w:tab w:val="left" w:leader="none" w:pos="5103"/>
              </w:tabs>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46390F1C" w:rsidR="20DDBDBB">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Data Collection Process </w:t>
            </w:r>
          </w:p>
          <w:p w:rsidRPr="00A42F82" w:rsidR="00F96C3F" w:rsidP="46390F1C" w:rsidRDefault="00F96C3F" w14:paraId="0023BBDA" w14:textId="2612350E">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Data for this study will be systematically collected from multiple sources to ensure comprehensive coverage of the subject matter. The process will begin with the identification and selection of relevant peer-reviewed literature, official government reports, and non-governmental organisation (NGO) publications addressing tuberculosis (TB) and BCG vaccination campaigns in Delhi (Tikito and Souissi, 2020). The primary emphasis will be placed on extracting district-specific information related to TB incidence, vaccination outreach, and campaign performance in high-risk areas, such as Northeast Delhi, Shahdara, and Central Delhi. Grey literature, including health department records and unpublished reports, will also be incorporated to supplement peer-reviewed evidence.</w:t>
            </w:r>
          </w:p>
          <w:p w:rsidRPr="00A42F82" w:rsidR="00F96C3F" w:rsidP="46390F1C" w:rsidRDefault="00F96C3F" w14:paraId="0BA78089" w14:textId="458BC5E0">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Once relevant sources are identified, data extraction will be guided by a structured template designed to capture essential variables such as TB incidence trends, vaccination coverage percentages, implementation strategies, and socio-demographic contexts of affected populations. Information will be systematically logged, cross-verified, and categorised into quantitative and qualitative datasets (Tikito and Souissi, 2020). Quantitative data will include measurable outcomes, while qualitative findings will capture narratives on barriers, perceptions, and local experiences related to vaccine campaigns (Tikito and Souissi, 2020). This dual approach will ensure a balanced understanding of both statistical impacts and contextual realities of BCG campaign implementation in high-risk districts.</w:t>
            </w:r>
          </w:p>
          <w:p w:rsidRPr="00A42F82" w:rsidR="00F96C3F" w:rsidP="46390F1C" w:rsidRDefault="00F96C3F" w14:paraId="26E38A53" w14:textId="06FC5F80">
            <w:pPr>
              <w:pStyle w:val="Heading1"/>
              <w:keepNext w:val="1"/>
              <w:tabs>
                <w:tab w:val="left" w:leader="none" w:pos="5103"/>
              </w:tabs>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46390F1C" w:rsidR="20DDBDBB">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Data Extraction Process</w:t>
            </w:r>
          </w:p>
          <w:p w:rsidRPr="00A42F82" w:rsidR="00F96C3F" w:rsidP="46390F1C" w:rsidRDefault="00F96C3F" w14:paraId="6E59ACEB" w14:textId="2BA92A60">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The data extraction process will follow a structured and systematic approach to ensure consistency and accuracy across all selected studies (Schoot et al, 2021). After applying the inclusion and exclusion criteria, approximately 10 to 12 articles will be chosen for in-depth review, representing both quantitative and qualitative research relevant to BCG vaccination campaigns and tuberculosis in Delhi’s high-risk districts. A standardised data extraction form will be used to capture key information such as study characteristics (author, year, location, design), population details (sample size, demographics), intervention components (vaccination strategy, coverage, outreach methods), and outcomes (TB incidence, morbidity, and barriers to implementation). For qualitative studies, thematic insights regarding community perceptions, healthcare access, and campaign challenges will also be documented (Schwendimann et al, 2016). To enhance accuracy, the researcher will cross-check the data at multiple stages, resolving discrepancies through re-examination of the sources (Schoot et al, 2021). This process ensures that both numerical evidence and contextual insights are systematically synthesised, providing a robust foundation for evaluating the impact of BCG vaccination campaigns.</w:t>
            </w:r>
          </w:p>
          <w:p w:rsidRPr="00A42F82" w:rsidR="00F96C3F" w:rsidP="46390F1C" w:rsidRDefault="00F96C3F" w14:paraId="24168448" w14:textId="5939D580">
            <w:pPr>
              <w:pStyle w:val="Heading1"/>
              <w:keepNext w:val="1"/>
              <w:tabs>
                <w:tab w:val="left" w:leader="none" w:pos="5103"/>
              </w:tabs>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46390F1C" w:rsidR="20DDBDBB">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Ethical Consideration </w:t>
            </w:r>
          </w:p>
          <w:p w:rsidRPr="00A42F82" w:rsidR="00F96C3F" w:rsidP="46390F1C" w:rsidRDefault="00F96C3F" w14:paraId="0AEF3454" w14:textId="6324B412">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This study will rely exclusively on secondary data drawn from published literature, official datasets, and organisational reports, which minimises direct ethical risks. However, adherence to ethical standards remains crucial (Taljaard et al, 2017). Only credible, properly cited sources will be used, ensuring intellectual honesty and avoidance of plagiarism (Fleming and Zegwaard, 2018). All data will be analysed and reported with integrity, without manipulation to support preconceived outcomes (Taljaard et al, 2017). Since the research does not involve direct human participation, informed consent and privacy protection are not applicable; however, studies included in the review will be screened to ensure they were conducted ethically and in compliance with relevant guidelines (Taljaard et al, 2017). Care will also be taken to present findings objectively, particularly when discussing marginalised or vulnerable populations, to avoid reinforcing stereotypes or stigma associated with TB (Fleming and Zegwaard, 2018). The research will uphold principles of beneficence by aiming to contribute evidence that can strengthen public health interventions and support equitable healthcare delivery in high-risk urban communities.</w:t>
            </w:r>
          </w:p>
          <w:p w:rsidRPr="00A42F82" w:rsidR="00F96C3F" w:rsidP="46390F1C" w:rsidRDefault="00F96C3F" w14:paraId="29D0E99F" w14:textId="128ECC9F">
            <w:pPr>
              <w:pStyle w:val="Heading1"/>
              <w:keepNext w:val="1"/>
              <w:tabs>
                <w:tab w:val="left" w:leader="none" w:pos="5103"/>
              </w:tabs>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46390F1C" w:rsidR="20DDBDBB">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Data Analysis </w:t>
            </w:r>
          </w:p>
          <w:p w:rsidRPr="00A42F82" w:rsidR="00F96C3F" w:rsidP="46390F1C" w:rsidRDefault="00F96C3F" w14:paraId="72090FCE" w14:textId="1B1A5492">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Thematic analysis will be employed to systematically identify, organise, and interpret patterns within qualitative data collected from the selected studies (Ahn and Kang, 2018). This method is particularly suitable for the current research as it allows for a deeper exploration of contextual issues influencing BCG vaccination campaigns in Delhi’s high-risk districts. The process will begin with familiarisation, where the researcher will carefully review the qualitative data, including findings on community perceptions, vaccine hesitancy, logistical challenges, and socio-economic barriers (Belotto, 2018). Following this, initial codes will be generated to capture significant features of the data, such as “limited healthcare access,” “migrant mobility,” or “stigma associated with TB.” These codes will then be collated into potential themes that reflect recurring issues across multiple studies (Mikalef et al, 2018).</w:t>
            </w:r>
          </w:p>
          <w:p w:rsidRPr="00A42F82" w:rsidR="00F96C3F" w:rsidP="46390F1C" w:rsidRDefault="00F96C3F" w14:paraId="6D55F798" w14:textId="7E0979C6">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6390F1C" w:rsidR="20DDBDBB">
              <w:rPr>
                <w:rFonts w:ascii="Arial" w:hAnsi="Arial" w:eastAsia="Arial" w:cs="Arial"/>
                <w:b w:val="0"/>
                <w:bCs w:val="0"/>
                <w:i w:val="0"/>
                <w:iCs w:val="0"/>
                <w:caps w:val="0"/>
                <w:smallCaps w:val="0"/>
                <w:noProof w:val="0"/>
                <w:color w:val="000000" w:themeColor="text1" w:themeTint="FF" w:themeShade="FF"/>
                <w:sz w:val="20"/>
                <w:szCs w:val="20"/>
                <w:lang w:val="en-GB"/>
              </w:rPr>
              <w:t>In the next stage, themes will be refined, reviewed, and clearly defined to ensure they accurately represent the underlying data (Ahn and Kang, 2018). For instance, broad themes such as healthcare delivery barriers, social determinants of vaccine access, and community-level perceptions of vaccination may emerge. Each theme will be analysed for its impact on BCG campaign effectiveness and its contribution to TB persistence in high-risk populations. By synthesising these themes, the analysis will provide nuanced insights into why BCG campaigns succeed or fall short in specific contexts (Ahn and Kang, 2018). Importantly, thematic analysis not only highlights the barriers but also identifies enabling factors such as trust-building strategies, effective communication, or community outreach models that improve coverage (Mikalef et al, 2018). This interpretive approach ensures that the review captures both the challenges and opportunities in strengthening TB prevention through vaccination campaigns, offering a well-rounded understanding of implementation in vulnerable urban settings (Ahn and Kang, 2018).</w:t>
            </w:r>
          </w:p>
          <w:p w:rsidRPr="00A42F82" w:rsidR="00F96C3F" w:rsidP="46390F1C" w:rsidRDefault="00F96C3F" w14:paraId="0687532F" w14:textId="31CC7CD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46390F1C"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46390F1C"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00B23BFF" w14:paraId="54A224EA" w14:textId="50A0C899">
            <w:pPr>
              <w:rPr>
                <w:rFonts w:ascii="Arial" w:hAnsi="Arial" w:cs="Arial"/>
                <w:sz w:val="22"/>
                <w:szCs w:val="22"/>
              </w:rPr>
            </w:pP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46390F1C"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46390F1C"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Pr="00A42F82" w:rsidR="004942B0" w:rsidP="00A91894" w:rsidRDefault="004942B0" w14:paraId="3D1F4C7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8800C5"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46390F1C"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46390F1C"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72F10D1" w14:textId="63E21C69">
                <w:pPr>
                  <w:autoSpaceDE w:val="0"/>
                  <w:autoSpaceDN w:val="0"/>
                  <w:adjustRightInd w:val="0"/>
                  <w:jc w:val="center"/>
                  <w:rPr>
                    <w:rFonts w:ascii="Arial" w:hAnsi="Arial" w:cs="Arial"/>
                    <w:sz w:val="22"/>
                    <w:szCs w:val="22"/>
                  </w:rPr>
                </w:pPr>
                <w:r w:rsidRPr="46390F1C" w:rsidR="336E2CF2">
                  <w:rPr>
                    <w:rFonts w:ascii="MS Gothic" w:hAnsi="MS Gothic" w:eastAsia="MS Gothic" w:cs="MS Gothic"/>
                    <w:sz w:val="22"/>
                    <w:szCs w:val="22"/>
                  </w:rPr>
                  <w:t>☒</w:t>
                </w:r>
              </w:p>
            </w:sdtContent>
          </w:sdt>
        </w:tc>
      </w:tr>
      <w:tr w:rsidRPr="00A42F82" w:rsidR="00D107AC" w:rsidTr="46390F1C"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E078D55" w14:textId="66CDCFDB">
                <w:pPr>
                  <w:autoSpaceDE w:val="0"/>
                  <w:autoSpaceDN w:val="0"/>
                  <w:adjustRightInd w:val="0"/>
                  <w:jc w:val="center"/>
                  <w:rPr>
                    <w:rFonts w:ascii="Arial" w:hAnsi="Arial" w:cs="Arial"/>
                    <w:sz w:val="22"/>
                    <w:szCs w:val="22"/>
                  </w:rPr>
                </w:pPr>
                <w:r w:rsidRPr="46390F1C" w:rsidR="73A87E09">
                  <w:rPr>
                    <w:rFonts w:ascii="MS Gothic" w:hAnsi="MS Gothic" w:eastAsia="MS Gothic" w:cs="MS Gothic"/>
                    <w:sz w:val="22"/>
                    <w:szCs w:val="22"/>
                  </w:rPr>
                  <w:t>☒</w:t>
                </w:r>
              </w:p>
            </w:sdtContent>
          </w:sdt>
        </w:tc>
      </w:tr>
      <w:tr w:rsidRPr="00A42F82" w:rsidR="00D107AC" w:rsidTr="46390F1C"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A88C1CE" w14:textId="3B2DAFB2">
                <w:pPr>
                  <w:autoSpaceDE w:val="0"/>
                  <w:autoSpaceDN w:val="0"/>
                  <w:adjustRightInd w:val="0"/>
                  <w:jc w:val="center"/>
                  <w:rPr>
                    <w:rFonts w:ascii="Arial" w:hAnsi="Arial" w:cs="Arial"/>
                    <w:sz w:val="22"/>
                    <w:szCs w:val="22"/>
                  </w:rPr>
                </w:pPr>
                <w:r w:rsidRPr="46390F1C" w:rsidR="509D452C">
                  <w:rPr>
                    <w:rFonts w:ascii="MS Gothic" w:hAnsi="MS Gothic" w:eastAsia="MS Gothic" w:cs="MS Gothic"/>
                    <w:sz w:val="22"/>
                    <w:szCs w:val="22"/>
                  </w:rPr>
                  <w:t>☒</w:t>
                </w:r>
              </w:p>
            </w:sdtContent>
          </w:sdt>
        </w:tc>
      </w:tr>
      <w:tr w:rsidRPr="00A42F82" w:rsidR="00D107AC" w:rsidTr="46390F1C"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7C41E249" w14:textId="2436F797">
                <w:pPr>
                  <w:autoSpaceDE w:val="0"/>
                  <w:autoSpaceDN w:val="0"/>
                  <w:adjustRightInd w:val="0"/>
                  <w:jc w:val="center"/>
                  <w:rPr>
                    <w:rFonts w:ascii="Arial" w:hAnsi="Arial" w:cs="Arial"/>
                    <w:sz w:val="22"/>
                    <w:szCs w:val="22"/>
                  </w:rPr>
                </w:pPr>
                <w:r w:rsidRPr="46390F1C" w:rsidR="2943EC79">
                  <w:rPr>
                    <w:rFonts w:ascii="MS Gothic" w:hAnsi="MS Gothic" w:eastAsia="MS Gothic" w:cs="MS Gothic"/>
                    <w:sz w:val="22"/>
                    <w:szCs w:val="22"/>
                  </w:rPr>
                  <w:t>☒</w:t>
                </w:r>
              </w:p>
            </w:sdtContent>
          </w:sdt>
        </w:tc>
      </w:tr>
      <w:tr w:rsidRPr="00A42F82" w:rsidR="00D107AC" w:rsidTr="46390F1C"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642199A" w14:textId="271B3F05">
                <w:pPr>
                  <w:autoSpaceDE w:val="0"/>
                  <w:autoSpaceDN w:val="0"/>
                  <w:adjustRightInd w:val="0"/>
                  <w:jc w:val="center"/>
                  <w:rPr>
                    <w:rFonts w:ascii="Arial" w:hAnsi="Arial" w:cs="Arial"/>
                    <w:sz w:val="22"/>
                    <w:szCs w:val="22"/>
                  </w:rPr>
                </w:pPr>
                <w:r w:rsidRPr="46390F1C" w:rsidR="720CB552">
                  <w:rPr>
                    <w:rFonts w:ascii="MS Gothic" w:hAnsi="MS Gothic" w:eastAsia="MS Gothic" w:cs="MS Gothic"/>
                    <w:sz w:val="22"/>
                    <w:szCs w:val="22"/>
                  </w:rPr>
                  <w:t>☒</w:t>
                </w:r>
              </w:p>
            </w:sdtContent>
          </w:sdt>
        </w:tc>
      </w:tr>
      <w:tr w:rsidRPr="00A42F82" w:rsidR="00D107AC" w:rsidTr="46390F1C"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2AA2607" w14:textId="77F55D6A">
                <w:pPr>
                  <w:autoSpaceDE w:val="0"/>
                  <w:autoSpaceDN w:val="0"/>
                  <w:adjustRightInd w:val="0"/>
                  <w:jc w:val="center"/>
                  <w:rPr>
                    <w:rFonts w:ascii="Arial" w:hAnsi="Arial" w:cs="Arial"/>
                    <w:sz w:val="22"/>
                    <w:szCs w:val="22"/>
                  </w:rPr>
                </w:pPr>
                <w:r w:rsidRPr="46390F1C" w:rsidR="727D3FFA">
                  <w:rPr>
                    <w:rFonts w:ascii="MS Gothic" w:hAnsi="MS Gothic" w:eastAsia="MS Gothic" w:cs="MS Gothic"/>
                    <w:sz w:val="22"/>
                    <w:szCs w:val="22"/>
                  </w:rPr>
                  <w:t>☒</w:t>
                </w:r>
              </w:p>
            </w:sdtContent>
          </w:sdt>
        </w:tc>
      </w:tr>
      <w:tr w:rsidRPr="00A42F82" w:rsidR="00D107AC" w:rsidTr="46390F1C"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24BD0D6" w14:textId="7874FB67">
                <w:pPr>
                  <w:autoSpaceDE w:val="0"/>
                  <w:autoSpaceDN w:val="0"/>
                  <w:adjustRightInd w:val="0"/>
                  <w:jc w:val="center"/>
                  <w:rPr>
                    <w:rFonts w:ascii="Arial" w:hAnsi="Arial" w:cs="Arial"/>
                    <w:sz w:val="22"/>
                    <w:szCs w:val="22"/>
                  </w:rPr>
                </w:pPr>
                <w:r w:rsidRPr="46390F1C" w:rsidR="1118CADF">
                  <w:rPr>
                    <w:rFonts w:ascii="MS Gothic" w:hAnsi="MS Gothic" w:eastAsia="MS Gothic" w:cs="MS Gothic"/>
                    <w:sz w:val="22"/>
                    <w:szCs w:val="22"/>
                  </w:rPr>
                  <w:t>☒</w:t>
                </w:r>
              </w:p>
            </w:sdtContent>
          </w:sdt>
        </w:tc>
      </w:tr>
      <w:tr w:rsidRPr="00A42F82" w:rsidR="00D107AC" w:rsidTr="46390F1C"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46390F1C"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46390F1C"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46390F1C"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019F1677" w14:textId="001F97D1">
                <w:pPr>
                  <w:autoSpaceDE w:val="0"/>
                  <w:autoSpaceDN w:val="0"/>
                  <w:adjustRightInd w:val="0"/>
                  <w:jc w:val="center"/>
                  <w:rPr>
                    <w:rFonts w:ascii="Arial" w:hAnsi="Arial" w:cs="Arial"/>
                    <w:sz w:val="22"/>
                    <w:szCs w:val="22"/>
                  </w:rPr>
                </w:pPr>
                <w:r w:rsidRPr="46390F1C" w:rsidR="2580B6FE">
                  <w:rPr>
                    <w:rFonts w:ascii="MS Gothic" w:hAnsi="MS Gothic" w:eastAsia="MS Gothic" w:cs="MS Gothic"/>
                    <w:sz w:val="22"/>
                    <w:szCs w:val="22"/>
                  </w:rPr>
                  <w:t>☒</w:t>
                </w:r>
              </w:p>
            </w:sdtContent>
          </w:sdt>
        </w:tc>
      </w:tr>
      <w:tr w:rsidRPr="00A42F82" w:rsidR="00C11423" w:rsidTr="46390F1C"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17EFC390" w14:textId="6ABA5E56">
                <w:pPr>
                  <w:autoSpaceDE w:val="0"/>
                  <w:autoSpaceDN w:val="0"/>
                  <w:adjustRightInd w:val="0"/>
                  <w:jc w:val="center"/>
                  <w:rPr>
                    <w:rFonts w:ascii="Arial" w:hAnsi="Arial" w:cs="Arial"/>
                    <w:sz w:val="22"/>
                    <w:szCs w:val="22"/>
                  </w:rPr>
                </w:pPr>
                <w:r w:rsidRPr="46390F1C" w:rsidR="62347ACB">
                  <w:rPr>
                    <w:rFonts w:ascii="MS Gothic" w:hAnsi="MS Gothic" w:eastAsia="MS Gothic" w:cs="MS Gothic"/>
                    <w:sz w:val="22"/>
                    <w:szCs w:val="22"/>
                  </w:rPr>
                  <w:t>☒</w:t>
                </w:r>
              </w:p>
            </w:sdtContent>
          </w:sdt>
        </w:tc>
      </w:tr>
      <w:tr w:rsidRPr="00A42F82" w:rsidR="00770C66" w:rsidTr="46390F1C"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F5A7AA5" w14:textId="4C424553">
                <w:pPr>
                  <w:autoSpaceDE w:val="0"/>
                  <w:autoSpaceDN w:val="0"/>
                  <w:adjustRightInd w:val="0"/>
                  <w:jc w:val="center"/>
                  <w:rPr>
                    <w:rFonts w:ascii="Arial" w:hAnsi="Arial" w:cs="Arial"/>
                    <w:sz w:val="22"/>
                    <w:szCs w:val="22"/>
                  </w:rPr>
                </w:pPr>
                <w:r w:rsidRPr="46390F1C" w:rsidR="24A872A8">
                  <w:rPr>
                    <w:rFonts w:ascii="MS Gothic" w:hAnsi="MS Gothic" w:eastAsia="MS Gothic" w:cs="MS Gothic"/>
                    <w:sz w:val="22"/>
                    <w:szCs w:val="22"/>
                  </w:rPr>
                  <w:t>☒</w:t>
                </w:r>
              </w:p>
            </w:sdtContent>
          </w:sdt>
        </w:tc>
      </w:tr>
      <w:tr w:rsidRPr="00A42F82" w:rsidR="00770C66" w:rsidTr="46390F1C"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B2232C" w14:textId="6DA20397">
                <w:pPr>
                  <w:autoSpaceDE w:val="0"/>
                  <w:autoSpaceDN w:val="0"/>
                  <w:adjustRightInd w:val="0"/>
                  <w:jc w:val="center"/>
                  <w:rPr>
                    <w:rFonts w:ascii="Arial" w:hAnsi="Arial" w:cs="Arial"/>
                    <w:sz w:val="22"/>
                    <w:szCs w:val="22"/>
                  </w:rPr>
                </w:pPr>
                <w:r w:rsidRPr="46390F1C" w:rsidR="00A63E8C">
                  <w:rPr>
                    <w:rFonts w:ascii="MS Gothic" w:hAnsi="MS Gothic" w:eastAsia="MS Gothic" w:cs="MS Gothic"/>
                    <w:sz w:val="22"/>
                    <w:szCs w:val="22"/>
                  </w:rPr>
                  <w:t>☒</w:t>
                </w:r>
              </w:p>
            </w:sdtContent>
          </w:sdt>
        </w:tc>
      </w:tr>
      <w:tr w:rsidRPr="00A42F82" w:rsidR="00D107AC" w:rsidTr="46390F1C"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C1223D4" w14:textId="22464A00">
                <w:pPr>
                  <w:autoSpaceDE w:val="0"/>
                  <w:autoSpaceDN w:val="0"/>
                  <w:adjustRightInd w:val="0"/>
                  <w:jc w:val="center"/>
                  <w:rPr>
                    <w:rFonts w:ascii="Arial" w:hAnsi="Arial" w:cs="Arial"/>
                    <w:sz w:val="22"/>
                    <w:szCs w:val="22"/>
                  </w:rPr>
                </w:pPr>
                <w:r w:rsidRPr="46390F1C" w:rsidR="6109FBBB">
                  <w:rPr>
                    <w:rFonts w:ascii="MS Gothic" w:hAnsi="MS Gothic" w:eastAsia="MS Gothic" w:cs="MS Gothic"/>
                    <w:sz w:val="22"/>
                    <w:szCs w:val="22"/>
                  </w:rPr>
                  <w:t>☒</w:t>
                </w:r>
              </w:p>
            </w:sdtContent>
          </w:sdt>
        </w:tc>
      </w:tr>
      <w:tr w:rsidRPr="00A42F82" w:rsidR="00770C66" w:rsidTr="46390F1C"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502E58D" w14:textId="3A4EDA31">
                <w:pPr>
                  <w:autoSpaceDE w:val="0"/>
                  <w:autoSpaceDN w:val="0"/>
                  <w:adjustRightInd w:val="0"/>
                  <w:jc w:val="center"/>
                  <w:rPr>
                    <w:rFonts w:ascii="Arial" w:hAnsi="Arial" w:cs="Arial"/>
                    <w:sz w:val="22"/>
                    <w:szCs w:val="22"/>
                  </w:rPr>
                </w:pPr>
                <w:r w:rsidRPr="46390F1C" w:rsidR="5998803C">
                  <w:rPr>
                    <w:rFonts w:ascii="MS Gothic" w:hAnsi="MS Gothic" w:eastAsia="MS Gothic" w:cs="MS Gothic"/>
                    <w:sz w:val="22"/>
                    <w:szCs w:val="22"/>
                  </w:rPr>
                  <w:t>☒</w:t>
                </w:r>
              </w:p>
            </w:sdtContent>
          </w:sdt>
        </w:tc>
      </w:tr>
      <w:tr w:rsidRPr="00A42F82" w:rsidR="00770C66" w:rsidTr="46390F1C"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0189FD6" w14:textId="17BBE809">
                <w:pPr>
                  <w:autoSpaceDE w:val="0"/>
                  <w:autoSpaceDN w:val="0"/>
                  <w:adjustRightInd w:val="0"/>
                  <w:jc w:val="center"/>
                  <w:rPr>
                    <w:rFonts w:ascii="Arial" w:hAnsi="Arial" w:cs="Arial"/>
                    <w:sz w:val="22"/>
                    <w:szCs w:val="22"/>
                  </w:rPr>
                </w:pPr>
                <w:r w:rsidRPr="46390F1C" w:rsidR="77A3D115">
                  <w:rPr>
                    <w:rFonts w:ascii="MS Gothic" w:hAnsi="MS Gothic" w:eastAsia="MS Gothic" w:cs="MS Gothic"/>
                    <w:sz w:val="22"/>
                    <w:szCs w:val="22"/>
                  </w:rPr>
                  <w:t>☒</w:t>
                </w:r>
              </w:p>
            </w:sdtContent>
          </w:sdt>
        </w:tc>
      </w:tr>
      <w:tr w:rsidRPr="00A42F82" w:rsidR="00770C66" w:rsidTr="46390F1C"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5511E63" w14:textId="0BF3E9C7">
                <w:pPr>
                  <w:autoSpaceDE w:val="0"/>
                  <w:autoSpaceDN w:val="0"/>
                  <w:adjustRightInd w:val="0"/>
                  <w:jc w:val="center"/>
                  <w:rPr>
                    <w:rFonts w:ascii="Arial" w:hAnsi="Arial" w:cs="Arial"/>
                    <w:sz w:val="22"/>
                    <w:szCs w:val="22"/>
                  </w:rPr>
                </w:pPr>
                <w:r w:rsidRPr="46390F1C" w:rsidR="53991C32">
                  <w:rPr>
                    <w:rFonts w:ascii="MS Gothic" w:hAnsi="MS Gothic" w:eastAsia="MS Gothic" w:cs="MS Gothic"/>
                    <w:sz w:val="22"/>
                    <w:szCs w:val="22"/>
                  </w:rPr>
                  <w:t>☒</w:t>
                </w:r>
              </w:p>
            </w:sdtContent>
          </w:sdt>
        </w:tc>
      </w:tr>
      <w:tr w:rsidRPr="00A42F82" w:rsidR="00770C66" w:rsidTr="46390F1C"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4CD0F9B" w14:textId="60B81ACE">
                <w:pPr>
                  <w:autoSpaceDE w:val="0"/>
                  <w:autoSpaceDN w:val="0"/>
                  <w:adjustRightInd w:val="0"/>
                  <w:jc w:val="center"/>
                  <w:rPr>
                    <w:rFonts w:ascii="Arial" w:hAnsi="Arial" w:cs="Arial"/>
                    <w:sz w:val="22"/>
                    <w:szCs w:val="22"/>
                  </w:rPr>
                </w:pPr>
                <w:r w:rsidRPr="46390F1C" w:rsidR="1E4B5E44">
                  <w:rPr>
                    <w:rFonts w:ascii="MS Gothic" w:hAnsi="MS Gothic" w:eastAsia="MS Gothic" w:cs="MS Gothic"/>
                    <w:sz w:val="22"/>
                    <w:szCs w:val="22"/>
                  </w:rPr>
                  <w:t>☒</w:t>
                </w:r>
              </w:p>
            </w:sdtContent>
          </w:sdt>
        </w:tc>
      </w:tr>
      <w:tr w:rsidRPr="00A42F82" w:rsidR="00770C66" w:rsidTr="46390F1C"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D03216" w14:textId="608C2FFD">
                <w:pPr>
                  <w:autoSpaceDE w:val="0"/>
                  <w:autoSpaceDN w:val="0"/>
                  <w:adjustRightInd w:val="0"/>
                  <w:jc w:val="center"/>
                  <w:rPr>
                    <w:rFonts w:ascii="Arial" w:hAnsi="Arial" w:cs="Arial"/>
                    <w:sz w:val="22"/>
                    <w:szCs w:val="22"/>
                  </w:rPr>
                </w:pPr>
                <w:r w:rsidRPr="46390F1C" w:rsidR="59304361">
                  <w:rPr>
                    <w:rFonts w:ascii="MS Gothic" w:hAnsi="MS Gothic" w:eastAsia="MS Gothic" w:cs="MS Gothic"/>
                    <w:sz w:val="22"/>
                    <w:szCs w:val="22"/>
                  </w:rPr>
                  <w:t>☒</w:t>
                </w:r>
              </w:p>
            </w:sdtContent>
          </w:sdt>
        </w:tc>
      </w:tr>
      <w:tr w:rsidRPr="00A42F82" w:rsidR="00770C66" w:rsidTr="46390F1C"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967A1D1" w14:textId="7FFC0C79">
                <w:pPr>
                  <w:autoSpaceDE w:val="0"/>
                  <w:autoSpaceDN w:val="0"/>
                  <w:adjustRightInd w:val="0"/>
                  <w:jc w:val="center"/>
                  <w:rPr>
                    <w:rFonts w:ascii="Arial" w:hAnsi="Arial" w:cs="Arial"/>
                    <w:sz w:val="22"/>
                    <w:szCs w:val="22"/>
                  </w:rPr>
                </w:pPr>
                <w:r w:rsidRPr="46390F1C" w:rsidR="711D0EF0">
                  <w:rPr>
                    <w:rFonts w:ascii="MS Gothic" w:hAnsi="MS Gothic" w:eastAsia="MS Gothic" w:cs="MS Gothic"/>
                    <w:sz w:val="22"/>
                    <w:szCs w:val="22"/>
                  </w:rPr>
                  <w:t>☒</w:t>
                </w:r>
              </w:p>
            </w:sdtContent>
          </w:sdt>
        </w:tc>
      </w:tr>
      <w:tr w:rsidRPr="00A42F82" w:rsidR="00770C66" w:rsidTr="46390F1C"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5275BC0" w14:textId="2EE8D1E9">
                <w:pPr>
                  <w:autoSpaceDE w:val="0"/>
                  <w:autoSpaceDN w:val="0"/>
                  <w:adjustRightInd w:val="0"/>
                  <w:jc w:val="center"/>
                  <w:rPr>
                    <w:rFonts w:ascii="Arial" w:hAnsi="Arial" w:cs="Arial"/>
                    <w:sz w:val="22"/>
                    <w:szCs w:val="22"/>
                  </w:rPr>
                </w:pPr>
                <w:r w:rsidRPr="46390F1C" w:rsidR="616013F1">
                  <w:rPr>
                    <w:rFonts w:ascii="MS Gothic" w:hAnsi="MS Gothic" w:eastAsia="MS Gothic" w:cs="MS Gothic"/>
                    <w:sz w:val="22"/>
                    <w:szCs w:val="22"/>
                  </w:rPr>
                  <w:t>☒</w:t>
                </w:r>
              </w:p>
            </w:sdtContent>
          </w:sdt>
        </w:tc>
      </w:tr>
      <w:tr w:rsidRPr="00A42F82" w:rsidR="00770C66" w:rsidTr="46390F1C"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BF145D" w14:textId="07AB61C1">
                <w:pPr>
                  <w:autoSpaceDE w:val="0"/>
                  <w:autoSpaceDN w:val="0"/>
                  <w:adjustRightInd w:val="0"/>
                  <w:jc w:val="center"/>
                  <w:rPr>
                    <w:rFonts w:ascii="Arial" w:hAnsi="Arial" w:cs="Arial"/>
                    <w:sz w:val="22"/>
                    <w:szCs w:val="22"/>
                  </w:rPr>
                </w:pPr>
                <w:r w:rsidRPr="46390F1C" w:rsidR="07DC70E0">
                  <w:rPr>
                    <w:rFonts w:ascii="MS Gothic" w:hAnsi="MS Gothic" w:eastAsia="MS Gothic" w:cs="MS Gothic"/>
                    <w:sz w:val="22"/>
                    <w:szCs w:val="22"/>
                  </w:rPr>
                  <w:t>☒</w:t>
                </w:r>
              </w:p>
            </w:sdtContent>
          </w:sdt>
        </w:tc>
      </w:tr>
      <w:tr w:rsidRPr="00A42F82" w:rsidR="00770C66" w:rsidTr="46390F1C"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2AD5A02B" w14:textId="7FA778A4">
                <w:pPr>
                  <w:autoSpaceDE w:val="0"/>
                  <w:autoSpaceDN w:val="0"/>
                  <w:adjustRightInd w:val="0"/>
                  <w:jc w:val="center"/>
                  <w:rPr>
                    <w:rFonts w:ascii="Arial" w:hAnsi="Arial" w:cs="Arial"/>
                    <w:sz w:val="22"/>
                    <w:szCs w:val="22"/>
                  </w:rPr>
                </w:pPr>
                <w:r w:rsidRPr="46390F1C" w:rsidR="541B9542">
                  <w:rPr>
                    <w:rFonts w:ascii="MS Gothic" w:hAnsi="MS Gothic" w:eastAsia="MS Gothic" w:cs="MS Gothic"/>
                    <w:sz w:val="22"/>
                    <w:szCs w:val="22"/>
                  </w:rPr>
                  <w:t>☒</w:t>
                </w:r>
              </w:p>
            </w:sdtContent>
          </w:sdt>
        </w:tc>
      </w:tr>
      <w:tr w:rsidRPr="00A42F82" w:rsidR="00770C66" w:rsidTr="46390F1C"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32BF3A" w14:textId="2682EF9A">
                <w:pPr>
                  <w:autoSpaceDE w:val="0"/>
                  <w:autoSpaceDN w:val="0"/>
                  <w:adjustRightInd w:val="0"/>
                  <w:jc w:val="center"/>
                  <w:rPr>
                    <w:rFonts w:ascii="Arial" w:hAnsi="Arial" w:cs="Arial"/>
                    <w:sz w:val="22"/>
                    <w:szCs w:val="22"/>
                  </w:rPr>
                </w:pPr>
                <w:r w:rsidRPr="46390F1C" w:rsidR="39D2D61A">
                  <w:rPr>
                    <w:rFonts w:ascii="MS Gothic" w:hAnsi="MS Gothic" w:eastAsia="MS Gothic" w:cs="MS Gothic"/>
                    <w:sz w:val="22"/>
                    <w:szCs w:val="22"/>
                  </w:rPr>
                  <w:t>☒</w:t>
                </w:r>
              </w:p>
            </w:sdtContent>
          </w:sdt>
        </w:tc>
      </w:tr>
      <w:tr w:rsidRPr="00A42F82" w:rsidR="00770C66" w:rsidTr="46390F1C"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CA1A6AE" w14:textId="7DEA79B1">
                <w:pPr>
                  <w:autoSpaceDE w:val="0"/>
                  <w:autoSpaceDN w:val="0"/>
                  <w:adjustRightInd w:val="0"/>
                  <w:jc w:val="center"/>
                  <w:rPr>
                    <w:rFonts w:ascii="Arial" w:hAnsi="Arial" w:cs="Arial"/>
                    <w:sz w:val="22"/>
                    <w:szCs w:val="22"/>
                  </w:rPr>
                </w:pPr>
                <w:r w:rsidRPr="46390F1C" w:rsidR="39D2D61A">
                  <w:rPr>
                    <w:rFonts w:ascii="MS Gothic" w:hAnsi="MS Gothic" w:eastAsia="MS Gothic" w:cs="MS Gothic"/>
                    <w:sz w:val="22"/>
                    <w:szCs w:val="22"/>
                  </w:rPr>
                  <w:t>☒</w:t>
                </w:r>
              </w:p>
            </w:sdtContent>
          </w:sdt>
        </w:tc>
      </w:tr>
      <w:tr w:rsidRPr="00A42F82" w:rsidR="00770C66" w:rsidTr="46390F1C"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04C74C" w14:textId="345AD797">
                <w:pPr>
                  <w:autoSpaceDE w:val="0"/>
                  <w:autoSpaceDN w:val="0"/>
                  <w:adjustRightInd w:val="0"/>
                  <w:jc w:val="center"/>
                  <w:rPr>
                    <w:rFonts w:ascii="Arial" w:hAnsi="Arial" w:cs="Arial"/>
                    <w:sz w:val="22"/>
                    <w:szCs w:val="22"/>
                  </w:rPr>
                </w:pPr>
                <w:r w:rsidRPr="46390F1C" w:rsidR="4F92C343">
                  <w:rPr>
                    <w:rFonts w:ascii="MS Gothic" w:hAnsi="MS Gothic" w:eastAsia="MS Gothic" w:cs="MS Gothic"/>
                    <w:sz w:val="22"/>
                    <w:szCs w:val="22"/>
                  </w:rPr>
                  <w:t>☒</w:t>
                </w:r>
              </w:p>
            </w:sdtContent>
          </w:sdt>
        </w:tc>
      </w:tr>
      <w:tr w:rsidRPr="00A42F82" w:rsidR="00770C66" w:rsidTr="46390F1C"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A42F82" w:rsidR="00ED0C59" w:rsidP="00A91894" w:rsidRDefault="00ED0C59" w14:paraId="2D4ED4D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rsidRPr="00A42F82" w:rsidR="00ED0C59" w:rsidP="00A91894" w:rsidRDefault="00ED0C59" w14:paraId="47D258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rsidRPr="00A42F82" w:rsidR="00ED0C59" w:rsidP="00A91894" w:rsidRDefault="00ED0C59" w14:paraId="1E70038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rsidRPr="00A42F82" w:rsidR="00ED0C59" w:rsidP="00A91894" w:rsidRDefault="00ED0C59" w14:paraId="5129322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rsidRPr="00A42F82" w:rsidR="00ED0C59" w:rsidP="00A91894" w:rsidRDefault="00ED0C59" w14:paraId="1373FD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rsidRPr="00A42F82" w:rsidR="00ED0C59" w:rsidP="00A91894" w:rsidRDefault="00ED0C59" w14:paraId="02F67A0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46390F1C"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46390F1C"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8800C5"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46390F1C"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8800C5" w14:paraId="2E574583" w14:textId="21AE0E47">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46390F1C" w:rsidR="4082F972">
                  <w:rPr>
                    <w:rFonts w:ascii="MS Gothic" w:hAnsi="MS Gothic" w:eastAsia="MS Gothic" w:cs="MS Gothic"/>
                    <w:b w:val="0"/>
                    <w:bCs w:val="0"/>
                  </w:rPr>
                  <w:t>☒</w:t>
                </w:r>
              </w:sdtContent>
              <w:sdtEndPr>
                <w:rPr>
                  <w:rFonts w:ascii="Arial" w:hAnsi="Arial" w:cs="Arial"/>
                  <w:b w:val="0"/>
                  <w:bCs w:val="0"/>
                </w:rPr>
              </w:sdtEndPr>
            </w:sdt>
          </w:p>
        </w:tc>
      </w:tr>
      <w:tr w:rsidRPr="00A42F82" w:rsidR="00D51EF7" w:rsidTr="46390F1C"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46390F1C"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77777777">
            <w:pPr>
              <w:rPr>
                <w:rFonts w:ascii="Arial" w:hAnsi="Arial" w:cs="Arial"/>
                <w:sz w:val="22"/>
                <w:szCs w:val="22"/>
              </w:rPr>
            </w:pPr>
          </w:p>
          <w:p w:rsidRPr="00A42F82" w:rsidR="00003E64" w:rsidP="00A91894" w:rsidRDefault="00003E64" w14:paraId="77BB44A6" w14:textId="564B8431">
            <w:pPr>
              <w:rPr>
                <w:rFonts w:ascii="Arial" w:hAnsi="Arial" w:cs="Arial"/>
                <w:sz w:val="22"/>
                <w:szCs w:val="22"/>
              </w:rPr>
            </w:pPr>
            <w:r w:rsidRPr="46390F1C" w:rsidR="64B42C74">
              <w:rPr>
                <w:rFonts w:ascii="Arial" w:hAnsi="Arial" w:cs="Arial"/>
                <w:sz w:val="22"/>
                <w:szCs w:val="22"/>
              </w:rPr>
              <w:t>N/A</w:t>
            </w:r>
          </w:p>
          <w:p w:rsidR="46390F1C" w:rsidP="46390F1C" w:rsidRDefault="46390F1C" w14:paraId="0C6ACE48" w14:textId="55AD569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46390F1C"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46390F1C"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65EE41D6">
            <w:pPr>
              <w:rPr>
                <w:rFonts w:ascii="Arial" w:hAnsi="Arial" w:cs="Arial"/>
                <w:sz w:val="22"/>
                <w:szCs w:val="22"/>
              </w:rPr>
            </w:pPr>
            <w:r w:rsidRPr="46390F1C" w:rsidR="1F70DCAC">
              <w:rPr>
                <w:rFonts w:ascii="Arial" w:hAnsi="Arial" w:cs="Arial"/>
                <w:sz w:val="22"/>
                <w:szCs w:val="22"/>
              </w:rPr>
              <w:t>N/A</w:t>
            </w: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46390F1C"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46390F1C"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655F1566">
            <w:pPr>
              <w:rPr>
                <w:rFonts w:ascii="Arial" w:hAnsi="Arial" w:cs="Arial"/>
                <w:sz w:val="22"/>
                <w:szCs w:val="22"/>
              </w:rPr>
            </w:pPr>
            <w:r w:rsidRPr="46390F1C" w:rsidR="1A61EA57">
              <w:rPr>
                <w:rFonts w:ascii="Arial" w:hAnsi="Arial" w:cs="Arial"/>
                <w:sz w:val="22"/>
                <w:szCs w:val="22"/>
              </w:rPr>
              <w:t>A level of emotional distress</w:t>
            </w: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1ADFB505">
            <w:pPr>
              <w:rPr>
                <w:rFonts w:ascii="Arial" w:hAnsi="Arial" w:cs="Arial"/>
                <w:sz w:val="22"/>
                <w:szCs w:val="22"/>
              </w:rPr>
            </w:pPr>
            <w:r w:rsidRPr="46390F1C" w:rsidR="1689E518">
              <w:rPr>
                <w:rFonts w:ascii="Arial" w:hAnsi="Arial" w:cs="Arial"/>
                <w:sz w:val="22"/>
                <w:szCs w:val="22"/>
              </w:rPr>
              <w:t>A regular contact with supervisor,</w:t>
            </w:r>
          </w:p>
          <w:p w:rsidR="1689E518" w:rsidP="46390F1C" w:rsidRDefault="1689E518" w14:paraId="2A339B84" w14:textId="45AA99C1">
            <w:pPr>
              <w:rPr>
                <w:rFonts w:ascii="Arial" w:hAnsi="Arial" w:cs="Arial"/>
                <w:sz w:val="22"/>
                <w:szCs w:val="22"/>
              </w:rPr>
            </w:pPr>
            <w:r w:rsidRPr="46390F1C" w:rsidR="1689E518">
              <w:rPr>
                <w:rFonts w:ascii="Arial" w:hAnsi="Arial" w:cs="Arial"/>
                <w:sz w:val="22"/>
                <w:szCs w:val="22"/>
              </w:rPr>
              <w:t>Time management,</w:t>
            </w:r>
          </w:p>
          <w:p w:rsidR="1689E518" w:rsidP="46390F1C" w:rsidRDefault="1689E518" w14:paraId="7BFBABD2" w14:textId="4BF06209">
            <w:pPr>
              <w:rPr>
                <w:rFonts w:ascii="Arial" w:hAnsi="Arial" w:cs="Arial"/>
                <w:sz w:val="22"/>
                <w:szCs w:val="22"/>
              </w:rPr>
            </w:pPr>
            <w:r w:rsidRPr="46390F1C" w:rsidR="1689E518">
              <w:rPr>
                <w:rFonts w:ascii="Arial" w:hAnsi="Arial" w:cs="Arial"/>
                <w:sz w:val="22"/>
                <w:szCs w:val="22"/>
              </w:rPr>
              <w:t>Look for academic support</w:t>
            </w: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46390F1C"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46390F1C"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158CE710">
            <w:pPr>
              <w:rPr>
                <w:rFonts w:ascii="Arial" w:hAnsi="Arial" w:cs="Arial"/>
                <w:sz w:val="22"/>
                <w:szCs w:val="22"/>
              </w:rPr>
            </w:pPr>
            <w:r w:rsidRPr="46390F1C" w:rsidR="2E2449C3">
              <w:rPr>
                <w:rFonts w:ascii="Arial" w:hAnsi="Arial" w:cs="Arial"/>
                <w:sz w:val="22"/>
                <w:szCs w:val="22"/>
              </w:rPr>
              <w:t>N/A</w:t>
            </w: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5F2570B2">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46390F1C"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46390F1C"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465643EF" w:rsidP="46390F1C" w:rsidRDefault="465643EF" w14:paraId="652B8E51" w14:textId="684BE489">
            <w:pPr>
              <w:rPr>
                <w:rFonts w:ascii="Arial" w:hAnsi="Arial" w:cs="Arial"/>
                <w:sz w:val="22"/>
                <w:szCs w:val="22"/>
              </w:rPr>
            </w:pPr>
            <w:r w:rsidRPr="46390F1C" w:rsidR="465643EF">
              <w:rPr>
                <w:rFonts w:ascii="Arial" w:hAnsi="Arial" w:cs="Arial"/>
                <w:sz w:val="22"/>
                <w:szCs w:val="22"/>
              </w:rPr>
              <w:t>Risk to the environment</w:t>
            </w:r>
            <w:r w:rsidRPr="46390F1C" w:rsidR="68F2A949">
              <w:rPr>
                <w:rFonts w:ascii="Arial" w:hAnsi="Arial" w:cs="Arial"/>
                <w:sz w:val="22"/>
                <w:szCs w:val="22"/>
              </w:rPr>
              <w:t>:</w:t>
            </w:r>
          </w:p>
          <w:p w:rsidRPr="00A42F82" w:rsidR="00003E64" w:rsidP="00A91894" w:rsidRDefault="00003E64" w14:paraId="46E6515B" w14:textId="77777777">
            <w:pPr>
              <w:rPr>
                <w:rFonts w:ascii="Arial" w:hAnsi="Arial" w:cs="Arial"/>
                <w:sz w:val="22"/>
                <w:szCs w:val="22"/>
              </w:rPr>
            </w:pPr>
          </w:p>
          <w:p w:rsidR="27A0BB73" w:rsidP="46390F1C" w:rsidRDefault="27A0BB73" w14:paraId="0BAB4C6F" w14:textId="11784725">
            <w:pPr>
              <w:rPr>
                <w:rFonts w:ascii="Arial" w:hAnsi="Arial" w:cs="Arial"/>
                <w:sz w:val="22"/>
                <w:szCs w:val="22"/>
              </w:rPr>
            </w:pPr>
            <w:r w:rsidRPr="46390F1C" w:rsidR="27A0BB73">
              <w:rPr>
                <w:rFonts w:ascii="Arial" w:hAnsi="Arial" w:cs="Arial"/>
                <w:sz w:val="22"/>
                <w:szCs w:val="22"/>
              </w:rPr>
              <w:t>Overuse</w:t>
            </w:r>
            <w:r w:rsidRPr="46390F1C" w:rsidR="2DAEEDCE">
              <w:rPr>
                <w:rFonts w:ascii="Arial" w:hAnsi="Arial" w:cs="Arial"/>
                <w:sz w:val="22"/>
                <w:szCs w:val="22"/>
              </w:rPr>
              <w:t xml:space="preserve"> of resources (</w:t>
            </w:r>
            <w:r w:rsidRPr="46390F1C" w:rsidR="67594CA3">
              <w:rPr>
                <w:rFonts w:ascii="Arial" w:hAnsi="Arial" w:cs="Arial"/>
                <w:sz w:val="22"/>
                <w:szCs w:val="22"/>
              </w:rPr>
              <w:t>electricity,</w:t>
            </w:r>
            <w:r w:rsidRPr="46390F1C" w:rsidR="2DAEEDCE">
              <w:rPr>
                <w:rFonts w:ascii="Arial" w:hAnsi="Arial" w:cs="Arial"/>
                <w:sz w:val="22"/>
                <w:szCs w:val="22"/>
              </w:rPr>
              <w:t xml:space="preserve"> paper, electronics...)</w:t>
            </w: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46390F1C" w:rsidR="465643EF">
              <w:rPr>
                <w:rFonts w:ascii="Arial" w:hAnsi="Arial" w:cs="Arial"/>
                <w:i w:val="1"/>
                <w:iCs w:val="1"/>
                <w:sz w:val="18"/>
                <w:szCs w:val="18"/>
              </w:rPr>
              <w:t>How you will mitigate the r</w:t>
            </w:r>
            <w:r w:rsidRPr="46390F1C" w:rsidR="68F2A949">
              <w:rPr>
                <w:rFonts w:ascii="Arial" w:hAnsi="Arial" w:cs="Arial"/>
                <w:i w:val="1"/>
                <w:iCs w:val="1"/>
                <w:sz w:val="18"/>
                <w:szCs w:val="18"/>
              </w:rPr>
              <w:t xml:space="preserve">isk to </w:t>
            </w:r>
            <w:r w:rsidRPr="46390F1C" w:rsidR="465643EF">
              <w:rPr>
                <w:rFonts w:ascii="Arial" w:hAnsi="Arial" w:cs="Arial"/>
                <w:i w:val="1"/>
                <w:iCs w:val="1"/>
                <w:sz w:val="18"/>
                <w:szCs w:val="18"/>
              </w:rPr>
              <w:t>environment</w:t>
            </w:r>
            <w:r w:rsidRPr="46390F1C" w:rsidR="68F2A949">
              <w:rPr>
                <w:rFonts w:ascii="Arial" w:hAnsi="Arial" w:cs="Arial"/>
                <w:i w:val="1"/>
                <w:iCs w:val="1"/>
                <w:sz w:val="18"/>
                <w:szCs w:val="18"/>
              </w:rPr>
              <w:t>:</w:t>
            </w:r>
          </w:p>
          <w:p w:rsidR="46390F1C" w:rsidP="46390F1C" w:rsidRDefault="46390F1C" w14:paraId="4D1FED92" w14:textId="0D0D74A9">
            <w:pPr>
              <w:pStyle w:val="Normal"/>
              <w:rPr>
                <w:rFonts w:ascii="Arial" w:hAnsi="Arial" w:cs="Arial"/>
                <w:i w:val="1"/>
                <w:iCs w:val="1"/>
                <w:sz w:val="18"/>
                <w:szCs w:val="18"/>
              </w:rPr>
            </w:pPr>
          </w:p>
          <w:p w:rsidRPr="00A42F82" w:rsidR="00003E64" w:rsidP="00A91894" w:rsidRDefault="00003E64" w14:paraId="6B1C8D3D" w14:textId="2EE77ACD">
            <w:pPr>
              <w:rPr>
                <w:rFonts w:ascii="Arial" w:hAnsi="Arial" w:cs="Arial"/>
                <w:sz w:val="22"/>
                <w:szCs w:val="22"/>
              </w:rPr>
            </w:pPr>
            <w:r w:rsidRPr="46390F1C" w:rsidR="5610121C">
              <w:rPr>
                <w:rFonts w:ascii="Arial" w:hAnsi="Arial" w:cs="Arial"/>
                <w:sz w:val="22"/>
                <w:szCs w:val="22"/>
              </w:rPr>
              <w:t xml:space="preserve">Save </w:t>
            </w:r>
            <w:r w:rsidRPr="46390F1C" w:rsidR="6D94C875">
              <w:rPr>
                <w:rFonts w:ascii="Arial" w:hAnsi="Arial" w:cs="Arial"/>
                <w:sz w:val="22"/>
                <w:szCs w:val="22"/>
              </w:rPr>
              <w:t>electricity, adequate</w:t>
            </w:r>
            <w:r w:rsidRPr="46390F1C" w:rsidR="5610121C">
              <w:rPr>
                <w:rFonts w:ascii="Arial" w:hAnsi="Arial" w:cs="Arial"/>
                <w:sz w:val="22"/>
                <w:szCs w:val="22"/>
              </w:rPr>
              <w:t xml:space="preserve"> use of </w:t>
            </w:r>
            <w:r w:rsidRPr="46390F1C" w:rsidR="3ED97740">
              <w:rPr>
                <w:rFonts w:ascii="Arial" w:hAnsi="Arial" w:cs="Arial"/>
                <w:sz w:val="22"/>
                <w:szCs w:val="22"/>
              </w:rPr>
              <w:t xml:space="preserve">resources, </w:t>
            </w:r>
            <w:r w:rsidRPr="46390F1C" w:rsidR="3ED97740">
              <w:rPr>
                <w:rFonts w:ascii="Arial" w:hAnsi="Arial" w:cs="Arial"/>
                <w:sz w:val="22"/>
                <w:szCs w:val="22"/>
              </w:rPr>
              <w:t>use</w:t>
            </w:r>
            <w:r w:rsidRPr="46390F1C" w:rsidR="5610121C">
              <w:rPr>
                <w:rFonts w:ascii="Arial" w:hAnsi="Arial" w:cs="Arial"/>
                <w:sz w:val="22"/>
                <w:szCs w:val="22"/>
              </w:rPr>
              <w:t xml:space="preserve"> </w:t>
            </w:r>
            <w:r w:rsidRPr="46390F1C" w:rsidR="373CB30E">
              <w:rPr>
                <w:rFonts w:ascii="Arial" w:hAnsi="Arial" w:cs="Arial"/>
                <w:sz w:val="22"/>
                <w:szCs w:val="22"/>
              </w:rPr>
              <w:t>of</w:t>
            </w:r>
            <w:r w:rsidRPr="46390F1C" w:rsidR="373CB30E">
              <w:rPr>
                <w:rFonts w:ascii="Arial" w:hAnsi="Arial" w:cs="Arial"/>
                <w:sz w:val="22"/>
                <w:szCs w:val="22"/>
              </w:rPr>
              <w:t xml:space="preserve"> digital documentation to save printings</w:t>
            </w: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46390F1C"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46390F1C"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46390F1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8800C5"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8800C5"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8800C5" w14:paraId="7AC80F45" w14:textId="5D019D83">
            <w:pPr>
              <w:autoSpaceDE w:val="0"/>
              <w:autoSpaceDN w:val="0"/>
              <w:adjustRightInd w:val="0"/>
              <w:jc w:val="center"/>
              <w:rPr>
                <w:rFonts w:ascii="Arial" w:hAnsi="Arial" w:cs="Arial"/>
                <w:sz w:val="16"/>
                <w:szCs w:val="16"/>
              </w:rPr>
            </w:pPr>
            <w:sdt>
              <w:sdtPr>
                <w:id w:val="-774482751"/>
                <w14:checkbox>
                  <w14:checked w14:val="1"/>
                  <w14:checkedState w14:val="2612" w14:font="MS Gothic"/>
                  <w14:uncheckedState w14:val="2610" w14:font="MS Gothic"/>
                </w14:checkbox>
                <w:rPr>
                  <w:rFonts w:ascii="Arial" w:hAnsi="Arial" w:cs="Arial"/>
                  <w:sz w:val="22"/>
                  <w:szCs w:val="22"/>
                </w:rPr>
              </w:sdtPr>
              <w:sdtContent>
                <w:r w:rsidRPr="46390F1C" w:rsidR="2AA3009E">
                  <w:rPr>
                    <w:rFonts w:ascii="MS Gothic" w:hAnsi="MS Gothic" w:eastAsia="MS Gothic" w:cs="MS Gothic"/>
                    <w:sz w:val="22"/>
                    <w:szCs w:val="22"/>
                  </w:rPr>
                  <w:t>☒</w:t>
                </w:r>
              </w:sdtContent>
              <w:sdtEndPr>
                <w:rPr>
                  <w:rFonts w:ascii="Arial" w:hAnsi="Arial" w:cs="Arial"/>
                  <w:sz w:val="22"/>
                  <w:szCs w:val="22"/>
                </w:rPr>
              </w:sdtEndPr>
            </w:sdt>
          </w:p>
        </w:tc>
      </w:tr>
      <w:tr w:rsidRPr="00A42F82" w:rsidR="0094056C" w:rsidTr="46390F1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46390F1C"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46390F1C"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0072B4E6">
            <w:pPr>
              <w:rPr>
                <w:rFonts w:ascii="Arial" w:hAnsi="Arial" w:cs="Arial"/>
                <w:sz w:val="22"/>
                <w:szCs w:val="22"/>
              </w:rPr>
            </w:pPr>
            <w:r w:rsidRPr="46390F1C" w:rsidR="710E8CA6">
              <w:rPr>
                <w:rFonts w:ascii="Arial" w:hAnsi="Arial" w:cs="Arial"/>
                <w:sz w:val="22"/>
                <w:szCs w:val="22"/>
              </w:rPr>
              <w:t>N/A</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46390F1C"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46390F1C"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5FDC7594">
            <w:pPr>
              <w:rPr>
                <w:rFonts w:ascii="Arial" w:hAnsi="Arial" w:cs="Arial"/>
                <w:sz w:val="22"/>
                <w:szCs w:val="22"/>
              </w:rPr>
            </w:pPr>
            <w:r w:rsidRPr="46390F1C" w:rsidR="6137908B">
              <w:rPr>
                <w:rFonts w:ascii="Arial" w:hAnsi="Arial" w:cs="Arial"/>
                <w:sz w:val="22"/>
                <w:szCs w:val="22"/>
              </w:rPr>
              <w:t>N/</w:t>
            </w:r>
            <w:r w:rsidRPr="46390F1C" w:rsidR="25469008">
              <w:rPr>
                <w:rFonts w:ascii="Arial" w:hAnsi="Arial" w:cs="Arial"/>
                <w:sz w:val="22"/>
                <w:szCs w:val="22"/>
              </w:rPr>
              <w:t>A</w:t>
            </w: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46390F1C"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46390F1C"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30349D05">
            <w:pPr>
              <w:rPr>
                <w:rFonts w:ascii="Arial" w:hAnsi="Arial" w:cs="Arial"/>
                <w:sz w:val="22"/>
                <w:szCs w:val="22"/>
              </w:rPr>
            </w:pPr>
            <w:r w:rsidRPr="46390F1C" w:rsidR="39D0E7FE">
              <w:rPr>
                <w:rFonts w:ascii="Arial" w:hAnsi="Arial" w:cs="Arial"/>
                <w:sz w:val="22"/>
                <w:szCs w:val="22"/>
              </w:rPr>
              <w:t>N/A</w:t>
            </w: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46390F1C"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46390F1C"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t>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46390F1C" w:rsidRDefault="006930C2" w14:paraId="36D2CB43" w14:textId="5707E185">
            <w:pPr>
              <w:pBdr>
                <w:top w:val="nil" w:color="000000" w:sz="0" w:space="0"/>
                <w:left w:val="nil" w:color="000000" w:sz="0" w:space="0"/>
                <w:bottom w:val="nil" w:color="000000" w:sz="0" w:space="0"/>
                <w:right w:val="nil" w:color="000000" w:sz="0" w:space="0"/>
                <w:between w:val="nil" w:color="000000" w:sz="0" w:space="0"/>
              </w:pBdr>
              <w:autoSpaceDE w:val="0"/>
              <w:autoSpaceDN w:val="0"/>
              <w:adjustRightInd w:val="0"/>
              <w:jc w:val="center"/>
              <w:rPr>
                <w:noProof w:val="0"/>
                <w:lang w:val="en-US"/>
              </w:rPr>
            </w:pPr>
            <w:r w:rsidRPr="46390F1C" w:rsidR="6E2E06D9">
              <w:rPr>
                <w:noProof w:val="0"/>
                <w:lang w:val="en-US"/>
              </w:rPr>
              <w:t xml:space="preserve"> </w:t>
            </w:r>
          </w:p>
          <w:p w:rsidRPr="00A42F82" w:rsidR="006930C2" w:rsidP="46390F1C" w:rsidRDefault="006930C2" w14:paraId="75EB677D" w14:textId="01A2D6F0">
            <w:pPr>
              <w:pBdr>
                <w:top w:val="nil" w:color="000000" w:sz="0" w:space="0"/>
                <w:left w:val="nil" w:color="000000" w:sz="0" w:space="0"/>
                <w:bottom w:val="nil" w:color="000000" w:sz="0" w:space="0"/>
                <w:right w:val="nil" w:color="000000" w:sz="0" w:space="0"/>
                <w:between w:val="nil" w:color="000000" w:sz="0" w:space="0"/>
              </w:pBdr>
              <w:autoSpaceDE w:val="0"/>
              <w:autoSpaceDN w:val="0"/>
              <w:adjustRightInd w:val="0"/>
              <w:jc w:val="center"/>
              <w:rPr>
                <w:rFonts w:ascii="Quattrocento Sans" w:hAnsi="Quattrocento Sans" w:eastAsia="Quattrocento Sans" w:cs="Quattrocento Sans"/>
                <w:b w:val="0"/>
                <w:bCs w:val="0"/>
                <w:i w:val="0"/>
                <w:iCs w:val="0"/>
                <w:caps w:val="0"/>
                <w:smallCaps w:val="0"/>
                <w:noProof w:val="0"/>
                <w:color w:val="000000" w:themeColor="text1" w:themeTint="FF" w:themeShade="FF"/>
                <w:sz w:val="22"/>
                <w:szCs w:val="22"/>
                <w:lang w:val="en-GB"/>
              </w:rPr>
            </w:pPr>
          </w:p>
          <w:p w:rsidRPr="00A42F82" w:rsidR="006930C2" w:rsidP="46390F1C" w:rsidRDefault="006930C2" w14:paraId="7B8EABA4" w14:textId="61DE1F88">
            <w:pPr>
              <w:pBdr>
                <w:top w:val="nil" w:color="000000" w:sz="0" w:space="0"/>
                <w:left w:val="nil" w:color="000000" w:sz="0" w:space="0"/>
                <w:bottom w:val="nil" w:color="000000" w:sz="0" w:space="0"/>
                <w:right w:val="nil" w:color="000000" w:sz="0" w:space="0"/>
                <w:between w:val="nil" w:color="000000" w:sz="0" w:space="0"/>
              </w:pBdr>
              <w:autoSpaceDE w:val="0"/>
              <w:autoSpaceDN w:val="0"/>
              <w:adjustRightInd w:val="0"/>
              <w:jc w:val="center"/>
              <w:rPr>
                <w:rFonts w:ascii="Quattrocento Sans" w:hAnsi="Quattrocento Sans" w:eastAsia="Quattrocento Sans" w:cs="Quattrocento Sans"/>
                <w:b w:val="0"/>
                <w:bCs w:val="0"/>
                <w:i w:val="0"/>
                <w:iCs w:val="0"/>
                <w:caps w:val="0"/>
                <w:smallCaps w:val="0"/>
                <w:noProof w:val="0"/>
                <w:color w:val="000000" w:themeColor="text1" w:themeTint="FF" w:themeShade="FF"/>
                <w:sz w:val="22"/>
                <w:szCs w:val="22"/>
                <w:lang w:val="en-GB"/>
              </w:rPr>
            </w:pPr>
          </w:p>
          <w:p w:rsidRPr="00A42F82" w:rsidR="006930C2" w:rsidP="46390F1C" w:rsidRDefault="006930C2" w14:paraId="4450C0C5" w14:textId="09675222">
            <w:pPr>
              <w:pBdr>
                <w:top w:val="nil" w:color="000000" w:sz="0" w:space="0"/>
                <w:left w:val="nil" w:color="000000" w:sz="0" w:space="0"/>
                <w:bottom w:val="nil" w:color="000000" w:sz="0" w:space="0"/>
                <w:right w:val="nil" w:color="000000" w:sz="0" w:space="0"/>
                <w:between w:val="nil" w:color="000000" w:sz="0" w:space="0"/>
              </w:pBdr>
              <w:autoSpaceDE w:val="0"/>
              <w:autoSpaceDN w:val="0"/>
              <w:adjustRightInd w:val="0"/>
              <w:jc w:val="center"/>
              <w:rPr>
                <w:rFonts w:ascii="Quattrocento Sans" w:hAnsi="Quattrocento Sans" w:eastAsia="Quattrocento Sans" w:cs="Quattrocento Sans"/>
                <w:b w:val="0"/>
                <w:bCs w:val="0"/>
                <w:i w:val="0"/>
                <w:iCs w:val="0"/>
                <w:caps w:val="0"/>
                <w:smallCaps w:val="0"/>
                <w:noProof w:val="0"/>
                <w:color w:val="000000" w:themeColor="text1" w:themeTint="FF" w:themeShade="FF"/>
                <w:sz w:val="22"/>
                <w:szCs w:val="22"/>
                <w:lang w:val="en-GB"/>
              </w:rPr>
            </w:pPr>
          </w:p>
          <w:p w:rsidRPr="00A42F82" w:rsidR="006930C2" w:rsidP="46390F1C" w:rsidRDefault="006930C2" w14:paraId="19E66F1F" w14:textId="7C7CC29F">
            <w:pPr>
              <w:pStyle w:val="NormalWeb"/>
              <w:autoSpaceDE w:val="0"/>
              <w:autoSpaceDN w:val="0"/>
              <w:adjustRightInd w:val="0"/>
              <w:spacing w:beforeAutospacing="on" w:afterAutospacing="on"/>
              <w:jc w:val="center"/>
              <w:rPr>
                <w:rFonts w:ascii="Quattrocento Sans" w:hAnsi="Quattrocento Sans" w:eastAsia="Quattrocento Sans" w:cs="Quattrocento Sans"/>
                <w:noProof w:val="0"/>
                <w:sz w:val="22"/>
                <w:szCs w:val="22"/>
                <w:lang w:val="en-GB"/>
              </w:rPr>
            </w:pPr>
            <w:r w:rsidRPr="46390F1C" w:rsidR="7AD2B0ED">
              <w:rPr>
                <w:rFonts w:ascii="Segoe UI Symbol" w:hAnsi="Segoe UI Symbol" w:eastAsia="Segoe UI Symbol" w:cs="Segoe UI Symbol"/>
                <w:b w:val="0"/>
                <w:bCs w:val="0"/>
                <w:i w:val="0"/>
                <w:iCs w:val="0"/>
                <w:caps w:val="0"/>
                <w:smallCaps w:val="0"/>
                <w:noProof w:val="0"/>
                <w:color w:val="000000" w:themeColor="text1" w:themeTint="FF" w:themeShade="FF"/>
                <w:sz w:val="22"/>
                <w:szCs w:val="22"/>
                <w:highlight w:val="black"/>
                <w:lang w:val="en-US"/>
              </w:rPr>
              <w:t>☐</w:t>
            </w:r>
          </w:p>
          <w:p w:rsidRPr="00A42F82" w:rsidR="006930C2" w:rsidP="46390F1C" w:rsidRDefault="006930C2" w14:paraId="4E46094F" w14:textId="3868C95B">
            <w:pPr>
              <w:pBdr>
                <w:top w:val="nil" w:color="000000" w:sz="0" w:space="0"/>
                <w:left w:val="nil" w:color="000000" w:sz="0" w:space="0"/>
                <w:bottom w:val="nil" w:color="000000" w:sz="0" w:space="0"/>
                <w:right w:val="nil" w:color="000000" w:sz="0" w:space="0"/>
                <w:between w:val="nil" w:color="000000" w:sz="0" w:space="0"/>
              </w:pBdr>
              <w:autoSpaceDE w:val="0"/>
              <w:autoSpaceDN w:val="0"/>
              <w:adjustRightInd w:val="0"/>
              <w:jc w:val="center"/>
              <w:rPr>
                <w:rFonts w:ascii="Quattrocento Sans" w:hAnsi="Quattrocento Sans" w:eastAsia="Quattrocento Sans" w:cs="Quattrocento Sans"/>
                <w:b w:val="0"/>
                <w:bCs w:val="0"/>
                <w:i w:val="0"/>
                <w:iCs w:val="0"/>
                <w:caps w:val="0"/>
                <w:smallCaps w:val="0"/>
                <w:noProof w:val="0"/>
                <w:color w:val="000000" w:themeColor="text1" w:themeTint="FF" w:themeShade="FF"/>
                <w:sz w:val="22"/>
                <w:szCs w:val="22"/>
                <w:lang w:val="en-GB"/>
              </w:rPr>
            </w:pPr>
          </w:p>
          <w:p w:rsidRPr="00A42F82" w:rsidR="006930C2" w:rsidP="46390F1C" w:rsidRDefault="006930C2" w14:paraId="5A8ED1BA" w14:textId="60F9E485">
            <w:pPr>
              <w:pStyle w:val="Normal"/>
              <w:pBdr>
                <w:top w:val="nil" w:color="000000" w:sz="0" w:space="0"/>
                <w:left w:val="nil" w:color="000000" w:sz="0" w:space="0"/>
                <w:bottom w:val="nil" w:color="000000" w:sz="0" w:space="0"/>
                <w:right w:val="nil" w:color="000000" w:sz="0" w:space="0"/>
                <w:between w:val="nil" w:color="000000" w:sz="0" w:space="0"/>
              </w:pBdr>
              <w:autoSpaceDE w:val="0"/>
              <w:autoSpaceDN w:val="0"/>
              <w:adjustRightInd w:val="0"/>
              <w:jc w:val="center"/>
              <w:rPr>
                <w:rFonts w:ascii="Quattrocento Sans" w:hAnsi="Quattrocento Sans" w:eastAsia="Quattrocento Sans" w:cs="Quattrocento Sans"/>
                <w:b w:val="0"/>
                <w:bCs w:val="0"/>
                <w:i w:val="0"/>
                <w:iCs w:val="0"/>
                <w:caps w:val="0"/>
                <w:smallCaps w:val="0"/>
                <w:noProof w:val="0"/>
                <w:color w:val="000000" w:themeColor="text1" w:themeTint="FF" w:themeShade="FF"/>
                <w:sz w:val="22"/>
                <w:szCs w:val="22"/>
                <w:lang w:val="en-GB"/>
              </w:rPr>
            </w:pPr>
          </w:p>
          <w:p w:rsidRPr="00A42F82" w:rsidR="006930C2" w:rsidP="46390F1C" w:rsidRDefault="006930C2" w14:paraId="43668EE2" w14:textId="44482415">
            <w:pPr>
              <w:pStyle w:val="NormalWeb"/>
              <w:autoSpaceDE w:val="0"/>
              <w:autoSpaceDN w:val="0"/>
              <w:adjustRightInd w:val="0"/>
              <w:jc w:val="center"/>
              <w:rPr>
                <w:rFonts w:ascii="Segoe UI Symbol" w:hAnsi="Segoe UI Symbol" w:eastAsia="MS Gothic" w:cs="Segoe UI Symbol"/>
                <w:sz w:val="22"/>
                <w:szCs w:val="22"/>
                <w:lang w:val="en-US"/>
              </w:rPr>
            </w:pPr>
          </w:p>
        </w:tc>
      </w:tr>
      <w:tr w:rsidRPr="00A42F82" w:rsidR="006930C2" w:rsidTr="46390F1C"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46390F1C"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46390F1C"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46390F1C"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46390F1C" w:rsidRDefault="006930C2" w14:paraId="027F21BC" w14:textId="4D0A42EB">
            <w:pPr>
              <w:autoSpaceDE w:val="0"/>
              <w:autoSpaceDN w:val="0"/>
              <w:adjustRightInd w:val="0"/>
              <w:spacing w:beforeAutospacing="on" w:afterAutospacing="on"/>
              <w:jc w:val="center"/>
              <w:rPr>
                <w:noProof w:val="0"/>
                <w:lang w:val="en-US"/>
              </w:rPr>
            </w:pPr>
          </w:p>
          <w:p w:rsidRPr="00A42F82" w:rsidR="006930C2" w:rsidP="46390F1C" w:rsidRDefault="006930C2" w14:paraId="0E7ABFCE" w14:textId="7CA87EFE">
            <w:pPr>
              <w:autoSpaceDE w:val="0"/>
              <w:autoSpaceDN w:val="0"/>
              <w:adjustRightInd w:val="0"/>
              <w:spacing w:beforeAutospacing="on" w:afterAutospacing="on"/>
              <w:jc w:val="center"/>
              <w:rPr>
                <w:rFonts w:ascii="Times New Roman" w:hAnsi="Times New Roman" w:eastAsia="Times New Roman" w:cs="Times New Roman"/>
                <w:noProof w:val="0"/>
                <w:sz w:val="20"/>
                <w:szCs w:val="20"/>
                <w:lang w:val="en-US"/>
              </w:rPr>
            </w:pPr>
            <w:r w:rsidRPr="46390F1C" w:rsidR="3D59A861">
              <w:rPr>
                <w:noProof w:val="0"/>
                <w:lang w:val="en-US"/>
              </w:rPr>
              <w:t xml:space="preserve"> </w:t>
            </w:r>
            <w:r w:rsidRPr="46390F1C" w:rsidR="7ECF767F">
              <w:rPr>
                <w:rFonts w:ascii="Segoe UI Symbol" w:hAnsi="Segoe UI Symbol" w:eastAsia="Segoe UI Symbol" w:cs="Segoe UI Symbol"/>
                <w:b w:val="0"/>
                <w:bCs w:val="0"/>
                <w:i w:val="0"/>
                <w:iCs w:val="0"/>
                <w:caps w:val="0"/>
                <w:smallCaps w:val="0"/>
                <w:noProof w:val="0"/>
                <w:color w:val="000000" w:themeColor="text1" w:themeTint="FF" w:themeShade="FF"/>
                <w:sz w:val="22"/>
                <w:szCs w:val="22"/>
                <w:highlight w:val="black"/>
                <w:lang w:val="en-US"/>
              </w:rPr>
              <w:t>☐</w:t>
            </w:r>
          </w:p>
          <w:p w:rsidRPr="00A42F82" w:rsidR="006930C2" w:rsidP="46390F1C" w:rsidRDefault="006930C2" w14:paraId="681CE3BB" w14:textId="565A9FE7">
            <w:pPr>
              <w:pBdr>
                <w:top w:val="nil" w:color="000000" w:sz="0" w:space="0"/>
                <w:left w:val="nil" w:color="000000" w:sz="0" w:space="0"/>
                <w:bottom w:val="nil" w:color="000000" w:sz="0" w:space="0"/>
                <w:right w:val="nil" w:color="000000" w:sz="0" w:space="0"/>
                <w:between w:val="nil" w:color="000000" w:sz="0" w:space="0"/>
              </w:pBdr>
              <w:autoSpaceDE w:val="0"/>
              <w:autoSpaceDN w:val="0"/>
              <w:adjustRightInd w:val="0"/>
              <w:jc w:val="center"/>
              <w:rPr>
                <w:noProof w:val="0"/>
                <w:lang w:val="en-US"/>
              </w:rPr>
            </w:pPr>
          </w:p>
        </w:tc>
      </w:tr>
      <w:tr w:rsidRPr="00A42F82" w:rsidR="006930C2" w:rsidTr="46390F1C"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46390F1C"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46390F1C"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46390F1C"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E69A115" w14:textId="3BA080EA">
                <w:pPr>
                  <w:autoSpaceDE w:val="0"/>
                  <w:autoSpaceDN w:val="0"/>
                  <w:adjustRightInd w:val="0"/>
                  <w:jc w:val="center"/>
                  <w:rPr>
                    <w:rFonts w:ascii="Arial" w:hAnsi="Arial" w:cs="Arial"/>
                    <w:sz w:val="22"/>
                    <w:szCs w:val="22"/>
                  </w:rPr>
                </w:pPr>
                <w:r w:rsidRPr="46390F1C" w:rsidR="2346BE8F">
                  <w:rPr>
                    <w:rFonts w:ascii="MS Gothic" w:hAnsi="MS Gothic" w:eastAsia="MS Gothic" w:cs="MS Gothic"/>
                    <w:sz w:val="22"/>
                    <w:szCs w:val="22"/>
                  </w:rPr>
                  <w:t>☒</w:t>
                </w:r>
              </w:p>
            </w:sdtContent>
          </w:sdt>
        </w:tc>
      </w:tr>
      <w:tr w:rsidRPr="00A42F82" w:rsidR="004D0161" w:rsidTr="46390F1C"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333413A" w14:textId="62D8C155">
                <w:pPr>
                  <w:autoSpaceDE w:val="0"/>
                  <w:autoSpaceDN w:val="0"/>
                  <w:adjustRightInd w:val="0"/>
                  <w:jc w:val="center"/>
                  <w:rPr>
                    <w:rFonts w:ascii="Arial" w:hAnsi="Arial" w:cs="Arial"/>
                    <w:sz w:val="22"/>
                    <w:szCs w:val="22"/>
                  </w:rPr>
                </w:pPr>
                <w:r w:rsidRPr="46390F1C" w:rsidR="5FCD68A3">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46390F1C"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B18E67D" w14:textId="33F061B5">
                <w:pPr>
                  <w:autoSpaceDE w:val="0"/>
                  <w:autoSpaceDN w:val="0"/>
                  <w:adjustRightInd w:val="0"/>
                  <w:jc w:val="center"/>
                  <w:rPr>
                    <w:rFonts w:ascii="Arial" w:hAnsi="Arial" w:cs="Arial"/>
                    <w:sz w:val="22"/>
                    <w:szCs w:val="22"/>
                  </w:rPr>
                </w:pPr>
                <w:r w:rsidRPr="46390F1C" w:rsidR="1575526B">
                  <w:rPr>
                    <w:rFonts w:ascii="MS Gothic" w:hAnsi="MS Gothic" w:eastAsia="MS Gothic" w:cs="MS Gothic"/>
                    <w:sz w:val="22"/>
                    <w:szCs w:val="22"/>
                  </w:rPr>
                  <w:t>☒</w:t>
                </w:r>
              </w:p>
            </w:sdtContent>
          </w:sdt>
        </w:tc>
      </w:tr>
      <w:tr w:rsidRPr="00A42F82" w:rsidR="004D0161" w:rsidTr="46390F1C"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B839E33" w14:textId="70C2DE3A">
                <w:pPr>
                  <w:autoSpaceDE w:val="0"/>
                  <w:autoSpaceDN w:val="0"/>
                  <w:adjustRightInd w:val="0"/>
                  <w:jc w:val="center"/>
                  <w:rPr>
                    <w:rFonts w:ascii="Arial" w:hAnsi="Arial" w:cs="Arial"/>
                    <w:sz w:val="22"/>
                    <w:szCs w:val="22"/>
                  </w:rPr>
                </w:pPr>
                <w:r w:rsidRPr="46390F1C" w:rsidR="3BDFD341">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46390F1C"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AE73690" w14:textId="555B26A0">
                <w:pPr>
                  <w:autoSpaceDE w:val="0"/>
                  <w:autoSpaceDN w:val="0"/>
                  <w:adjustRightInd w:val="0"/>
                  <w:jc w:val="center"/>
                  <w:rPr>
                    <w:rFonts w:ascii="Arial" w:hAnsi="Arial" w:cs="Arial"/>
                    <w:sz w:val="22"/>
                    <w:szCs w:val="22"/>
                  </w:rPr>
                </w:pPr>
                <w:r w:rsidRPr="46390F1C" w:rsidR="48562F4C">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46390F1C"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DBEE4F7" w14:textId="052C28AE">
                <w:pPr>
                  <w:autoSpaceDE w:val="0"/>
                  <w:autoSpaceDN w:val="0"/>
                  <w:adjustRightInd w:val="0"/>
                  <w:jc w:val="center"/>
                  <w:rPr>
                    <w:rFonts w:ascii="Arial" w:hAnsi="Arial" w:cs="Arial"/>
                    <w:sz w:val="22"/>
                    <w:szCs w:val="22"/>
                  </w:rPr>
                </w:pPr>
                <w:r w:rsidRPr="46390F1C" w:rsidR="3EE82A17">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46390F1C"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46390F1C"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46390F1C"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00A91894" w:rsidRDefault="004D0161" w14:paraId="1F64FDAF" w14:textId="7C9230E5">
            <w:pPr>
              <w:rPr>
                <w:rFonts w:ascii="Arial" w:hAnsi="Arial" w:cs="Arial"/>
                <w:sz w:val="22"/>
                <w:szCs w:val="22"/>
              </w:rPr>
            </w:pPr>
            <w:r w:rsidRPr="46390F1C" w:rsidR="7D744C0B">
              <w:rPr>
                <w:rFonts w:ascii="Arial" w:hAnsi="Arial" w:cs="Arial"/>
                <w:sz w:val="22"/>
                <w:szCs w:val="22"/>
              </w:rPr>
              <w:t xml:space="preserve">The data collected will be password protected and encrypted </w:t>
            </w:r>
            <w:r w:rsidRPr="46390F1C" w:rsidR="60DBDBD0">
              <w:rPr>
                <w:rFonts w:ascii="Arial" w:hAnsi="Arial" w:cs="Arial"/>
                <w:sz w:val="22"/>
                <w:szCs w:val="22"/>
              </w:rPr>
              <w:t xml:space="preserve">and </w:t>
            </w:r>
            <w:r w:rsidRPr="46390F1C" w:rsidR="60DBDBD0">
              <w:rPr>
                <w:rFonts w:ascii="Arial" w:hAnsi="Arial" w:cs="Arial"/>
                <w:sz w:val="22"/>
                <w:szCs w:val="22"/>
              </w:rPr>
              <w:t>stored</w:t>
            </w:r>
            <w:r w:rsidRPr="46390F1C" w:rsidR="60DBDBD0">
              <w:rPr>
                <w:rFonts w:ascii="Arial" w:hAnsi="Arial" w:cs="Arial"/>
                <w:sz w:val="22"/>
                <w:szCs w:val="22"/>
              </w:rPr>
              <w:t xml:space="preserve"> in the university cloud.</w:t>
            </w: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46390F1C"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46390F1C"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46390F1C"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C71BCC" w14:paraId="34317F81" w14:textId="2CEDB783">
                <w:pPr>
                  <w:autoSpaceDE w:val="0"/>
                  <w:autoSpaceDN w:val="0"/>
                  <w:adjustRightInd w:val="0"/>
                  <w:jc w:val="center"/>
                  <w:rPr>
                    <w:rFonts w:ascii="Arial" w:hAnsi="Arial" w:cs="Arial"/>
                    <w:sz w:val="22"/>
                    <w:szCs w:val="22"/>
                  </w:rPr>
                </w:pPr>
                <w:r w:rsidRPr="46390F1C" w:rsidR="250DEE3A">
                  <w:rPr>
                    <w:rFonts w:ascii="MS Gothic" w:hAnsi="MS Gothic" w:eastAsia="MS Gothic" w:cs="MS Gothic"/>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9F55200" w14:textId="00A7CF20">
                <w:pPr>
                  <w:autoSpaceDE w:val="0"/>
                  <w:autoSpaceDN w:val="0"/>
                  <w:adjustRightInd w:val="0"/>
                  <w:jc w:val="center"/>
                  <w:rPr>
                    <w:rFonts w:ascii="Arial" w:hAnsi="Arial" w:cs="Arial"/>
                    <w:sz w:val="22"/>
                    <w:szCs w:val="22"/>
                  </w:rPr>
                </w:pPr>
                <w:r w:rsidRPr="46390F1C" w:rsidR="250DEE3A">
                  <w:rPr>
                    <w:rFonts w:ascii="MS Gothic" w:hAnsi="MS Gothic" w:eastAsia="MS Gothic" w:cs="MS Gothic"/>
                    <w:sz w:val="22"/>
                    <w:szCs w:val="22"/>
                  </w:rPr>
                  <w:t>☒</w:t>
                </w:r>
              </w:p>
            </w:sdtContent>
          </w:sdt>
        </w:tc>
      </w:tr>
      <w:tr w:rsidRPr="00A42F82" w:rsidR="004D0161" w:rsidTr="46390F1C"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07ECC20" w14:textId="0D851503">
                <w:pPr>
                  <w:autoSpaceDE w:val="0"/>
                  <w:autoSpaceDN w:val="0"/>
                  <w:adjustRightInd w:val="0"/>
                  <w:jc w:val="center"/>
                  <w:rPr>
                    <w:rFonts w:ascii="Arial" w:hAnsi="Arial" w:cs="Arial"/>
                    <w:sz w:val="22"/>
                    <w:szCs w:val="22"/>
                  </w:rPr>
                </w:pPr>
                <w:r w:rsidRPr="46390F1C" w:rsidR="477DBF8F">
                  <w:rPr>
                    <w:rFonts w:ascii="MS Gothic" w:hAnsi="MS Gothic" w:eastAsia="MS Gothic" w:cs="MS Gothic"/>
                    <w:sz w:val="22"/>
                    <w:szCs w:val="22"/>
                  </w:rPr>
                  <w:t>☒</w:t>
                </w:r>
              </w:p>
            </w:sdtContent>
          </w:sdt>
        </w:tc>
      </w:tr>
      <w:tr w:rsidRPr="00A42F82" w:rsidR="004D0161" w:rsidTr="46390F1C"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34D7DB1" w14:textId="6C230269">
                <w:pPr>
                  <w:autoSpaceDE w:val="0"/>
                  <w:autoSpaceDN w:val="0"/>
                  <w:adjustRightInd w:val="0"/>
                  <w:jc w:val="center"/>
                  <w:rPr>
                    <w:rFonts w:ascii="Arial" w:hAnsi="Arial" w:cs="Arial"/>
                    <w:sz w:val="22"/>
                    <w:szCs w:val="22"/>
                  </w:rPr>
                </w:pPr>
                <w:r w:rsidRPr="46390F1C" w:rsidR="622AA8D2">
                  <w:rPr>
                    <w:rFonts w:ascii="MS Gothic" w:hAnsi="MS Gothic" w:eastAsia="MS Gothic" w:cs="MS Gothic"/>
                    <w:sz w:val="22"/>
                    <w:szCs w:val="22"/>
                  </w:rPr>
                  <w:t>☒</w:t>
                </w:r>
              </w:p>
            </w:sdtContent>
          </w:sdt>
        </w:tc>
      </w:tr>
      <w:tr w:rsidRPr="00A42F82" w:rsidR="004D0161" w:rsidTr="46390F1C"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79B5397" w14:textId="044B3732">
                <w:pPr>
                  <w:autoSpaceDE w:val="0"/>
                  <w:autoSpaceDN w:val="0"/>
                  <w:adjustRightInd w:val="0"/>
                  <w:jc w:val="center"/>
                  <w:rPr>
                    <w:rFonts w:ascii="Arial" w:hAnsi="Arial" w:cs="Arial"/>
                    <w:sz w:val="22"/>
                    <w:szCs w:val="22"/>
                  </w:rPr>
                </w:pPr>
                <w:r w:rsidRPr="46390F1C" w:rsidR="622AA8D2">
                  <w:rPr>
                    <w:rFonts w:ascii="MS Gothic" w:hAnsi="MS Gothic" w:eastAsia="MS Gothic" w:cs="MS Gothic"/>
                    <w:sz w:val="22"/>
                    <w:szCs w:val="22"/>
                  </w:rPr>
                  <w:t>☒</w:t>
                </w:r>
              </w:p>
            </w:sdtContent>
          </w:sdt>
        </w:tc>
      </w:tr>
      <w:tr w:rsidRPr="00A42F82" w:rsidR="004D0161" w:rsidTr="46390F1C"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A4CD2D7" w14:textId="1EE12A44">
                <w:pPr>
                  <w:autoSpaceDE w:val="0"/>
                  <w:autoSpaceDN w:val="0"/>
                  <w:adjustRightInd w:val="0"/>
                  <w:jc w:val="center"/>
                  <w:rPr>
                    <w:rFonts w:ascii="Arial" w:hAnsi="Arial" w:cs="Arial"/>
                    <w:sz w:val="22"/>
                    <w:szCs w:val="22"/>
                  </w:rPr>
                </w:pPr>
                <w:r w:rsidRPr="46390F1C" w:rsidR="458CCEA1">
                  <w:rPr>
                    <w:rFonts w:ascii="MS Gothic" w:hAnsi="MS Gothic" w:eastAsia="MS Gothic" w:cs="MS Gothic"/>
                    <w:sz w:val="22"/>
                    <w:szCs w:val="22"/>
                  </w:rPr>
                  <w:t>☒</w:t>
                </w:r>
              </w:p>
            </w:sdtContent>
          </w:sdt>
        </w:tc>
      </w:tr>
      <w:tr w:rsidRPr="00A42F82" w:rsidR="004D0161" w:rsidTr="46390F1C"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73902EE" w14:textId="49DE789A">
                <w:pPr>
                  <w:autoSpaceDE w:val="0"/>
                  <w:autoSpaceDN w:val="0"/>
                  <w:adjustRightInd w:val="0"/>
                  <w:jc w:val="center"/>
                  <w:rPr>
                    <w:rFonts w:ascii="Arial" w:hAnsi="Arial" w:cs="Arial"/>
                    <w:sz w:val="22"/>
                    <w:szCs w:val="22"/>
                  </w:rPr>
                </w:pPr>
                <w:r w:rsidRPr="46390F1C" w:rsidR="569E7950">
                  <w:rPr>
                    <w:rFonts w:ascii="MS Gothic" w:hAnsi="MS Gothic" w:eastAsia="MS Gothic" w:cs="MS Gothic"/>
                    <w:sz w:val="22"/>
                    <w:szCs w:val="22"/>
                  </w:rPr>
                  <w:t>☒</w:t>
                </w:r>
              </w:p>
            </w:sdtContent>
          </w:sdt>
        </w:tc>
      </w:tr>
      <w:tr w:rsidRPr="00A42F82" w:rsidR="004D0161" w:rsidTr="46390F1C"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F32C42" w14:textId="47F99A7F">
                <w:pPr>
                  <w:autoSpaceDE w:val="0"/>
                  <w:autoSpaceDN w:val="0"/>
                  <w:adjustRightInd w:val="0"/>
                  <w:jc w:val="center"/>
                  <w:rPr>
                    <w:rFonts w:ascii="Arial" w:hAnsi="Arial" w:cs="Arial"/>
                    <w:sz w:val="22"/>
                    <w:szCs w:val="22"/>
                  </w:rPr>
                </w:pPr>
                <w:r w:rsidRPr="46390F1C" w:rsidR="1A072C8C">
                  <w:rPr>
                    <w:rFonts w:ascii="MS Gothic" w:hAnsi="MS Gothic" w:eastAsia="MS Gothic" w:cs="MS Gothic"/>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0F58E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46390F1C"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1F2E243" w14:textId="6A91B525">
                <w:pPr>
                  <w:autoSpaceDE w:val="0"/>
                  <w:autoSpaceDN w:val="0"/>
                  <w:adjustRightInd w:val="0"/>
                  <w:jc w:val="center"/>
                  <w:rPr>
                    <w:rFonts w:ascii="Arial" w:hAnsi="Arial" w:cs="Arial"/>
                    <w:sz w:val="22"/>
                    <w:szCs w:val="22"/>
                  </w:rPr>
                </w:pPr>
                <w:r w:rsidRPr="46390F1C" w:rsidR="22371BA4">
                  <w:rPr>
                    <w:rFonts w:ascii="MS Gothic" w:hAnsi="MS Gothic" w:eastAsia="MS Gothic" w:cs="MS Gothic"/>
                    <w:sz w:val="22"/>
                    <w:szCs w:val="22"/>
                  </w:rPr>
                  <w:t>☒</w:t>
                </w:r>
              </w:p>
            </w:sdtContent>
          </w:sdt>
        </w:tc>
      </w:tr>
      <w:tr w:rsidRPr="00A42F82" w:rsidR="004D0161" w:rsidTr="46390F1C"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46390F1C"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2ABEFD71">
            <w:pPr>
              <w:autoSpaceDE w:val="0"/>
              <w:autoSpaceDN w:val="0"/>
              <w:adjustRightInd w:val="0"/>
              <w:rPr>
                <w:rFonts w:ascii="Arial" w:hAnsi="Arial" w:cs="Arial"/>
                <w:sz w:val="22"/>
                <w:szCs w:val="22"/>
              </w:rPr>
            </w:pPr>
            <w:r w:rsidRPr="46390F1C" w:rsidR="4FBCE821">
              <w:rPr>
                <w:rFonts w:ascii="Arial" w:hAnsi="Arial" w:cs="Arial"/>
                <w:sz w:val="22"/>
                <w:szCs w:val="22"/>
              </w:rPr>
              <w:t>Will use Excel literature matrix to manage the research activities.</w:t>
            </w: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46390F1C"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46390F1C"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5063D62C">
            <w:pPr>
              <w:autoSpaceDE w:val="0"/>
              <w:autoSpaceDN w:val="0"/>
              <w:adjustRightInd w:val="0"/>
              <w:rPr>
                <w:rFonts w:ascii="Arial" w:hAnsi="Arial" w:cs="Arial"/>
                <w:sz w:val="22"/>
                <w:szCs w:val="22"/>
              </w:rPr>
            </w:pPr>
            <w:r w:rsidRPr="46390F1C" w:rsidR="58D890E8">
              <w:rPr>
                <w:rFonts w:ascii="Arial" w:hAnsi="Arial" w:cs="Arial"/>
                <w:sz w:val="22"/>
                <w:szCs w:val="22"/>
              </w:rPr>
              <w:t xml:space="preserve">The </w:t>
            </w:r>
            <w:r w:rsidRPr="46390F1C" w:rsidR="58D890E8">
              <w:rPr>
                <w:rFonts w:ascii="Arial" w:hAnsi="Arial" w:cs="Arial"/>
                <w:sz w:val="22"/>
                <w:szCs w:val="22"/>
              </w:rPr>
              <w:t>students</w:t>
            </w:r>
            <w:r w:rsidRPr="46390F1C" w:rsidR="58D890E8">
              <w:rPr>
                <w:rFonts w:ascii="Arial" w:hAnsi="Arial" w:cs="Arial"/>
                <w:sz w:val="22"/>
                <w:szCs w:val="22"/>
              </w:rPr>
              <w:t xml:space="preserve"> researcher and the supervisor</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46390F1C"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46390F1C"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06744ECB" w14:textId="58EC7509">
            <w:pPr>
              <w:autoSpaceDE w:val="0"/>
              <w:autoSpaceDN w:val="0"/>
              <w:adjustRightInd w:val="0"/>
              <w:rPr>
                <w:rFonts w:ascii="Arial" w:hAnsi="Arial" w:cs="Arial"/>
                <w:sz w:val="22"/>
                <w:szCs w:val="22"/>
              </w:rPr>
            </w:pPr>
            <w:r w:rsidRPr="46390F1C" w:rsidR="2DD89568">
              <w:rPr>
                <w:rFonts w:ascii="Arial" w:hAnsi="Arial" w:cs="Arial"/>
                <w:sz w:val="22"/>
                <w:szCs w:val="22"/>
              </w:rPr>
              <w:t>The student researcher</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46390F1C"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46390F1C"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46390F1C" w:rsidRDefault="004D0161" w14:paraId="40B86DC0" w14:textId="57A796B4">
            <w:pPr>
              <w:autoSpaceDE w:val="0"/>
              <w:autoSpaceDN w:val="0"/>
              <w:adjustRightInd w:val="0"/>
              <w:rPr>
                <w:rFonts w:ascii="Arial" w:hAnsi="Arial" w:eastAsia="Arial" w:cs="Arial"/>
                <w:noProof w:val="0"/>
                <w:sz w:val="22"/>
                <w:szCs w:val="22"/>
                <w:lang w:val="en-GB"/>
              </w:rPr>
            </w:pPr>
            <w:r w:rsidRPr="46390F1C" w:rsidR="4DDB59D6">
              <w:rPr>
                <w:rFonts w:ascii="Arial" w:hAnsi="Arial" w:eastAsia="Arial" w:cs="Arial"/>
                <w:b w:val="0"/>
                <w:bCs w:val="0"/>
                <w:i w:val="0"/>
                <w:iCs w:val="0"/>
                <w:caps w:val="0"/>
                <w:smallCaps w:val="0"/>
                <w:noProof w:val="0"/>
                <w:color w:val="000000" w:themeColor="text1" w:themeTint="FF" w:themeShade="FF"/>
                <w:sz w:val="22"/>
                <w:szCs w:val="22"/>
                <w:lang w:val="en-GB"/>
              </w:rPr>
              <w:t>The files will be password-protected, encrypted and stored in the university OneDrive (cloud services), and data will be discarded after the end of the research (May 2026)</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46390F1C"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46390F1C"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1B494CB5">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46390F1C"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8800C5" w14:paraId="677861B6" w14:textId="797016D7">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46390F1C" w:rsidR="2D3E3E7D">
                  <w:rPr>
                    <w:rFonts w:ascii="MS Gothic" w:hAnsi="MS Gothic" w:eastAsia="MS Gothic" w:cs="MS Gothic"/>
                  </w:rPr>
                  <w:t>☒</w:t>
                </w:r>
              </w:sdtContent>
              <w:sdtEndPr>
                <w:rPr>
                  <w:rFonts w:ascii="Arial" w:hAnsi="Arial" w:cs="Arial"/>
                </w:rPr>
              </w:sdtEndPr>
            </w:sdt>
          </w:p>
        </w:tc>
      </w:tr>
      <w:tr w:rsidRPr="00A42F82" w:rsidR="00240C32" w:rsidTr="46390F1C"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8800C5" w14:paraId="61105434" w14:textId="1A09B95D">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46390F1C" w:rsidR="57ECDB73">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46390F1C"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46390F1C"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46390F1C" w:rsidRDefault="004D0161" w14:paraId="417337B7" w14:textId="2B93A80A">
            <w:pPr>
              <w:spacing w:before="100" w:beforeAutospacing="on" w:after="100" w:afterAutospacing="on"/>
              <w:rPr>
                <w:rFonts w:ascii="Arial" w:hAnsi="Arial" w:cs="Arial"/>
                <w:sz w:val="22"/>
                <w:szCs w:val="22"/>
              </w:rPr>
            </w:pPr>
            <w:r w:rsidRPr="46390F1C" w:rsidR="14C85442">
              <w:rPr>
                <w:rFonts w:ascii="Arial" w:hAnsi="Arial" w:cs="Arial"/>
                <w:sz w:val="22"/>
                <w:szCs w:val="22"/>
              </w:rPr>
              <w:t xml:space="preserve">Kruti </w:t>
            </w:r>
            <w:r w:rsidRPr="46390F1C" w:rsidR="14C85442">
              <w:rPr>
                <w:rFonts w:ascii="Arial" w:hAnsi="Arial" w:cs="Arial"/>
                <w:sz w:val="22"/>
                <w:szCs w:val="22"/>
              </w:rPr>
              <w:t>Dilipbhai</w:t>
            </w:r>
            <w:r w:rsidRPr="46390F1C" w:rsidR="14C85442">
              <w:rPr>
                <w:rFonts w:ascii="Arial" w:hAnsi="Arial" w:cs="Arial"/>
                <w:sz w:val="22"/>
                <w:szCs w:val="22"/>
              </w:rPr>
              <w:t xml:space="preserve"> Borad</w:t>
            </w:r>
          </w:p>
        </w:tc>
        <w:tc>
          <w:tcPr>
            <w:tcW w:w="2139" w:type="dxa"/>
            <w:tcMar/>
            <w:vAlign w:val="center"/>
          </w:tcPr>
          <w:p w:rsidRPr="00A42F82" w:rsidR="004D0161" w:rsidP="46390F1C" w:rsidRDefault="004D0161" w14:paraId="42829944" w14:textId="47DA1536">
            <w:pPr>
              <w:spacing w:before="100" w:beforeAutospacing="on" w:after="100" w:afterAutospacing="on"/>
              <w:rPr>
                <w:rFonts w:ascii="Arial" w:hAnsi="Arial" w:cs="Arial"/>
                <w:b w:val="1"/>
                <w:bCs w:val="1"/>
                <w:sz w:val="22"/>
                <w:szCs w:val="22"/>
              </w:rPr>
            </w:pPr>
            <w:r w:rsidRPr="46390F1C" w:rsidR="51D673F3">
              <w:rPr>
                <w:rFonts w:ascii="Arial" w:hAnsi="Arial" w:cs="Arial"/>
                <w:b w:val="1"/>
                <w:bCs w:val="1"/>
                <w:sz w:val="22"/>
                <w:szCs w:val="22"/>
              </w:rPr>
              <w:t>Date:</w:t>
            </w:r>
            <w:r w:rsidRPr="46390F1C" w:rsidR="1F444D21">
              <w:rPr>
                <w:rFonts w:ascii="Arial" w:hAnsi="Arial" w:cs="Arial"/>
                <w:b w:val="1"/>
                <w:bCs w:val="1"/>
                <w:sz w:val="22"/>
                <w:szCs w:val="22"/>
              </w:rPr>
              <w:t>22/08/2025</w:t>
            </w:r>
          </w:p>
          <w:p w:rsidRPr="00A42F82" w:rsidR="004D0161" w:rsidP="46390F1C" w:rsidRDefault="004D0161" w14:paraId="6C1C1BE5" w14:textId="1FAEC9F9">
            <w:pPr>
              <w:spacing w:before="100" w:beforeAutospacing="on" w:after="100" w:afterAutospacing="on"/>
              <w:rPr>
                <w:rFonts w:ascii="Arial" w:hAnsi="Arial" w:cs="Arial"/>
                <w:b w:val="1"/>
                <w:bCs w:val="1"/>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46390F1C"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tcMar/>
            <w:vAlign w:val="center"/>
          </w:tcPr>
          <w:p w:rsidRPr="00A42F82" w:rsidR="00AA7E42" w:rsidP="46390F1C" w:rsidRDefault="00AA7E42" w14:paraId="59928118" w14:textId="10080C45">
            <w:pPr>
              <w:pStyle w:val="ListParagraph"/>
              <w:ind w:left="0"/>
              <w:rPr>
                <w:rFonts w:ascii="Arial" w:hAnsi="Arial" w:cs="Arial"/>
              </w:rPr>
            </w:pPr>
          </w:p>
          <w:p w:rsidRPr="00A42F82" w:rsidR="00AA7E42" w:rsidP="00A91894" w:rsidRDefault="00AA7E42" w14:paraId="2001AF23" w14:textId="6BFDAC3B">
            <w:pPr>
              <w:pStyle w:val="ListParagraph"/>
              <w:ind w:left="0"/>
              <w:rPr>
                <w:rFonts w:ascii="Arial" w:hAnsi="Arial" w:cs="Arial"/>
              </w:rPr>
            </w:pPr>
          </w:p>
        </w:tc>
        <w:tc>
          <w:tcPr>
            <w:tcW w:w="1014" w:type="pct"/>
            <w:vMerge w:val="restart"/>
            <w:tcMar/>
          </w:tcPr>
          <w:p w:rsidRPr="00A42F82" w:rsidR="00AA7E42" w:rsidP="00A91894" w:rsidRDefault="00AA7E42" w14:paraId="7BA89991" w14:textId="77777777">
            <w:pPr>
              <w:pStyle w:val="ListParagraph"/>
              <w:ind w:left="0"/>
              <w:rPr>
                <w:rFonts w:ascii="Arial" w:hAnsi="Arial" w:cs="Arial"/>
              </w:rPr>
            </w:pPr>
            <w:r w:rsidRPr="00A42F82">
              <w:rPr>
                <w:rFonts w:ascii="Arial" w:hAnsi="Arial" w:cs="Arial"/>
                <w:b/>
                <w:bCs/>
              </w:rPr>
              <w:t>Date:</w:t>
            </w:r>
          </w:p>
        </w:tc>
      </w:tr>
      <w:tr w:rsidRPr="00A42F82" w:rsidR="00AA7E42" w:rsidTr="46390F1C"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tcMar/>
            <w:vAlign w:val="center"/>
          </w:tcPr>
          <w:p w:rsidRPr="00A42F82" w:rsidR="00AA7E42" w:rsidP="00A91894" w:rsidRDefault="00AA7E42" w14:paraId="20916ADA" w14:textId="77777777">
            <w:pPr>
              <w:pStyle w:val="ListParagraph"/>
              <w:ind w:left="0"/>
              <w:rPr>
                <w:rFonts w:ascii="Arial" w:hAnsi="Arial" w:cs="Arial"/>
              </w:rPr>
            </w:pP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46390F1C"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1E63DDA0" w14:textId="1EACB521">
                <w:pPr>
                  <w:jc w:val="center"/>
                  <w:rPr>
                    <w:rFonts w:ascii="Arial" w:hAnsi="Arial" w:eastAsia="MS Gothic" w:cs="Arial"/>
                    <w:sz w:val="22"/>
                    <w:szCs w:val="22"/>
                  </w:rPr>
                </w:pPr>
                <w:r w:rsidRPr="46390F1C" w:rsidR="7F3ADEE8">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46390F1C"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221274F6" w14:textId="29BF8581">
                <w:pPr>
                  <w:jc w:val="center"/>
                  <w:rPr>
                    <w:rFonts w:ascii="Arial" w:hAnsi="Arial" w:eastAsia="MS Gothic" w:cs="Arial"/>
                    <w:sz w:val="22"/>
                    <w:szCs w:val="22"/>
                  </w:rPr>
                </w:pPr>
                <w:r w:rsidRPr="46390F1C" w:rsidR="6C4063CE">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46390F1C"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rsidRPr="00A42F82" w:rsidR="00CC2661" w:rsidP="00A91894" w:rsidRDefault="00DD0929" w14:paraId="66918137"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46390F1C"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46390F1C"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46390F1C"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A42F82" w:rsidR="00743859" w:rsidP="00A91894" w:rsidRDefault="00743859" w14:paraId="18F4C7C8" w14:textId="21951B36">
                <w:pPr>
                  <w:jc w:val="center"/>
                  <w:rPr>
                    <w:rFonts w:ascii="Arial" w:hAnsi="Arial" w:cs="Arial"/>
                    <w:sz w:val="22"/>
                    <w:szCs w:val="22"/>
                  </w:rPr>
                </w:pPr>
                <w:r w:rsidRPr="46390F1C" w:rsidR="3E27B06B">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46390F1C"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62694DA6"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int2:observations>
    <int2:textHash int2:hashCode="Bh9yVdZKKlEe4d" int2:id="myvKHuII">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9">
    <w:nsid w:val="562b61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1717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9afa1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fa380d7"/>
    <w:multiLevelType xmlns:w="http://schemas.openxmlformats.org/wordprocessingml/2006/main" w:val="multilevel"/>
    <w:lvl xmlns:w="http://schemas.openxmlformats.org/wordprocessingml/2006/main" w:ilvl="0">
      <w:start w:val="1"/>
      <w:numFmt w:val="decimal"/>
      <w:lvlText w:val="%1."/>
      <w:lvlJc w:val="left"/>
      <w:pPr>
        <w:ind w:left="502"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1">
    <w:abstractNumId w:val="29"/>
  </w:num>
  <w:num w:numId="30">
    <w:abstractNumId w:val="28"/>
  </w:num>
  <w:num w:numId="29">
    <w:abstractNumId w:val="27"/>
  </w:num>
  <w:num w:numId="28">
    <w:abstractNumId w:val="26"/>
  </w: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3E8C"/>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3AD8443"/>
    <w:rsid w:val="0641805B"/>
    <w:rsid w:val="06592418"/>
    <w:rsid w:val="068A5E8B"/>
    <w:rsid w:val="06EF358E"/>
    <w:rsid w:val="07C62BAC"/>
    <w:rsid w:val="07DC70E0"/>
    <w:rsid w:val="0978AE01"/>
    <w:rsid w:val="09D33BD5"/>
    <w:rsid w:val="106CEF1A"/>
    <w:rsid w:val="1118CADF"/>
    <w:rsid w:val="13267701"/>
    <w:rsid w:val="1351681E"/>
    <w:rsid w:val="14614B87"/>
    <w:rsid w:val="14C85442"/>
    <w:rsid w:val="1508949A"/>
    <w:rsid w:val="15191B05"/>
    <w:rsid w:val="15542F06"/>
    <w:rsid w:val="1575526B"/>
    <w:rsid w:val="1689E518"/>
    <w:rsid w:val="18F0202D"/>
    <w:rsid w:val="192A3BD9"/>
    <w:rsid w:val="19CAE486"/>
    <w:rsid w:val="1A072C8C"/>
    <w:rsid w:val="1A0FF517"/>
    <w:rsid w:val="1A61EA57"/>
    <w:rsid w:val="1AF0541E"/>
    <w:rsid w:val="1AFE0512"/>
    <w:rsid w:val="1CA4F2A2"/>
    <w:rsid w:val="1CEC2ED4"/>
    <w:rsid w:val="1E4B5E44"/>
    <w:rsid w:val="1F444D21"/>
    <w:rsid w:val="1F70DCAC"/>
    <w:rsid w:val="1F71931D"/>
    <w:rsid w:val="1FD9D719"/>
    <w:rsid w:val="20DDBDBB"/>
    <w:rsid w:val="21F99AB6"/>
    <w:rsid w:val="22371BA4"/>
    <w:rsid w:val="2346BE8F"/>
    <w:rsid w:val="23BE369F"/>
    <w:rsid w:val="23D5CE04"/>
    <w:rsid w:val="24A872A8"/>
    <w:rsid w:val="250DEE3A"/>
    <w:rsid w:val="25469008"/>
    <w:rsid w:val="2580B6FE"/>
    <w:rsid w:val="26C6B5CD"/>
    <w:rsid w:val="27A0BB73"/>
    <w:rsid w:val="28E236F0"/>
    <w:rsid w:val="28EA7A24"/>
    <w:rsid w:val="2943EC79"/>
    <w:rsid w:val="2A246961"/>
    <w:rsid w:val="2AA3009E"/>
    <w:rsid w:val="2B498FDB"/>
    <w:rsid w:val="2D3E3E7D"/>
    <w:rsid w:val="2DAEEDCE"/>
    <w:rsid w:val="2DD89568"/>
    <w:rsid w:val="2E2449C3"/>
    <w:rsid w:val="2FA148CD"/>
    <w:rsid w:val="30C70EC9"/>
    <w:rsid w:val="30E48E01"/>
    <w:rsid w:val="30FD9CC9"/>
    <w:rsid w:val="331FC477"/>
    <w:rsid w:val="33200DDE"/>
    <w:rsid w:val="336E2CF2"/>
    <w:rsid w:val="347C9F8F"/>
    <w:rsid w:val="34D1D1DB"/>
    <w:rsid w:val="373CB30E"/>
    <w:rsid w:val="38445FCF"/>
    <w:rsid w:val="38CA780D"/>
    <w:rsid w:val="39D0E7FE"/>
    <w:rsid w:val="39D2D61A"/>
    <w:rsid w:val="3A8E8CB8"/>
    <w:rsid w:val="3B960A6F"/>
    <w:rsid w:val="3BDFD341"/>
    <w:rsid w:val="3D59A861"/>
    <w:rsid w:val="3DA24AB4"/>
    <w:rsid w:val="3E27B06B"/>
    <w:rsid w:val="3ED97740"/>
    <w:rsid w:val="3EE63D56"/>
    <w:rsid w:val="3EE82A17"/>
    <w:rsid w:val="3F736AE6"/>
    <w:rsid w:val="4048B7C2"/>
    <w:rsid w:val="407F0F21"/>
    <w:rsid w:val="4082F972"/>
    <w:rsid w:val="431FB8A6"/>
    <w:rsid w:val="43F8006A"/>
    <w:rsid w:val="448C4EB2"/>
    <w:rsid w:val="458CCEA1"/>
    <w:rsid w:val="46390F1C"/>
    <w:rsid w:val="465643EF"/>
    <w:rsid w:val="4679C735"/>
    <w:rsid w:val="477DBF8F"/>
    <w:rsid w:val="48562F4C"/>
    <w:rsid w:val="486C567D"/>
    <w:rsid w:val="49871939"/>
    <w:rsid w:val="4A03FCF3"/>
    <w:rsid w:val="4AD74839"/>
    <w:rsid w:val="4B0BE913"/>
    <w:rsid w:val="4CEAD12F"/>
    <w:rsid w:val="4DDB59D6"/>
    <w:rsid w:val="4E04E6AE"/>
    <w:rsid w:val="4EAA0C16"/>
    <w:rsid w:val="4F92C343"/>
    <w:rsid w:val="4FBCE821"/>
    <w:rsid w:val="509D452C"/>
    <w:rsid w:val="51D673F3"/>
    <w:rsid w:val="53991C32"/>
    <w:rsid w:val="541B9542"/>
    <w:rsid w:val="552B094B"/>
    <w:rsid w:val="5610121C"/>
    <w:rsid w:val="569E7950"/>
    <w:rsid w:val="56DB1C80"/>
    <w:rsid w:val="57ECDB73"/>
    <w:rsid w:val="58D890E8"/>
    <w:rsid w:val="59304361"/>
    <w:rsid w:val="5998803C"/>
    <w:rsid w:val="5C256286"/>
    <w:rsid w:val="5CED0434"/>
    <w:rsid w:val="5DD91B7E"/>
    <w:rsid w:val="5E5A06C8"/>
    <w:rsid w:val="5F11A3AD"/>
    <w:rsid w:val="5F4C242E"/>
    <w:rsid w:val="5FCD68A3"/>
    <w:rsid w:val="60AFD419"/>
    <w:rsid w:val="60DBDBD0"/>
    <w:rsid w:val="6109FBBB"/>
    <w:rsid w:val="6137908B"/>
    <w:rsid w:val="616013F1"/>
    <w:rsid w:val="622AA8D2"/>
    <w:rsid w:val="62347ACB"/>
    <w:rsid w:val="62F92ED2"/>
    <w:rsid w:val="64B42C74"/>
    <w:rsid w:val="65C6BF1F"/>
    <w:rsid w:val="67594CA3"/>
    <w:rsid w:val="67B8CFB5"/>
    <w:rsid w:val="68A82BF8"/>
    <w:rsid w:val="68D7DC41"/>
    <w:rsid w:val="68F2A949"/>
    <w:rsid w:val="6A844092"/>
    <w:rsid w:val="6AC07234"/>
    <w:rsid w:val="6B26578A"/>
    <w:rsid w:val="6C4063CE"/>
    <w:rsid w:val="6D25E87A"/>
    <w:rsid w:val="6D46BC07"/>
    <w:rsid w:val="6D94C875"/>
    <w:rsid w:val="6E090F24"/>
    <w:rsid w:val="6E2E06D9"/>
    <w:rsid w:val="6E3190F7"/>
    <w:rsid w:val="710E8CA6"/>
    <w:rsid w:val="711D0EF0"/>
    <w:rsid w:val="71355EBC"/>
    <w:rsid w:val="720CB552"/>
    <w:rsid w:val="727D3FFA"/>
    <w:rsid w:val="73A87E09"/>
    <w:rsid w:val="73FE63A9"/>
    <w:rsid w:val="77A3D115"/>
    <w:rsid w:val="7826A80C"/>
    <w:rsid w:val="78A03F1E"/>
    <w:rsid w:val="7921F963"/>
    <w:rsid w:val="7969A6D2"/>
    <w:rsid w:val="7AD2B0ED"/>
    <w:rsid w:val="7CC1523F"/>
    <w:rsid w:val="7D744C0B"/>
    <w:rsid w:val="7ECF767F"/>
    <w:rsid w:val="7F3ADEE8"/>
    <w:rsid w:val="7F403BB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hyperlink" Target="mailto:2406341@student.uwtsd.ac.uk" TargetMode="External" Id="R42e5a3d1b8924302" /><Relationship Type="http://schemas.microsoft.com/office/2020/10/relationships/intelligence" Target="intelligence2.xml" Id="R9e1093c1b4c44209"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kruti Borad</lastModifiedBy>
  <revision>3</revision>
  <lastPrinted>2016-10-24T12:21:00.0000000Z</lastPrinted>
  <dcterms:created xsi:type="dcterms:W3CDTF">2023-09-12T14:06:00.0000000Z</dcterms:created>
  <dcterms:modified xsi:type="dcterms:W3CDTF">2025-08-22T18:04:38.0815368Z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