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540" w:firstLine="0"/>
        <w:jc w:val="center"/>
        <w:rPr>
          <w:b w:val="1"/>
          <w:sz w:val="32"/>
          <w:szCs w:val="32"/>
          <w:u w:val="single"/>
        </w:rPr>
      </w:pPr>
      <w:r w:rsidDel="00000000" w:rsidR="00000000" w:rsidRPr="00000000">
        <w:rPr>
          <w:b w:val="1"/>
          <w:sz w:val="32"/>
          <w:szCs w:val="32"/>
          <w:u w:val="single"/>
          <w:rtl w:val="0"/>
        </w:rPr>
        <w:t xml:space="preserve">Law and Criminology; Law and Policing; Policing and Criminology</w:t>
      </w:r>
    </w:p>
    <w:p w:rsidR="00000000" w:rsidDel="00000000" w:rsidP="00000000" w:rsidRDefault="00000000" w:rsidRPr="00000000" w14:paraId="00000002">
      <w:pPr>
        <w:ind w:left="540" w:firstLine="0"/>
        <w:jc w:val="center"/>
        <w:rPr>
          <w:b w:val="1"/>
          <w:sz w:val="32"/>
          <w:szCs w:val="32"/>
          <w:u w:val="single"/>
        </w:rPr>
      </w:pPr>
      <w:r w:rsidDel="00000000" w:rsidR="00000000" w:rsidRPr="00000000">
        <w:rPr>
          <w:rtl w:val="0"/>
        </w:rPr>
      </w:r>
    </w:p>
    <w:p w:rsidR="00000000" w:rsidDel="00000000" w:rsidP="00000000" w:rsidRDefault="00000000" w:rsidRPr="00000000" w14:paraId="00000003">
      <w:pPr>
        <w:ind w:left="540" w:firstLine="0"/>
        <w:jc w:val="center"/>
        <w:rPr>
          <w:b w:val="1"/>
          <w:sz w:val="32"/>
          <w:szCs w:val="32"/>
          <w:u w:val="single"/>
        </w:rPr>
      </w:pPr>
      <w:r w:rsidDel="00000000" w:rsidR="00000000" w:rsidRPr="00000000">
        <w:rPr>
          <w:rtl w:val="0"/>
        </w:rPr>
      </w:r>
    </w:p>
    <w:p w:rsidR="00000000" w:rsidDel="00000000" w:rsidP="00000000" w:rsidRDefault="00000000" w:rsidRPr="00000000" w14:paraId="00000004">
      <w:pPr>
        <w:ind w:left="540" w:firstLine="0"/>
        <w:jc w:val="center"/>
        <w:rPr>
          <w:b w:val="1"/>
          <w:sz w:val="28"/>
          <w:szCs w:val="28"/>
        </w:rPr>
      </w:pPr>
      <w:r w:rsidDel="00000000" w:rsidR="00000000" w:rsidRPr="00000000">
        <w:rPr>
          <w:rtl w:val="0"/>
        </w:rPr>
      </w:r>
    </w:p>
    <w:p w:rsidR="00000000" w:rsidDel="00000000" w:rsidP="00000000" w:rsidRDefault="00000000" w:rsidRPr="00000000" w14:paraId="00000005">
      <w:pPr>
        <w:ind w:left="540" w:firstLine="0"/>
        <w:jc w:val="center"/>
        <w:rPr>
          <w:b w:val="1"/>
          <w:sz w:val="28"/>
          <w:szCs w:val="28"/>
        </w:rPr>
      </w:pPr>
      <w:r w:rsidDel="00000000" w:rsidR="00000000" w:rsidRPr="00000000">
        <w:rPr>
          <w:rtl w:val="0"/>
        </w:rPr>
      </w:r>
    </w:p>
    <w:p w:rsidR="00000000" w:rsidDel="00000000" w:rsidP="00000000" w:rsidRDefault="00000000" w:rsidRPr="00000000" w14:paraId="00000006">
      <w:pPr>
        <w:rPr>
          <w:b w:val="1"/>
          <w:sz w:val="28"/>
          <w:szCs w:val="28"/>
        </w:rPr>
      </w:pPr>
      <w:r w:rsidDel="00000000" w:rsidR="00000000" w:rsidRPr="00000000">
        <w:rPr>
          <w:rtl w:val="0"/>
        </w:rPr>
      </w:r>
    </w:p>
    <w:p w:rsidR="00000000" w:rsidDel="00000000" w:rsidP="00000000" w:rsidRDefault="00000000" w:rsidRPr="00000000" w14:paraId="00000007">
      <w:pPr>
        <w:jc w:val="center"/>
        <w:rPr>
          <w:b w:val="1"/>
          <w:sz w:val="28"/>
          <w:szCs w:val="28"/>
        </w:rPr>
      </w:pPr>
      <w:r w:rsidDel="00000000" w:rsidR="00000000" w:rsidRPr="00000000">
        <w:rPr>
          <w:b w:val="1"/>
          <w:sz w:val="28"/>
          <w:szCs w:val="28"/>
          <w:rtl w:val="0"/>
        </w:rPr>
        <w:t xml:space="preserve">Module: Social Inclusion, Victimisation and Welfare</w:t>
      </w:r>
    </w:p>
    <w:p w:rsidR="00000000" w:rsidDel="00000000" w:rsidP="00000000" w:rsidRDefault="00000000" w:rsidRPr="00000000" w14:paraId="00000008">
      <w:pPr>
        <w:jc w:val="center"/>
        <w:rPr>
          <w:b w:val="1"/>
          <w:sz w:val="28"/>
          <w:szCs w:val="28"/>
        </w:rPr>
      </w:pPr>
      <w:r w:rsidDel="00000000" w:rsidR="00000000" w:rsidRPr="00000000">
        <w:rPr>
          <w:rtl w:val="0"/>
        </w:rPr>
      </w:r>
    </w:p>
    <w:p w:rsidR="00000000" w:rsidDel="00000000" w:rsidP="00000000" w:rsidRDefault="00000000" w:rsidRPr="00000000" w14:paraId="00000009">
      <w:pPr>
        <w:ind w:left="540" w:firstLine="0"/>
        <w:jc w:val="center"/>
        <w:rPr>
          <w:b w:val="1"/>
          <w:sz w:val="28"/>
          <w:szCs w:val="28"/>
        </w:rPr>
      </w:pPr>
      <w:r w:rsidDel="00000000" w:rsidR="00000000" w:rsidRPr="00000000">
        <w:rPr>
          <w:rtl w:val="0"/>
        </w:rPr>
      </w:r>
    </w:p>
    <w:p w:rsidR="00000000" w:rsidDel="00000000" w:rsidP="00000000" w:rsidRDefault="00000000" w:rsidRPr="00000000" w14:paraId="0000000A">
      <w:pPr>
        <w:ind w:left="540" w:firstLine="0"/>
        <w:jc w:val="center"/>
        <w:rPr>
          <w:b w:val="1"/>
          <w:sz w:val="28"/>
          <w:szCs w:val="28"/>
        </w:rPr>
      </w:pPr>
      <w:r w:rsidDel="00000000" w:rsidR="00000000" w:rsidRPr="00000000">
        <w:rPr>
          <w:rtl w:val="0"/>
        </w:rPr>
      </w:r>
    </w:p>
    <w:p w:rsidR="00000000" w:rsidDel="00000000" w:rsidP="00000000" w:rsidRDefault="00000000" w:rsidRPr="00000000" w14:paraId="0000000B">
      <w:pPr>
        <w:ind w:left="540" w:firstLine="0"/>
        <w:jc w:val="center"/>
        <w:rPr>
          <w:b w:val="1"/>
          <w:sz w:val="28"/>
          <w:szCs w:val="28"/>
        </w:rPr>
      </w:pPr>
      <w:r w:rsidDel="00000000" w:rsidR="00000000" w:rsidRPr="00000000">
        <w:rPr>
          <w:rtl w:val="0"/>
        </w:rPr>
      </w:r>
    </w:p>
    <w:p w:rsidR="00000000" w:rsidDel="00000000" w:rsidP="00000000" w:rsidRDefault="00000000" w:rsidRPr="00000000" w14:paraId="0000000C">
      <w:pPr>
        <w:ind w:left="540" w:firstLine="0"/>
        <w:jc w:val="center"/>
        <w:rPr>
          <w:b w:val="1"/>
          <w:sz w:val="28"/>
          <w:szCs w:val="28"/>
        </w:rPr>
      </w:pPr>
      <w:r w:rsidDel="00000000" w:rsidR="00000000" w:rsidRPr="00000000">
        <w:rPr>
          <w:rtl w:val="0"/>
        </w:rPr>
      </w:r>
    </w:p>
    <w:p w:rsidR="00000000" w:rsidDel="00000000" w:rsidP="00000000" w:rsidRDefault="00000000" w:rsidRPr="00000000" w14:paraId="0000000D">
      <w:pPr>
        <w:ind w:left="540" w:firstLine="0"/>
        <w:jc w:val="center"/>
        <w:rPr>
          <w:b w:val="1"/>
          <w:sz w:val="28"/>
          <w:szCs w:val="28"/>
        </w:rPr>
      </w:pPr>
      <w:r w:rsidDel="00000000" w:rsidR="00000000" w:rsidRPr="00000000">
        <w:rPr>
          <w:rtl w:val="0"/>
        </w:rPr>
      </w:r>
    </w:p>
    <w:p w:rsidR="00000000" w:rsidDel="00000000" w:rsidP="00000000" w:rsidRDefault="00000000" w:rsidRPr="00000000" w14:paraId="0000000E">
      <w:pPr>
        <w:ind w:left="540" w:firstLine="0"/>
        <w:jc w:val="center"/>
        <w:rPr>
          <w:b w:val="1"/>
          <w:sz w:val="28"/>
          <w:szCs w:val="28"/>
        </w:rPr>
      </w:pPr>
      <w:r w:rsidDel="00000000" w:rsidR="00000000" w:rsidRPr="00000000">
        <w:rPr>
          <w:b w:val="1"/>
          <w:sz w:val="28"/>
          <w:szCs w:val="28"/>
          <w:rtl w:val="0"/>
        </w:rPr>
        <w:t xml:space="preserve">Date: 27/10/2021</w:t>
      </w:r>
    </w:p>
    <w:p w:rsidR="00000000" w:rsidDel="00000000" w:rsidP="00000000" w:rsidRDefault="00000000" w:rsidRPr="00000000" w14:paraId="0000000F">
      <w:pPr>
        <w:jc w:val="center"/>
        <w:rPr>
          <w:b w:val="1"/>
          <w:sz w:val="28"/>
          <w:szCs w:val="28"/>
        </w:rPr>
      </w:pPr>
      <w:r w:rsidDel="00000000" w:rsidR="00000000" w:rsidRPr="00000000">
        <w:rPr>
          <w:rtl w:val="0"/>
        </w:rPr>
      </w:r>
    </w:p>
    <w:p w:rsidR="00000000" w:rsidDel="00000000" w:rsidP="00000000" w:rsidRDefault="00000000" w:rsidRPr="00000000" w14:paraId="00000010">
      <w:pPr>
        <w:jc w:val="center"/>
        <w:rPr>
          <w:b w:val="1"/>
          <w:sz w:val="28"/>
          <w:szCs w:val="28"/>
        </w:rPr>
      </w:pPr>
      <w:r w:rsidDel="00000000" w:rsidR="00000000" w:rsidRPr="00000000">
        <w:rPr>
          <w:rtl w:val="0"/>
        </w:rPr>
      </w:r>
    </w:p>
    <w:p w:rsidR="00000000" w:rsidDel="00000000" w:rsidP="00000000" w:rsidRDefault="00000000" w:rsidRPr="00000000" w14:paraId="00000011">
      <w:pPr>
        <w:jc w:val="center"/>
        <w:rPr>
          <w:b w:val="1"/>
          <w:sz w:val="28"/>
          <w:szCs w:val="28"/>
        </w:rPr>
      </w:pPr>
      <w:r w:rsidDel="00000000" w:rsidR="00000000" w:rsidRPr="00000000">
        <w:rPr>
          <w:rtl w:val="0"/>
        </w:rPr>
      </w:r>
    </w:p>
    <w:p w:rsidR="00000000" w:rsidDel="00000000" w:rsidP="00000000" w:rsidRDefault="00000000" w:rsidRPr="00000000" w14:paraId="00000012">
      <w:pPr>
        <w:jc w:val="center"/>
        <w:rPr>
          <w:b w:val="1"/>
          <w:sz w:val="28"/>
          <w:szCs w:val="28"/>
        </w:rPr>
      </w:pPr>
      <w:r w:rsidDel="00000000" w:rsidR="00000000" w:rsidRPr="00000000">
        <w:rPr>
          <w:rtl w:val="0"/>
        </w:rPr>
      </w:r>
    </w:p>
    <w:p w:rsidR="00000000" w:rsidDel="00000000" w:rsidP="00000000" w:rsidRDefault="00000000" w:rsidRPr="00000000" w14:paraId="00000013">
      <w:pPr>
        <w:jc w:val="center"/>
        <w:rPr>
          <w:b w:val="1"/>
          <w:sz w:val="28"/>
          <w:szCs w:val="28"/>
        </w:rPr>
      </w:pPr>
      <w:r w:rsidDel="00000000" w:rsidR="00000000" w:rsidRPr="00000000">
        <w:rPr>
          <w:rtl w:val="0"/>
        </w:rPr>
      </w:r>
    </w:p>
    <w:p w:rsidR="00000000" w:rsidDel="00000000" w:rsidP="00000000" w:rsidRDefault="00000000" w:rsidRPr="00000000" w14:paraId="00000014">
      <w:pPr>
        <w:jc w:val="center"/>
        <w:rPr>
          <w:b w:val="1"/>
          <w:sz w:val="28"/>
          <w:szCs w:val="28"/>
        </w:rPr>
      </w:pPr>
      <w:r w:rsidDel="00000000" w:rsidR="00000000" w:rsidRPr="00000000">
        <w:rPr>
          <w:b w:val="1"/>
          <w:sz w:val="28"/>
          <w:szCs w:val="28"/>
          <w:rtl w:val="0"/>
        </w:rPr>
        <w:t xml:space="preserve">Student ID/ number: Dariel Tunay/ 1900875</w:t>
      </w:r>
    </w:p>
    <w:p w:rsidR="00000000" w:rsidDel="00000000" w:rsidP="00000000" w:rsidRDefault="00000000" w:rsidRPr="00000000" w14:paraId="00000015">
      <w:pPr>
        <w:jc w:val="center"/>
        <w:rPr>
          <w:b w:val="1"/>
          <w:sz w:val="28"/>
          <w:szCs w:val="28"/>
        </w:rPr>
      </w:pPr>
      <w:r w:rsidDel="00000000" w:rsidR="00000000" w:rsidRPr="00000000">
        <w:rPr>
          <w:rtl w:val="0"/>
        </w:rPr>
      </w:r>
    </w:p>
    <w:p w:rsidR="00000000" w:rsidDel="00000000" w:rsidP="00000000" w:rsidRDefault="00000000" w:rsidRPr="00000000" w14:paraId="00000016">
      <w:pPr>
        <w:jc w:val="center"/>
        <w:rPr>
          <w:b w:val="1"/>
          <w:sz w:val="28"/>
          <w:szCs w:val="28"/>
        </w:rPr>
      </w:pPr>
      <w:r w:rsidDel="00000000" w:rsidR="00000000" w:rsidRPr="00000000">
        <w:rPr>
          <w:rtl w:val="0"/>
        </w:rPr>
      </w:r>
    </w:p>
    <w:p w:rsidR="00000000" w:rsidDel="00000000" w:rsidP="00000000" w:rsidRDefault="00000000" w:rsidRPr="00000000" w14:paraId="00000017">
      <w:pPr>
        <w:jc w:val="center"/>
        <w:rPr>
          <w:b w:val="1"/>
          <w:sz w:val="28"/>
          <w:szCs w:val="28"/>
        </w:rPr>
      </w:pPr>
      <w:r w:rsidDel="00000000" w:rsidR="00000000" w:rsidRPr="00000000">
        <w:rPr>
          <w:rtl w:val="0"/>
        </w:rPr>
      </w:r>
    </w:p>
    <w:p w:rsidR="00000000" w:rsidDel="00000000" w:rsidP="00000000" w:rsidRDefault="00000000" w:rsidRPr="00000000" w14:paraId="00000018">
      <w:pPr>
        <w:jc w:val="center"/>
        <w:rPr>
          <w:b w:val="1"/>
          <w:sz w:val="28"/>
          <w:szCs w:val="28"/>
        </w:rPr>
      </w:pPr>
      <w:r w:rsidDel="00000000" w:rsidR="00000000" w:rsidRPr="00000000">
        <w:rPr>
          <w:rtl w:val="0"/>
        </w:rPr>
      </w:r>
    </w:p>
    <w:p w:rsidR="00000000" w:rsidDel="00000000" w:rsidP="00000000" w:rsidRDefault="00000000" w:rsidRPr="00000000" w14:paraId="00000019">
      <w:pPr>
        <w:jc w:val="center"/>
        <w:rPr>
          <w:b w:val="1"/>
          <w:sz w:val="28"/>
          <w:szCs w:val="28"/>
        </w:rPr>
      </w:pPr>
      <w:r w:rsidDel="00000000" w:rsidR="00000000" w:rsidRPr="00000000">
        <w:rPr>
          <w:rtl w:val="0"/>
        </w:rPr>
      </w:r>
    </w:p>
    <w:p w:rsidR="00000000" w:rsidDel="00000000" w:rsidP="00000000" w:rsidRDefault="00000000" w:rsidRPr="00000000" w14:paraId="0000001A">
      <w:pPr>
        <w:jc w:val="center"/>
        <w:rPr>
          <w:b w:val="1"/>
          <w:sz w:val="28"/>
          <w:szCs w:val="28"/>
        </w:rPr>
      </w:pPr>
      <w:r w:rsidDel="00000000" w:rsidR="00000000" w:rsidRPr="00000000">
        <w:rPr>
          <w:b w:val="1"/>
          <w:sz w:val="28"/>
          <w:szCs w:val="28"/>
          <w:rtl w:val="0"/>
        </w:rPr>
        <w:t xml:space="preserve">Lecturer: Janes Thomas</w:t>
      </w:r>
    </w:p>
    <w:p w:rsidR="00000000" w:rsidDel="00000000" w:rsidP="00000000" w:rsidRDefault="00000000" w:rsidRPr="00000000" w14:paraId="0000001B">
      <w:pPr>
        <w:jc w:val="center"/>
        <w:rPr>
          <w:b w:val="1"/>
          <w:sz w:val="28"/>
          <w:szCs w:val="28"/>
        </w:rPr>
      </w:pPr>
      <w:r w:rsidDel="00000000" w:rsidR="00000000" w:rsidRPr="00000000">
        <w:rPr>
          <w:rtl w:val="0"/>
        </w:rPr>
      </w:r>
    </w:p>
    <w:p w:rsidR="00000000" w:rsidDel="00000000" w:rsidP="00000000" w:rsidRDefault="00000000" w:rsidRPr="00000000" w14:paraId="0000001C">
      <w:pPr>
        <w:jc w:val="center"/>
        <w:rPr>
          <w:b w:val="1"/>
          <w:sz w:val="28"/>
          <w:szCs w:val="28"/>
        </w:rPr>
      </w:pPr>
      <w:r w:rsidDel="00000000" w:rsidR="00000000" w:rsidRPr="00000000">
        <w:rPr>
          <w:rtl w:val="0"/>
        </w:rPr>
      </w:r>
    </w:p>
    <w:p w:rsidR="00000000" w:rsidDel="00000000" w:rsidP="00000000" w:rsidRDefault="00000000" w:rsidRPr="00000000" w14:paraId="0000001D">
      <w:pPr>
        <w:jc w:val="center"/>
        <w:rPr>
          <w:b w:val="1"/>
          <w:sz w:val="28"/>
          <w:szCs w:val="28"/>
        </w:rPr>
      </w:pPr>
      <w:r w:rsidDel="00000000" w:rsidR="00000000" w:rsidRPr="00000000">
        <w:rPr>
          <w:rtl w:val="0"/>
        </w:rPr>
      </w:r>
    </w:p>
    <w:p w:rsidR="00000000" w:rsidDel="00000000" w:rsidP="00000000" w:rsidRDefault="00000000" w:rsidRPr="00000000" w14:paraId="0000001E">
      <w:pPr>
        <w:jc w:val="center"/>
        <w:rPr>
          <w:b w:val="1"/>
          <w:sz w:val="28"/>
          <w:szCs w:val="28"/>
        </w:rPr>
      </w:pPr>
      <w:r w:rsidDel="00000000" w:rsidR="00000000" w:rsidRPr="00000000">
        <w:rPr>
          <w:rtl w:val="0"/>
        </w:rPr>
      </w:r>
    </w:p>
    <w:p w:rsidR="00000000" w:rsidDel="00000000" w:rsidP="00000000" w:rsidRDefault="00000000" w:rsidRPr="00000000" w14:paraId="0000001F">
      <w:pPr>
        <w:jc w:val="center"/>
        <w:rPr>
          <w:b w:val="1"/>
          <w:sz w:val="28"/>
          <w:szCs w:val="28"/>
        </w:rPr>
      </w:pPr>
      <w:r w:rsidDel="00000000" w:rsidR="00000000" w:rsidRPr="00000000">
        <w:rPr>
          <w:rtl w:val="0"/>
        </w:rPr>
      </w:r>
    </w:p>
    <w:p w:rsidR="00000000" w:rsidDel="00000000" w:rsidP="00000000" w:rsidRDefault="00000000" w:rsidRPr="00000000" w14:paraId="00000020">
      <w:pPr>
        <w:jc w:val="center"/>
        <w:rPr>
          <w:b w:val="1"/>
          <w:sz w:val="28"/>
          <w:szCs w:val="28"/>
        </w:rPr>
      </w:pPr>
      <w:r w:rsidDel="00000000" w:rsidR="00000000" w:rsidRPr="00000000">
        <w:rPr>
          <w:b w:val="1"/>
          <w:sz w:val="28"/>
          <w:szCs w:val="28"/>
          <w:rtl w:val="0"/>
        </w:rPr>
        <w:t xml:space="preserve">Module code:  BMLW6001</w:t>
      </w:r>
    </w:p>
    <w:p w:rsidR="00000000" w:rsidDel="00000000" w:rsidP="00000000" w:rsidRDefault="00000000" w:rsidRPr="00000000" w14:paraId="00000021">
      <w:pPr>
        <w:jc w:val="center"/>
        <w:rPr>
          <w:b w:val="1"/>
          <w:sz w:val="28"/>
          <w:szCs w:val="28"/>
        </w:rPr>
      </w:pPr>
      <w:r w:rsidDel="00000000" w:rsidR="00000000" w:rsidRPr="00000000">
        <w:rPr>
          <w:rtl w:val="0"/>
        </w:rPr>
      </w:r>
    </w:p>
    <w:p w:rsidR="00000000" w:rsidDel="00000000" w:rsidP="00000000" w:rsidRDefault="00000000" w:rsidRPr="00000000" w14:paraId="00000022">
      <w:pPr>
        <w:jc w:val="center"/>
        <w:rPr>
          <w:b w:val="1"/>
          <w:sz w:val="28"/>
          <w:szCs w:val="28"/>
          <w:u w:val="single"/>
        </w:rPr>
      </w:pPr>
      <w:r w:rsidDel="00000000" w:rsidR="00000000" w:rsidRPr="00000000">
        <w:rPr>
          <w:b w:val="1"/>
          <w:sz w:val="28"/>
          <w:szCs w:val="28"/>
          <w:u w:val="single"/>
          <w:rtl w:val="0"/>
        </w:rPr>
        <w:t xml:space="preserve">Critically evaluate how the Criminal Justice System responds to victims of crime</w:t>
      </w:r>
    </w:p>
    <w:p w:rsidR="00000000" w:rsidDel="00000000" w:rsidP="00000000" w:rsidRDefault="00000000" w:rsidRPr="00000000" w14:paraId="00000023">
      <w:pPr>
        <w:spacing w:line="480" w:lineRule="auto"/>
        <w:rPr>
          <w:sz w:val="24"/>
          <w:szCs w:val="24"/>
        </w:rPr>
      </w:pPr>
      <w:r w:rsidDel="00000000" w:rsidR="00000000" w:rsidRPr="00000000">
        <w:rPr>
          <w:rtl w:val="0"/>
        </w:rPr>
      </w:r>
    </w:p>
    <w:p w:rsidR="00000000" w:rsidDel="00000000" w:rsidP="00000000" w:rsidRDefault="00000000" w:rsidRPr="00000000" w14:paraId="00000024">
      <w:pPr>
        <w:spacing w:line="480" w:lineRule="auto"/>
        <w:rPr>
          <w:sz w:val="24"/>
          <w:szCs w:val="24"/>
        </w:rPr>
      </w:pPr>
      <w:r w:rsidDel="00000000" w:rsidR="00000000" w:rsidRPr="00000000">
        <w:rPr>
          <w:sz w:val="24"/>
          <w:szCs w:val="24"/>
          <w:rtl w:val="0"/>
        </w:rPr>
        <w:tab/>
        <w:t xml:space="preserve">The criminal justice system within the UK has a set of procedures in order to maintain stability within communities and this is why laws are in place. Tiwari (2017) explains that the laws in place act as a code of conduct for citizens and a guide to appropriate behavior for them to follow. The law is required to maintain community equality and balance. Many people assume that a society free of laws would be chaotic. Barton and Johns (2012) state that the criminal justice system which is in place is supposed to be fair and contain policies to separate those who break the law and those who are victims of a criminal act. It is important to know all aspects of the criminal justice system in order to know how they respond to victims of crime and whether they do it objectively and treat everyone fairly to get justice. CJP (2017) outlines that to understand the victim, as well as the criminals, is called 'Victimology. There are four key systems within the criminal justice system which are the police, court, penal system, and lastly crime prevention. Crowder et. al. (2013) suggests that each key system has a major role in how they process a person who has committed a crime such as the police making the arrest and investigating the crime to prepare them for the court where they will be given a sentence depending on the severity of the crime and the number of laws broken. The key systems are also there to show how they can help the victim, using their evidence and statements to not falsely accuse anyone and the right person is prosecuted. The key systems are also there in place in order to help the victims have a say in their safety and are always informed in order for them to feel protected by the law and relieved from the situation, unworried and therefore able to go on with their normal life. However, there are arguments as to whether there is enough done for the victims of crime and also whether a criminal themself can be a victim. In order to critically evaluate how the criminal justice system responds to victims of crime the use of statistics and looking into what factors make them a victim must be explored. An example may be their past or what they grew up around, it can possibly show what society or the criminal justice system may have failed at which led them to the path they have taken. Also looking into the victim's mental state, criminal and non-criminal may help look into and see what they may have previously felt or currently feel and therefore can get a better understanding of how victims feel by committing or suffering from a criminal action. By taking into consideration many factors such as their past, surroundings, and even their mental state before, during, and after the incident could possibly give the criminal justice system a new perspective or understanding on how to respond to victims of crime, learning from the mistakes made in the past as some people can truly be damaged from what happened to them, how it affects their life, their community and those close to them.</w:t>
      </w:r>
    </w:p>
    <w:p w:rsidR="00000000" w:rsidDel="00000000" w:rsidP="00000000" w:rsidRDefault="00000000" w:rsidRPr="00000000" w14:paraId="00000025">
      <w:pPr>
        <w:spacing w:line="480" w:lineRule="auto"/>
        <w:rPr>
          <w:sz w:val="24"/>
          <w:szCs w:val="24"/>
        </w:rPr>
      </w:pPr>
      <w:r w:rsidDel="00000000" w:rsidR="00000000" w:rsidRPr="00000000">
        <w:rPr>
          <w:sz w:val="24"/>
          <w:szCs w:val="24"/>
          <w:rtl w:val="0"/>
        </w:rPr>
        <w:tab/>
        <w:t xml:space="preserve">Throughout the years there have been many cases that show how the criminal justice system responds to victims of crime, no matter how serious the crime may be, and for every crime, there will also be a victim. To understand how the United Kingdom critically evaluates how the Criminal Justice System responds to victims of crime is by looking into ‘Victimology' and recognising the process, system, and idea of the laws that are present, which are there to help them. LTD (2021) mentions that laws dictate that victims of crime attain justice and that the perpetrators are punished accordingly through these systems. The ultimate objective is to rehabilitate offenders so that they are ready to reintegrate into society and to lower overall crime itself as well as the reoffending rates. On the other hand how effective these laws and systems are could be the issue, as every person and situation may vary, thus requiring alternative solutions to resolve any certain issue. Clevenger (2018) explains what ‘Victimology’ is and it is, knowing why some people are more vulnerable to experience being a victim than others. There can be many factors why victims can be victims, depending on the type of experience they have in life whether it be growing up or what they have witnessed, it can even depend on the area they live or grew up in. It is also important to understand the victims of crime as well as the nature of criminals. Most of the time the criminal would be assessed on their behaviour and the victim would not be looked into as much, this could affect some people drastically. An example of this is the case study Stanford Rape case in 2015. Potter et al. (2017) address that Emily Doe was sexually assaulted by Brock Turner and he was convicted of three felonies. This case was taken to court where </w:t>
      </w:r>
      <w:r w:rsidDel="00000000" w:rsidR="00000000" w:rsidRPr="00000000">
        <w:rPr>
          <w:sz w:val="24"/>
          <w:szCs w:val="24"/>
          <w:rtl w:val="0"/>
        </w:rPr>
        <w:t xml:space="preserve">Doe’s</w:t>
      </w:r>
      <w:r w:rsidDel="00000000" w:rsidR="00000000" w:rsidRPr="00000000">
        <w:rPr>
          <w:sz w:val="24"/>
          <w:szCs w:val="24"/>
          <w:rtl w:val="0"/>
        </w:rPr>
        <w:t xml:space="preserve"> personal statement was readout. During court, Turner's lawyers tried defending him by questioning Doe. She was asked questions about what she was wearing on the night of her rape, how much did she drink, did she flirt with Turner, do you remember saying “no’, “you said you were a party animal”, do you have a history of cheating, these questions were used by the lawyer to pressure her in order to get Brocks sentenced reduced. In this case, it worked as Brock was only in prison for 3 months and was released back into society. The victim's personal statement is a criminal justice system strategy that allows victims to talk out in court about how the offender harmed them and what the victim felt. Emily Doe gave a Victim personal statement during court to allow others to see and hear how the rape affected her explaining she was scared it would happen again. Brock only got three months in prison, which shows that the Victim's personal statement did not change the jury's mind nor the judge's. This causes questions to the public and those who are similarly affected, whether the criminal justice system does enough for the victim as an incident like this can emotionally scar Emily Doe for life and the pressure she received from the lawyers and the sentence passed was not seen as justice in Emily’s and many other people’s eyes, as the sentence did not fit the crime. There are many theories of victimology and Emily Doe was the victim of ‘lifestyle theory’ as GCU (2019) comments these types of people are more likely to become victims due to their lifestyles and decisions, therefore they are more likely to become victims of crime. Emily is an example as she was intoxicated and alone in a dangerous location at night, therefore, being vulnerable for anyone to take advantage of her. </w:t>
      </w:r>
    </w:p>
    <w:p w:rsidR="00000000" w:rsidDel="00000000" w:rsidP="00000000" w:rsidRDefault="00000000" w:rsidRPr="00000000" w14:paraId="00000026">
      <w:pPr>
        <w:spacing w:line="480" w:lineRule="auto"/>
        <w:rPr>
          <w:sz w:val="24"/>
          <w:szCs w:val="24"/>
        </w:rPr>
      </w:pPr>
      <w:r w:rsidDel="00000000" w:rsidR="00000000" w:rsidRPr="00000000">
        <w:rPr>
          <w:sz w:val="24"/>
          <w:szCs w:val="24"/>
          <w:rtl w:val="0"/>
        </w:rPr>
        <w:t xml:space="preserve">There are three other theories along with the ‘lifestyle’ theory and these are ‘victim precipitation’, ’deviant place theory', and ‘routine activities theory’. Routine activities theory is similar to Lifestyle theory as Mustainne et al. (2000) states that Routine activity theory and Lifestyle theory are similar in that they both look at victimization through the perspective of a determined criminal, an appealing target/victim, vulnerable with no one around them. The distinction between both theories is that lifestyle views risk in more terms of probability, whereas routine activity theory focuses on the victimization event itself. In basic terms, the main difference with routine theory is where a possible victim does not avoid dangerous and rundown areas where the crime rates are higher, therefore by constantly being in that area the likelihood of them being a victim is higher. The third theory of victimology is ‘Deviant Place Theory’ also has links with the other two theories whereas a person is more likely to be victimized in run-down areas where crime rates are higher. The difference this theory has with the other two is location, Sampson et al. (1990) Less developed areas where there seem to be poorer homes are more likely to be located in or near dangerous sections of the city, and people from low financial situations are less able to just walk away from these places. Statistics that Cuthbertson (2018) showed the number of offenses is forty-six percent higher and widespread in deprived locations and the statistics for crime rate is even higher up to ninety-five percent more likely to occur in these deprived areas and therefore due to all the crime people are three times more likely to be injured compared to a more urban part of the city. Living in a deprived area has a lot of disadvantages especially being a single parent or guardian, earning money is difficult which leads some people to make desperate decisions. This is where usual social workers would come to visit every so often in order to check up that everything is up to standard. A case study where a social worker failed to help a single mother get her killed. Shepka (2019) reports that Emma Day was a victim of the social workers and child maintenance who did not do much to help her even though she was reporting to them that her abusive ex-partner was threatening her which led to her death. Being a social worker plays an important role in people's lives as their job can potentially save them from going down the wrong path. The last theory is ‘victim precipitation’ Lasky (2019) articulates that in most cases it would be a hate crime and can even occur in group activities where people may have strong feelings and therefore disagree and provoke with one another. So it is usually where the perpetrator would instigate a criminal action to a victim due to their characteristics, for instance, "In 1971, female rape victims often contribute to their attacks by... pursuing a relationship with the rapist." (Amir, 1968). Suggesting that due to a women's characteristic of going after men who are likely to commit rape they are therefore more likely to be a victim of rape. </w:t>
      </w:r>
    </w:p>
    <w:p w:rsidR="00000000" w:rsidDel="00000000" w:rsidP="00000000" w:rsidRDefault="00000000" w:rsidRPr="00000000" w14:paraId="00000027">
      <w:pPr>
        <w:spacing w:line="480" w:lineRule="auto"/>
        <w:rPr>
          <w:sz w:val="24"/>
          <w:szCs w:val="24"/>
        </w:rPr>
      </w:pPr>
      <w:r w:rsidDel="00000000" w:rsidR="00000000" w:rsidRPr="00000000">
        <w:rPr>
          <w:sz w:val="24"/>
          <w:szCs w:val="24"/>
          <w:rtl w:val="0"/>
        </w:rPr>
        <w:t xml:space="preserve">This case study with ‘Watcharaporn Nantahkhum’ is looking into the past of the criminal and whether at some point in their lives they were a victim and does it have any correlation to how they became a criminal in the present. Her case in Australia caused a huge debate about how severe her sentence was going to be. As stated by Baxter (2020) during the trial the distinction between victimization and criminalization is becoming increasingly uncertain but ultimately she was criminally charged, as she should have known what it was like to have been a victim of this crime and therefore had knowledge of the pain, discomfort, and lack of freedom the women she hired. According to Anti Slavery Australia (2013), Nantahkhum got prosecuted for being in the sex slavery industry. As when she migrated to Australia in 2004 she recruited and took advantage of women from Thailand to work for her while she made a profit. However, before she became a criminal herself Baxter (2019) states that she was a victim of the same industry she got prosecuted for, as she was sold into the sex industry at seventeen years old by her mother to earn money and support the family back home in Thailand. This shows that some criminals may have led into their path due to unfortunate circumstances and the chain of abuse she received while growing up did not teach her any better and therefore that can't be helped which affects them mentally. This is what happened to Nantahkhum being part of a victimless crime which led to her being a criminal. She is one of many examples of being in a chain of abuse, Riggs (2010) comments that the childhood trauma, emotional abuse they experience affect them emotionally and mentally to how they approach everything in their life. By experiencing a bad childhood this is what Nantahkhum is used to and grew around and therefore and therefore carried it forward as she grew older. Nantahkhum is a good example that some criminals may have been victims in the past who have altered their lives for the worse. Nantahkhum was part of a ‘Victimless crime’. As stated by Meier et al. (1997) victimless crime is illegal to conduct in which only the criminal is involved or happens amongst consenting parties. Examples of this are prostitution, euthanasia, drug use, and fraud. </w:t>
      </w:r>
    </w:p>
    <w:p w:rsidR="00000000" w:rsidDel="00000000" w:rsidP="00000000" w:rsidRDefault="00000000" w:rsidRPr="00000000" w14:paraId="00000028">
      <w:pPr>
        <w:spacing w:line="480" w:lineRule="auto"/>
        <w:rPr>
          <w:sz w:val="24"/>
          <w:szCs w:val="24"/>
        </w:rPr>
      </w:pPr>
      <w:r w:rsidDel="00000000" w:rsidR="00000000" w:rsidRPr="00000000">
        <w:rPr>
          <w:sz w:val="24"/>
          <w:szCs w:val="24"/>
          <w:rtl w:val="0"/>
        </w:rPr>
        <w:t xml:space="preserve">A big recommendation that would help reduce victimization is reducing crime in the first place. Clarke (2021) comments that the budget of the criminal justice system in the United Kingdom is eight billion pounds. If there were to be a reduction in crime rates it would mean less money spend on the four systems and into other aspects of the country such as helping rebuild the rundown areas which could in the long term reduce crime levels, as if one of the problems of crime rate being so high is in deprived areas and rebuilding them would be an efficient solution for future plans. </w:t>
      </w:r>
    </w:p>
    <w:p w:rsidR="00000000" w:rsidDel="00000000" w:rsidP="00000000" w:rsidRDefault="00000000" w:rsidRPr="00000000" w14:paraId="00000029">
      <w:pPr>
        <w:spacing w:line="480" w:lineRule="auto"/>
        <w:rPr>
          <w:sz w:val="24"/>
          <w:szCs w:val="24"/>
        </w:rPr>
      </w:pPr>
      <w:r w:rsidDel="00000000" w:rsidR="00000000" w:rsidRPr="00000000">
        <w:rPr>
          <w:sz w:val="24"/>
          <w:szCs w:val="24"/>
          <w:rtl w:val="0"/>
        </w:rPr>
        <w:t xml:space="preserve">To sum up, everything that has been stated, the evaluation of how the criminal justice system responds to the victims of crime is critically flawed in some aspects. There are many situations where the victims are overlooked and the perpetrator would be the main focus of the situation. This happens to many people where they don’t get the justice and help required from the criminal justice system and a good example was the Stanford case where Emily Doe was raped and sexually assaulted by Brock Turner. In this situation, the criminal justice system did not help this victim much at all, even though the perpetrator was caught the way it was handled did not favour the victim. The multiple flaws were that the victim did not get a chance to be anonymous and was all over the news. She was pressured with tricky questions in court by Turner's lawyers in order for him not to look as bad. Her personal statement did not sway the jury as Turner only served three months in jail and three years of probation. Another flaw yet again was Turner's family was wealthy and he was a prospect as swimming qualifying for the Olympics if the criminal justice system did do enough for the victims the problems of cost should not be a problem in order to get justice for what has been done to them. Money, Status, and Power still have influence over those who are not as fortunate in court and can ultimately lead to injustice. Alternatively, it can be argued victimization is a vast subject and has existed for a long time and this is what prevents some people who are potential victims from coming forward due to being scared and embarrassed. Solutions that would favour the victim would bring them safety and confidence rather than hiding and not getting justice for what has been done to them. The understanding of victimology gives a basis for how the criminal justice system should approach and handle certain crimes and victims. Doing this gives more comfort and safety to the victims and handles each case accordingly. However, there are circumstances that can’t be helped by people. Some members of the public service may not even be doing their job to a good enough standard which causes difficulties as some people look up to the law and if they believe they can’t help no one can. There are still many complications when dealing with victims as some people can be troublesome and problematic or don’t listen and therefore make it harder for the public services who are trying to help, which is why dealing with victims can be a long and difficult process. The criminal justice system has a lot to deal with in countries with a problem of the budget not being enough to do more, there are always issues and victims have not become a big problem needing new innovative ideas in order to make people feel safe and to trust the law. Pope et al. (2021) state the government is altering the criminal justice system in significant ways such as increasing the budget for the criminal justice system which means more rehabilitation programs for criminals and victims. Increased funding means an increase in social care workers to help set the path for the less fortunate in order to guide them away from a life of crime. More budget into education by teaching young and older generations how to avoid being a potential victim such as staying with groups in dark and dangerous places or noticing the routines where people are most likely to be a victim of crime. </w:t>
      </w:r>
    </w:p>
    <w:p w:rsidR="00000000" w:rsidDel="00000000" w:rsidP="00000000" w:rsidRDefault="00000000" w:rsidRPr="00000000" w14:paraId="0000002A">
      <w:pPr>
        <w:spacing w:line="480" w:lineRule="auto"/>
        <w:ind w:firstLine="720"/>
        <w:rPr>
          <w:sz w:val="24"/>
          <w:szCs w:val="24"/>
        </w:rPr>
      </w:pPr>
      <w:r w:rsidDel="00000000" w:rsidR="00000000" w:rsidRPr="00000000">
        <w:rPr>
          <w:rtl w:val="0"/>
        </w:rPr>
      </w:r>
    </w:p>
    <w:p w:rsidR="00000000" w:rsidDel="00000000" w:rsidP="00000000" w:rsidRDefault="00000000" w:rsidRPr="00000000" w14:paraId="0000002B">
      <w:pPr>
        <w:rPr>
          <w:b w:val="1"/>
          <w:sz w:val="32"/>
          <w:szCs w:val="32"/>
          <w:u w:val="single"/>
        </w:rPr>
      </w:pPr>
      <w:r w:rsidDel="00000000" w:rsidR="00000000" w:rsidRPr="00000000">
        <w:rPr>
          <w:rtl w:val="0"/>
        </w:rPr>
      </w:r>
    </w:p>
    <w:p w:rsidR="00000000" w:rsidDel="00000000" w:rsidP="00000000" w:rsidRDefault="00000000" w:rsidRPr="00000000" w14:paraId="0000002C">
      <w:pPr>
        <w:ind w:left="0" w:firstLine="0"/>
        <w:rPr>
          <w:color w:val="ff0000"/>
          <w:sz w:val="26"/>
          <w:szCs w:val="26"/>
        </w:rPr>
      </w:pPr>
      <w:r w:rsidDel="00000000" w:rsidR="00000000" w:rsidRPr="00000000">
        <w:rPr>
          <w:rtl w:val="0"/>
        </w:rPr>
      </w:r>
    </w:p>
    <w:p w:rsidR="00000000" w:rsidDel="00000000" w:rsidP="00000000" w:rsidRDefault="00000000" w:rsidRPr="00000000" w14:paraId="0000002D">
      <w:pPr>
        <w:ind w:left="720" w:firstLine="0"/>
        <w:rPr>
          <w:color w:val="ff0000"/>
          <w:sz w:val="26"/>
          <w:szCs w:val="26"/>
        </w:rPr>
      </w:pPr>
      <w:r w:rsidDel="00000000" w:rsidR="00000000" w:rsidRPr="00000000">
        <w:rPr>
          <w:rtl w:val="0"/>
        </w:rPr>
      </w:r>
    </w:p>
    <w:p w:rsidR="00000000" w:rsidDel="00000000" w:rsidP="00000000" w:rsidRDefault="00000000" w:rsidRPr="00000000" w14:paraId="0000002E">
      <w:pPr>
        <w:ind w:left="0" w:firstLine="0"/>
        <w:rPr>
          <w:color w:val="ff0000"/>
          <w:sz w:val="26"/>
          <w:szCs w:val="26"/>
        </w:rPr>
      </w:pPr>
      <w:r w:rsidDel="00000000" w:rsidR="00000000" w:rsidRPr="00000000">
        <w:rPr>
          <w:rtl w:val="0"/>
        </w:rPr>
      </w:r>
    </w:p>
    <w:p w:rsidR="00000000" w:rsidDel="00000000" w:rsidP="00000000" w:rsidRDefault="00000000" w:rsidRPr="00000000" w14:paraId="0000002F">
      <w:pPr>
        <w:rPr>
          <w:b w:val="1"/>
          <w:sz w:val="32"/>
          <w:szCs w:val="32"/>
          <w:u w:val="single"/>
        </w:rPr>
      </w:pPr>
      <w:r w:rsidDel="00000000" w:rsidR="00000000" w:rsidRPr="00000000">
        <w:rPr>
          <w:rtl w:val="0"/>
        </w:rPr>
      </w:r>
    </w:p>
    <w:p w:rsidR="00000000" w:rsidDel="00000000" w:rsidP="00000000" w:rsidRDefault="00000000" w:rsidRPr="00000000" w14:paraId="00000030">
      <w:pPr>
        <w:rPr>
          <w:b w:val="1"/>
          <w:sz w:val="32"/>
          <w:szCs w:val="32"/>
          <w:u w:val="single"/>
        </w:rPr>
      </w:pPr>
      <w:r w:rsidDel="00000000" w:rsidR="00000000" w:rsidRPr="00000000">
        <w:rPr>
          <w:rtl w:val="0"/>
        </w:rPr>
      </w:r>
    </w:p>
    <w:p w:rsidR="00000000" w:rsidDel="00000000" w:rsidP="00000000" w:rsidRDefault="00000000" w:rsidRPr="00000000" w14:paraId="00000031">
      <w:pPr>
        <w:rPr>
          <w:b w:val="1"/>
          <w:sz w:val="32"/>
          <w:szCs w:val="32"/>
          <w:u w:val="single"/>
        </w:rPr>
      </w:pPr>
      <w:r w:rsidDel="00000000" w:rsidR="00000000" w:rsidRPr="00000000">
        <w:rPr>
          <w:rtl w:val="0"/>
        </w:rPr>
      </w:r>
    </w:p>
    <w:p w:rsidR="00000000" w:rsidDel="00000000" w:rsidP="00000000" w:rsidRDefault="00000000" w:rsidRPr="00000000" w14:paraId="00000032">
      <w:pPr>
        <w:rPr>
          <w:b w:val="1"/>
          <w:sz w:val="32"/>
          <w:szCs w:val="32"/>
          <w:u w:val="single"/>
        </w:rPr>
      </w:pPr>
      <w:r w:rsidDel="00000000" w:rsidR="00000000" w:rsidRPr="00000000">
        <w:rPr>
          <w:rtl w:val="0"/>
        </w:rPr>
      </w:r>
    </w:p>
    <w:p w:rsidR="00000000" w:rsidDel="00000000" w:rsidP="00000000" w:rsidRDefault="00000000" w:rsidRPr="00000000" w14:paraId="00000033">
      <w:pPr>
        <w:rPr>
          <w:b w:val="1"/>
          <w:sz w:val="32"/>
          <w:szCs w:val="32"/>
          <w:u w:val="single"/>
        </w:rPr>
      </w:pPr>
      <w:r w:rsidDel="00000000" w:rsidR="00000000" w:rsidRPr="00000000">
        <w:rPr>
          <w:rtl w:val="0"/>
        </w:rPr>
      </w:r>
    </w:p>
    <w:p w:rsidR="00000000" w:rsidDel="00000000" w:rsidP="00000000" w:rsidRDefault="00000000" w:rsidRPr="00000000" w14:paraId="00000034">
      <w:pPr>
        <w:rPr>
          <w:b w:val="1"/>
          <w:sz w:val="32"/>
          <w:szCs w:val="32"/>
          <w:u w:val="single"/>
        </w:rPr>
      </w:pPr>
      <w:r w:rsidDel="00000000" w:rsidR="00000000" w:rsidRPr="00000000">
        <w:rPr>
          <w:rtl w:val="0"/>
        </w:rPr>
      </w:r>
    </w:p>
    <w:p w:rsidR="00000000" w:rsidDel="00000000" w:rsidP="00000000" w:rsidRDefault="00000000" w:rsidRPr="00000000" w14:paraId="00000035">
      <w:pPr>
        <w:rPr>
          <w:b w:val="1"/>
          <w:sz w:val="32"/>
          <w:szCs w:val="32"/>
          <w:u w:val="single"/>
        </w:rPr>
      </w:pPr>
      <w:r w:rsidDel="00000000" w:rsidR="00000000" w:rsidRPr="00000000">
        <w:rPr>
          <w:rtl w:val="0"/>
        </w:rPr>
      </w:r>
    </w:p>
    <w:p w:rsidR="00000000" w:rsidDel="00000000" w:rsidP="00000000" w:rsidRDefault="00000000" w:rsidRPr="00000000" w14:paraId="00000036">
      <w:pPr>
        <w:rPr>
          <w:b w:val="1"/>
          <w:sz w:val="32"/>
          <w:szCs w:val="32"/>
          <w:u w:val="single"/>
        </w:rPr>
      </w:pPr>
      <w:r w:rsidDel="00000000" w:rsidR="00000000" w:rsidRPr="00000000">
        <w:rPr>
          <w:rtl w:val="0"/>
        </w:rPr>
      </w:r>
    </w:p>
    <w:p w:rsidR="00000000" w:rsidDel="00000000" w:rsidP="00000000" w:rsidRDefault="00000000" w:rsidRPr="00000000" w14:paraId="00000037">
      <w:pPr>
        <w:rPr>
          <w:b w:val="1"/>
          <w:sz w:val="32"/>
          <w:szCs w:val="32"/>
          <w:u w:val="single"/>
        </w:rPr>
      </w:pPr>
      <w:r w:rsidDel="00000000" w:rsidR="00000000" w:rsidRPr="00000000">
        <w:rPr>
          <w:rtl w:val="0"/>
        </w:rPr>
      </w:r>
    </w:p>
    <w:p w:rsidR="00000000" w:rsidDel="00000000" w:rsidP="00000000" w:rsidRDefault="00000000" w:rsidRPr="00000000" w14:paraId="00000038">
      <w:pPr>
        <w:rPr>
          <w:b w:val="1"/>
          <w:sz w:val="32"/>
          <w:szCs w:val="32"/>
          <w:u w:val="single"/>
        </w:rPr>
      </w:pPr>
      <w:r w:rsidDel="00000000" w:rsidR="00000000" w:rsidRPr="00000000">
        <w:rPr>
          <w:rtl w:val="0"/>
        </w:rPr>
      </w:r>
    </w:p>
    <w:p w:rsidR="00000000" w:rsidDel="00000000" w:rsidP="00000000" w:rsidRDefault="00000000" w:rsidRPr="00000000" w14:paraId="00000039">
      <w:pPr>
        <w:rPr>
          <w:b w:val="1"/>
          <w:sz w:val="32"/>
          <w:szCs w:val="32"/>
          <w:u w:val="single"/>
        </w:rPr>
      </w:pPr>
      <w:r w:rsidDel="00000000" w:rsidR="00000000" w:rsidRPr="00000000">
        <w:rPr>
          <w:rtl w:val="0"/>
        </w:rPr>
      </w:r>
    </w:p>
    <w:p w:rsidR="00000000" w:rsidDel="00000000" w:rsidP="00000000" w:rsidRDefault="00000000" w:rsidRPr="00000000" w14:paraId="0000003A">
      <w:pPr>
        <w:rPr>
          <w:b w:val="1"/>
          <w:sz w:val="32"/>
          <w:szCs w:val="32"/>
          <w:u w:val="single"/>
        </w:rPr>
      </w:pPr>
      <w:r w:rsidDel="00000000" w:rsidR="00000000" w:rsidRPr="00000000">
        <w:rPr>
          <w:rtl w:val="0"/>
        </w:rPr>
      </w:r>
    </w:p>
    <w:p w:rsidR="00000000" w:rsidDel="00000000" w:rsidP="00000000" w:rsidRDefault="00000000" w:rsidRPr="00000000" w14:paraId="0000003B">
      <w:pPr>
        <w:rPr>
          <w:b w:val="1"/>
          <w:sz w:val="32"/>
          <w:szCs w:val="32"/>
          <w:u w:val="single"/>
        </w:rPr>
      </w:pPr>
      <w:r w:rsidDel="00000000" w:rsidR="00000000" w:rsidRPr="00000000">
        <w:rPr>
          <w:b w:val="1"/>
          <w:sz w:val="32"/>
          <w:szCs w:val="32"/>
          <w:u w:val="single"/>
          <w:rtl w:val="0"/>
        </w:rPr>
        <w:t xml:space="preserve">Bibliography </w:t>
      </w:r>
    </w:p>
    <w:p w:rsidR="00000000" w:rsidDel="00000000" w:rsidP="00000000" w:rsidRDefault="00000000" w:rsidRPr="00000000" w14:paraId="0000003C">
      <w:pPr>
        <w:spacing w:line="324.00000000000006" w:lineRule="auto"/>
        <w:ind w:left="0" w:firstLine="0"/>
        <w:rPr>
          <w:color w:val="222222"/>
          <w:sz w:val="24"/>
          <w:szCs w:val="24"/>
          <w:highlight w:val="white"/>
        </w:rPr>
      </w:pPr>
      <w:r w:rsidDel="00000000" w:rsidR="00000000" w:rsidRPr="00000000">
        <w:rPr>
          <w:rtl w:val="0"/>
        </w:rPr>
      </w:r>
    </w:p>
    <w:p w:rsidR="00000000" w:rsidDel="00000000" w:rsidP="00000000" w:rsidRDefault="00000000" w:rsidRPr="00000000" w14:paraId="0000003D">
      <w:pPr>
        <w:numPr>
          <w:ilvl w:val="0"/>
          <w:numId w:val="1"/>
        </w:numPr>
        <w:spacing w:line="324.00000000000006" w:lineRule="auto"/>
        <w:ind w:left="720" w:hanging="360"/>
        <w:rPr>
          <w:sz w:val="24"/>
          <w:szCs w:val="24"/>
          <w:highlight w:val="white"/>
        </w:rPr>
      </w:pPr>
      <w:r w:rsidDel="00000000" w:rsidR="00000000" w:rsidRPr="00000000">
        <w:rPr>
          <w:sz w:val="24"/>
          <w:szCs w:val="24"/>
          <w:highlight w:val="white"/>
          <w:rtl w:val="0"/>
        </w:rPr>
        <w:t xml:space="preserve">Amir, M., (1968), </w:t>
      </w:r>
      <w:r w:rsidDel="00000000" w:rsidR="00000000" w:rsidRPr="00000000">
        <w:rPr>
          <w:i w:val="1"/>
          <w:sz w:val="24"/>
          <w:szCs w:val="24"/>
          <w:highlight w:val="white"/>
          <w:rtl w:val="0"/>
        </w:rPr>
        <w:t xml:space="preserve">Victim Precipitated Forcible Rape</w:t>
      </w:r>
      <w:r w:rsidDel="00000000" w:rsidR="00000000" w:rsidRPr="00000000">
        <w:rPr>
          <w:sz w:val="24"/>
          <w:szCs w:val="24"/>
          <w:highlight w:val="white"/>
          <w:rtl w:val="0"/>
        </w:rPr>
        <w:t xml:space="preserve">. Available at: </w:t>
      </w:r>
      <w:hyperlink r:id="rId6">
        <w:r w:rsidDel="00000000" w:rsidR="00000000" w:rsidRPr="00000000">
          <w:rPr>
            <w:color w:val="1155cc"/>
            <w:sz w:val="24"/>
            <w:szCs w:val="24"/>
            <w:highlight w:val="white"/>
            <w:u w:val="single"/>
            <w:rtl w:val="0"/>
          </w:rPr>
          <w:t xml:space="preserve">https://scholarlycommons.law.northwestern.edu/cgi/viewcontent.cgi?article=5481&amp;context=jclc</w:t>
        </w:r>
      </w:hyperlink>
      <w:r w:rsidDel="00000000" w:rsidR="00000000" w:rsidRPr="00000000">
        <w:rPr>
          <w:rtl w:val="0"/>
        </w:rPr>
      </w:r>
    </w:p>
    <w:p w:rsidR="00000000" w:rsidDel="00000000" w:rsidP="00000000" w:rsidRDefault="00000000" w:rsidRPr="00000000" w14:paraId="0000003E">
      <w:pPr>
        <w:numPr>
          <w:ilvl w:val="0"/>
          <w:numId w:val="1"/>
        </w:numPr>
        <w:spacing w:line="324.00000000000006" w:lineRule="auto"/>
        <w:ind w:left="720" w:hanging="360"/>
        <w:rPr>
          <w:color w:val="222222"/>
          <w:sz w:val="24"/>
          <w:szCs w:val="24"/>
          <w:highlight w:val="white"/>
        </w:rPr>
      </w:pPr>
      <w:r w:rsidDel="00000000" w:rsidR="00000000" w:rsidRPr="00000000">
        <w:rPr>
          <w:sz w:val="24"/>
          <w:szCs w:val="24"/>
          <w:rtl w:val="0"/>
        </w:rPr>
        <w:t xml:space="preserve"> Anti Slavery Australia, (2013), </w:t>
      </w:r>
      <w:r w:rsidDel="00000000" w:rsidR="00000000" w:rsidRPr="00000000">
        <w:rPr>
          <w:i w:val="1"/>
          <w:sz w:val="24"/>
          <w:szCs w:val="24"/>
          <w:rtl w:val="0"/>
        </w:rPr>
        <w:t xml:space="preserve">Watcharaporn Nantahkhum.</w:t>
      </w:r>
      <w:r w:rsidDel="00000000" w:rsidR="00000000" w:rsidRPr="00000000">
        <w:rPr>
          <w:sz w:val="24"/>
          <w:szCs w:val="24"/>
          <w:rtl w:val="0"/>
        </w:rPr>
        <w:t xml:space="preserve"> Available at:</w:t>
      </w:r>
      <w:hyperlink r:id="rId7">
        <w:r w:rsidDel="00000000" w:rsidR="00000000" w:rsidRPr="00000000">
          <w:rPr>
            <w:sz w:val="24"/>
            <w:szCs w:val="24"/>
            <w:rtl w:val="0"/>
          </w:rPr>
          <w:t xml:space="preserve"> </w:t>
        </w:r>
      </w:hyperlink>
      <w:hyperlink r:id="rId8">
        <w:r w:rsidDel="00000000" w:rsidR="00000000" w:rsidRPr="00000000">
          <w:rPr>
            <w:color w:val="1155cc"/>
            <w:sz w:val="24"/>
            <w:szCs w:val="24"/>
            <w:u w:val="single"/>
            <w:rtl w:val="0"/>
          </w:rPr>
          <w:t xml:space="preserve">https://antislavery.org.au/watcharaporn-nantahkhum-2013/</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F">
      <w:pPr>
        <w:numPr>
          <w:ilvl w:val="0"/>
          <w:numId w:val="1"/>
        </w:numPr>
        <w:ind w:left="720" w:hanging="360"/>
        <w:rPr>
          <w:sz w:val="24"/>
          <w:szCs w:val="24"/>
          <w:highlight w:val="white"/>
        </w:rPr>
      </w:pPr>
      <w:r w:rsidDel="00000000" w:rsidR="00000000" w:rsidRPr="00000000">
        <w:rPr>
          <w:color w:val="222222"/>
          <w:sz w:val="24"/>
          <w:szCs w:val="24"/>
          <w:highlight w:val="white"/>
          <w:rtl w:val="0"/>
        </w:rPr>
        <w:t xml:space="preserve">Barton, A. and Johns, N., 2012. </w:t>
      </w:r>
      <w:r w:rsidDel="00000000" w:rsidR="00000000" w:rsidRPr="00000000">
        <w:rPr>
          <w:i w:val="1"/>
          <w:color w:val="222222"/>
          <w:sz w:val="24"/>
          <w:szCs w:val="24"/>
          <w:highlight w:val="white"/>
          <w:rtl w:val="0"/>
        </w:rPr>
        <w:t xml:space="preserve">The policy making process in the criminal justice system</w:t>
      </w:r>
      <w:r w:rsidDel="00000000" w:rsidR="00000000" w:rsidRPr="00000000">
        <w:rPr>
          <w:color w:val="222222"/>
          <w:sz w:val="24"/>
          <w:szCs w:val="24"/>
          <w:highlight w:val="white"/>
          <w:rtl w:val="0"/>
        </w:rPr>
        <w:t xml:space="preserve">. Routledge. </w:t>
      </w:r>
      <w:r w:rsidDel="00000000" w:rsidR="00000000" w:rsidRPr="00000000">
        <w:rPr>
          <w:sz w:val="24"/>
          <w:szCs w:val="24"/>
          <w:rtl w:val="0"/>
        </w:rPr>
        <w:t xml:space="preserve">Available at:</w:t>
      </w:r>
      <w:hyperlink r:id="rId9">
        <w:r w:rsidDel="00000000" w:rsidR="00000000" w:rsidRPr="00000000">
          <w:rPr>
            <w:color w:val="1155cc"/>
            <w:sz w:val="24"/>
            <w:szCs w:val="24"/>
            <w:highlight w:val="white"/>
            <w:u w:val="single"/>
            <w:rtl w:val="0"/>
          </w:rPr>
          <w:t xml:space="preserve">https://books.google.co.uk/books?id=FOafNwKqcCcC&amp;pg=PA6&amp;source=gbs_toc_r&amp;cad=2#v=onepage&amp;q&amp;f=false</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040">
      <w:pPr>
        <w:numPr>
          <w:ilvl w:val="0"/>
          <w:numId w:val="1"/>
        </w:numPr>
        <w:spacing w:line="324.00000000000006" w:lineRule="auto"/>
        <w:ind w:left="720" w:hanging="360"/>
        <w:rPr>
          <w:color w:val="222222"/>
          <w:sz w:val="24"/>
          <w:szCs w:val="24"/>
          <w:highlight w:val="white"/>
        </w:rPr>
      </w:pPr>
      <w:r w:rsidDel="00000000" w:rsidR="00000000" w:rsidRPr="00000000">
        <w:rPr>
          <w:sz w:val="24"/>
          <w:szCs w:val="24"/>
          <w:highlight w:val="white"/>
          <w:rtl w:val="0"/>
        </w:rPr>
        <w:t xml:space="preserve">Baxter, A., (2019). </w:t>
      </w:r>
      <w:r w:rsidDel="00000000" w:rsidR="00000000" w:rsidRPr="00000000">
        <w:rPr>
          <w:i w:val="1"/>
          <w:sz w:val="24"/>
          <w:szCs w:val="24"/>
          <w:highlight w:val="white"/>
          <w:rtl w:val="0"/>
        </w:rPr>
        <w:t xml:space="preserve">Sex trafficking's tragic paradox: when victims become perpetrators</w:t>
      </w:r>
      <w:r w:rsidDel="00000000" w:rsidR="00000000" w:rsidRPr="00000000">
        <w:rPr>
          <w:sz w:val="24"/>
          <w:szCs w:val="24"/>
          <w:highlight w:val="white"/>
          <w:rtl w:val="0"/>
        </w:rPr>
        <w:t xml:space="preserve">. [online] Dateline. Available at: </w:t>
      </w:r>
      <w:hyperlink r:id="rId10">
        <w:r w:rsidDel="00000000" w:rsidR="00000000" w:rsidRPr="00000000">
          <w:rPr>
            <w:color w:val="1155cc"/>
            <w:sz w:val="24"/>
            <w:szCs w:val="24"/>
            <w:highlight w:val="white"/>
            <w:u w:val="single"/>
            <w:rtl w:val="0"/>
          </w:rPr>
          <w:t xml:space="preserve">https://www.sbs.com.au/news/dateline/sex-trafficking-s-tragic-paradox-when-victims-become-perpetrators</w:t>
        </w:r>
      </w:hyperlink>
      <w:r w:rsidDel="00000000" w:rsidR="00000000" w:rsidRPr="00000000">
        <w:rPr>
          <w:rtl w:val="0"/>
        </w:rPr>
      </w:r>
    </w:p>
    <w:p w:rsidR="00000000" w:rsidDel="00000000" w:rsidP="00000000" w:rsidRDefault="00000000" w:rsidRPr="00000000" w14:paraId="00000041">
      <w:pPr>
        <w:numPr>
          <w:ilvl w:val="0"/>
          <w:numId w:val="1"/>
        </w:numPr>
        <w:spacing w:line="324.00000000000006" w:lineRule="auto"/>
        <w:ind w:left="720" w:hanging="360"/>
        <w:rPr>
          <w:color w:val="222222"/>
          <w:sz w:val="24"/>
          <w:szCs w:val="24"/>
          <w:highlight w:val="white"/>
        </w:rPr>
      </w:pPr>
      <w:r w:rsidDel="00000000" w:rsidR="00000000" w:rsidRPr="00000000">
        <w:rPr>
          <w:sz w:val="24"/>
          <w:szCs w:val="24"/>
          <w:highlight w:val="white"/>
          <w:rtl w:val="0"/>
        </w:rPr>
        <w:t xml:space="preserve">Baxter, A.L.A., (2020), When the line between victimization and criminalization blurs: the victim-offender overlap observed in female offenders in cases of trafficking in persons for sexual exploitation in Australia. </w:t>
      </w:r>
      <w:r w:rsidDel="00000000" w:rsidR="00000000" w:rsidRPr="00000000">
        <w:rPr>
          <w:i w:val="1"/>
          <w:sz w:val="24"/>
          <w:szCs w:val="24"/>
          <w:highlight w:val="white"/>
          <w:rtl w:val="0"/>
        </w:rPr>
        <w:t xml:space="preserve">Journal of human trafficking</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6</w:t>
      </w:r>
      <w:r w:rsidDel="00000000" w:rsidR="00000000" w:rsidRPr="00000000">
        <w:rPr>
          <w:sz w:val="24"/>
          <w:szCs w:val="24"/>
          <w:highlight w:val="white"/>
          <w:rtl w:val="0"/>
        </w:rPr>
        <w:t xml:space="preserve">(3), </w:t>
      </w:r>
      <w:r w:rsidDel="00000000" w:rsidR="00000000" w:rsidRPr="00000000">
        <w:rPr>
          <w:color w:val="222222"/>
          <w:sz w:val="24"/>
          <w:szCs w:val="24"/>
          <w:highlight w:val="white"/>
          <w:rtl w:val="0"/>
        </w:rPr>
        <w:t xml:space="preserve">pp.327-338. </w:t>
      </w:r>
      <w:r w:rsidDel="00000000" w:rsidR="00000000" w:rsidRPr="00000000">
        <w:rPr>
          <w:sz w:val="24"/>
          <w:szCs w:val="24"/>
          <w:highlight w:val="white"/>
          <w:rtl w:val="0"/>
        </w:rPr>
        <w:t xml:space="preserve">Available at: </w:t>
      </w:r>
      <w:hyperlink r:id="rId11">
        <w:r w:rsidDel="00000000" w:rsidR="00000000" w:rsidRPr="00000000">
          <w:rPr>
            <w:color w:val="1155cc"/>
            <w:sz w:val="24"/>
            <w:szCs w:val="24"/>
            <w:highlight w:val="white"/>
            <w:u w:val="single"/>
            <w:rtl w:val="0"/>
          </w:rPr>
          <w:t xml:space="preserve">https://www.tandfonline.com/doi/abs/10.1080/23322705.2019.1578579</w:t>
        </w:r>
      </w:hyperlink>
      <w:r w:rsidDel="00000000" w:rsidR="00000000" w:rsidRPr="00000000">
        <w:rPr>
          <w:rtl w:val="0"/>
        </w:rPr>
      </w:r>
    </w:p>
    <w:p w:rsidR="00000000" w:rsidDel="00000000" w:rsidP="00000000" w:rsidRDefault="00000000" w:rsidRPr="00000000" w14:paraId="00000042">
      <w:pPr>
        <w:numPr>
          <w:ilvl w:val="0"/>
          <w:numId w:val="1"/>
        </w:numPr>
        <w:spacing w:line="324.00000000000006" w:lineRule="auto"/>
        <w:ind w:left="720" w:hanging="360"/>
        <w:rPr>
          <w:color w:val="222222"/>
          <w:sz w:val="24"/>
          <w:szCs w:val="24"/>
          <w:highlight w:val="white"/>
        </w:rPr>
      </w:pPr>
      <w:r w:rsidDel="00000000" w:rsidR="00000000" w:rsidRPr="00000000">
        <w:rPr>
          <w:color w:val="222222"/>
          <w:sz w:val="24"/>
          <w:szCs w:val="24"/>
          <w:highlight w:val="white"/>
          <w:rtl w:val="0"/>
        </w:rPr>
        <w:t xml:space="preserve">Clevenger, S., Navarro, J.N., Marcum, C.D., &amp; Higgins, G.E. (2018). </w:t>
      </w:r>
      <w:r w:rsidDel="00000000" w:rsidR="00000000" w:rsidRPr="00000000">
        <w:rPr>
          <w:i w:val="1"/>
          <w:color w:val="222222"/>
          <w:sz w:val="24"/>
          <w:szCs w:val="24"/>
          <w:highlight w:val="white"/>
          <w:rtl w:val="0"/>
        </w:rPr>
        <w:t xml:space="preserve">Understanding Victimology:</w:t>
      </w:r>
      <w:r w:rsidDel="00000000" w:rsidR="00000000" w:rsidRPr="00000000">
        <w:rPr>
          <w:color w:val="222222"/>
          <w:sz w:val="24"/>
          <w:szCs w:val="24"/>
          <w:highlight w:val="white"/>
          <w:rtl w:val="0"/>
        </w:rPr>
        <w:t xml:space="preserve"> An Active-Learning Approach (1st ed.). Routledge. </w:t>
      </w:r>
      <w:hyperlink r:id="rId12">
        <w:r w:rsidDel="00000000" w:rsidR="00000000" w:rsidRPr="00000000">
          <w:rPr>
            <w:color w:val="1155cc"/>
            <w:sz w:val="24"/>
            <w:szCs w:val="24"/>
            <w:highlight w:val="white"/>
            <w:u w:val="single"/>
            <w:rtl w:val="0"/>
          </w:rPr>
          <w:t xml:space="preserve">https://doi.org/10.4324/9781315151571</w:t>
        </w:r>
      </w:hyperlink>
      <w:r w:rsidDel="00000000" w:rsidR="00000000" w:rsidRPr="00000000">
        <w:rPr>
          <w:rtl w:val="0"/>
        </w:rPr>
      </w:r>
    </w:p>
    <w:p w:rsidR="00000000" w:rsidDel="00000000" w:rsidP="00000000" w:rsidRDefault="00000000" w:rsidRPr="00000000" w14:paraId="00000043">
      <w:pPr>
        <w:numPr>
          <w:ilvl w:val="0"/>
          <w:numId w:val="1"/>
        </w:numPr>
        <w:spacing w:line="324.00000000000006" w:lineRule="auto"/>
        <w:ind w:left="720" w:hanging="360"/>
        <w:rPr>
          <w:color w:val="222222"/>
          <w:sz w:val="24"/>
          <w:szCs w:val="24"/>
          <w:highlight w:val="white"/>
        </w:rPr>
      </w:pPr>
      <w:r w:rsidDel="00000000" w:rsidR="00000000" w:rsidRPr="00000000">
        <w:rPr>
          <w:color w:val="222222"/>
          <w:sz w:val="24"/>
          <w:szCs w:val="24"/>
          <w:highlight w:val="white"/>
          <w:rtl w:val="0"/>
        </w:rPr>
        <w:t xml:space="preserve">CJP, (2021). </w:t>
      </w:r>
      <w:r w:rsidDel="00000000" w:rsidR="00000000" w:rsidRPr="00000000">
        <w:rPr>
          <w:i w:val="1"/>
          <w:color w:val="222222"/>
          <w:sz w:val="24"/>
          <w:szCs w:val="24"/>
          <w:highlight w:val="white"/>
          <w:rtl w:val="0"/>
        </w:rPr>
        <w:t xml:space="preserve">Victimology, </w:t>
      </w:r>
      <w:r w:rsidDel="00000000" w:rsidR="00000000" w:rsidRPr="00000000">
        <w:rPr>
          <w:i w:val="1"/>
          <w:sz w:val="24"/>
          <w:szCs w:val="24"/>
          <w:highlight w:val="white"/>
          <w:rtl w:val="0"/>
        </w:rPr>
        <w:t xml:space="preserve">A necessary advancement in Human Rights jurisprudence.</w:t>
      </w:r>
      <w:r w:rsidDel="00000000" w:rsidR="00000000" w:rsidRPr="00000000">
        <w:rPr>
          <w:sz w:val="24"/>
          <w:szCs w:val="24"/>
          <w:highlight w:val="white"/>
          <w:rtl w:val="0"/>
        </w:rPr>
        <w:t xml:space="preserve"> </w:t>
      </w:r>
      <w:r w:rsidDel="00000000" w:rsidR="00000000" w:rsidRPr="00000000">
        <w:rPr>
          <w:color w:val="222222"/>
          <w:sz w:val="24"/>
          <w:szCs w:val="24"/>
          <w:highlight w:val="white"/>
          <w:rtl w:val="0"/>
        </w:rPr>
        <w:t xml:space="preserve">Available at: </w:t>
      </w:r>
      <w:hyperlink r:id="rId13">
        <w:r w:rsidDel="00000000" w:rsidR="00000000" w:rsidRPr="00000000">
          <w:rPr>
            <w:color w:val="1155cc"/>
            <w:sz w:val="24"/>
            <w:szCs w:val="24"/>
            <w:highlight w:val="white"/>
            <w:u w:val="single"/>
            <w:rtl w:val="0"/>
          </w:rPr>
          <w:t xml:space="preserve">https://cjp.org.in/victimology/</w:t>
        </w:r>
      </w:hyperlink>
      <w:r w:rsidDel="00000000" w:rsidR="00000000" w:rsidRPr="00000000">
        <w:rPr>
          <w:rtl w:val="0"/>
        </w:rPr>
      </w:r>
    </w:p>
    <w:p w:rsidR="00000000" w:rsidDel="00000000" w:rsidP="00000000" w:rsidRDefault="00000000" w:rsidRPr="00000000" w14:paraId="00000044">
      <w:pPr>
        <w:numPr>
          <w:ilvl w:val="0"/>
          <w:numId w:val="1"/>
        </w:numPr>
        <w:ind w:left="720" w:hanging="360"/>
        <w:rPr>
          <w:color w:val="222222"/>
          <w:sz w:val="24"/>
          <w:szCs w:val="24"/>
          <w:highlight w:val="white"/>
        </w:rPr>
      </w:pPr>
      <w:r w:rsidDel="00000000" w:rsidR="00000000" w:rsidRPr="00000000">
        <w:rPr>
          <w:sz w:val="24"/>
          <w:szCs w:val="24"/>
          <w:highlight w:val="white"/>
          <w:rtl w:val="0"/>
        </w:rPr>
        <w:t xml:space="preserve">Clarke, D., (2021), </w:t>
      </w:r>
      <w:r w:rsidDel="00000000" w:rsidR="00000000" w:rsidRPr="00000000">
        <w:rPr>
          <w:i w:val="1"/>
          <w:sz w:val="24"/>
          <w:szCs w:val="24"/>
          <w:highlight w:val="white"/>
          <w:rtl w:val="0"/>
        </w:rPr>
        <w:t xml:space="preserve">Topic: Criminal justice system in the UK</w:t>
      </w:r>
      <w:r w:rsidDel="00000000" w:rsidR="00000000" w:rsidRPr="00000000">
        <w:rPr>
          <w:sz w:val="24"/>
          <w:szCs w:val="24"/>
          <w:highlight w:val="white"/>
          <w:rtl w:val="0"/>
        </w:rPr>
        <w:t xml:space="preserve">. Statista. Available at: </w:t>
      </w:r>
      <w:hyperlink r:id="rId14">
        <w:r w:rsidDel="00000000" w:rsidR="00000000" w:rsidRPr="00000000">
          <w:rPr>
            <w:color w:val="1155cc"/>
            <w:sz w:val="24"/>
            <w:szCs w:val="24"/>
            <w:u w:val="single"/>
            <w:rtl w:val="0"/>
          </w:rPr>
          <w:t xml:space="preserve">https://www.statista.com/topics/6150/criminal-justice-system-in-the-uk/#topicHeader__wrapper</w:t>
        </w:r>
      </w:hyperlink>
      <w:r w:rsidDel="00000000" w:rsidR="00000000" w:rsidRPr="00000000">
        <w:rPr>
          <w:rtl w:val="0"/>
        </w:rPr>
      </w:r>
    </w:p>
    <w:p w:rsidR="00000000" w:rsidDel="00000000" w:rsidP="00000000" w:rsidRDefault="00000000" w:rsidRPr="00000000" w14:paraId="00000045">
      <w:pPr>
        <w:numPr>
          <w:ilvl w:val="0"/>
          <w:numId w:val="1"/>
        </w:numPr>
        <w:spacing w:line="324.00000000000006" w:lineRule="auto"/>
        <w:ind w:left="720" w:hanging="360"/>
        <w:rPr>
          <w:color w:val="222222"/>
          <w:sz w:val="24"/>
          <w:szCs w:val="24"/>
          <w:highlight w:val="white"/>
        </w:rPr>
      </w:pPr>
      <w:r w:rsidDel="00000000" w:rsidR="00000000" w:rsidRPr="00000000">
        <w:rPr>
          <w:color w:val="222222"/>
          <w:sz w:val="24"/>
          <w:szCs w:val="24"/>
          <w:highlight w:val="white"/>
          <w:rtl w:val="0"/>
        </w:rPr>
        <w:t xml:space="preserve">Crowder, S. and Turvey, B.E. (2013) ‘Chapter 1 - Ethics in the Criminal Justice Professions’, in Turvey, B.E. and Crowder, S. (eds) </w:t>
      </w:r>
      <w:r w:rsidDel="00000000" w:rsidR="00000000" w:rsidRPr="00000000">
        <w:rPr>
          <w:i w:val="1"/>
          <w:color w:val="222222"/>
          <w:sz w:val="24"/>
          <w:szCs w:val="24"/>
          <w:highlight w:val="white"/>
          <w:rtl w:val="0"/>
        </w:rPr>
        <w:t xml:space="preserve">Ethical Justice</w:t>
      </w:r>
      <w:r w:rsidDel="00000000" w:rsidR="00000000" w:rsidRPr="00000000">
        <w:rPr>
          <w:color w:val="222222"/>
          <w:sz w:val="24"/>
          <w:szCs w:val="24"/>
          <w:highlight w:val="white"/>
          <w:rtl w:val="0"/>
        </w:rPr>
        <w:t xml:space="preserve">. San Diego: Academic Press, pp. 1–19. </w:t>
      </w:r>
      <w:r w:rsidDel="00000000" w:rsidR="00000000" w:rsidRPr="00000000">
        <w:rPr>
          <w:sz w:val="24"/>
          <w:szCs w:val="24"/>
          <w:highlight w:val="white"/>
          <w:rtl w:val="0"/>
        </w:rPr>
        <w:t xml:space="preserve">Available at: </w:t>
      </w:r>
      <w:hyperlink r:id="rId15">
        <w:r w:rsidDel="00000000" w:rsidR="00000000" w:rsidRPr="00000000">
          <w:rPr>
            <w:color w:val="1155cc"/>
            <w:sz w:val="24"/>
            <w:szCs w:val="24"/>
            <w:highlight w:val="white"/>
            <w:u w:val="single"/>
            <w:rtl w:val="0"/>
          </w:rPr>
          <w:t xml:space="preserve">https://www.sciencedirect.com/science/article/pii/B9780124045972000012?</w:t>
        </w:r>
      </w:hyperlink>
      <w:hyperlink r:id="rId16">
        <w:r w:rsidDel="00000000" w:rsidR="00000000" w:rsidRPr="00000000">
          <w:rPr>
            <w:color w:val="1155cc"/>
            <w:sz w:val="24"/>
            <w:szCs w:val="24"/>
            <w:highlight w:val="white"/>
            <w:u w:val="single"/>
            <w:rtl w:val="0"/>
          </w:rPr>
          <w:t xml:space="preserve">via%3Dihub</w:t>
        </w:r>
      </w:hyperlink>
      <w:r w:rsidDel="00000000" w:rsidR="00000000" w:rsidRPr="00000000">
        <w:rPr>
          <w:rtl w:val="0"/>
        </w:rPr>
      </w:r>
    </w:p>
    <w:p w:rsidR="00000000" w:rsidDel="00000000" w:rsidP="00000000" w:rsidRDefault="00000000" w:rsidRPr="00000000" w14:paraId="00000046">
      <w:pPr>
        <w:numPr>
          <w:ilvl w:val="0"/>
          <w:numId w:val="1"/>
        </w:numPr>
        <w:spacing w:line="324.00000000000006" w:lineRule="auto"/>
        <w:ind w:left="720" w:hanging="360"/>
        <w:rPr>
          <w:color w:val="222222"/>
          <w:sz w:val="24"/>
          <w:szCs w:val="24"/>
          <w:highlight w:val="white"/>
        </w:rPr>
      </w:pPr>
      <w:r w:rsidDel="00000000" w:rsidR="00000000" w:rsidRPr="00000000">
        <w:rPr>
          <w:sz w:val="24"/>
          <w:szCs w:val="24"/>
          <w:highlight w:val="white"/>
          <w:rtl w:val="0"/>
        </w:rPr>
        <w:t xml:space="preserve">Cuthbertson, P., (2018), </w:t>
      </w:r>
      <w:r w:rsidDel="00000000" w:rsidR="00000000" w:rsidRPr="00000000">
        <w:rPr>
          <w:i w:val="1"/>
          <w:sz w:val="24"/>
          <w:szCs w:val="24"/>
          <w:highlight w:val="white"/>
          <w:rtl w:val="0"/>
        </w:rPr>
        <w:t xml:space="preserve">Poverty and Crime: Why a new war on criminals would help the poor most</w:t>
      </w:r>
      <w:r w:rsidDel="00000000" w:rsidR="00000000" w:rsidRPr="00000000">
        <w:rPr>
          <w:sz w:val="24"/>
          <w:szCs w:val="24"/>
          <w:highlight w:val="white"/>
          <w:rtl w:val="0"/>
        </w:rPr>
        <w:t xml:space="preserve">. pp.5.  Available at: </w:t>
      </w:r>
      <w:hyperlink r:id="rId17">
        <w:r w:rsidDel="00000000" w:rsidR="00000000" w:rsidRPr="00000000">
          <w:rPr>
            <w:color w:val="1155cc"/>
            <w:sz w:val="24"/>
            <w:szCs w:val="24"/>
            <w:highlight w:val="white"/>
            <w:u w:val="single"/>
            <w:rtl w:val="0"/>
          </w:rPr>
          <w:t xml:space="preserve">https://www.civitas.org.uk/content/files/povertyandcrime.pdf</w:t>
        </w:r>
      </w:hyperlink>
      <w:r w:rsidDel="00000000" w:rsidR="00000000" w:rsidRPr="00000000">
        <w:rPr>
          <w:rtl w:val="0"/>
        </w:rPr>
      </w:r>
    </w:p>
    <w:p w:rsidR="00000000" w:rsidDel="00000000" w:rsidP="00000000" w:rsidRDefault="00000000" w:rsidRPr="00000000" w14:paraId="00000047">
      <w:pPr>
        <w:numPr>
          <w:ilvl w:val="0"/>
          <w:numId w:val="1"/>
        </w:numPr>
        <w:spacing w:line="324.00000000000006" w:lineRule="auto"/>
        <w:ind w:left="720" w:hanging="360"/>
        <w:rPr>
          <w:color w:val="222222"/>
          <w:sz w:val="24"/>
          <w:szCs w:val="24"/>
          <w:highlight w:val="white"/>
        </w:rPr>
      </w:pPr>
      <w:r w:rsidDel="00000000" w:rsidR="00000000" w:rsidRPr="00000000">
        <w:rPr>
          <w:color w:val="222222"/>
          <w:sz w:val="24"/>
          <w:szCs w:val="24"/>
          <w:highlight w:val="white"/>
          <w:rtl w:val="0"/>
        </w:rPr>
        <w:t xml:space="preserve">GCU, (2019), </w:t>
      </w:r>
      <w:r w:rsidDel="00000000" w:rsidR="00000000" w:rsidRPr="00000000">
        <w:rPr>
          <w:i w:val="1"/>
          <w:color w:val="222222"/>
          <w:sz w:val="24"/>
          <w:szCs w:val="24"/>
          <w:highlight w:val="white"/>
          <w:rtl w:val="0"/>
        </w:rPr>
        <w:t xml:space="preserve">3 Modern Theories of Victimology</w:t>
      </w:r>
      <w:r w:rsidDel="00000000" w:rsidR="00000000" w:rsidRPr="00000000">
        <w:rPr>
          <w:color w:val="222222"/>
          <w:sz w:val="24"/>
          <w:szCs w:val="24"/>
          <w:highlight w:val="white"/>
          <w:rtl w:val="0"/>
        </w:rPr>
        <w:t xml:space="preserve">. Available at: </w:t>
      </w:r>
      <w:hyperlink r:id="rId18">
        <w:r w:rsidDel="00000000" w:rsidR="00000000" w:rsidRPr="00000000">
          <w:rPr>
            <w:color w:val="1155cc"/>
            <w:sz w:val="24"/>
            <w:szCs w:val="24"/>
            <w:highlight w:val="white"/>
            <w:u w:val="single"/>
            <w:rtl w:val="0"/>
          </w:rPr>
          <w:t xml:space="preserve">https://www.gcu.edu/blog/criminal-justice-government-and-public-administration/3-modern-theories-victimology</w:t>
        </w:r>
      </w:hyperlink>
      <w:r w:rsidDel="00000000" w:rsidR="00000000" w:rsidRPr="00000000">
        <w:rPr>
          <w:rtl w:val="0"/>
        </w:rPr>
      </w:r>
    </w:p>
    <w:p w:rsidR="00000000" w:rsidDel="00000000" w:rsidP="00000000" w:rsidRDefault="00000000" w:rsidRPr="00000000" w14:paraId="00000048">
      <w:pPr>
        <w:numPr>
          <w:ilvl w:val="0"/>
          <w:numId w:val="1"/>
        </w:numPr>
        <w:spacing w:line="324.00000000000006" w:lineRule="auto"/>
        <w:ind w:left="720" w:hanging="360"/>
        <w:rPr>
          <w:color w:val="222222"/>
          <w:sz w:val="24"/>
          <w:szCs w:val="24"/>
          <w:highlight w:val="white"/>
        </w:rPr>
      </w:pPr>
      <w:r w:rsidDel="00000000" w:rsidR="00000000" w:rsidRPr="00000000">
        <w:rPr>
          <w:color w:val="222222"/>
          <w:sz w:val="24"/>
          <w:szCs w:val="24"/>
          <w:highlight w:val="white"/>
          <w:rtl w:val="0"/>
        </w:rPr>
        <w:t xml:space="preserve">Lasky, N.V., (2019), Victim precipitation theory. </w:t>
      </w:r>
      <w:r w:rsidDel="00000000" w:rsidR="00000000" w:rsidRPr="00000000">
        <w:rPr>
          <w:i w:val="1"/>
          <w:color w:val="222222"/>
          <w:sz w:val="24"/>
          <w:szCs w:val="24"/>
          <w:highlight w:val="white"/>
          <w:rtl w:val="0"/>
        </w:rPr>
        <w:t xml:space="preserve">The encyclopedia of women and crime</w:t>
      </w:r>
      <w:r w:rsidDel="00000000" w:rsidR="00000000" w:rsidRPr="00000000">
        <w:rPr>
          <w:color w:val="222222"/>
          <w:sz w:val="24"/>
          <w:szCs w:val="24"/>
          <w:highlight w:val="white"/>
          <w:rtl w:val="0"/>
        </w:rPr>
        <w:t xml:space="preserve">, pp.1-2. </w:t>
      </w:r>
      <w:r w:rsidDel="00000000" w:rsidR="00000000" w:rsidRPr="00000000">
        <w:rPr>
          <w:sz w:val="24"/>
          <w:szCs w:val="24"/>
          <w:highlight w:val="white"/>
          <w:rtl w:val="0"/>
        </w:rPr>
        <w:t xml:space="preserve">Available at: </w:t>
      </w:r>
      <w:hyperlink r:id="rId19">
        <w:r w:rsidDel="00000000" w:rsidR="00000000" w:rsidRPr="00000000">
          <w:rPr>
            <w:color w:val="1155cc"/>
            <w:sz w:val="24"/>
            <w:szCs w:val="24"/>
            <w:highlight w:val="white"/>
            <w:u w:val="single"/>
            <w:rtl w:val="0"/>
          </w:rPr>
          <w:t xml:space="preserve">https://onlinelibrary.wiley.com/doi/abs/10.1002/9781118929803.ewac0517</w:t>
        </w:r>
      </w:hyperlink>
      <w:r w:rsidDel="00000000" w:rsidR="00000000" w:rsidRPr="00000000">
        <w:rPr>
          <w:rtl w:val="0"/>
        </w:rPr>
      </w:r>
    </w:p>
    <w:p w:rsidR="00000000" w:rsidDel="00000000" w:rsidP="00000000" w:rsidRDefault="00000000" w:rsidRPr="00000000" w14:paraId="00000049">
      <w:pPr>
        <w:numPr>
          <w:ilvl w:val="0"/>
          <w:numId w:val="1"/>
        </w:numPr>
        <w:ind w:left="720" w:hanging="360"/>
        <w:rPr>
          <w:color w:val="222222"/>
          <w:sz w:val="24"/>
          <w:szCs w:val="24"/>
          <w:highlight w:val="white"/>
        </w:rPr>
      </w:pPr>
      <w:r w:rsidDel="00000000" w:rsidR="00000000" w:rsidRPr="00000000">
        <w:rPr>
          <w:sz w:val="24"/>
          <w:szCs w:val="24"/>
          <w:highlight w:val="white"/>
          <w:rtl w:val="0"/>
        </w:rPr>
        <w:t xml:space="preserve">Ltd, E., 2021. </w:t>
      </w:r>
      <w:r w:rsidDel="00000000" w:rsidR="00000000" w:rsidRPr="00000000">
        <w:rPr>
          <w:i w:val="1"/>
          <w:sz w:val="24"/>
          <w:szCs w:val="24"/>
          <w:highlight w:val="white"/>
          <w:rtl w:val="0"/>
        </w:rPr>
        <w:t xml:space="preserve">Why do we have laws in our society? Executive Network Legal Ltd</w:t>
      </w:r>
      <w:r w:rsidDel="00000000" w:rsidR="00000000" w:rsidRPr="00000000">
        <w:rPr>
          <w:sz w:val="24"/>
          <w:szCs w:val="24"/>
          <w:highlight w:val="white"/>
          <w:rtl w:val="0"/>
        </w:rPr>
        <w:t xml:space="preserve">. Available at: </w:t>
      </w:r>
      <w:hyperlink r:id="rId20">
        <w:r w:rsidDel="00000000" w:rsidR="00000000" w:rsidRPr="00000000">
          <w:rPr>
            <w:color w:val="1155cc"/>
            <w:sz w:val="24"/>
            <w:szCs w:val="24"/>
            <w:highlight w:val="white"/>
            <w:u w:val="single"/>
            <w:rtl w:val="0"/>
          </w:rPr>
          <w:t xml:space="preserve">https://www.enllegal.co.uk/enl/news/categories/archive/why-do-we-have-laws-in-our-society</w:t>
        </w:r>
      </w:hyperlink>
      <w:r w:rsidDel="00000000" w:rsidR="00000000" w:rsidRPr="00000000">
        <w:rPr>
          <w:rtl w:val="0"/>
        </w:rPr>
      </w:r>
    </w:p>
    <w:p w:rsidR="00000000" w:rsidDel="00000000" w:rsidP="00000000" w:rsidRDefault="00000000" w:rsidRPr="00000000" w14:paraId="0000004A">
      <w:pPr>
        <w:numPr>
          <w:ilvl w:val="0"/>
          <w:numId w:val="1"/>
        </w:numPr>
        <w:spacing w:line="324.00000000000006" w:lineRule="auto"/>
        <w:ind w:left="720" w:hanging="360"/>
        <w:rPr>
          <w:color w:val="222222"/>
          <w:sz w:val="24"/>
          <w:szCs w:val="24"/>
          <w:highlight w:val="white"/>
        </w:rPr>
      </w:pPr>
      <w:r w:rsidDel="00000000" w:rsidR="00000000" w:rsidRPr="00000000">
        <w:rPr>
          <w:color w:val="222222"/>
          <w:sz w:val="24"/>
          <w:szCs w:val="24"/>
          <w:highlight w:val="white"/>
          <w:rtl w:val="0"/>
        </w:rPr>
        <w:t xml:space="preserve">Meier, R.F. and Geis, G., (1997), </w:t>
      </w:r>
      <w:r w:rsidDel="00000000" w:rsidR="00000000" w:rsidRPr="00000000">
        <w:rPr>
          <w:i w:val="1"/>
          <w:color w:val="222222"/>
          <w:sz w:val="24"/>
          <w:szCs w:val="24"/>
          <w:highlight w:val="white"/>
          <w:rtl w:val="0"/>
        </w:rPr>
        <w:t xml:space="preserve">Victimless Crime?: Prostitution, drugs, homosexuality, abortion</w:t>
      </w:r>
      <w:r w:rsidDel="00000000" w:rsidR="00000000" w:rsidRPr="00000000">
        <w:rPr>
          <w:color w:val="222222"/>
          <w:sz w:val="24"/>
          <w:szCs w:val="24"/>
          <w:highlight w:val="white"/>
          <w:rtl w:val="0"/>
        </w:rPr>
        <w:t xml:space="preserve">. Roxbury Pub.</w:t>
      </w:r>
      <w:hyperlink r:id="rId21">
        <w:r w:rsidDel="00000000" w:rsidR="00000000" w:rsidRPr="00000000">
          <w:rPr>
            <w:color w:val="1155cc"/>
            <w:sz w:val="24"/>
            <w:szCs w:val="24"/>
            <w:highlight w:val="white"/>
            <w:u w:val="single"/>
            <w:rtl w:val="0"/>
          </w:rPr>
          <w:t xml:space="preserve">https://www.ojp.gov/ncjrs/virtual-library/abstracts/victimless-crime-prostitution-drugs-homosexuality-abortion</w:t>
        </w:r>
      </w:hyperlink>
      <w:r w:rsidDel="00000000" w:rsidR="00000000" w:rsidRPr="00000000">
        <w:rPr>
          <w:rtl w:val="0"/>
        </w:rPr>
      </w:r>
    </w:p>
    <w:p w:rsidR="00000000" w:rsidDel="00000000" w:rsidP="00000000" w:rsidRDefault="00000000" w:rsidRPr="00000000" w14:paraId="0000004B">
      <w:pPr>
        <w:numPr>
          <w:ilvl w:val="0"/>
          <w:numId w:val="1"/>
        </w:numPr>
        <w:spacing w:line="324.00000000000006" w:lineRule="auto"/>
        <w:ind w:left="720" w:hanging="360"/>
        <w:rPr>
          <w:color w:val="222222"/>
          <w:sz w:val="24"/>
          <w:szCs w:val="24"/>
          <w:highlight w:val="white"/>
        </w:rPr>
      </w:pPr>
      <w:r w:rsidDel="00000000" w:rsidR="00000000" w:rsidRPr="00000000">
        <w:rPr>
          <w:color w:val="222222"/>
          <w:sz w:val="24"/>
          <w:szCs w:val="24"/>
          <w:highlight w:val="white"/>
          <w:rtl w:val="0"/>
        </w:rPr>
        <w:t xml:space="preserve">Mustaine, E.E. and Tewksbury, R., (2000), Comparing the lifestyles of victims, offenders, and victim-offenders: A routine activity theory assessment of similarities and differences for criminal incident participants. </w:t>
      </w:r>
      <w:r w:rsidDel="00000000" w:rsidR="00000000" w:rsidRPr="00000000">
        <w:rPr>
          <w:i w:val="1"/>
          <w:color w:val="222222"/>
          <w:sz w:val="24"/>
          <w:szCs w:val="24"/>
          <w:highlight w:val="white"/>
          <w:rtl w:val="0"/>
        </w:rPr>
        <w:t xml:space="preserve">Sociological Focus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33</w:t>
      </w:r>
      <w:r w:rsidDel="00000000" w:rsidR="00000000" w:rsidRPr="00000000">
        <w:rPr>
          <w:color w:val="222222"/>
          <w:sz w:val="24"/>
          <w:szCs w:val="24"/>
          <w:highlight w:val="white"/>
          <w:rtl w:val="0"/>
        </w:rPr>
        <w:t xml:space="preserve">(3), </w:t>
      </w:r>
      <w:r w:rsidDel="00000000" w:rsidR="00000000" w:rsidRPr="00000000">
        <w:rPr>
          <w:sz w:val="24"/>
          <w:szCs w:val="24"/>
          <w:highlight w:val="white"/>
          <w:rtl w:val="0"/>
        </w:rPr>
        <w:t xml:space="preserve">Available at: </w:t>
      </w:r>
      <w:r w:rsidDel="00000000" w:rsidR="00000000" w:rsidRPr="00000000">
        <w:rPr>
          <w:color w:val="222222"/>
          <w:sz w:val="24"/>
          <w:szCs w:val="24"/>
          <w:highlight w:val="white"/>
          <w:rtl w:val="0"/>
        </w:rPr>
        <w:t xml:space="preserve">pp.339-362.</w:t>
      </w:r>
      <w:hyperlink r:id="rId22">
        <w:r w:rsidDel="00000000" w:rsidR="00000000" w:rsidRPr="00000000">
          <w:rPr>
            <w:color w:val="1155cc"/>
            <w:sz w:val="24"/>
            <w:szCs w:val="24"/>
            <w:highlight w:val="white"/>
            <w:u w:val="single"/>
            <w:rtl w:val="0"/>
          </w:rPr>
          <w:t xml:space="preserve">https://www.tandfonline.com/doi/abs/10.1080/00380237.2000.10571174</w:t>
        </w:r>
      </w:hyperlink>
      <w:r w:rsidDel="00000000" w:rsidR="00000000" w:rsidRPr="00000000">
        <w:rPr>
          <w:rtl w:val="0"/>
        </w:rPr>
      </w:r>
    </w:p>
    <w:p w:rsidR="00000000" w:rsidDel="00000000" w:rsidP="00000000" w:rsidRDefault="00000000" w:rsidRPr="00000000" w14:paraId="0000004C">
      <w:pPr>
        <w:numPr>
          <w:ilvl w:val="0"/>
          <w:numId w:val="1"/>
        </w:numPr>
        <w:ind w:left="720" w:hanging="360"/>
        <w:rPr>
          <w:color w:val="222222"/>
          <w:sz w:val="24"/>
          <w:szCs w:val="24"/>
          <w:highlight w:val="white"/>
        </w:rPr>
      </w:pPr>
      <w:r w:rsidDel="00000000" w:rsidR="00000000" w:rsidRPr="00000000">
        <w:rPr>
          <w:sz w:val="24"/>
          <w:szCs w:val="24"/>
          <w:highlight w:val="white"/>
          <w:rtl w:val="0"/>
        </w:rPr>
        <w:t xml:space="preserve">Pope, T., Davies, N. and Guerin, B., 2021. </w:t>
      </w:r>
      <w:r w:rsidDel="00000000" w:rsidR="00000000" w:rsidRPr="00000000">
        <w:rPr>
          <w:i w:val="1"/>
          <w:sz w:val="24"/>
          <w:szCs w:val="24"/>
          <w:highlight w:val="white"/>
          <w:rtl w:val="0"/>
        </w:rPr>
        <w:t xml:space="preserve">The criminal justice system How government reforms and coronavirus will affect policing, courts and prisons</w:t>
      </w:r>
      <w:r w:rsidDel="00000000" w:rsidR="00000000" w:rsidRPr="00000000">
        <w:rPr>
          <w:sz w:val="24"/>
          <w:szCs w:val="24"/>
          <w:highlight w:val="white"/>
          <w:rtl w:val="0"/>
        </w:rPr>
        <w:t xml:space="preserve">. Institute For Government.org.uk. Available at: </w:t>
      </w:r>
      <w:hyperlink r:id="rId23">
        <w:r w:rsidDel="00000000" w:rsidR="00000000" w:rsidRPr="00000000">
          <w:rPr>
            <w:color w:val="1155cc"/>
            <w:sz w:val="24"/>
            <w:szCs w:val="24"/>
            <w:highlight w:val="white"/>
            <w:u w:val="single"/>
            <w:rtl w:val="0"/>
          </w:rPr>
          <w:t xml:space="preserve">https://www.instituteforgovernment.org.uk/sites/default/files/publications/criminal-justice-system_0.pdf</w:t>
        </w:r>
      </w:hyperlink>
      <w:r w:rsidDel="00000000" w:rsidR="00000000" w:rsidRPr="00000000">
        <w:rPr>
          <w:color w:val="222222"/>
          <w:sz w:val="24"/>
          <w:szCs w:val="24"/>
          <w:highlight w:val="white"/>
          <w:rtl w:val="0"/>
        </w:rPr>
        <w:t xml:space="preserve"> [Accessed 27th October 2021].</w:t>
      </w:r>
    </w:p>
    <w:p w:rsidR="00000000" w:rsidDel="00000000" w:rsidP="00000000" w:rsidRDefault="00000000" w:rsidRPr="00000000" w14:paraId="0000004D">
      <w:pPr>
        <w:numPr>
          <w:ilvl w:val="0"/>
          <w:numId w:val="1"/>
        </w:numPr>
        <w:spacing w:line="324.00000000000006" w:lineRule="auto"/>
        <w:ind w:left="720" w:hanging="360"/>
        <w:rPr>
          <w:color w:val="222222"/>
          <w:sz w:val="24"/>
          <w:szCs w:val="24"/>
          <w:highlight w:val="white"/>
        </w:rPr>
      </w:pPr>
      <w:r w:rsidDel="00000000" w:rsidR="00000000" w:rsidRPr="00000000">
        <w:rPr>
          <w:color w:val="222222"/>
          <w:sz w:val="24"/>
          <w:szCs w:val="24"/>
          <w:highlight w:val="white"/>
          <w:rtl w:val="0"/>
        </w:rPr>
        <w:t xml:space="preserve">Potter, S., (2017). Using Critical Discourse Analysis to Understand Power, Personal Agency and Accountability in the Stanford Rape Case. </w:t>
      </w:r>
      <w:r w:rsidDel="00000000" w:rsidR="00000000" w:rsidRPr="00000000">
        <w:rPr>
          <w:i w:val="1"/>
          <w:color w:val="222222"/>
          <w:sz w:val="24"/>
          <w:szCs w:val="24"/>
          <w:highlight w:val="white"/>
          <w:rtl w:val="0"/>
        </w:rPr>
        <w:t xml:space="preserve">Southern Journal of Linguistics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41</w:t>
      </w:r>
      <w:r w:rsidDel="00000000" w:rsidR="00000000" w:rsidRPr="00000000">
        <w:rPr>
          <w:color w:val="222222"/>
          <w:sz w:val="24"/>
          <w:szCs w:val="24"/>
          <w:highlight w:val="white"/>
          <w:rtl w:val="0"/>
        </w:rPr>
        <w:t xml:space="preserve">(2), pp.1-31. </w:t>
      </w:r>
      <w:r w:rsidDel="00000000" w:rsidR="00000000" w:rsidRPr="00000000">
        <w:rPr>
          <w:sz w:val="24"/>
          <w:szCs w:val="24"/>
          <w:highlight w:val="white"/>
          <w:rtl w:val="0"/>
        </w:rPr>
        <w:t xml:space="preserve">Available at: </w:t>
      </w:r>
      <w:hyperlink r:id="rId24">
        <w:r w:rsidDel="00000000" w:rsidR="00000000" w:rsidRPr="00000000">
          <w:rPr>
            <w:color w:val="1155cc"/>
            <w:sz w:val="24"/>
            <w:szCs w:val="24"/>
            <w:highlight w:val="white"/>
            <w:u w:val="single"/>
            <w:rtl w:val="0"/>
          </w:rPr>
          <w:t xml:space="preserve">https://www.researchgate.net/profile/Sara-Potter-3/publication/327020290_Using_Critical_Discourse_Analysis_to_Understand_Power_Personal_Agency_and_Accountability_in_the_Stanford_Rape_Case/links/5b72f7ee92851ca6505d84da/Using-Critical-Discourse-Analysis-to-Understand-Power-Personal-Agency-and-Accountability-in-the-Stanford-Rape-Case.pdf</w:t>
        </w:r>
      </w:hyperlink>
      <w:r w:rsidDel="00000000" w:rsidR="00000000" w:rsidRPr="00000000">
        <w:rPr>
          <w:rtl w:val="0"/>
        </w:rPr>
      </w:r>
    </w:p>
    <w:p w:rsidR="00000000" w:rsidDel="00000000" w:rsidP="00000000" w:rsidRDefault="00000000" w:rsidRPr="00000000" w14:paraId="0000004E">
      <w:pPr>
        <w:numPr>
          <w:ilvl w:val="0"/>
          <w:numId w:val="1"/>
        </w:numPr>
        <w:spacing w:line="324.00000000000006" w:lineRule="auto"/>
        <w:ind w:left="720" w:hanging="360"/>
        <w:rPr>
          <w:sz w:val="24"/>
          <w:szCs w:val="24"/>
          <w:highlight w:val="white"/>
        </w:rPr>
      </w:pPr>
      <w:r w:rsidDel="00000000" w:rsidR="00000000" w:rsidRPr="00000000">
        <w:rPr>
          <w:color w:val="222222"/>
          <w:sz w:val="24"/>
          <w:szCs w:val="24"/>
          <w:highlight w:val="white"/>
          <w:rtl w:val="0"/>
        </w:rPr>
        <w:t xml:space="preserve">Pratt, T.C. and Turanovic, J.J., (2016), Lifestyle and routine activity theories revisited: The importance of “risk” to the study of victimization. </w:t>
      </w:r>
      <w:r w:rsidDel="00000000" w:rsidR="00000000" w:rsidRPr="00000000">
        <w:rPr>
          <w:i w:val="1"/>
          <w:color w:val="222222"/>
          <w:sz w:val="24"/>
          <w:szCs w:val="24"/>
          <w:highlight w:val="white"/>
          <w:rtl w:val="0"/>
        </w:rPr>
        <w:t xml:space="preserve">Victims &amp; Offenders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11</w:t>
      </w:r>
      <w:r w:rsidDel="00000000" w:rsidR="00000000" w:rsidRPr="00000000">
        <w:rPr>
          <w:color w:val="222222"/>
          <w:sz w:val="24"/>
          <w:szCs w:val="24"/>
          <w:highlight w:val="white"/>
          <w:rtl w:val="0"/>
        </w:rPr>
        <w:t xml:space="preserve">(3), pp.335-354. </w:t>
      </w:r>
      <w:r w:rsidDel="00000000" w:rsidR="00000000" w:rsidRPr="00000000">
        <w:rPr>
          <w:sz w:val="24"/>
          <w:szCs w:val="24"/>
          <w:highlight w:val="white"/>
          <w:rtl w:val="0"/>
        </w:rPr>
        <w:t xml:space="preserve">Available at: </w:t>
      </w:r>
      <w:hyperlink r:id="rId25">
        <w:r w:rsidDel="00000000" w:rsidR="00000000" w:rsidRPr="00000000">
          <w:rPr>
            <w:color w:val="1155cc"/>
            <w:sz w:val="24"/>
            <w:szCs w:val="24"/>
            <w:highlight w:val="white"/>
            <w:u w:val="single"/>
            <w:rtl w:val="0"/>
          </w:rPr>
          <w:t xml:space="preserve">https://www.tandfonline.com/doi/abs/10.1080/15564886.2015.1057351</w:t>
        </w:r>
      </w:hyperlink>
      <w:r w:rsidDel="00000000" w:rsidR="00000000" w:rsidRPr="00000000">
        <w:rPr>
          <w:rtl w:val="0"/>
        </w:rPr>
      </w:r>
    </w:p>
    <w:p w:rsidR="00000000" w:rsidDel="00000000" w:rsidP="00000000" w:rsidRDefault="00000000" w:rsidRPr="00000000" w14:paraId="0000004F">
      <w:pPr>
        <w:numPr>
          <w:ilvl w:val="0"/>
          <w:numId w:val="1"/>
        </w:numPr>
        <w:spacing w:line="324.00000000000006" w:lineRule="auto"/>
        <w:ind w:left="720" w:hanging="360"/>
        <w:rPr>
          <w:sz w:val="28"/>
          <w:szCs w:val="28"/>
          <w:highlight w:val="white"/>
        </w:rPr>
      </w:pPr>
      <w:r w:rsidDel="00000000" w:rsidR="00000000" w:rsidRPr="00000000">
        <w:rPr>
          <w:color w:val="222222"/>
          <w:sz w:val="24"/>
          <w:szCs w:val="24"/>
          <w:highlight w:val="white"/>
          <w:rtl w:val="0"/>
        </w:rPr>
        <w:t xml:space="preserve">Sampson, R.J. and Lauritsen, J.L., (1990), Deviant lifestyles, proximity to crime, and the offender-victim link in personal violence. </w:t>
      </w:r>
      <w:r w:rsidDel="00000000" w:rsidR="00000000" w:rsidRPr="00000000">
        <w:rPr>
          <w:i w:val="1"/>
          <w:color w:val="222222"/>
          <w:sz w:val="24"/>
          <w:szCs w:val="24"/>
          <w:highlight w:val="white"/>
          <w:rtl w:val="0"/>
        </w:rPr>
        <w:t xml:space="preserve">Journal of research in crime and delinquency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27</w:t>
      </w:r>
      <w:r w:rsidDel="00000000" w:rsidR="00000000" w:rsidRPr="00000000">
        <w:rPr>
          <w:color w:val="222222"/>
          <w:sz w:val="24"/>
          <w:szCs w:val="24"/>
          <w:highlight w:val="white"/>
          <w:rtl w:val="0"/>
        </w:rPr>
        <w:t xml:space="preserve">(2), pp.110-139. </w:t>
      </w:r>
      <w:r w:rsidDel="00000000" w:rsidR="00000000" w:rsidRPr="00000000">
        <w:rPr>
          <w:sz w:val="24"/>
          <w:szCs w:val="24"/>
          <w:highlight w:val="white"/>
          <w:rtl w:val="0"/>
        </w:rPr>
        <w:t xml:space="preserve"> Available at: </w:t>
      </w:r>
      <w:hyperlink r:id="rId26">
        <w:r w:rsidDel="00000000" w:rsidR="00000000" w:rsidRPr="00000000">
          <w:rPr>
            <w:color w:val="1155cc"/>
            <w:sz w:val="24"/>
            <w:szCs w:val="24"/>
            <w:highlight w:val="white"/>
            <w:u w:val="single"/>
            <w:rtl w:val="0"/>
          </w:rPr>
          <w:t xml:space="preserve">https://journals.sagepub.com/doi/abs/10.1177/0022427890027002002</w:t>
        </w:r>
      </w:hyperlink>
      <w:r w:rsidDel="00000000" w:rsidR="00000000" w:rsidRPr="00000000">
        <w:rPr>
          <w:rtl w:val="0"/>
        </w:rPr>
      </w:r>
    </w:p>
    <w:p w:rsidR="00000000" w:rsidDel="00000000" w:rsidP="00000000" w:rsidRDefault="00000000" w:rsidRPr="00000000" w14:paraId="00000050">
      <w:pPr>
        <w:numPr>
          <w:ilvl w:val="0"/>
          <w:numId w:val="1"/>
        </w:numPr>
        <w:spacing w:line="324.00000000000006" w:lineRule="auto"/>
        <w:ind w:left="720" w:hanging="360"/>
        <w:rPr>
          <w:sz w:val="24"/>
          <w:szCs w:val="24"/>
          <w:highlight w:val="white"/>
        </w:rPr>
      </w:pPr>
      <w:r w:rsidDel="00000000" w:rsidR="00000000" w:rsidRPr="00000000">
        <w:rPr>
          <w:color w:val="222222"/>
          <w:sz w:val="24"/>
          <w:szCs w:val="24"/>
          <w:highlight w:val="white"/>
          <w:rtl w:val="0"/>
        </w:rPr>
        <w:t xml:space="preserve">Riggs, S.A., (2010), Childhood emotional abuse and the attachment system across the life cycle: What theory and research tell us. </w:t>
      </w:r>
      <w:r w:rsidDel="00000000" w:rsidR="00000000" w:rsidRPr="00000000">
        <w:rPr>
          <w:i w:val="1"/>
          <w:color w:val="222222"/>
          <w:sz w:val="24"/>
          <w:szCs w:val="24"/>
          <w:highlight w:val="white"/>
          <w:rtl w:val="0"/>
        </w:rPr>
        <w:t xml:space="preserve">Journal of Aggression, Maltreatment &amp; Trauma</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19</w:t>
      </w:r>
      <w:r w:rsidDel="00000000" w:rsidR="00000000" w:rsidRPr="00000000">
        <w:rPr>
          <w:color w:val="222222"/>
          <w:sz w:val="24"/>
          <w:szCs w:val="24"/>
          <w:highlight w:val="white"/>
          <w:rtl w:val="0"/>
        </w:rPr>
        <w:t xml:space="preserve">(1), pp.5-51. </w:t>
      </w:r>
      <w:r w:rsidDel="00000000" w:rsidR="00000000" w:rsidRPr="00000000">
        <w:rPr>
          <w:sz w:val="24"/>
          <w:szCs w:val="24"/>
          <w:highlight w:val="white"/>
          <w:rtl w:val="0"/>
        </w:rPr>
        <w:t xml:space="preserve">Available at: </w:t>
      </w:r>
      <w:hyperlink r:id="rId27">
        <w:r w:rsidDel="00000000" w:rsidR="00000000" w:rsidRPr="00000000">
          <w:rPr>
            <w:color w:val="1155cc"/>
            <w:sz w:val="24"/>
            <w:szCs w:val="24"/>
            <w:highlight w:val="white"/>
            <w:u w:val="single"/>
            <w:rtl w:val="0"/>
          </w:rPr>
          <w:t xml:space="preserve">https://www.tandfonline.com/doi/full/10.1080/10926770903475968</w:t>
        </w:r>
      </w:hyperlink>
      <w:r w:rsidDel="00000000" w:rsidR="00000000" w:rsidRPr="00000000">
        <w:rPr>
          <w:rtl w:val="0"/>
        </w:rPr>
      </w:r>
    </w:p>
    <w:p w:rsidR="00000000" w:rsidDel="00000000" w:rsidP="00000000" w:rsidRDefault="00000000" w:rsidRPr="00000000" w14:paraId="00000051">
      <w:pPr>
        <w:numPr>
          <w:ilvl w:val="0"/>
          <w:numId w:val="1"/>
        </w:numPr>
        <w:spacing w:line="324.00000000000006" w:lineRule="auto"/>
        <w:ind w:left="720" w:hanging="360"/>
        <w:rPr>
          <w:color w:val="222222"/>
          <w:sz w:val="24"/>
          <w:szCs w:val="24"/>
          <w:highlight w:val="white"/>
        </w:rPr>
      </w:pPr>
      <w:r w:rsidDel="00000000" w:rsidR="00000000" w:rsidRPr="00000000">
        <w:rPr>
          <w:sz w:val="24"/>
          <w:szCs w:val="24"/>
          <w:highlight w:val="white"/>
          <w:rtl w:val="0"/>
        </w:rPr>
        <w:t xml:space="preserve">Shepka, P., (2019), </w:t>
      </w:r>
      <w:r w:rsidDel="00000000" w:rsidR="00000000" w:rsidRPr="00000000">
        <w:rPr>
          <w:i w:val="1"/>
          <w:sz w:val="24"/>
          <w:szCs w:val="24"/>
          <w:highlight w:val="white"/>
          <w:rtl w:val="0"/>
        </w:rPr>
        <w:t xml:space="preserve">Emma Day: Murdered woman told child support of threats from ex</w:t>
      </w:r>
      <w:r w:rsidDel="00000000" w:rsidR="00000000" w:rsidRPr="00000000">
        <w:rPr>
          <w:sz w:val="24"/>
          <w:szCs w:val="24"/>
          <w:highlight w:val="white"/>
          <w:rtl w:val="0"/>
        </w:rPr>
        <w:t xml:space="preserve">. [online] BBC News. Available at: </w:t>
      </w:r>
      <w:hyperlink r:id="rId28">
        <w:r w:rsidDel="00000000" w:rsidR="00000000" w:rsidRPr="00000000">
          <w:rPr>
            <w:color w:val="1155cc"/>
            <w:sz w:val="24"/>
            <w:szCs w:val="24"/>
            <w:highlight w:val="white"/>
            <w:u w:val="single"/>
            <w:rtl w:val="0"/>
          </w:rPr>
          <w:t xml:space="preserve">https://www.bbc.co.uk/news/uk-england-london-48267340</w:t>
        </w:r>
      </w:hyperlink>
      <w:r w:rsidDel="00000000" w:rsidR="00000000" w:rsidRPr="00000000">
        <w:rPr>
          <w:rtl w:val="0"/>
        </w:rPr>
      </w:r>
    </w:p>
    <w:p w:rsidR="00000000" w:rsidDel="00000000" w:rsidP="00000000" w:rsidRDefault="00000000" w:rsidRPr="00000000" w14:paraId="00000052">
      <w:pPr>
        <w:numPr>
          <w:ilvl w:val="0"/>
          <w:numId w:val="1"/>
        </w:numPr>
        <w:ind w:left="720" w:hanging="360"/>
        <w:rPr>
          <w:color w:val="222222"/>
          <w:sz w:val="24"/>
          <w:szCs w:val="24"/>
          <w:highlight w:val="white"/>
        </w:rPr>
      </w:pPr>
      <w:r w:rsidDel="00000000" w:rsidR="00000000" w:rsidRPr="00000000">
        <w:rPr>
          <w:sz w:val="24"/>
          <w:szCs w:val="24"/>
          <w:rtl w:val="0"/>
        </w:rPr>
        <w:t xml:space="preserve">Tiwari, K. (2017) ‘</w:t>
      </w:r>
      <w:r w:rsidDel="00000000" w:rsidR="00000000" w:rsidRPr="00000000">
        <w:rPr>
          <w:i w:val="1"/>
          <w:sz w:val="24"/>
          <w:szCs w:val="24"/>
          <w:rtl w:val="0"/>
        </w:rPr>
        <w:t xml:space="preserve">Importance of Law in Society</w:t>
      </w:r>
      <w:r w:rsidDel="00000000" w:rsidR="00000000" w:rsidRPr="00000000">
        <w:rPr>
          <w:sz w:val="24"/>
          <w:szCs w:val="24"/>
          <w:rtl w:val="0"/>
        </w:rPr>
        <w:t xml:space="preserve">’, legaldesire, 1st February. Available at:</w:t>
      </w:r>
      <w:hyperlink r:id="rId29">
        <w:r w:rsidDel="00000000" w:rsidR="00000000" w:rsidRPr="00000000">
          <w:rPr>
            <w:color w:val="1155cc"/>
            <w:sz w:val="24"/>
            <w:szCs w:val="24"/>
            <w:highlight w:val="white"/>
            <w:u w:val="single"/>
            <w:rtl w:val="0"/>
          </w:rPr>
          <w:t xml:space="preserve">https://legaldesire.com/article-importance-of-law-in-society/</w:t>
        </w:r>
      </w:hyperlink>
      <w:r w:rsidDel="00000000" w:rsidR="00000000" w:rsidRPr="00000000">
        <w:rPr>
          <w:rtl w:val="0"/>
        </w:rPr>
      </w:r>
    </w:p>
    <w:p w:rsidR="00000000" w:rsidDel="00000000" w:rsidP="00000000" w:rsidRDefault="00000000" w:rsidRPr="00000000" w14:paraId="00000053">
      <w:pPr>
        <w:spacing w:line="324.00000000000006" w:lineRule="auto"/>
        <w:rPr>
          <w:color w:val="222222"/>
          <w:sz w:val="24"/>
          <w:szCs w:val="24"/>
          <w:highlight w:val="white"/>
        </w:rPr>
      </w:pPr>
      <w:r w:rsidDel="00000000" w:rsidR="00000000" w:rsidRPr="00000000">
        <w:rPr>
          <w:rtl w:val="0"/>
        </w:rPr>
      </w:r>
    </w:p>
    <w:p w:rsidR="00000000" w:rsidDel="00000000" w:rsidP="00000000" w:rsidRDefault="00000000" w:rsidRPr="00000000" w14:paraId="00000054">
      <w:pPr>
        <w:ind w:left="0" w:firstLine="0"/>
        <w:rPr>
          <w:color w:val="222222"/>
          <w:sz w:val="24"/>
          <w:szCs w:val="24"/>
          <w:highlight w:val="white"/>
        </w:rPr>
      </w:pPr>
      <w:r w:rsidDel="00000000" w:rsidR="00000000" w:rsidRPr="00000000">
        <w:rPr>
          <w:rtl w:val="0"/>
        </w:rPr>
      </w:r>
    </w:p>
    <w:p w:rsidR="00000000" w:rsidDel="00000000" w:rsidP="00000000" w:rsidRDefault="00000000" w:rsidRPr="00000000" w14:paraId="00000055">
      <w:pPr>
        <w:ind w:left="720" w:firstLine="0"/>
        <w:rPr>
          <w:color w:val="222222"/>
          <w:sz w:val="24"/>
          <w:szCs w:val="24"/>
          <w:highlight w:val="white"/>
        </w:rPr>
      </w:pPr>
      <w:r w:rsidDel="00000000" w:rsidR="00000000" w:rsidRPr="00000000">
        <w:rPr>
          <w:rtl w:val="0"/>
        </w:rPr>
      </w:r>
    </w:p>
    <w:p w:rsidR="00000000" w:rsidDel="00000000" w:rsidP="00000000" w:rsidRDefault="00000000" w:rsidRPr="00000000" w14:paraId="00000056">
      <w:pPr>
        <w:ind w:left="720" w:firstLine="0"/>
        <w:rPr>
          <w:b w:val="1"/>
          <w:i w:val="1"/>
          <w:color w:val="222222"/>
          <w:sz w:val="24"/>
          <w:szCs w:val="24"/>
          <w:highlight w:val="white"/>
          <w:u w:val="single"/>
        </w:rPr>
      </w:pPr>
      <w:r w:rsidDel="00000000" w:rsidR="00000000" w:rsidRPr="00000000">
        <w:rPr>
          <w:rtl w:val="0"/>
        </w:rPr>
      </w:r>
    </w:p>
    <w:p w:rsidR="00000000" w:rsidDel="00000000" w:rsidP="00000000" w:rsidRDefault="00000000" w:rsidRPr="00000000" w14:paraId="00000057">
      <w:pPr>
        <w:rPr>
          <w:sz w:val="24"/>
          <w:szCs w:val="24"/>
          <w:highlight w:val="white"/>
        </w:rPr>
      </w:pPr>
      <w:r w:rsidDel="00000000" w:rsidR="00000000" w:rsidRPr="00000000">
        <w:rPr>
          <w:rtl w:val="0"/>
        </w:rPr>
      </w:r>
    </w:p>
    <w:p w:rsidR="00000000" w:rsidDel="00000000" w:rsidP="00000000" w:rsidRDefault="00000000" w:rsidRPr="00000000" w14:paraId="00000058">
      <w:pPr>
        <w:rPr>
          <w:rFonts w:ascii="Open Sans" w:cs="Open Sans" w:eastAsia="Open Sans" w:hAnsi="Open Sans"/>
          <w:color w:val="222222"/>
          <w:sz w:val="20"/>
          <w:szCs w:val="20"/>
          <w:highlight w:val="white"/>
        </w:rPr>
      </w:pPr>
      <w:r w:rsidDel="00000000" w:rsidR="00000000" w:rsidRPr="00000000">
        <w:rPr>
          <w:rtl w:val="0"/>
        </w:rPr>
      </w:r>
    </w:p>
    <w:p w:rsidR="00000000" w:rsidDel="00000000" w:rsidP="00000000" w:rsidRDefault="00000000" w:rsidRPr="00000000" w14:paraId="00000059">
      <w:pPr>
        <w:spacing w:line="324.00000000000006" w:lineRule="auto"/>
        <w:ind w:left="720" w:firstLine="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nllegal.co.uk/enl/news/categories/archive/why-do-we-have-laws-in-our-society" TargetMode="External"/><Relationship Id="rId22" Type="http://schemas.openxmlformats.org/officeDocument/2006/relationships/hyperlink" Target="https://www.tandfonline.com/doi/abs/10.1080/00380237.2000.10571174" TargetMode="External"/><Relationship Id="rId21" Type="http://schemas.openxmlformats.org/officeDocument/2006/relationships/hyperlink" Target="https://www.ojp.gov/ncjrs/virtual-library/abstracts/victimless-crime-prostitution-drugs-homosexuality-abortion" TargetMode="External"/><Relationship Id="rId24" Type="http://schemas.openxmlformats.org/officeDocument/2006/relationships/hyperlink" Target="https://www.researchgate.net/profile/Sara-Potter-3/publication/327020290_Using_Critical_Discourse_Analysis_to_Understand_Power_Personal_Agency_and_Accountability_in_the_Stanford_Rape_Case/links/5b72f7ee92851ca6505d84da/Using-Critical-Discourse-Analysis-to-Understand-Power-Personal-Agency-and-Accountability-in-the-Stanford-Rape-Case.pdf" TargetMode="External"/><Relationship Id="rId23" Type="http://schemas.openxmlformats.org/officeDocument/2006/relationships/hyperlink" Target="https://www.instituteforgovernment.org.uk/sites/default/files/publications/criminal-justice-system_0.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ooks.google.co.uk/books?id=FOafNwKqcCcC&amp;pg=PA6&amp;source=gbs_toc_r&amp;cad=2#v=onepage&amp;q&amp;f=false" TargetMode="External"/><Relationship Id="rId26" Type="http://schemas.openxmlformats.org/officeDocument/2006/relationships/hyperlink" Target="https://journals.sagepub.com/doi/abs/10.1177/0022427890027002002" TargetMode="External"/><Relationship Id="rId25" Type="http://schemas.openxmlformats.org/officeDocument/2006/relationships/hyperlink" Target="https://www.tandfonline.com/doi/abs/10.1080/15564886.2015.1057351" TargetMode="External"/><Relationship Id="rId28" Type="http://schemas.openxmlformats.org/officeDocument/2006/relationships/hyperlink" Target="https://www.bbc.co.uk/news/uk-england-london-48267340" TargetMode="External"/><Relationship Id="rId27" Type="http://schemas.openxmlformats.org/officeDocument/2006/relationships/hyperlink" Target="https://www.tandfonline.com/doi/full/10.1080/10926770903475968" TargetMode="External"/><Relationship Id="rId5" Type="http://schemas.openxmlformats.org/officeDocument/2006/relationships/styles" Target="styles.xml"/><Relationship Id="rId6" Type="http://schemas.openxmlformats.org/officeDocument/2006/relationships/hyperlink" Target="https://scholarlycommons.law.northwestern.edu/cgi/viewcontent.cgi?article=5481&amp;context=jclc" TargetMode="External"/><Relationship Id="rId29" Type="http://schemas.openxmlformats.org/officeDocument/2006/relationships/hyperlink" Target="https://legaldesire.com/article-importance-of-law-in-society/" TargetMode="External"/><Relationship Id="rId7" Type="http://schemas.openxmlformats.org/officeDocument/2006/relationships/hyperlink" Target="https://antislavery.org.au/watcharaporn-nantahkhum-2013/" TargetMode="External"/><Relationship Id="rId8" Type="http://schemas.openxmlformats.org/officeDocument/2006/relationships/hyperlink" Target="https://antislavery.org.au/watcharaporn-nantahkhum-2013/" TargetMode="External"/><Relationship Id="rId11" Type="http://schemas.openxmlformats.org/officeDocument/2006/relationships/hyperlink" Target="https://www.tandfonline.com/doi/abs/10.1080/23322705.2019.1578579" TargetMode="External"/><Relationship Id="rId10" Type="http://schemas.openxmlformats.org/officeDocument/2006/relationships/hyperlink" Target="https://www.sbs.com.au/news/dateline/sex-trafficking-s-tragic-paradox-when-victims-become-perpetrators" TargetMode="External"/><Relationship Id="rId13" Type="http://schemas.openxmlformats.org/officeDocument/2006/relationships/hyperlink" Target="https://cjp.org.in/victimology/" TargetMode="External"/><Relationship Id="rId12" Type="http://schemas.openxmlformats.org/officeDocument/2006/relationships/hyperlink" Target="https://doi.org/10.4324/9781315151571" TargetMode="External"/><Relationship Id="rId15" Type="http://schemas.openxmlformats.org/officeDocument/2006/relationships/hyperlink" Target="https://www.sciencedirect.com/science/article/pii/B9780124045972000012?via%3Dihub" TargetMode="External"/><Relationship Id="rId14" Type="http://schemas.openxmlformats.org/officeDocument/2006/relationships/hyperlink" Target="https://www.statista.com/topics/6150/criminal-justice-system-in-the-uk/#topicHeader__wrapper" TargetMode="External"/><Relationship Id="rId17" Type="http://schemas.openxmlformats.org/officeDocument/2006/relationships/hyperlink" Target="https://www.civitas.org.uk/content/files/povertyandcrime.pdf" TargetMode="External"/><Relationship Id="rId16" Type="http://schemas.openxmlformats.org/officeDocument/2006/relationships/hyperlink" Target="https://www.sciencedirect.com/science/article/pii/B9780124045972000012?via%3Dihub" TargetMode="External"/><Relationship Id="rId19" Type="http://schemas.openxmlformats.org/officeDocument/2006/relationships/hyperlink" Target="https://onlinelibrary.wiley.com/doi/abs/10.1002/9781118929803.ewac0517" TargetMode="External"/><Relationship Id="rId18" Type="http://schemas.openxmlformats.org/officeDocument/2006/relationships/hyperlink" Target="https://www.gcu.edu/blog/criminal-justice-government-and-public-administration/3-modern-theories-victimolog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