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86805" w:rsidRPr="00F86805" w:rsidRDefault="00F86805" w:rsidP="00F86805">
      <w:pPr>
        <w:spacing w:after="0" w:line="480" w:lineRule="auto"/>
        <w:ind w:firstLine="720"/>
        <w:jc w:val="center"/>
        <w:rPr>
          <w:rFonts w:ascii="Times New Roman" w:hAnsi="Times New Roman" w:cs="Times New Roman"/>
          <w:sz w:val="24"/>
          <w:szCs w:val="24"/>
        </w:rPr>
      </w:pPr>
    </w:p>
    <w:p w:rsidR="00F86805" w:rsidRPr="00F86805" w:rsidRDefault="00F86805" w:rsidP="00F86805">
      <w:pPr>
        <w:spacing w:after="0" w:line="480" w:lineRule="auto"/>
        <w:ind w:firstLine="720"/>
        <w:jc w:val="center"/>
        <w:rPr>
          <w:rFonts w:ascii="Times New Roman" w:hAnsi="Times New Roman" w:cs="Times New Roman"/>
          <w:sz w:val="24"/>
          <w:szCs w:val="24"/>
        </w:rPr>
      </w:pPr>
    </w:p>
    <w:p w:rsidR="00F86805" w:rsidRDefault="00F86805" w:rsidP="00F86805">
      <w:pPr>
        <w:spacing w:after="0" w:line="480" w:lineRule="auto"/>
        <w:ind w:firstLine="720"/>
        <w:jc w:val="center"/>
        <w:rPr>
          <w:rFonts w:ascii="Times New Roman" w:hAnsi="Times New Roman" w:cs="Times New Roman"/>
          <w:sz w:val="24"/>
          <w:szCs w:val="24"/>
        </w:rPr>
      </w:pPr>
    </w:p>
    <w:p w:rsidR="00F11C93" w:rsidRDefault="00F11C93" w:rsidP="00F86805">
      <w:pPr>
        <w:spacing w:after="0" w:line="480" w:lineRule="auto"/>
        <w:ind w:firstLine="720"/>
        <w:jc w:val="center"/>
        <w:rPr>
          <w:rFonts w:ascii="Times New Roman" w:hAnsi="Times New Roman" w:cs="Times New Roman"/>
          <w:sz w:val="24"/>
          <w:szCs w:val="24"/>
        </w:rPr>
      </w:pPr>
    </w:p>
    <w:p w:rsidR="00F11C93" w:rsidRPr="00F86805" w:rsidRDefault="00F11C93" w:rsidP="00F86805">
      <w:pPr>
        <w:spacing w:after="0" w:line="480" w:lineRule="auto"/>
        <w:ind w:firstLine="720"/>
        <w:jc w:val="center"/>
        <w:rPr>
          <w:rFonts w:ascii="Times New Roman" w:hAnsi="Times New Roman" w:cs="Times New Roman"/>
          <w:sz w:val="24"/>
          <w:szCs w:val="24"/>
        </w:rPr>
      </w:pPr>
    </w:p>
    <w:p w:rsidR="00F86805" w:rsidRPr="00F86805" w:rsidRDefault="00F86805" w:rsidP="00F86805">
      <w:pPr>
        <w:spacing w:after="0" w:line="480" w:lineRule="auto"/>
        <w:ind w:firstLine="720"/>
        <w:jc w:val="center"/>
        <w:rPr>
          <w:rFonts w:ascii="Times New Roman" w:hAnsi="Times New Roman" w:cs="Times New Roman"/>
          <w:sz w:val="24"/>
          <w:szCs w:val="24"/>
        </w:rPr>
      </w:pPr>
    </w:p>
    <w:p w:rsidR="00F86805" w:rsidRPr="00F86805" w:rsidRDefault="00F86805" w:rsidP="00F86805">
      <w:pPr>
        <w:spacing w:after="0" w:line="480" w:lineRule="auto"/>
        <w:ind w:firstLine="720"/>
        <w:jc w:val="center"/>
        <w:rPr>
          <w:rFonts w:ascii="Times New Roman" w:hAnsi="Times New Roman" w:cs="Times New Roman"/>
          <w:sz w:val="24"/>
          <w:szCs w:val="24"/>
        </w:rPr>
      </w:pPr>
    </w:p>
    <w:p w:rsidR="00155D81" w:rsidRDefault="00155D81" w:rsidP="00155D81">
      <w:pPr>
        <w:jc w:val="center"/>
        <w:rPr>
          <w:rFonts w:ascii="Times New Roman" w:hAnsi="Times New Roman"/>
          <w:b/>
          <w:sz w:val="28"/>
          <w:szCs w:val="28"/>
          <w:lang w:val="en-GB"/>
        </w:rPr>
      </w:pPr>
      <w:r>
        <w:rPr>
          <w:rFonts w:ascii="Times New Roman" w:hAnsi="Times New Roman"/>
          <w:b/>
          <w:sz w:val="28"/>
          <w:szCs w:val="28"/>
        </w:rPr>
        <w:t>Student ID: 2017271</w:t>
      </w:r>
    </w:p>
    <w:p w:rsidR="00155D81" w:rsidRDefault="00155D81" w:rsidP="00155D81">
      <w:pPr>
        <w:jc w:val="center"/>
        <w:rPr>
          <w:rFonts w:ascii="Times New Roman" w:hAnsi="Times New Roman"/>
          <w:b/>
          <w:sz w:val="28"/>
          <w:szCs w:val="28"/>
        </w:rPr>
      </w:pPr>
      <w:r>
        <w:rPr>
          <w:rFonts w:ascii="Times New Roman" w:hAnsi="Times New Roman"/>
          <w:b/>
          <w:sz w:val="28"/>
          <w:szCs w:val="28"/>
        </w:rPr>
        <w:t>University of Wales Trinity Saint David</w:t>
      </w:r>
    </w:p>
    <w:p w:rsidR="00155D81" w:rsidRDefault="00155D81" w:rsidP="00155D81">
      <w:pPr>
        <w:jc w:val="center"/>
        <w:rPr>
          <w:rFonts w:ascii="Times New Roman" w:hAnsi="Times New Roman"/>
          <w:b/>
          <w:lang w:val="en-GB"/>
        </w:rPr>
      </w:pPr>
      <w:r>
        <w:rPr>
          <w:rFonts w:ascii="Arial" w:hAnsi="Arial" w:cs="Arial"/>
          <w:b/>
        </w:rPr>
        <w:t>BMLW5008</w:t>
      </w:r>
    </w:p>
    <w:p w:rsidR="00F86805" w:rsidRPr="00155D81" w:rsidRDefault="00155D81" w:rsidP="00155D81">
      <w:pPr>
        <w:spacing w:line="480" w:lineRule="auto"/>
        <w:ind w:left="2880"/>
        <w:rPr>
          <w:rFonts w:ascii="Times New Roman" w:hAnsi="Times New Roman"/>
          <w:sz w:val="24"/>
          <w:szCs w:val="24"/>
          <w:shd w:val="clear" w:color="auto" w:fill="FFFFFF"/>
        </w:rPr>
        <w:sectPr w:rsidR="00F86805" w:rsidRPr="00155D81">
          <w:pgSz w:w="12240" w:h="15840"/>
          <w:pgMar w:top="1440" w:right="1440" w:bottom="1440" w:left="1440" w:header="720" w:footer="720" w:gutter="0"/>
          <w:cols w:space="720"/>
          <w:docGrid w:linePitch="360"/>
        </w:sectPr>
      </w:pPr>
      <w:r>
        <w:rPr>
          <w:rFonts w:ascii="Times New Roman" w:hAnsi="Times New Roman"/>
          <w:b/>
        </w:rPr>
        <w:t xml:space="preserve">          Number of </w:t>
      </w:r>
      <w:proofErr w:type="gramStart"/>
      <w:r>
        <w:rPr>
          <w:rFonts w:ascii="Times New Roman" w:hAnsi="Times New Roman"/>
          <w:b/>
        </w:rPr>
        <w:t>Words :</w:t>
      </w:r>
      <w:proofErr w:type="gramEnd"/>
      <w:r>
        <w:rPr>
          <w:rFonts w:ascii="Times New Roman" w:hAnsi="Times New Roman"/>
          <w:b/>
        </w:rPr>
        <w:t xml:space="preserve"> 2,726</w:t>
      </w:r>
    </w:p>
    <w:p w:rsidR="00AA2CED" w:rsidRPr="00F86805" w:rsidRDefault="00FE2C21" w:rsidP="00F86805">
      <w:pPr>
        <w:spacing w:after="0" w:line="480" w:lineRule="auto"/>
        <w:ind w:firstLine="720"/>
        <w:rPr>
          <w:rFonts w:ascii="Times New Roman" w:hAnsi="Times New Roman" w:cs="Times New Roman"/>
          <w:sz w:val="24"/>
          <w:szCs w:val="24"/>
        </w:rPr>
      </w:pPr>
      <w:r w:rsidRPr="00F86805">
        <w:rPr>
          <w:rFonts w:ascii="Times New Roman" w:hAnsi="Times New Roman" w:cs="Times New Roman"/>
          <w:sz w:val="24"/>
          <w:szCs w:val="24"/>
        </w:rPr>
        <w:lastRenderedPageBreak/>
        <w:t xml:space="preserve">The liability law has come under heavy criticism. In particular are criticisms raised where access to compensation is difficult for victims who must establish the fault of the defendant and the causal link between this fault and their damage. The use of liability is also accused of undermining relationships and the safety of care, by discouraging reporting of errors. however, experts agree that core of the liability lies in the standard of care assigned to the involved parties. </w:t>
      </w:r>
      <w:r w:rsidR="00685A34" w:rsidRPr="00F86805">
        <w:rPr>
          <w:rFonts w:ascii="Times New Roman" w:hAnsi="Times New Roman" w:cs="Times New Roman"/>
          <w:sz w:val="24"/>
          <w:szCs w:val="24"/>
        </w:rPr>
        <w:t xml:space="preserve">Conventional expectations are that in imposing a standard of care in negligence, the law strikes a fair and flexible balance between the interests of claimants and those of defendants. </w:t>
      </w:r>
      <w:r w:rsidR="00AA2CED" w:rsidRPr="00F86805">
        <w:rPr>
          <w:rFonts w:ascii="Times New Roman" w:hAnsi="Times New Roman" w:cs="Times New Roman"/>
          <w:sz w:val="24"/>
          <w:szCs w:val="24"/>
        </w:rPr>
        <w:t xml:space="preserve">In order to understand the standard of care in relation to interests of the involved parties, it is important to understand the conditions of liability. </w:t>
      </w:r>
    </w:p>
    <w:p w:rsidR="00AA2CED" w:rsidRPr="00F86805" w:rsidRDefault="00AA2CED" w:rsidP="00F86805">
      <w:pPr>
        <w:spacing w:after="0" w:line="480" w:lineRule="auto"/>
        <w:jc w:val="center"/>
        <w:rPr>
          <w:rFonts w:ascii="Times New Roman" w:hAnsi="Times New Roman" w:cs="Times New Roman"/>
          <w:sz w:val="24"/>
          <w:szCs w:val="24"/>
        </w:rPr>
      </w:pPr>
      <w:r w:rsidRPr="00F86805">
        <w:rPr>
          <w:rFonts w:ascii="Times New Roman" w:hAnsi="Times New Roman" w:cs="Times New Roman"/>
          <w:sz w:val="24"/>
          <w:szCs w:val="24"/>
        </w:rPr>
        <w:t>Conditions of liability</w:t>
      </w:r>
    </w:p>
    <w:p w:rsidR="00575122" w:rsidRPr="00F86805" w:rsidRDefault="00AA2CED" w:rsidP="00F86805">
      <w:pPr>
        <w:spacing w:after="0" w:line="480" w:lineRule="auto"/>
        <w:ind w:firstLine="720"/>
        <w:rPr>
          <w:rFonts w:ascii="Times New Roman" w:hAnsi="Times New Roman" w:cs="Times New Roman"/>
          <w:sz w:val="24"/>
          <w:szCs w:val="24"/>
        </w:rPr>
      </w:pPr>
      <w:r w:rsidRPr="00F86805">
        <w:rPr>
          <w:rFonts w:ascii="Times New Roman" w:hAnsi="Times New Roman" w:cs="Times New Roman"/>
          <w:sz w:val="24"/>
          <w:szCs w:val="24"/>
        </w:rPr>
        <w:t xml:space="preserve">Whether or not there is a contractual link </w:t>
      </w:r>
      <w:r w:rsidR="00FE2C21" w:rsidRPr="00F86805">
        <w:rPr>
          <w:rFonts w:ascii="Times New Roman" w:hAnsi="Times New Roman" w:cs="Times New Roman"/>
          <w:sz w:val="24"/>
          <w:szCs w:val="24"/>
        </w:rPr>
        <w:t xml:space="preserve">between the </w:t>
      </w:r>
      <w:r w:rsidRPr="00F86805">
        <w:rPr>
          <w:rFonts w:ascii="Times New Roman" w:hAnsi="Times New Roman" w:cs="Times New Roman"/>
          <w:sz w:val="24"/>
          <w:szCs w:val="24"/>
        </w:rPr>
        <w:t>involved parties</w:t>
      </w:r>
      <w:r w:rsidR="00FE2C21" w:rsidRPr="00F86805">
        <w:rPr>
          <w:rFonts w:ascii="Times New Roman" w:hAnsi="Times New Roman" w:cs="Times New Roman"/>
          <w:sz w:val="24"/>
          <w:szCs w:val="24"/>
        </w:rPr>
        <w:t xml:space="preserve">, action against the </w:t>
      </w:r>
      <w:r w:rsidRPr="00F86805">
        <w:rPr>
          <w:rFonts w:ascii="Times New Roman" w:hAnsi="Times New Roman" w:cs="Times New Roman"/>
          <w:sz w:val="24"/>
          <w:szCs w:val="24"/>
        </w:rPr>
        <w:t>defendant following an incident</w:t>
      </w:r>
      <w:r w:rsidR="00FE2C21" w:rsidRPr="00F86805">
        <w:rPr>
          <w:rFonts w:ascii="Times New Roman" w:hAnsi="Times New Roman" w:cs="Times New Roman"/>
          <w:sz w:val="24"/>
          <w:szCs w:val="24"/>
        </w:rPr>
        <w:t xml:space="preserve"> </w:t>
      </w:r>
      <w:r w:rsidRPr="00F86805">
        <w:rPr>
          <w:rFonts w:ascii="Times New Roman" w:hAnsi="Times New Roman" w:cs="Times New Roman"/>
          <w:sz w:val="24"/>
          <w:szCs w:val="24"/>
        </w:rPr>
        <w:t>is</w:t>
      </w:r>
      <w:r w:rsidR="00FE2C21" w:rsidRPr="00F86805">
        <w:rPr>
          <w:rFonts w:ascii="Times New Roman" w:hAnsi="Times New Roman" w:cs="Times New Roman"/>
          <w:sz w:val="24"/>
          <w:szCs w:val="24"/>
        </w:rPr>
        <w:t xml:space="preserve"> b</w:t>
      </w:r>
      <w:r w:rsidRPr="00F86805">
        <w:rPr>
          <w:rFonts w:ascii="Times New Roman" w:hAnsi="Times New Roman" w:cs="Times New Roman"/>
          <w:sz w:val="24"/>
          <w:szCs w:val="24"/>
        </w:rPr>
        <w:t>ased on the wrong of negligence</w:t>
      </w:r>
      <w:r w:rsidR="00FE2C21" w:rsidRPr="00F86805">
        <w:rPr>
          <w:rFonts w:ascii="Times New Roman" w:hAnsi="Times New Roman" w:cs="Times New Roman"/>
          <w:sz w:val="24"/>
          <w:szCs w:val="24"/>
        </w:rPr>
        <w:t>. </w:t>
      </w:r>
      <w:r w:rsidRPr="00F86805">
        <w:rPr>
          <w:rFonts w:ascii="Times New Roman" w:hAnsi="Times New Roman" w:cs="Times New Roman"/>
          <w:sz w:val="24"/>
          <w:szCs w:val="24"/>
        </w:rPr>
        <w:t>where a contractual relationship exists, the</w:t>
      </w:r>
      <w:r w:rsidR="00FE2C21" w:rsidRPr="00F86805">
        <w:rPr>
          <w:rFonts w:ascii="Times New Roman" w:hAnsi="Times New Roman" w:cs="Times New Roman"/>
          <w:sz w:val="24"/>
          <w:szCs w:val="24"/>
        </w:rPr>
        <w:t xml:space="preserve"> combination of contractual responsibilities and </w:t>
      </w:r>
      <w:r w:rsidRPr="00F86805">
        <w:rPr>
          <w:rFonts w:ascii="Times New Roman" w:hAnsi="Times New Roman" w:cs="Times New Roman"/>
          <w:sz w:val="24"/>
          <w:szCs w:val="24"/>
        </w:rPr>
        <w:t>provisions of the law in relation to standard of care work hand in hand</w:t>
      </w:r>
      <w:r w:rsidR="000C4F77" w:rsidRPr="00F86805">
        <w:rPr>
          <w:rFonts w:ascii="Times New Roman" w:hAnsi="Times New Roman" w:cs="Times New Roman"/>
          <w:sz w:val="24"/>
          <w:szCs w:val="24"/>
        </w:rPr>
        <w:t xml:space="preserve"> (Burch and Tort, 2020)</w:t>
      </w:r>
      <w:r w:rsidRPr="00F86805">
        <w:rPr>
          <w:rFonts w:ascii="Times New Roman" w:hAnsi="Times New Roman" w:cs="Times New Roman"/>
          <w:sz w:val="24"/>
          <w:szCs w:val="24"/>
        </w:rPr>
        <w:t>. However, i</w:t>
      </w:r>
      <w:r w:rsidR="00FE2C21" w:rsidRPr="00F86805">
        <w:rPr>
          <w:rFonts w:ascii="Times New Roman" w:hAnsi="Times New Roman" w:cs="Times New Roman"/>
          <w:sz w:val="24"/>
          <w:szCs w:val="24"/>
        </w:rPr>
        <w:t xml:space="preserve">n both cases, the plaintiff </w:t>
      </w:r>
      <w:r w:rsidRPr="00F86805">
        <w:rPr>
          <w:rFonts w:ascii="Times New Roman" w:hAnsi="Times New Roman" w:cs="Times New Roman"/>
          <w:sz w:val="24"/>
          <w:szCs w:val="24"/>
        </w:rPr>
        <w:t>has</w:t>
      </w:r>
      <w:r w:rsidR="00FE2C21" w:rsidRPr="00F86805">
        <w:rPr>
          <w:rFonts w:ascii="Times New Roman" w:hAnsi="Times New Roman" w:cs="Times New Roman"/>
          <w:sz w:val="24"/>
          <w:szCs w:val="24"/>
        </w:rPr>
        <w:t xml:space="preserve"> to establish the fault of the defendant and the causal link between this fault and its damage. </w:t>
      </w:r>
      <w:r w:rsidR="00F536BE" w:rsidRPr="00F86805">
        <w:rPr>
          <w:rFonts w:ascii="Times New Roman" w:hAnsi="Times New Roman" w:cs="Times New Roman"/>
          <w:sz w:val="24"/>
          <w:szCs w:val="24"/>
        </w:rPr>
        <w:t xml:space="preserve">In order to engage the liability in the event of an incident, the applicant must establish the existence of the conditions for extra-contractual liability in the fault of </w:t>
      </w:r>
      <w:r w:rsidR="00575122" w:rsidRPr="00F86805">
        <w:rPr>
          <w:rFonts w:ascii="Times New Roman" w:hAnsi="Times New Roman" w:cs="Times New Roman"/>
          <w:sz w:val="24"/>
          <w:szCs w:val="24"/>
        </w:rPr>
        <w:t>negligence:</w:t>
      </w:r>
      <w:r w:rsidR="00F536BE" w:rsidRPr="00F86805">
        <w:rPr>
          <w:rFonts w:ascii="Times New Roman" w:hAnsi="Times New Roman" w:cs="Times New Roman"/>
          <w:sz w:val="24"/>
          <w:szCs w:val="24"/>
        </w:rPr>
        <w:t xml:space="preserve"> the duty of care, the fault, the causal link and the damage</w:t>
      </w:r>
      <w:bookmarkStart w:id="0" w:name="_GoBack"/>
      <w:bookmarkEnd w:id="0"/>
      <w:r w:rsidR="00F536BE" w:rsidRPr="00F86805">
        <w:rPr>
          <w:rFonts w:ascii="Times New Roman" w:hAnsi="Times New Roman" w:cs="Times New Roman"/>
          <w:sz w:val="24"/>
          <w:szCs w:val="24"/>
        </w:rPr>
        <w:t>.</w:t>
      </w:r>
      <w:r w:rsidR="00575122" w:rsidRPr="00F86805">
        <w:rPr>
          <w:rFonts w:ascii="Times New Roman" w:hAnsi="Times New Roman" w:cs="Times New Roman"/>
          <w:sz w:val="24"/>
          <w:szCs w:val="24"/>
        </w:rPr>
        <w:t xml:space="preserve"> </w:t>
      </w:r>
    </w:p>
    <w:p w:rsidR="00FE2C21" w:rsidRPr="00F86805" w:rsidRDefault="00FE2C21" w:rsidP="00F86805">
      <w:pPr>
        <w:spacing w:after="0" w:line="480" w:lineRule="auto"/>
        <w:jc w:val="center"/>
        <w:rPr>
          <w:rFonts w:ascii="Times New Roman" w:hAnsi="Times New Roman" w:cs="Times New Roman"/>
          <w:sz w:val="24"/>
          <w:szCs w:val="24"/>
        </w:rPr>
      </w:pPr>
      <w:r w:rsidRPr="00F86805">
        <w:rPr>
          <w:rFonts w:ascii="Times New Roman" w:hAnsi="Times New Roman" w:cs="Times New Roman"/>
          <w:sz w:val="24"/>
          <w:szCs w:val="24"/>
        </w:rPr>
        <w:t>The duty of care in the fault of negligence</w:t>
      </w:r>
    </w:p>
    <w:p w:rsidR="00A25FCF" w:rsidRPr="00F86805" w:rsidRDefault="00575122" w:rsidP="00F86805">
      <w:pPr>
        <w:spacing w:after="0" w:line="480" w:lineRule="auto"/>
        <w:ind w:firstLine="720"/>
        <w:rPr>
          <w:rFonts w:ascii="Times New Roman" w:hAnsi="Times New Roman" w:cs="Times New Roman"/>
          <w:i/>
          <w:sz w:val="24"/>
          <w:szCs w:val="24"/>
        </w:rPr>
      </w:pPr>
      <w:r w:rsidRPr="00F86805">
        <w:rPr>
          <w:rFonts w:ascii="Times New Roman" w:hAnsi="Times New Roman" w:cs="Times New Roman"/>
          <w:sz w:val="24"/>
          <w:szCs w:val="24"/>
        </w:rPr>
        <w:t>The basis of tort law is often the fact that the defendant owes</w:t>
      </w:r>
      <w:r w:rsidR="00FE2C21" w:rsidRPr="00F86805">
        <w:rPr>
          <w:rFonts w:ascii="Times New Roman" w:hAnsi="Times New Roman" w:cs="Times New Roman"/>
          <w:sz w:val="24"/>
          <w:szCs w:val="24"/>
        </w:rPr>
        <w:t xml:space="preserve"> a duty of care to the </w:t>
      </w:r>
      <w:r w:rsidRPr="00F86805">
        <w:rPr>
          <w:rFonts w:ascii="Times New Roman" w:hAnsi="Times New Roman" w:cs="Times New Roman"/>
          <w:sz w:val="24"/>
          <w:szCs w:val="24"/>
        </w:rPr>
        <w:t xml:space="preserve">claimant. Typically, it is the responsibility of the claimant to prove that such a duty exists in order to validate the case. </w:t>
      </w:r>
      <w:r w:rsidR="00E053AF" w:rsidRPr="00F86805">
        <w:rPr>
          <w:rFonts w:ascii="Times New Roman" w:hAnsi="Times New Roman" w:cs="Times New Roman"/>
          <w:sz w:val="24"/>
          <w:szCs w:val="24"/>
        </w:rPr>
        <w:t>H</w:t>
      </w:r>
      <w:r w:rsidR="00FE2C21" w:rsidRPr="00F86805">
        <w:rPr>
          <w:rFonts w:ascii="Times New Roman" w:hAnsi="Times New Roman" w:cs="Times New Roman"/>
          <w:sz w:val="24"/>
          <w:szCs w:val="24"/>
        </w:rPr>
        <w:t xml:space="preserve">owever, this condition of extra-contractual liability limits the scope of medical liability in certain specific cases. Thus, the doctor will not be indebted to a duty of </w:t>
      </w:r>
      <w:r w:rsidR="00FE2C21" w:rsidRPr="00F86805">
        <w:rPr>
          <w:rFonts w:ascii="Times New Roman" w:hAnsi="Times New Roman" w:cs="Times New Roman"/>
          <w:sz w:val="24"/>
          <w:szCs w:val="24"/>
        </w:rPr>
        <w:lastRenderedPageBreak/>
        <w:t>diligence towards the victim if he has not accepted him as a patient: the civil liability of the doctor who passes in front of an injured person in the street without reacting will not</w:t>
      </w:r>
      <w:r w:rsidR="00A34EC5" w:rsidRPr="00F86805">
        <w:rPr>
          <w:rFonts w:ascii="Times New Roman" w:hAnsi="Times New Roman" w:cs="Times New Roman"/>
          <w:sz w:val="24"/>
          <w:szCs w:val="24"/>
        </w:rPr>
        <w:t xml:space="preserve"> be engaged in English law (Burch and Tort, 2019).</w:t>
      </w:r>
      <w:r w:rsidR="00E053AF" w:rsidRPr="00F86805">
        <w:rPr>
          <w:rFonts w:ascii="Times New Roman" w:hAnsi="Times New Roman" w:cs="Times New Roman"/>
          <w:sz w:val="24"/>
          <w:szCs w:val="24"/>
        </w:rPr>
        <w:t xml:space="preserve"> Nevertheless, it </w:t>
      </w:r>
      <w:r w:rsidR="00FE2C21" w:rsidRPr="00F86805">
        <w:rPr>
          <w:rFonts w:ascii="Times New Roman" w:hAnsi="Times New Roman" w:cs="Times New Roman"/>
          <w:sz w:val="24"/>
          <w:szCs w:val="24"/>
        </w:rPr>
        <w:t>would probably be in vi</w:t>
      </w:r>
      <w:r w:rsidR="00E053AF" w:rsidRPr="00F86805">
        <w:rPr>
          <w:rFonts w:ascii="Times New Roman" w:hAnsi="Times New Roman" w:cs="Times New Roman"/>
          <w:sz w:val="24"/>
          <w:szCs w:val="24"/>
        </w:rPr>
        <w:t>olation of professional code. T</w:t>
      </w:r>
      <w:r w:rsidR="00FE2C21" w:rsidRPr="00F86805">
        <w:rPr>
          <w:rFonts w:ascii="Times New Roman" w:hAnsi="Times New Roman" w:cs="Times New Roman"/>
          <w:sz w:val="24"/>
          <w:szCs w:val="24"/>
        </w:rPr>
        <w:t xml:space="preserve">his concept makes it possible to limit the liability </w:t>
      </w:r>
      <w:r w:rsidR="00E053AF" w:rsidRPr="00F86805">
        <w:rPr>
          <w:rFonts w:ascii="Times New Roman" w:hAnsi="Times New Roman" w:cs="Times New Roman"/>
          <w:sz w:val="24"/>
          <w:szCs w:val="24"/>
        </w:rPr>
        <w:t xml:space="preserve">towards victims indirectly. Consequently, the fault of the defendant is </w:t>
      </w:r>
      <w:r w:rsidR="00FE2C21" w:rsidRPr="00F86805">
        <w:rPr>
          <w:rFonts w:ascii="Times New Roman" w:hAnsi="Times New Roman" w:cs="Times New Roman"/>
          <w:sz w:val="24"/>
          <w:szCs w:val="24"/>
        </w:rPr>
        <w:t xml:space="preserve">assessed in </w:t>
      </w:r>
      <w:r w:rsidR="00E053AF" w:rsidRPr="00F86805">
        <w:rPr>
          <w:rFonts w:ascii="Times New Roman" w:hAnsi="Times New Roman" w:cs="Times New Roman"/>
          <w:sz w:val="24"/>
          <w:szCs w:val="24"/>
        </w:rPr>
        <w:t xml:space="preserve">abstract. </w:t>
      </w:r>
      <w:r w:rsidR="00FE2C21" w:rsidRPr="00F86805">
        <w:rPr>
          <w:rFonts w:ascii="Times New Roman" w:hAnsi="Times New Roman" w:cs="Times New Roman"/>
          <w:sz w:val="24"/>
          <w:szCs w:val="24"/>
        </w:rPr>
        <w:t xml:space="preserve">The </w:t>
      </w:r>
      <w:r w:rsidR="00E053AF" w:rsidRPr="00F86805">
        <w:rPr>
          <w:rFonts w:ascii="Times New Roman" w:hAnsi="Times New Roman" w:cs="Times New Roman"/>
          <w:sz w:val="24"/>
          <w:szCs w:val="24"/>
        </w:rPr>
        <w:t>complainant</w:t>
      </w:r>
      <w:r w:rsidR="00FE2C21" w:rsidRPr="00F86805">
        <w:rPr>
          <w:rFonts w:ascii="Times New Roman" w:hAnsi="Times New Roman" w:cs="Times New Roman"/>
          <w:sz w:val="24"/>
          <w:szCs w:val="24"/>
        </w:rPr>
        <w:t xml:space="preserve"> will thus have to demonstrate that the professional has not reached the level of diligence </w:t>
      </w:r>
      <w:r w:rsidR="00E053AF" w:rsidRPr="00F86805">
        <w:rPr>
          <w:rFonts w:ascii="Times New Roman" w:hAnsi="Times New Roman" w:cs="Times New Roman"/>
          <w:sz w:val="24"/>
          <w:szCs w:val="24"/>
        </w:rPr>
        <w:t>required</w:t>
      </w:r>
      <w:r w:rsidR="00FE2C21" w:rsidRPr="00F86805">
        <w:rPr>
          <w:rFonts w:ascii="Times New Roman" w:hAnsi="Times New Roman" w:cs="Times New Roman"/>
          <w:sz w:val="24"/>
          <w:szCs w:val="24"/>
        </w:rPr>
        <w:t>. It is sufficient that the defendant has reached t</w:t>
      </w:r>
      <w:r w:rsidR="00E053AF" w:rsidRPr="00F86805">
        <w:rPr>
          <w:rFonts w:ascii="Times New Roman" w:hAnsi="Times New Roman" w:cs="Times New Roman"/>
          <w:sz w:val="24"/>
          <w:szCs w:val="24"/>
        </w:rPr>
        <w:t>he level of competence expected</w:t>
      </w:r>
      <w:r w:rsidR="00F86805" w:rsidRPr="00F86805">
        <w:rPr>
          <w:rFonts w:ascii="Times New Roman" w:hAnsi="Times New Roman" w:cs="Times New Roman"/>
          <w:sz w:val="24"/>
          <w:szCs w:val="24"/>
        </w:rPr>
        <w:t xml:space="preserve"> </w:t>
      </w:r>
      <w:r w:rsidR="00F86805" w:rsidRPr="00F86805">
        <w:rPr>
          <w:rFonts w:ascii="Times New Roman" w:hAnsi="Times New Roman" w:cs="Times New Roman"/>
          <w:i/>
          <w:sz w:val="24"/>
          <w:szCs w:val="24"/>
        </w:rPr>
        <w:t>Bolam v Friern Hospital Management Committee [1957] 1 WLR 582</w:t>
      </w:r>
      <w:r w:rsidR="00E053AF" w:rsidRPr="00F86805">
        <w:rPr>
          <w:rFonts w:ascii="Times New Roman" w:hAnsi="Times New Roman" w:cs="Times New Roman"/>
          <w:sz w:val="24"/>
          <w:szCs w:val="24"/>
        </w:rPr>
        <w:t xml:space="preserve">. </w:t>
      </w:r>
      <w:r w:rsidR="00FE2C21" w:rsidRPr="00F86805">
        <w:rPr>
          <w:rFonts w:ascii="Times New Roman" w:hAnsi="Times New Roman" w:cs="Times New Roman"/>
          <w:sz w:val="24"/>
          <w:szCs w:val="24"/>
        </w:rPr>
        <w:t xml:space="preserve">The recommendations of good practice produced by the various professional bodies will serve as an indication of the practices expected of the </w:t>
      </w:r>
      <w:r w:rsidR="00A25FCF" w:rsidRPr="00F86805">
        <w:rPr>
          <w:rFonts w:ascii="Times New Roman" w:hAnsi="Times New Roman" w:cs="Times New Roman"/>
          <w:sz w:val="24"/>
          <w:szCs w:val="24"/>
        </w:rPr>
        <w:t>defendant</w:t>
      </w:r>
      <w:r w:rsidR="00FE2C21" w:rsidRPr="00F86805">
        <w:rPr>
          <w:rFonts w:ascii="Times New Roman" w:hAnsi="Times New Roman" w:cs="Times New Roman"/>
          <w:sz w:val="24"/>
          <w:szCs w:val="24"/>
        </w:rPr>
        <w:t xml:space="preserve"> but the conformity of the act with a recommendation will not constitute a definitive indication of an absence of fault, just like the lack of compliance will not always be at fault. </w:t>
      </w:r>
      <w:r w:rsidR="00A25FCF" w:rsidRPr="00F86805">
        <w:rPr>
          <w:rFonts w:ascii="Times New Roman" w:hAnsi="Times New Roman" w:cs="Times New Roman"/>
          <w:sz w:val="24"/>
          <w:szCs w:val="24"/>
        </w:rPr>
        <w:t xml:space="preserve">This principle seeks to strike a balance with both sides. </w:t>
      </w:r>
      <w:r w:rsidR="00FE2C21" w:rsidRPr="00F86805">
        <w:rPr>
          <w:rFonts w:ascii="Times New Roman" w:hAnsi="Times New Roman" w:cs="Times New Roman"/>
          <w:sz w:val="24"/>
          <w:szCs w:val="24"/>
        </w:rPr>
        <w:t xml:space="preserve">In cases where there is a scientific controversy over good practice, the fact that the </w:t>
      </w:r>
      <w:r w:rsidR="00A25FCF" w:rsidRPr="00F86805">
        <w:rPr>
          <w:rFonts w:ascii="Times New Roman" w:hAnsi="Times New Roman" w:cs="Times New Roman"/>
          <w:sz w:val="24"/>
          <w:szCs w:val="24"/>
        </w:rPr>
        <w:t>defendant has</w:t>
      </w:r>
      <w:r w:rsidR="00FE2C21" w:rsidRPr="00F86805">
        <w:rPr>
          <w:rFonts w:ascii="Times New Roman" w:hAnsi="Times New Roman" w:cs="Times New Roman"/>
          <w:sz w:val="24"/>
          <w:szCs w:val="24"/>
        </w:rPr>
        <w:t xml:space="preserve"> acted in accordance with a practice deemed adequate by a competent body will constitute a strong indication of the absence of fault  </w:t>
      </w:r>
      <w:r w:rsidR="00EB3500" w:rsidRPr="00F86805">
        <w:rPr>
          <w:rFonts w:ascii="Times New Roman" w:hAnsi="Times New Roman" w:cs="Times New Roman"/>
          <w:sz w:val="24"/>
          <w:szCs w:val="24"/>
        </w:rPr>
        <w:t>(Ontario Bar Association, 2017)</w:t>
      </w:r>
      <w:r w:rsidR="00A25FCF" w:rsidRPr="00F86805">
        <w:rPr>
          <w:rFonts w:ascii="Times New Roman" w:hAnsi="Times New Roman" w:cs="Times New Roman"/>
          <w:sz w:val="24"/>
          <w:szCs w:val="24"/>
        </w:rPr>
        <w:t xml:space="preserve">. </w:t>
      </w:r>
    </w:p>
    <w:p w:rsidR="00FE2C21" w:rsidRPr="00F86805" w:rsidRDefault="00A25FCF" w:rsidP="00F86805">
      <w:pPr>
        <w:spacing w:after="0" w:line="480" w:lineRule="auto"/>
        <w:ind w:firstLine="720"/>
        <w:rPr>
          <w:rFonts w:ascii="Times New Roman" w:hAnsi="Times New Roman" w:cs="Times New Roman"/>
          <w:sz w:val="24"/>
          <w:szCs w:val="24"/>
        </w:rPr>
      </w:pPr>
      <w:r w:rsidRPr="00F86805">
        <w:rPr>
          <w:rFonts w:ascii="Times New Roman" w:hAnsi="Times New Roman" w:cs="Times New Roman"/>
          <w:sz w:val="24"/>
          <w:szCs w:val="24"/>
        </w:rPr>
        <w:t>In the case of</w:t>
      </w:r>
      <w:r w:rsidR="00FE2C21" w:rsidRPr="00F86805">
        <w:rPr>
          <w:rFonts w:ascii="Times New Roman" w:hAnsi="Times New Roman" w:cs="Times New Roman"/>
          <w:sz w:val="24"/>
          <w:szCs w:val="24"/>
        </w:rPr>
        <w:t xml:space="preserve"> scientific controversy, the plaintiff's proof of the fault proves particularly problematic in English law given the adversarial nature of English civil proceedings, where two versions of "scientif</w:t>
      </w:r>
      <w:r w:rsidRPr="00F86805">
        <w:rPr>
          <w:rFonts w:ascii="Times New Roman" w:hAnsi="Times New Roman" w:cs="Times New Roman"/>
          <w:sz w:val="24"/>
          <w:szCs w:val="24"/>
        </w:rPr>
        <w:t xml:space="preserve">ic truth" are likely to </w:t>
      </w:r>
      <w:r w:rsidR="00FE2C21" w:rsidRPr="00F86805">
        <w:rPr>
          <w:rFonts w:ascii="Times New Roman" w:hAnsi="Times New Roman" w:cs="Times New Roman"/>
          <w:sz w:val="24"/>
          <w:szCs w:val="24"/>
        </w:rPr>
        <w:t>be presented to the judge. [18]</w:t>
      </w:r>
      <w:r w:rsidRPr="00F86805">
        <w:rPr>
          <w:rFonts w:ascii="Times New Roman" w:hAnsi="Times New Roman" w:cs="Times New Roman"/>
          <w:sz w:val="24"/>
          <w:szCs w:val="24"/>
        </w:rPr>
        <w:t>I</w:t>
      </w:r>
      <w:r w:rsidR="00FE2C21" w:rsidRPr="00F86805">
        <w:rPr>
          <w:rFonts w:ascii="Times New Roman" w:hAnsi="Times New Roman" w:cs="Times New Roman"/>
          <w:sz w:val="24"/>
          <w:szCs w:val="24"/>
        </w:rPr>
        <w:t xml:space="preserve">n the English accusatory civil procedure, </w:t>
      </w:r>
      <w:r w:rsidRPr="00F86805">
        <w:rPr>
          <w:rFonts w:ascii="Times New Roman" w:hAnsi="Times New Roman" w:cs="Times New Roman"/>
          <w:sz w:val="24"/>
          <w:szCs w:val="24"/>
        </w:rPr>
        <w:t>t</w:t>
      </w:r>
      <w:r w:rsidR="00FE2C21" w:rsidRPr="00F86805">
        <w:rPr>
          <w:rFonts w:ascii="Times New Roman" w:hAnsi="Times New Roman" w:cs="Times New Roman"/>
          <w:sz w:val="24"/>
          <w:szCs w:val="24"/>
        </w:rPr>
        <w:t>he testimony provided by the expert in defense of the existence of a competent and reasonable element to support the practice of the defendant will suffice in the majority of cases to rule out the characterization of fault, despite the contradictory</w:t>
      </w:r>
      <w:r w:rsidR="00126826" w:rsidRPr="00F86805">
        <w:rPr>
          <w:rFonts w:ascii="Times New Roman" w:hAnsi="Times New Roman" w:cs="Times New Roman"/>
          <w:sz w:val="24"/>
          <w:szCs w:val="24"/>
        </w:rPr>
        <w:t xml:space="preserve"> testimony of the </w:t>
      </w:r>
      <w:r w:rsidR="00FE2C21" w:rsidRPr="00F86805">
        <w:rPr>
          <w:rFonts w:ascii="Times New Roman" w:hAnsi="Times New Roman" w:cs="Times New Roman"/>
          <w:sz w:val="24"/>
          <w:szCs w:val="24"/>
        </w:rPr>
        <w:t xml:space="preserve">expert of the </w:t>
      </w:r>
      <w:r w:rsidR="00126826" w:rsidRPr="00F86805">
        <w:rPr>
          <w:rFonts w:ascii="Times New Roman" w:hAnsi="Times New Roman" w:cs="Times New Roman"/>
          <w:sz w:val="24"/>
          <w:szCs w:val="24"/>
        </w:rPr>
        <w:t>claimant</w:t>
      </w:r>
      <w:r w:rsidR="00EB3500" w:rsidRPr="00F86805">
        <w:rPr>
          <w:rFonts w:ascii="Times New Roman" w:hAnsi="Times New Roman" w:cs="Times New Roman"/>
          <w:sz w:val="24"/>
          <w:szCs w:val="24"/>
        </w:rPr>
        <w:t xml:space="preserve"> (Ontario Bar Association, 2017)</w:t>
      </w:r>
      <w:r w:rsidR="00FE2C21" w:rsidRPr="00F86805">
        <w:rPr>
          <w:rFonts w:ascii="Times New Roman" w:hAnsi="Times New Roman" w:cs="Times New Roman"/>
          <w:sz w:val="24"/>
          <w:szCs w:val="24"/>
        </w:rPr>
        <w:t xml:space="preserve">. It will not be necessary for the defense to establish that this practice is approved by the majority of the profession. </w:t>
      </w:r>
      <w:r w:rsidR="00126826" w:rsidRPr="00F86805">
        <w:rPr>
          <w:rFonts w:ascii="Times New Roman" w:hAnsi="Times New Roman" w:cs="Times New Roman"/>
          <w:sz w:val="24"/>
          <w:szCs w:val="24"/>
        </w:rPr>
        <w:t xml:space="preserve">This line of thought however </w:t>
      </w:r>
      <w:r w:rsidR="00126826" w:rsidRPr="00F86805">
        <w:rPr>
          <w:rFonts w:ascii="Times New Roman" w:hAnsi="Times New Roman" w:cs="Times New Roman"/>
          <w:sz w:val="24"/>
          <w:szCs w:val="24"/>
        </w:rPr>
        <w:lastRenderedPageBreak/>
        <w:t xml:space="preserve">seemed flawed in favor of the defendant. Consequently, in </w:t>
      </w:r>
      <w:r w:rsidR="00FE2C21" w:rsidRPr="00F86805">
        <w:rPr>
          <w:rFonts w:ascii="Times New Roman" w:hAnsi="Times New Roman" w:cs="Times New Roman"/>
          <w:sz w:val="24"/>
          <w:szCs w:val="24"/>
        </w:rPr>
        <w:t>Freitas v O'Brien  [19]</w:t>
      </w:r>
      <w:r w:rsidR="00126826" w:rsidRPr="00F86805">
        <w:rPr>
          <w:rFonts w:ascii="Times New Roman" w:hAnsi="Times New Roman" w:cs="Times New Roman"/>
          <w:sz w:val="24"/>
          <w:szCs w:val="24"/>
        </w:rPr>
        <w:t xml:space="preserve"> [19]</w:t>
      </w:r>
      <w:r w:rsidR="00FE2C21" w:rsidRPr="00F86805">
        <w:rPr>
          <w:rFonts w:ascii="Times New Roman" w:hAnsi="Times New Roman" w:cs="Times New Roman"/>
          <w:sz w:val="24"/>
          <w:szCs w:val="24"/>
        </w:rPr>
        <w:t>[1995] PIQR, 281., the Court of Appeal decided that a group of only eleven specialists in spine surgery out of more than a thousand specialists in the discipline at the national level constituted a competent medical body</w:t>
      </w:r>
      <w:r w:rsidR="00126826" w:rsidRPr="00F86805">
        <w:rPr>
          <w:rFonts w:ascii="Times New Roman" w:hAnsi="Times New Roman" w:cs="Times New Roman"/>
          <w:sz w:val="24"/>
          <w:szCs w:val="24"/>
        </w:rPr>
        <w:t xml:space="preserve"> thus striking a balance for both sides</w:t>
      </w:r>
      <w:r w:rsidR="000C4F77" w:rsidRPr="00F86805">
        <w:rPr>
          <w:rFonts w:ascii="Times New Roman" w:hAnsi="Times New Roman" w:cs="Times New Roman"/>
          <w:sz w:val="24"/>
          <w:szCs w:val="24"/>
        </w:rPr>
        <w:t xml:space="preserve"> (Burch and Tort, 2020)</w:t>
      </w:r>
      <w:r w:rsidR="00FE2C21" w:rsidRPr="00F86805">
        <w:rPr>
          <w:rFonts w:ascii="Times New Roman" w:hAnsi="Times New Roman" w:cs="Times New Roman"/>
          <w:sz w:val="24"/>
          <w:szCs w:val="24"/>
        </w:rPr>
        <w:t xml:space="preserve">. </w:t>
      </w:r>
      <w:r w:rsidR="00126826" w:rsidRPr="00F86805">
        <w:rPr>
          <w:rFonts w:ascii="Times New Roman" w:hAnsi="Times New Roman" w:cs="Times New Roman"/>
          <w:sz w:val="24"/>
          <w:szCs w:val="24"/>
        </w:rPr>
        <w:t>This however makes it</w:t>
      </w:r>
      <w:r w:rsidR="00FE2C21" w:rsidRPr="00F86805">
        <w:rPr>
          <w:rFonts w:ascii="Times New Roman" w:hAnsi="Times New Roman" w:cs="Times New Roman"/>
          <w:sz w:val="24"/>
          <w:szCs w:val="24"/>
        </w:rPr>
        <w:t xml:space="preserve"> particularly difficult for the victim to prove the fault in the e</w:t>
      </w:r>
      <w:r w:rsidR="00126826" w:rsidRPr="00F86805">
        <w:rPr>
          <w:rFonts w:ascii="Times New Roman" w:hAnsi="Times New Roman" w:cs="Times New Roman"/>
          <w:sz w:val="24"/>
          <w:szCs w:val="24"/>
        </w:rPr>
        <w:t>vent of scientific controversy. Nevertheless, t</w:t>
      </w:r>
      <w:r w:rsidR="00FE2C21" w:rsidRPr="00F86805">
        <w:rPr>
          <w:rFonts w:ascii="Times New Roman" w:hAnsi="Times New Roman" w:cs="Times New Roman"/>
          <w:sz w:val="24"/>
          <w:szCs w:val="24"/>
        </w:rPr>
        <w:t xml:space="preserve">he burden of proof of fault may exceptionally be reversed when an accident occurs which would not ordinarily occur when an appropriate level of care is applied. This is the rule of </w:t>
      </w:r>
      <w:r w:rsidR="00FE2C21" w:rsidRPr="00F86805">
        <w:rPr>
          <w:rFonts w:ascii="Times New Roman" w:hAnsi="Times New Roman" w:cs="Times New Roman"/>
          <w:i/>
          <w:sz w:val="24"/>
          <w:szCs w:val="24"/>
        </w:rPr>
        <w:t xml:space="preserve">res ipsa </w:t>
      </w:r>
      <w:r w:rsidR="00126826" w:rsidRPr="00F86805">
        <w:rPr>
          <w:rFonts w:ascii="Times New Roman" w:hAnsi="Times New Roman" w:cs="Times New Roman"/>
          <w:i/>
          <w:sz w:val="24"/>
          <w:szCs w:val="24"/>
        </w:rPr>
        <w:t>loquitur</w:t>
      </w:r>
      <w:r w:rsidR="00A34EC5" w:rsidRPr="00F86805">
        <w:rPr>
          <w:rFonts w:ascii="Times New Roman" w:hAnsi="Times New Roman" w:cs="Times New Roman"/>
          <w:i/>
          <w:sz w:val="24"/>
          <w:szCs w:val="24"/>
        </w:rPr>
        <w:t xml:space="preserve"> </w:t>
      </w:r>
      <w:r w:rsidR="00A34EC5" w:rsidRPr="00F86805">
        <w:rPr>
          <w:rFonts w:ascii="Times New Roman" w:hAnsi="Times New Roman" w:cs="Times New Roman"/>
          <w:sz w:val="24"/>
          <w:szCs w:val="24"/>
        </w:rPr>
        <w:t>(Burch and Tort, 2019)</w:t>
      </w:r>
      <w:r w:rsidR="00126826" w:rsidRPr="00F86805">
        <w:rPr>
          <w:rFonts w:ascii="Times New Roman" w:hAnsi="Times New Roman" w:cs="Times New Roman"/>
          <w:sz w:val="24"/>
          <w:szCs w:val="24"/>
        </w:rPr>
        <w:t xml:space="preserve">. </w:t>
      </w:r>
      <w:r w:rsidR="00FE2C21" w:rsidRPr="00F86805">
        <w:rPr>
          <w:rFonts w:ascii="Times New Roman" w:hAnsi="Times New Roman" w:cs="Times New Roman"/>
          <w:sz w:val="24"/>
          <w:szCs w:val="24"/>
        </w:rPr>
        <w:t>It is not exclusive to medical liability. It applies in cases where the presence of a fault seems obvious</w:t>
      </w:r>
      <w:r w:rsidR="00126826" w:rsidRPr="00F86805">
        <w:rPr>
          <w:rFonts w:ascii="Times New Roman" w:hAnsi="Times New Roman" w:cs="Times New Roman"/>
          <w:sz w:val="24"/>
          <w:szCs w:val="24"/>
        </w:rPr>
        <w:t>,</w:t>
      </w:r>
      <w:r w:rsidR="00FE2C21" w:rsidRPr="00F86805">
        <w:rPr>
          <w:rFonts w:ascii="Times New Roman" w:hAnsi="Times New Roman" w:cs="Times New Roman"/>
          <w:sz w:val="24"/>
          <w:szCs w:val="24"/>
        </w:rPr>
        <w:t xml:space="preserve"> for example, of a </w:t>
      </w:r>
      <w:r w:rsidR="00126826" w:rsidRPr="00F86805">
        <w:rPr>
          <w:rFonts w:ascii="Times New Roman" w:hAnsi="Times New Roman" w:cs="Times New Roman"/>
          <w:sz w:val="24"/>
          <w:szCs w:val="24"/>
        </w:rPr>
        <w:t xml:space="preserve">surgeon forgetting </w:t>
      </w:r>
      <w:r w:rsidR="00FE2C21" w:rsidRPr="00F86805">
        <w:rPr>
          <w:rFonts w:ascii="Times New Roman" w:hAnsi="Times New Roman" w:cs="Times New Roman"/>
          <w:sz w:val="24"/>
          <w:szCs w:val="24"/>
        </w:rPr>
        <w:t>cleaning pad or scissors in the patient's body after a surgical operation. Beyond this type of case, the rule has limited application in matters of liability</w:t>
      </w:r>
      <w:r w:rsidR="00A34EC5" w:rsidRPr="00F86805">
        <w:rPr>
          <w:rFonts w:ascii="Times New Roman" w:hAnsi="Times New Roman" w:cs="Times New Roman"/>
          <w:sz w:val="24"/>
          <w:szCs w:val="24"/>
        </w:rPr>
        <w:t>.</w:t>
      </w:r>
    </w:p>
    <w:p w:rsidR="00696478" w:rsidRPr="00F86805" w:rsidRDefault="00696478" w:rsidP="00F86805">
      <w:pPr>
        <w:spacing w:after="0" w:line="480" w:lineRule="auto"/>
        <w:ind w:firstLine="720"/>
        <w:rPr>
          <w:rFonts w:ascii="Times New Roman" w:hAnsi="Times New Roman" w:cs="Times New Roman"/>
          <w:sz w:val="24"/>
          <w:szCs w:val="24"/>
        </w:rPr>
      </w:pPr>
      <w:r w:rsidRPr="00F86805">
        <w:rPr>
          <w:rFonts w:ascii="Times New Roman" w:hAnsi="Times New Roman" w:cs="Times New Roman"/>
          <w:sz w:val="24"/>
          <w:szCs w:val="24"/>
        </w:rPr>
        <w:t>Under the terms of the tort law, it is everyone’s responsibility to establish and implement a “duty of care plan” capable of identifying and preventing serious violations of “human rights and fundamental freedoms”, “human health and safety” and “the environment”; and this not just with regard to their activities but also those of their subordinates, subsidiaries, subcontractors as well as suppliers with whom "an established commercial relationship" is maintained where applicable</w:t>
      </w:r>
      <w:r w:rsidR="00EB3500" w:rsidRPr="00F86805">
        <w:rPr>
          <w:rFonts w:ascii="Times New Roman" w:hAnsi="Times New Roman" w:cs="Times New Roman"/>
          <w:sz w:val="24"/>
          <w:szCs w:val="24"/>
        </w:rPr>
        <w:t xml:space="preserve"> (Gardner, 2017)</w:t>
      </w:r>
      <w:r w:rsidRPr="00F86805">
        <w:rPr>
          <w:rFonts w:ascii="Times New Roman" w:hAnsi="Times New Roman" w:cs="Times New Roman"/>
          <w:sz w:val="24"/>
          <w:szCs w:val="24"/>
        </w:rPr>
        <w:t>.  For corporations, the legal obligation to implement a duty of care plan opens up a dual system of liability for the defaulting company: it may on the one hand be obliged, by an injunction procedure, to adopt a duty of care plan in accordance with the law; on the other hand, it will be able to answer for the damages caused by its subsidiaries or established commercial relations, and which the implementation of an effective due of care plan would have made it possible to avoid.</w:t>
      </w:r>
    </w:p>
    <w:p w:rsidR="00696478" w:rsidRPr="00F86805" w:rsidRDefault="00696478" w:rsidP="00F86805">
      <w:pPr>
        <w:spacing w:after="0" w:line="480" w:lineRule="auto"/>
        <w:ind w:firstLine="720"/>
        <w:rPr>
          <w:rFonts w:ascii="Times New Roman" w:hAnsi="Times New Roman" w:cs="Times New Roman"/>
          <w:sz w:val="24"/>
          <w:szCs w:val="24"/>
        </w:rPr>
      </w:pPr>
      <w:r w:rsidRPr="00F86805">
        <w:rPr>
          <w:rFonts w:ascii="Times New Roman" w:hAnsi="Times New Roman" w:cs="Times New Roman"/>
          <w:sz w:val="24"/>
          <w:szCs w:val="24"/>
        </w:rPr>
        <w:lastRenderedPageBreak/>
        <w:t>Further, by emphasizing the power that companies exercise over the legal and economic entities constituting their “supply chain”, the duty of care law aims to adapt the liability regime of commercial companies to the strategies and global market structures. From a more technical point of view, the law on the duty of care aims to go beyond two totems of company law - the principle of the autonomy of the legal person and that of limited liability</w:t>
      </w:r>
      <w:r w:rsidR="000C4F77" w:rsidRPr="00F86805">
        <w:rPr>
          <w:rFonts w:ascii="Times New Roman" w:hAnsi="Times New Roman" w:cs="Times New Roman"/>
          <w:sz w:val="24"/>
          <w:szCs w:val="24"/>
        </w:rPr>
        <w:t xml:space="preserve"> (Burch and Tort, 2020)</w:t>
      </w:r>
      <w:r w:rsidRPr="00F86805">
        <w:rPr>
          <w:rFonts w:ascii="Times New Roman" w:hAnsi="Times New Roman" w:cs="Times New Roman"/>
          <w:sz w:val="24"/>
          <w:szCs w:val="24"/>
        </w:rPr>
        <w:t>.  This overshoot is deployed in a double direction. A top-down direction , because the company which is at the head of a supply chain now has the duty to interfere in the activity of the other entities which constitute its network, in order to prevent potential infringements to human health and the environment. An ascending direction, because the "parent" or "principal" company could be attributed the damage carried out by said entities simply because of the failure to fulfill its duty of care</w:t>
      </w:r>
      <w:r w:rsidR="00F86805" w:rsidRPr="00F86805">
        <w:rPr>
          <w:rFonts w:ascii="Times New Roman" w:hAnsi="Times New Roman" w:cs="Times New Roman"/>
          <w:sz w:val="24"/>
          <w:szCs w:val="24"/>
        </w:rPr>
        <w:t xml:space="preserve"> as described in </w:t>
      </w:r>
      <w:r w:rsidR="00F86805" w:rsidRPr="00F86805">
        <w:rPr>
          <w:rFonts w:ascii="Times New Roman" w:hAnsi="Times New Roman" w:cs="Times New Roman"/>
          <w:i/>
          <w:sz w:val="24"/>
          <w:szCs w:val="24"/>
        </w:rPr>
        <w:t>Roe v. Minister of Health [1954] 2 QB 66</w:t>
      </w:r>
      <w:r w:rsidRPr="00F86805">
        <w:rPr>
          <w:rFonts w:ascii="Times New Roman" w:hAnsi="Times New Roman" w:cs="Times New Roman"/>
          <w:sz w:val="24"/>
          <w:szCs w:val="24"/>
        </w:rPr>
        <w:t>. From this perspective, the law on the duty of care takes advantage of the history of the practice of corporate social responsibility (CSR) - that is to say of the set of standards and procedures that companies adopt voluntarily in order to reduce the negative impacts of their activities on society</w:t>
      </w:r>
      <w:r w:rsidR="00FF1AC6" w:rsidRPr="00F86805">
        <w:rPr>
          <w:rFonts w:ascii="Times New Roman" w:hAnsi="Times New Roman" w:cs="Times New Roman"/>
          <w:sz w:val="24"/>
          <w:szCs w:val="24"/>
        </w:rPr>
        <w:t xml:space="preserve"> (Burch and Tort, 2019)</w:t>
      </w:r>
      <w:r w:rsidRPr="00F86805">
        <w:rPr>
          <w:rFonts w:ascii="Times New Roman" w:hAnsi="Times New Roman" w:cs="Times New Roman"/>
          <w:sz w:val="24"/>
          <w:szCs w:val="24"/>
        </w:rPr>
        <w:t>. However, the law aims to emancipate itself from CSR by integrating these practices into the legal field: the law on the duty of care must therefore be understood as a stage (undoubtedly not the last) of a long process of “accountability”, before taking the form of legal liability. In other words, it is about a process which has led to the shift from a social responsibility to a legal responsibility. In reality, the idea that a network head can be held responsible for damage suffered in its supply chain is not new. From as early as the 19th century, workers' defenders had already pointed out the responsibility of those who, without exerting a direct constraint on the workforce, nevertheless profit from its exploitation</w:t>
      </w:r>
      <w:r w:rsidR="00EB3500" w:rsidRPr="00F86805">
        <w:rPr>
          <w:rFonts w:ascii="Times New Roman" w:hAnsi="Times New Roman" w:cs="Times New Roman"/>
          <w:sz w:val="24"/>
          <w:szCs w:val="24"/>
        </w:rPr>
        <w:t xml:space="preserve"> (Linden et al., 2018)</w:t>
      </w:r>
      <w:r w:rsidRPr="00F86805">
        <w:rPr>
          <w:rFonts w:ascii="Times New Roman" w:hAnsi="Times New Roman" w:cs="Times New Roman"/>
          <w:sz w:val="24"/>
          <w:szCs w:val="24"/>
        </w:rPr>
        <w:t xml:space="preserve">. The nascent department stores, for example, were thus designated as morally responsible for subcontractors that made </w:t>
      </w:r>
      <w:r w:rsidRPr="00F86805">
        <w:rPr>
          <w:rFonts w:ascii="Times New Roman" w:hAnsi="Times New Roman" w:cs="Times New Roman"/>
          <w:sz w:val="24"/>
          <w:szCs w:val="24"/>
        </w:rPr>
        <w:lastRenderedPageBreak/>
        <w:t>their workforce to operate in unhealthy apartments for a period of time. In essence, this leads to a broadened scope of defining duty of care and hence an expanded leeway for claimants to have their interests factored in litigation.</w:t>
      </w:r>
    </w:p>
    <w:p w:rsidR="00696478" w:rsidRPr="00F86805" w:rsidRDefault="00696478" w:rsidP="00F86805">
      <w:pPr>
        <w:spacing w:after="0" w:line="480" w:lineRule="auto"/>
        <w:ind w:firstLine="720"/>
        <w:jc w:val="center"/>
        <w:rPr>
          <w:rFonts w:ascii="Times New Roman" w:hAnsi="Times New Roman" w:cs="Times New Roman"/>
          <w:sz w:val="24"/>
          <w:szCs w:val="24"/>
        </w:rPr>
      </w:pPr>
      <w:r w:rsidRPr="00F86805">
        <w:rPr>
          <w:rFonts w:ascii="Times New Roman" w:hAnsi="Times New Roman" w:cs="Times New Roman"/>
          <w:sz w:val="24"/>
          <w:szCs w:val="24"/>
        </w:rPr>
        <w:t>Analysis</w:t>
      </w:r>
    </w:p>
    <w:p w:rsidR="00696478" w:rsidRPr="00F86805" w:rsidRDefault="00696478" w:rsidP="00F86805">
      <w:pPr>
        <w:spacing w:after="0" w:line="480" w:lineRule="auto"/>
        <w:ind w:firstLine="720"/>
        <w:rPr>
          <w:rFonts w:ascii="Times New Roman" w:hAnsi="Times New Roman" w:cs="Times New Roman"/>
          <w:sz w:val="24"/>
          <w:szCs w:val="24"/>
        </w:rPr>
      </w:pPr>
      <w:r w:rsidRPr="00F86805">
        <w:rPr>
          <w:rFonts w:ascii="Times New Roman" w:hAnsi="Times New Roman" w:cs="Times New Roman"/>
          <w:sz w:val="24"/>
          <w:szCs w:val="24"/>
        </w:rPr>
        <w:t xml:space="preserve">The law on the duty of care appears as a new stage in the institutionalization of the responsibility of individual and companies with regard to the risks generated by the activities. This stage is a continuation of previous movements, by establishing the responsibility, but at the same time it marks a break, by bringing it fully into the field of legal liability law. As </w:t>
      </w:r>
      <w:r w:rsidR="00F86805" w:rsidRPr="00F86805">
        <w:rPr>
          <w:rFonts w:ascii="Times New Roman" w:hAnsi="Times New Roman" w:cs="Times New Roman"/>
          <w:i/>
          <w:sz w:val="24"/>
          <w:szCs w:val="24"/>
        </w:rPr>
        <w:t>Watt v Hertfordshire County Council | [1954] 1 WLR 835</w:t>
      </w:r>
      <w:r w:rsidRPr="00F86805">
        <w:rPr>
          <w:rFonts w:ascii="Times New Roman" w:hAnsi="Times New Roman" w:cs="Times New Roman"/>
          <w:i/>
          <w:sz w:val="24"/>
          <w:szCs w:val="24"/>
        </w:rPr>
        <w:t xml:space="preserve"> </w:t>
      </w:r>
      <w:r w:rsidRPr="00F86805">
        <w:rPr>
          <w:rFonts w:ascii="Times New Roman" w:hAnsi="Times New Roman" w:cs="Times New Roman"/>
          <w:sz w:val="24"/>
          <w:szCs w:val="24"/>
        </w:rPr>
        <w:t>first shows in his text, the semantic choice of the duty of care must be put into perspective with the notion of due diligence which had already entrenched into international CSR regulations</w:t>
      </w:r>
      <w:r w:rsidR="00EB3500" w:rsidRPr="00F86805">
        <w:rPr>
          <w:rFonts w:ascii="Times New Roman" w:hAnsi="Times New Roman" w:cs="Times New Roman"/>
          <w:sz w:val="24"/>
          <w:szCs w:val="24"/>
        </w:rPr>
        <w:t xml:space="preserve"> (Klar and Jefferies, 2017)</w:t>
      </w:r>
      <w:r w:rsidRPr="00F86805">
        <w:rPr>
          <w:rFonts w:ascii="Times New Roman" w:hAnsi="Times New Roman" w:cs="Times New Roman"/>
          <w:sz w:val="24"/>
          <w:szCs w:val="24"/>
        </w:rPr>
        <w:t>. In both cases, it is a question of following the logic of responsibility through “social connection”, and of establishing the obligation for individuals and companies to prevent the risks induced by entities over which they exercise control or power</w:t>
      </w:r>
      <w:r w:rsidR="00F86805" w:rsidRPr="00F86805">
        <w:rPr>
          <w:rFonts w:ascii="Times New Roman" w:hAnsi="Times New Roman" w:cs="Times New Roman"/>
          <w:sz w:val="24"/>
          <w:szCs w:val="24"/>
        </w:rPr>
        <w:t xml:space="preserve"> (</w:t>
      </w:r>
      <w:r w:rsidR="00F86805" w:rsidRPr="00F86805">
        <w:rPr>
          <w:rFonts w:ascii="Times New Roman" w:hAnsi="Times New Roman" w:cs="Times New Roman"/>
          <w:i/>
          <w:sz w:val="24"/>
          <w:szCs w:val="24"/>
        </w:rPr>
        <w:t>Mansfield v Weetabix Ltd [1998] 1 WLR 1263)</w:t>
      </w:r>
      <w:r w:rsidRPr="00F86805">
        <w:rPr>
          <w:rFonts w:ascii="Times New Roman" w:hAnsi="Times New Roman" w:cs="Times New Roman"/>
          <w:sz w:val="24"/>
          <w:szCs w:val="24"/>
        </w:rPr>
        <w:t xml:space="preserve">. As </w:t>
      </w:r>
      <w:r w:rsidR="00F86805" w:rsidRPr="00F86805">
        <w:rPr>
          <w:rFonts w:ascii="Times New Roman" w:hAnsi="Times New Roman" w:cs="Times New Roman"/>
          <w:i/>
          <w:sz w:val="24"/>
          <w:szCs w:val="24"/>
        </w:rPr>
        <w:t>Wilsher v Essex Area Health Authority [1988] AC 1074</w:t>
      </w:r>
      <w:r w:rsidRPr="00F86805">
        <w:rPr>
          <w:rFonts w:ascii="Times New Roman" w:hAnsi="Times New Roman" w:cs="Times New Roman"/>
          <w:sz w:val="24"/>
          <w:szCs w:val="24"/>
        </w:rPr>
        <w:t xml:space="preserve"> underlines, this result owes a lot to the activists' desire to break with previous approaches, based on self-regulation, which is judged on its own to be ineffective</w:t>
      </w:r>
      <w:r w:rsidR="00FF1AC6" w:rsidRPr="00F86805">
        <w:rPr>
          <w:rFonts w:ascii="Times New Roman" w:hAnsi="Times New Roman" w:cs="Times New Roman"/>
          <w:sz w:val="24"/>
          <w:szCs w:val="24"/>
        </w:rPr>
        <w:t xml:space="preserve"> (Burch and Tort, 2019).</w:t>
      </w:r>
      <w:r w:rsidRPr="00F86805">
        <w:rPr>
          <w:rFonts w:ascii="Times New Roman" w:hAnsi="Times New Roman" w:cs="Times New Roman"/>
          <w:sz w:val="24"/>
          <w:szCs w:val="24"/>
        </w:rPr>
        <w:t xml:space="preserve"> Beyond the technical and political dimensions of the process of legalizing the responsibility of parent companies or contractors, this issue examines the challenges of the contours given to the duty of care</w:t>
      </w:r>
      <w:r w:rsidR="00EB3500" w:rsidRPr="00F86805">
        <w:rPr>
          <w:rFonts w:ascii="Times New Roman" w:hAnsi="Times New Roman" w:cs="Times New Roman"/>
          <w:sz w:val="24"/>
          <w:szCs w:val="24"/>
        </w:rPr>
        <w:t xml:space="preserve"> (Gardner, 2017)</w:t>
      </w:r>
      <w:r w:rsidRPr="00F86805">
        <w:rPr>
          <w:rFonts w:ascii="Times New Roman" w:hAnsi="Times New Roman" w:cs="Times New Roman"/>
          <w:sz w:val="24"/>
          <w:szCs w:val="24"/>
        </w:rPr>
        <w:t>. It should be remembered that the obligation weighing on companies is to set up a "care plan", namely a management instrument intended to map the risks deriving from the organization's activity, and to identify the actions adapted to their prevention, as well as the internal alert and monitoring mechanisms</w:t>
      </w:r>
      <w:r w:rsidR="000C4F77" w:rsidRPr="00F86805">
        <w:rPr>
          <w:rFonts w:ascii="Times New Roman" w:hAnsi="Times New Roman" w:cs="Times New Roman"/>
          <w:sz w:val="24"/>
          <w:szCs w:val="24"/>
        </w:rPr>
        <w:t xml:space="preserve"> (Burch and Tort, 2020)</w:t>
      </w:r>
      <w:r w:rsidRPr="00F86805">
        <w:rPr>
          <w:rFonts w:ascii="Times New Roman" w:hAnsi="Times New Roman" w:cs="Times New Roman"/>
          <w:sz w:val="24"/>
          <w:szCs w:val="24"/>
        </w:rPr>
        <w:t xml:space="preserve">. As Armand Hatchuel and Blanche Segrestin's article shows, </w:t>
      </w:r>
      <w:r w:rsidRPr="00F86805">
        <w:rPr>
          <w:rFonts w:ascii="Times New Roman" w:hAnsi="Times New Roman" w:cs="Times New Roman"/>
          <w:sz w:val="24"/>
          <w:szCs w:val="24"/>
        </w:rPr>
        <w:lastRenderedPageBreak/>
        <w:t>this logic, although it is relatively atypical, is not, however, completely new</w:t>
      </w:r>
      <w:r w:rsidR="00EB3500" w:rsidRPr="00F86805">
        <w:rPr>
          <w:rFonts w:ascii="Times New Roman" w:hAnsi="Times New Roman" w:cs="Times New Roman"/>
          <w:sz w:val="24"/>
          <w:szCs w:val="24"/>
        </w:rPr>
        <w:t xml:space="preserve"> (Kaufman, 2002)</w:t>
      </w:r>
      <w:r w:rsidRPr="00F86805">
        <w:rPr>
          <w:rFonts w:ascii="Times New Roman" w:hAnsi="Times New Roman" w:cs="Times New Roman"/>
          <w:sz w:val="24"/>
          <w:szCs w:val="24"/>
        </w:rPr>
        <w:t xml:space="preserve">. It is already found in the laws on judicial liquidation and on industrial accidents, in both cases, the responsibility was not attached to the occurrence of damage, but rather compliance with management standards, following which leaders must conduct themselves in a "wise" Informed cause, with prudence and concern for the interests of others. </w:t>
      </w:r>
    </w:p>
    <w:p w:rsidR="00FC3576" w:rsidRPr="00F86805" w:rsidRDefault="00696478" w:rsidP="00F86805">
      <w:pPr>
        <w:spacing w:after="0" w:line="480" w:lineRule="auto"/>
        <w:ind w:firstLine="720"/>
        <w:rPr>
          <w:rFonts w:ascii="Times New Roman" w:hAnsi="Times New Roman" w:cs="Times New Roman"/>
          <w:sz w:val="24"/>
          <w:szCs w:val="24"/>
        </w:rPr>
      </w:pPr>
      <w:r w:rsidRPr="00F86805">
        <w:rPr>
          <w:rFonts w:ascii="Times New Roman" w:hAnsi="Times New Roman" w:cs="Times New Roman"/>
          <w:sz w:val="24"/>
          <w:szCs w:val="24"/>
        </w:rPr>
        <w:t>Under the common law tort of negligence and once the duty of care has been established, the plaintiff must prove that the defendant breached the standard of care, in other words, that he was negligent. In civil law, too, proof of</w:t>
      </w:r>
      <w:r w:rsidR="00FC3576" w:rsidRPr="00F86805">
        <w:rPr>
          <w:rFonts w:ascii="Times New Roman" w:hAnsi="Times New Roman" w:cs="Times New Roman"/>
          <w:sz w:val="24"/>
          <w:szCs w:val="24"/>
        </w:rPr>
        <w:t xml:space="preserve"> fault lies with the plaintiff</w:t>
      </w:r>
      <w:r w:rsidRPr="00F86805">
        <w:rPr>
          <w:rFonts w:ascii="Times New Roman" w:hAnsi="Times New Roman" w:cs="Times New Roman"/>
          <w:sz w:val="24"/>
          <w:szCs w:val="24"/>
        </w:rPr>
        <w:t>. If the defendant is not negligent, his liability will not be engaged either in common law or in civil law (art 1457 CCQ). The assessment of negligence is</w:t>
      </w:r>
      <w:r w:rsidR="00FC3576" w:rsidRPr="00F86805">
        <w:rPr>
          <w:rFonts w:ascii="Times New Roman" w:hAnsi="Times New Roman" w:cs="Times New Roman"/>
          <w:sz w:val="24"/>
          <w:szCs w:val="24"/>
        </w:rPr>
        <w:t xml:space="preserve"> a question of law and of fact. </w:t>
      </w:r>
      <w:r w:rsidRPr="00F86805">
        <w:rPr>
          <w:rFonts w:ascii="Times New Roman" w:hAnsi="Times New Roman" w:cs="Times New Roman"/>
          <w:sz w:val="24"/>
          <w:szCs w:val="24"/>
        </w:rPr>
        <w:t>In both common law and civil law, the courts compare the defendant's conduct to “model conduct” (the standard of care and diligence) of the reasonable, prudent and diligent person placed in the defendant's posit</w:t>
      </w:r>
      <w:r w:rsidR="00FC3576" w:rsidRPr="00F86805">
        <w:rPr>
          <w:rFonts w:ascii="Times New Roman" w:hAnsi="Times New Roman" w:cs="Times New Roman"/>
          <w:sz w:val="24"/>
          <w:szCs w:val="24"/>
        </w:rPr>
        <w:t>ion at the time of the incident</w:t>
      </w:r>
      <w:r w:rsidRPr="00F86805">
        <w:rPr>
          <w:rFonts w:ascii="Times New Roman" w:hAnsi="Times New Roman" w:cs="Times New Roman"/>
          <w:sz w:val="24"/>
          <w:szCs w:val="24"/>
        </w:rPr>
        <w:t xml:space="preserve"> in question</w:t>
      </w:r>
      <w:r w:rsidR="00EB3500" w:rsidRPr="00F86805">
        <w:rPr>
          <w:rFonts w:ascii="Times New Roman" w:hAnsi="Times New Roman" w:cs="Times New Roman"/>
          <w:sz w:val="24"/>
          <w:szCs w:val="24"/>
        </w:rPr>
        <w:t xml:space="preserve"> (Howick, 2017)</w:t>
      </w:r>
      <w:r w:rsidRPr="00F86805">
        <w:rPr>
          <w:rFonts w:ascii="Times New Roman" w:hAnsi="Times New Roman" w:cs="Times New Roman"/>
          <w:sz w:val="24"/>
          <w:szCs w:val="24"/>
        </w:rPr>
        <w:t xml:space="preserve">. The gap between the behavior of the defendant and that of the reasonable person constitutes negligence. The reasonable person is central to the concept of negligence. </w:t>
      </w:r>
    </w:p>
    <w:p w:rsidR="00FC3576" w:rsidRPr="00F86805" w:rsidRDefault="00FC3576" w:rsidP="00F86805">
      <w:pPr>
        <w:spacing w:after="0" w:line="480" w:lineRule="auto"/>
        <w:ind w:firstLine="720"/>
        <w:rPr>
          <w:rFonts w:ascii="Times New Roman" w:hAnsi="Times New Roman" w:cs="Times New Roman"/>
          <w:sz w:val="24"/>
          <w:szCs w:val="24"/>
        </w:rPr>
      </w:pPr>
      <w:r w:rsidRPr="00F86805">
        <w:rPr>
          <w:rFonts w:ascii="Times New Roman" w:hAnsi="Times New Roman" w:cs="Times New Roman"/>
          <w:sz w:val="24"/>
          <w:szCs w:val="24"/>
        </w:rPr>
        <w:t>I</w:t>
      </w:r>
      <w:r w:rsidR="007C7D69" w:rsidRPr="00F86805">
        <w:rPr>
          <w:rFonts w:ascii="Times New Roman" w:hAnsi="Times New Roman" w:cs="Times New Roman"/>
          <w:sz w:val="24"/>
          <w:szCs w:val="24"/>
        </w:rPr>
        <w:t xml:space="preserve">n both legal cultures, the standard of care for a professional will be that of a reasonably competent professional placed in the same circumstances as the defendant. Likewise, the standard of care for a person with physical disabilities will be that of a reasonable person with similar physical disabilities placed in the same circumstances as the defendant. On the other hand, if the defendant has particular moral characteristics such as recklessness, timidity or cultural or religious characteristics, these will not be attributed to the reasonable person to relax the standard of care neither </w:t>
      </w:r>
      <w:r w:rsidRPr="00F86805">
        <w:rPr>
          <w:rFonts w:ascii="Times New Roman" w:hAnsi="Times New Roman" w:cs="Times New Roman"/>
          <w:sz w:val="24"/>
          <w:szCs w:val="24"/>
        </w:rPr>
        <w:t xml:space="preserve">in common law </w:t>
      </w:r>
      <w:r w:rsidR="00EB3500" w:rsidRPr="00F86805">
        <w:rPr>
          <w:rFonts w:ascii="Times New Roman" w:hAnsi="Times New Roman" w:cs="Times New Roman"/>
          <w:sz w:val="24"/>
          <w:szCs w:val="24"/>
        </w:rPr>
        <w:t>or</w:t>
      </w:r>
      <w:r w:rsidRPr="00F86805">
        <w:rPr>
          <w:rFonts w:ascii="Times New Roman" w:hAnsi="Times New Roman" w:cs="Times New Roman"/>
          <w:sz w:val="24"/>
          <w:szCs w:val="24"/>
        </w:rPr>
        <w:t xml:space="preserve"> in civil law</w:t>
      </w:r>
      <w:r w:rsidR="00EB3500" w:rsidRPr="00F86805">
        <w:rPr>
          <w:rFonts w:ascii="Times New Roman" w:hAnsi="Times New Roman" w:cs="Times New Roman"/>
          <w:sz w:val="24"/>
          <w:szCs w:val="24"/>
        </w:rPr>
        <w:t xml:space="preserve"> (Mulheron, 2016)</w:t>
      </w:r>
      <w:r w:rsidRPr="00F86805">
        <w:rPr>
          <w:rFonts w:ascii="Times New Roman" w:hAnsi="Times New Roman" w:cs="Times New Roman"/>
          <w:sz w:val="24"/>
          <w:szCs w:val="24"/>
        </w:rPr>
        <w:t xml:space="preserve">. </w:t>
      </w:r>
      <w:r w:rsidR="007C7D69" w:rsidRPr="00F86805">
        <w:rPr>
          <w:rFonts w:ascii="Times New Roman" w:hAnsi="Times New Roman" w:cs="Times New Roman"/>
          <w:sz w:val="24"/>
          <w:szCs w:val="24"/>
        </w:rPr>
        <w:t xml:space="preserve">Within the framework of the particular attributes or characteristics of the reasonable person, we also find </w:t>
      </w:r>
      <w:r w:rsidR="007C7D69" w:rsidRPr="00F86805">
        <w:rPr>
          <w:rFonts w:ascii="Times New Roman" w:hAnsi="Times New Roman" w:cs="Times New Roman"/>
          <w:sz w:val="24"/>
          <w:szCs w:val="24"/>
        </w:rPr>
        <w:lastRenderedPageBreak/>
        <w:t>minority and mental incapacity</w:t>
      </w:r>
      <w:r w:rsidR="00EB3500" w:rsidRPr="00F86805">
        <w:rPr>
          <w:rFonts w:ascii="Times New Roman" w:hAnsi="Times New Roman" w:cs="Times New Roman"/>
          <w:sz w:val="24"/>
          <w:szCs w:val="24"/>
        </w:rPr>
        <w:t xml:space="preserve"> (Gardner, 2017)</w:t>
      </w:r>
      <w:r w:rsidRPr="00F86805">
        <w:rPr>
          <w:rFonts w:ascii="Times New Roman" w:hAnsi="Times New Roman" w:cs="Times New Roman"/>
          <w:sz w:val="24"/>
          <w:szCs w:val="24"/>
        </w:rPr>
        <w:t xml:space="preserve">.  </w:t>
      </w:r>
      <w:r w:rsidR="007C7D69" w:rsidRPr="00F86805">
        <w:rPr>
          <w:rFonts w:ascii="Times New Roman" w:hAnsi="Times New Roman" w:cs="Times New Roman"/>
          <w:sz w:val="24"/>
          <w:szCs w:val="24"/>
        </w:rPr>
        <w:t xml:space="preserve">The rule in civil law is similar. In this legal culture, a person who is not "endowed with reason" (art 1457 CCQ) cannot commit </w:t>
      </w:r>
      <w:r w:rsidRPr="00F86805">
        <w:rPr>
          <w:rFonts w:ascii="Times New Roman" w:hAnsi="Times New Roman" w:cs="Times New Roman"/>
          <w:sz w:val="24"/>
          <w:szCs w:val="24"/>
        </w:rPr>
        <w:t>a fault</w:t>
      </w:r>
      <w:r w:rsidR="007C7D69" w:rsidRPr="00F86805">
        <w:rPr>
          <w:rFonts w:ascii="Times New Roman" w:hAnsi="Times New Roman" w:cs="Times New Roman"/>
          <w:sz w:val="24"/>
          <w:szCs w:val="24"/>
        </w:rPr>
        <w:t xml:space="preserve">. A person is not endowed with reason if he is unable to judge the acts he </w:t>
      </w:r>
      <w:r w:rsidRPr="00F86805">
        <w:rPr>
          <w:rFonts w:ascii="Times New Roman" w:hAnsi="Times New Roman" w:cs="Times New Roman"/>
          <w:sz w:val="24"/>
          <w:szCs w:val="24"/>
        </w:rPr>
        <w:t xml:space="preserve">commits and their consequences. </w:t>
      </w:r>
      <w:r w:rsidR="007C7D69" w:rsidRPr="00F86805">
        <w:rPr>
          <w:rFonts w:ascii="Times New Roman" w:hAnsi="Times New Roman" w:cs="Times New Roman"/>
          <w:sz w:val="24"/>
          <w:szCs w:val="24"/>
        </w:rPr>
        <w:t>Moreover, both in common law and in civil law, if the defendant voluntarily or negligently places himself in a condition of mental incapacity (induced alienation)</w:t>
      </w:r>
      <w:proofErr w:type="gramStart"/>
      <w:r w:rsidR="007C7D69" w:rsidRPr="00F86805">
        <w:rPr>
          <w:rFonts w:ascii="Times New Roman" w:hAnsi="Times New Roman" w:cs="Times New Roman"/>
          <w:sz w:val="24"/>
          <w:szCs w:val="24"/>
        </w:rPr>
        <w:t>,</w:t>
      </w:r>
      <w:proofErr w:type="gramEnd"/>
      <w:r w:rsidR="007C7D69" w:rsidRPr="00F86805">
        <w:rPr>
          <w:rFonts w:ascii="Times New Roman" w:hAnsi="Times New Roman" w:cs="Times New Roman"/>
          <w:sz w:val="24"/>
          <w:szCs w:val="24"/>
        </w:rPr>
        <w:t xml:space="preserve"> his liabi</w:t>
      </w:r>
      <w:r w:rsidRPr="00F86805">
        <w:rPr>
          <w:rFonts w:ascii="Times New Roman" w:hAnsi="Times New Roman" w:cs="Times New Roman"/>
          <w:sz w:val="24"/>
          <w:szCs w:val="24"/>
        </w:rPr>
        <w:t xml:space="preserve">lity will probably be retained. </w:t>
      </w:r>
      <w:r w:rsidR="007C7D69" w:rsidRPr="00F86805">
        <w:rPr>
          <w:rFonts w:ascii="Times New Roman" w:hAnsi="Times New Roman" w:cs="Times New Roman"/>
          <w:sz w:val="24"/>
          <w:szCs w:val="24"/>
        </w:rPr>
        <w:t>Despite the similarity of approach regarding mental incapacity and the reasonable person, it is important to note that the absence of reason or lack of discernment in civil law can have several causes: mental handicap, psychological shock, age defect, influence of substan</w:t>
      </w:r>
      <w:r w:rsidRPr="00F86805">
        <w:rPr>
          <w:rFonts w:ascii="Times New Roman" w:hAnsi="Times New Roman" w:cs="Times New Roman"/>
          <w:sz w:val="24"/>
          <w:szCs w:val="24"/>
        </w:rPr>
        <w:t>ces (alcohol, drugs, etc.)</w:t>
      </w:r>
      <w:r w:rsidR="00EB3500" w:rsidRPr="00F86805">
        <w:rPr>
          <w:rFonts w:ascii="Times New Roman" w:hAnsi="Times New Roman" w:cs="Times New Roman"/>
          <w:sz w:val="24"/>
          <w:szCs w:val="24"/>
        </w:rPr>
        <w:t xml:space="preserve"> (Howick, 2017)</w:t>
      </w:r>
      <w:r w:rsidRPr="00F86805">
        <w:rPr>
          <w:rFonts w:ascii="Times New Roman" w:hAnsi="Times New Roman" w:cs="Times New Roman"/>
          <w:sz w:val="24"/>
          <w:szCs w:val="24"/>
        </w:rPr>
        <w:t xml:space="preserve">. </w:t>
      </w:r>
      <w:r w:rsidR="007C7D69" w:rsidRPr="00F86805">
        <w:rPr>
          <w:rFonts w:ascii="Times New Roman" w:hAnsi="Times New Roman" w:cs="Times New Roman"/>
          <w:sz w:val="24"/>
          <w:szCs w:val="24"/>
        </w:rPr>
        <w:t>Thus, in this legal culture and according to article 1457 CCQ, a person without reason can be i.e. a young child or a mentally incompetent</w:t>
      </w:r>
      <w:r w:rsidR="000C4F77" w:rsidRPr="00F86805">
        <w:rPr>
          <w:rFonts w:ascii="Times New Roman" w:hAnsi="Times New Roman" w:cs="Times New Roman"/>
          <w:sz w:val="24"/>
          <w:szCs w:val="24"/>
        </w:rPr>
        <w:t xml:space="preserve"> (Burch and Tort, 2020)</w:t>
      </w:r>
      <w:r w:rsidR="007C7D69" w:rsidRPr="00F86805">
        <w:rPr>
          <w:rFonts w:ascii="Times New Roman" w:hAnsi="Times New Roman" w:cs="Times New Roman"/>
          <w:sz w:val="24"/>
          <w:szCs w:val="24"/>
        </w:rPr>
        <w:t>. At common law, both mental incapacity and lack of age are of concern in the case law with regard to the definition of a reasonable person. Yet this legal system does not place these people in a broader category — that of the unconscious person — as civil law does. In fact, there is no common law equivalent to article 1457 CCQ which, by referring to a person endowed with reason, calls for such a classification.</w:t>
      </w:r>
    </w:p>
    <w:p w:rsidR="00F86805" w:rsidRPr="00F86805" w:rsidRDefault="00FC3576" w:rsidP="00F86805">
      <w:pPr>
        <w:spacing w:after="0" w:line="480" w:lineRule="auto"/>
        <w:ind w:firstLine="720"/>
        <w:rPr>
          <w:rFonts w:ascii="Times New Roman" w:hAnsi="Times New Roman" w:cs="Times New Roman"/>
          <w:sz w:val="24"/>
          <w:szCs w:val="24"/>
        </w:rPr>
        <w:sectPr w:rsidR="00F86805" w:rsidRPr="00F86805">
          <w:pgSz w:w="12240" w:h="15840"/>
          <w:pgMar w:top="1440" w:right="1440" w:bottom="1440" w:left="1440" w:header="720" w:footer="720" w:gutter="0"/>
          <w:cols w:space="720"/>
          <w:docGrid w:linePitch="360"/>
        </w:sectPr>
      </w:pPr>
      <w:r w:rsidRPr="00F86805">
        <w:rPr>
          <w:rFonts w:ascii="Times New Roman" w:hAnsi="Times New Roman" w:cs="Times New Roman"/>
          <w:sz w:val="24"/>
          <w:szCs w:val="24"/>
        </w:rPr>
        <w:t xml:space="preserve">In conclusion, from the understanding of tort law, and more specifically, the duty of care and its flexibility in balancing between the interest of the defendant and the claimant, the point of view adopted largely dictates the interpretation. Where the burden of establishing existence of an expected standard of care is placed on the claimant, the principle of innocent until proven guilty is applied. The claimant thus must provide that the defendant owed him such a duty. Consequently, the defendant is shielded from possible time-wasting litigation that might be driven by malice or lack of knowledge. While at it, the law also embraces the professionally </w:t>
      </w:r>
      <w:r w:rsidRPr="00F86805">
        <w:rPr>
          <w:rFonts w:ascii="Times New Roman" w:hAnsi="Times New Roman" w:cs="Times New Roman"/>
          <w:sz w:val="24"/>
          <w:szCs w:val="24"/>
        </w:rPr>
        <w:lastRenderedPageBreak/>
        <w:t xml:space="preserve">acceptable standard of care owed by individuals and entities while also offering leeway for existence of such duty albeit not defined by relevant professional bodies and guidelines. </w:t>
      </w:r>
    </w:p>
    <w:p w:rsidR="007C7D69" w:rsidRPr="00F86805" w:rsidRDefault="00F86805" w:rsidP="00F86805">
      <w:pPr>
        <w:spacing w:after="0" w:line="480" w:lineRule="auto"/>
        <w:jc w:val="center"/>
        <w:rPr>
          <w:rFonts w:ascii="Times New Roman" w:hAnsi="Times New Roman" w:cs="Times New Roman"/>
          <w:sz w:val="24"/>
          <w:szCs w:val="24"/>
        </w:rPr>
      </w:pPr>
      <w:r w:rsidRPr="00F86805">
        <w:rPr>
          <w:rFonts w:ascii="Times New Roman" w:hAnsi="Times New Roman" w:cs="Times New Roman"/>
          <w:sz w:val="24"/>
          <w:szCs w:val="24"/>
        </w:rPr>
        <w:lastRenderedPageBreak/>
        <w:t>References</w:t>
      </w:r>
    </w:p>
    <w:p w:rsidR="00F86805" w:rsidRPr="00F86805" w:rsidRDefault="00F86805" w:rsidP="00F86805">
      <w:pPr>
        <w:spacing w:after="0" w:line="480" w:lineRule="auto"/>
        <w:ind w:left="720" w:hanging="720"/>
        <w:rPr>
          <w:rFonts w:ascii="Times New Roman" w:hAnsi="Times New Roman" w:cs="Times New Roman"/>
          <w:i/>
          <w:sz w:val="24"/>
          <w:szCs w:val="24"/>
        </w:rPr>
      </w:pPr>
      <w:r w:rsidRPr="00F86805">
        <w:rPr>
          <w:rFonts w:ascii="Times New Roman" w:hAnsi="Times New Roman" w:cs="Times New Roman"/>
          <w:i/>
          <w:sz w:val="24"/>
          <w:szCs w:val="24"/>
        </w:rPr>
        <w:t>Bolam v Friern Hospital Management Committee [1957] 1 WLR 582</w:t>
      </w:r>
    </w:p>
    <w:p w:rsidR="00F86805" w:rsidRPr="00F86805" w:rsidRDefault="00F86805" w:rsidP="00F86805">
      <w:pPr>
        <w:widowControl w:val="0"/>
        <w:autoSpaceDE w:val="0"/>
        <w:autoSpaceDN w:val="0"/>
        <w:adjustRightInd w:val="0"/>
        <w:spacing w:after="0" w:line="480" w:lineRule="auto"/>
        <w:ind w:left="720" w:hanging="720"/>
        <w:rPr>
          <w:rFonts w:ascii="Times New Roman" w:hAnsi="Times New Roman" w:cs="Times New Roman"/>
          <w:sz w:val="24"/>
          <w:szCs w:val="24"/>
        </w:rPr>
      </w:pPr>
      <w:r w:rsidRPr="00F86805">
        <w:rPr>
          <w:rFonts w:ascii="Times New Roman" w:hAnsi="Times New Roman" w:cs="Times New Roman"/>
          <w:sz w:val="24"/>
          <w:szCs w:val="24"/>
        </w:rPr>
        <w:t xml:space="preserve">Burch, J. and Tort, S. (2019). How does very early mobilization compare with standard care after stroke? </w:t>
      </w:r>
      <w:r w:rsidRPr="00F86805">
        <w:rPr>
          <w:rFonts w:ascii="Times New Roman" w:hAnsi="Times New Roman" w:cs="Times New Roman"/>
          <w:i/>
          <w:iCs/>
          <w:sz w:val="24"/>
          <w:szCs w:val="24"/>
        </w:rPr>
        <w:t>Cochrane Clinical Answers</w:t>
      </w:r>
      <w:r w:rsidRPr="00F86805">
        <w:rPr>
          <w:rFonts w:ascii="Times New Roman" w:hAnsi="Times New Roman" w:cs="Times New Roman"/>
          <w:sz w:val="24"/>
          <w:szCs w:val="24"/>
        </w:rPr>
        <w:t>, 1.</w:t>
      </w:r>
    </w:p>
    <w:p w:rsidR="00F86805" w:rsidRPr="00F86805" w:rsidRDefault="00F86805" w:rsidP="00F86805">
      <w:pPr>
        <w:widowControl w:val="0"/>
        <w:autoSpaceDE w:val="0"/>
        <w:autoSpaceDN w:val="0"/>
        <w:adjustRightInd w:val="0"/>
        <w:spacing w:after="0" w:line="480" w:lineRule="auto"/>
        <w:ind w:left="720" w:hanging="720"/>
        <w:rPr>
          <w:rFonts w:ascii="Times New Roman" w:hAnsi="Times New Roman" w:cs="Times New Roman"/>
          <w:sz w:val="24"/>
          <w:szCs w:val="24"/>
        </w:rPr>
      </w:pPr>
      <w:r w:rsidRPr="00F86805">
        <w:rPr>
          <w:rFonts w:ascii="Times New Roman" w:hAnsi="Times New Roman" w:cs="Times New Roman"/>
          <w:sz w:val="24"/>
          <w:szCs w:val="24"/>
        </w:rPr>
        <w:t xml:space="preserve">Burch, J. and Tort, S. (2020). Does healthcare worker education improve adherence to standard precautions for controlling health care-associated infections? </w:t>
      </w:r>
      <w:r w:rsidRPr="00F86805">
        <w:rPr>
          <w:rFonts w:ascii="Times New Roman" w:hAnsi="Times New Roman" w:cs="Times New Roman"/>
          <w:i/>
          <w:iCs/>
          <w:sz w:val="24"/>
          <w:szCs w:val="24"/>
        </w:rPr>
        <w:t>Cochrane Clinical Answers</w:t>
      </w:r>
      <w:r w:rsidRPr="00F86805">
        <w:rPr>
          <w:rFonts w:ascii="Times New Roman" w:hAnsi="Times New Roman" w:cs="Times New Roman"/>
          <w:sz w:val="24"/>
          <w:szCs w:val="24"/>
        </w:rPr>
        <w:t>, 6(8).</w:t>
      </w:r>
    </w:p>
    <w:p w:rsidR="00F86805" w:rsidRPr="00F86805" w:rsidRDefault="00F86805" w:rsidP="00F86805">
      <w:pPr>
        <w:widowControl w:val="0"/>
        <w:autoSpaceDE w:val="0"/>
        <w:autoSpaceDN w:val="0"/>
        <w:adjustRightInd w:val="0"/>
        <w:spacing w:after="0" w:line="480" w:lineRule="auto"/>
        <w:ind w:left="720" w:hanging="720"/>
        <w:rPr>
          <w:rFonts w:ascii="Times New Roman" w:hAnsi="Times New Roman" w:cs="Times New Roman"/>
          <w:sz w:val="24"/>
          <w:szCs w:val="24"/>
        </w:rPr>
      </w:pPr>
      <w:r w:rsidRPr="00F86805">
        <w:rPr>
          <w:rFonts w:ascii="Times New Roman" w:hAnsi="Times New Roman" w:cs="Times New Roman"/>
          <w:sz w:val="24"/>
          <w:szCs w:val="24"/>
        </w:rPr>
        <w:t xml:space="preserve">Chiangi, M.A. (2019). Principles of Medical Negligence: An Overview of the Legal Standard of Care for Medical Practitioners in Civil Cases. </w:t>
      </w:r>
      <w:r w:rsidRPr="00F86805">
        <w:rPr>
          <w:rFonts w:ascii="Times New Roman" w:hAnsi="Times New Roman" w:cs="Times New Roman"/>
          <w:i/>
          <w:iCs/>
          <w:sz w:val="24"/>
          <w:szCs w:val="24"/>
        </w:rPr>
        <w:t>SSRN Electronic Journal</w:t>
      </w:r>
      <w:r w:rsidRPr="00F86805">
        <w:rPr>
          <w:rFonts w:ascii="Times New Roman" w:hAnsi="Times New Roman" w:cs="Times New Roman"/>
          <w:sz w:val="24"/>
          <w:szCs w:val="24"/>
        </w:rPr>
        <w:t>, 12(1).</w:t>
      </w:r>
    </w:p>
    <w:p w:rsidR="00F86805" w:rsidRPr="00F86805" w:rsidRDefault="00F86805" w:rsidP="00F86805">
      <w:pPr>
        <w:widowControl w:val="0"/>
        <w:autoSpaceDE w:val="0"/>
        <w:autoSpaceDN w:val="0"/>
        <w:adjustRightInd w:val="0"/>
        <w:spacing w:after="0" w:line="480" w:lineRule="auto"/>
        <w:ind w:left="720" w:hanging="720"/>
        <w:rPr>
          <w:rFonts w:ascii="Times New Roman" w:hAnsi="Times New Roman" w:cs="Times New Roman"/>
          <w:sz w:val="24"/>
          <w:szCs w:val="24"/>
        </w:rPr>
      </w:pPr>
      <w:r w:rsidRPr="00F86805">
        <w:rPr>
          <w:rFonts w:ascii="Times New Roman" w:hAnsi="Times New Roman" w:cs="Times New Roman"/>
          <w:sz w:val="24"/>
          <w:szCs w:val="24"/>
        </w:rPr>
        <w:t xml:space="preserve">Gardner, J. (2017). The Negligence Standard: Political Not Metaphysical. </w:t>
      </w:r>
      <w:r w:rsidRPr="00F86805">
        <w:rPr>
          <w:rFonts w:ascii="Times New Roman" w:hAnsi="Times New Roman" w:cs="Times New Roman"/>
          <w:i/>
          <w:iCs/>
          <w:sz w:val="24"/>
          <w:szCs w:val="24"/>
        </w:rPr>
        <w:t>The Modern Law Review</w:t>
      </w:r>
      <w:r w:rsidRPr="00F86805">
        <w:rPr>
          <w:rFonts w:ascii="Times New Roman" w:hAnsi="Times New Roman" w:cs="Times New Roman"/>
          <w:sz w:val="24"/>
          <w:szCs w:val="24"/>
        </w:rPr>
        <w:t>, 80(1), pp.1–21.</w:t>
      </w:r>
    </w:p>
    <w:p w:rsidR="00F86805" w:rsidRPr="00F86805" w:rsidRDefault="00F86805" w:rsidP="00F86805">
      <w:pPr>
        <w:widowControl w:val="0"/>
        <w:autoSpaceDE w:val="0"/>
        <w:autoSpaceDN w:val="0"/>
        <w:adjustRightInd w:val="0"/>
        <w:spacing w:after="0" w:line="480" w:lineRule="auto"/>
        <w:ind w:left="720" w:hanging="720"/>
        <w:rPr>
          <w:rFonts w:ascii="Times New Roman" w:hAnsi="Times New Roman" w:cs="Times New Roman"/>
          <w:sz w:val="24"/>
          <w:szCs w:val="24"/>
        </w:rPr>
      </w:pPr>
      <w:r w:rsidRPr="00F86805">
        <w:rPr>
          <w:rFonts w:ascii="Times New Roman" w:hAnsi="Times New Roman" w:cs="Times New Roman"/>
          <w:sz w:val="24"/>
          <w:szCs w:val="24"/>
        </w:rPr>
        <w:t xml:space="preserve">Howick, J.L. (2017). </w:t>
      </w:r>
      <w:r w:rsidRPr="00F86805">
        <w:rPr>
          <w:rFonts w:ascii="Times New Roman" w:hAnsi="Times New Roman" w:cs="Times New Roman"/>
          <w:i/>
          <w:iCs/>
          <w:sz w:val="24"/>
          <w:szCs w:val="24"/>
        </w:rPr>
        <w:t>Overview of airport duties and standards of care in airfield accident cases</w:t>
      </w:r>
      <w:r w:rsidRPr="00F86805">
        <w:rPr>
          <w:rFonts w:ascii="Times New Roman" w:hAnsi="Times New Roman" w:cs="Times New Roman"/>
          <w:sz w:val="24"/>
          <w:szCs w:val="24"/>
        </w:rPr>
        <w:t>. Washington Dc: Transportation Research Board.</w:t>
      </w:r>
    </w:p>
    <w:p w:rsidR="00F86805" w:rsidRPr="00F86805" w:rsidRDefault="00F86805" w:rsidP="00F86805">
      <w:pPr>
        <w:widowControl w:val="0"/>
        <w:autoSpaceDE w:val="0"/>
        <w:autoSpaceDN w:val="0"/>
        <w:adjustRightInd w:val="0"/>
        <w:spacing w:after="0" w:line="480" w:lineRule="auto"/>
        <w:ind w:left="720" w:hanging="720"/>
        <w:rPr>
          <w:rFonts w:ascii="Times New Roman" w:hAnsi="Times New Roman" w:cs="Times New Roman"/>
          <w:sz w:val="24"/>
          <w:szCs w:val="24"/>
        </w:rPr>
      </w:pPr>
      <w:r w:rsidRPr="00F86805">
        <w:rPr>
          <w:rFonts w:ascii="Times New Roman" w:hAnsi="Times New Roman" w:cs="Times New Roman"/>
          <w:sz w:val="24"/>
          <w:szCs w:val="24"/>
        </w:rPr>
        <w:t xml:space="preserve">Kaufman, R. (2002). Duty of Care: No Higher Standard of Tort Liability for Incapacitated Patients. </w:t>
      </w:r>
      <w:r w:rsidRPr="00F86805">
        <w:rPr>
          <w:rFonts w:ascii="Times New Roman" w:hAnsi="Times New Roman" w:cs="Times New Roman"/>
          <w:i/>
          <w:iCs/>
          <w:sz w:val="24"/>
          <w:szCs w:val="24"/>
        </w:rPr>
        <w:t>Journal of Law, Medicine &amp; Ethics</w:t>
      </w:r>
      <w:r w:rsidRPr="00F86805">
        <w:rPr>
          <w:rFonts w:ascii="Times New Roman" w:hAnsi="Times New Roman" w:cs="Times New Roman"/>
          <w:sz w:val="24"/>
          <w:szCs w:val="24"/>
        </w:rPr>
        <w:t>, 30(2), pp.313–315.</w:t>
      </w:r>
    </w:p>
    <w:p w:rsidR="00F86805" w:rsidRPr="00F86805" w:rsidRDefault="00F86805" w:rsidP="00F86805">
      <w:pPr>
        <w:widowControl w:val="0"/>
        <w:autoSpaceDE w:val="0"/>
        <w:autoSpaceDN w:val="0"/>
        <w:adjustRightInd w:val="0"/>
        <w:spacing w:after="0" w:line="480" w:lineRule="auto"/>
        <w:ind w:left="720" w:hanging="720"/>
        <w:rPr>
          <w:rFonts w:ascii="Times New Roman" w:hAnsi="Times New Roman" w:cs="Times New Roman"/>
          <w:sz w:val="24"/>
          <w:szCs w:val="24"/>
        </w:rPr>
      </w:pPr>
      <w:r w:rsidRPr="00F86805">
        <w:rPr>
          <w:rFonts w:ascii="Times New Roman" w:hAnsi="Times New Roman" w:cs="Times New Roman"/>
          <w:sz w:val="24"/>
          <w:szCs w:val="24"/>
        </w:rPr>
        <w:t xml:space="preserve">Klar, L. and Jefferies, C.S.G. (2017). </w:t>
      </w:r>
      <w:r w:rsidRPr="00F86805">
        <w:rPr>
          <w:rFonts w:ascii="Times New Roman" w:hAnsi="Times New Roman" w:cs="Times New Roman"/>
          <w:i/>
          <w:iCs/>
          <w:sz w:val="24"/>
          <w:szCs w:val="24"/>
        </w:rPr>
        <w:t>Tort law</w:t>
      </w:r>
      <w:r w:rsidRPr="00F86805">
        <w:rPr>
          <w:rFonts w:ascii="Times New Roman" w:hAnsi="Times New Roman" w:cs="Times New Roman"/>
          <w:sz w:val="24"/>
          <w:szCs w:val="24"/>
        </w:rPr>
        <w:t>. Toronto, Ontario: Thomson Reuters Canada.</w:t>
      </w:r>
    </w:p>
    <w:p w:rsidR="00F86805" w:rsidRPr="00F86805" w:rsidRDefault="00F86805" w:rsidP="00F86805">
      <w:pPr>
        <w:widowControl w:val="0"/>
        <w:autoSpaceDE w:val="0"/>
        <w:autoSpaceDN w:val="0"/>
        <w:adjustRightInd w:val="0"/>
        <w:spacing w:after="0" w:line="480" w:lineRule="auto"/>
        <w:ind w:left="720" w:hanging="720"/>
        <w:rPr>
          <w:rFonts w:ascii="Times New Roman" w:hAnsi="Times New Roman" w:cs="Times New Roman"/>
          <w:sz w:val="24"/>
          <w:szCs w:val="24"/>
        </w:rPr>
      </w:pPr>
      <w:r w:rsidRPr="00F86805">
        <w:rPr>
          <w:rFonts w:ascii="Times New Roman" w:hAnsi="Times New Roman" w:cs="Times New Roman"/>
          <w:sz w:val="24"/>
          <w:szCs w:val="24"/>
        </w:rPr>
        <w:t xml:space="preserve">Koch, B.A. (2016). XXXII. 15 Years of Tort Law in Europe: 15 Years of European Tort Law? </w:t>
      </w:r>
      <w:r w:rsidRPr="00F86805">
        <w:rPr>
          <w:rFonts w:ascii="Times New Roman" w:hAnsi="Times New Roman" w:cs="Times New Roman"/>
          <w:i/>
          <w:iCs/>
          <w:sz w:val="24"/>
          <w:szCs w:val="24"/>
        </w:rPr>
        <w:t>European Tort Law Yearbook</w:t>
      </w:r>
      <w:r w:rsidRPr="00F86805">
        <w:rPr>
          <w:rFonts w:ascii="Times New Roman" w:hAnsi="Times New Roman" w:cs="Times New Roman"/>
          <w:sz w:val="24"/>
          <w:szCs w:val="24"/>
        </w:rPr>
        <w:t>, 5(1), pp.704–728.</w:t>
      </w:r>
    </w:p>
    <w:p w:rsidR="00F86805" w:rsidRPr="00F86805" w:rsidRDefault="00F86805" w:rsidP="00F86805">
      <w:pPr>
        <w:widowControl w:val="0"/>
        <w:autoSpaceDE w:val="0"/>
        <w:autoSpaceDN w:val="0"/>
        <w:adjustRightInd w:val="0"/>
        <w:spacing w:after="0" w:line="480" w:lineRule="auto"/>
        <w:ind w:left="720" w:hanging="720"/>
        <w:rPr>
          <w:rFonts w:ascii="Times New Roman" w:hAnsi="Times New Roman" w:cs="Times New Roman"/>
          <w:sz w:val="24"/>
          <w:szCs w:val="24"/>
        </w:rPr>
      </w:pPr>
      <w:r w:rsidRPr="00F86805">
        <w:rPr>
          <w:rFonts w:ascii="Times New Roman" w:hAnsi="Times New Roman" w:cs="Times New Roman"/>
          <w:sz w:val="24"/>
          <w:szCs w:val="24"/>
        </w:rPr>
        <w:t xml:space="preserve">Linden, A.M., Feldthusen, B.P., Margaret Isabel Hall, Knutsen, E.S. and Young, H. (2018). </w:t>
      </w:r>
      <w:r w:rsidRPr="00F86805">
        <w:rPr>
          <w:rFonts w:ascii="Times New Roman" w:hAnsi="Times New Roman" w:cs="Times New Roman"/>
          <w:i/>
          <w:iCs/>
          <w:sz w:val="24"/>
          <w:szCs w:val="24"/>
        </w:rPr>
        <w:t>Canadian tort law</w:t>
      </w:r>
      <w:r w:rsidRPr="00F86805">
        <w:rPr>
          <w:rFonts w:ascii="Times New Roman" w:hAnsi="Times New Roman" w:cs="Times New Roman"/>
          <w:sz w:val="24"/>
          <w:szCs w:val="24"/>
        </w:rPr>
        <w:t>. Toronto: Lexisnexis Canada.</w:t>
      </w:r>
    </w:p>
    <w:p w:rsidR="00F86805" w:rsidRPr="00F86805" w:rsidRDefault="00F86805" w:rsidP="00F86805">
      <w:pPr>
        <w:spacing w:after="0" w:line="480" w:lineRule="auto"/>
        <w:ind w:left="720" w:hanging="720"/>
        <w:rPr>
          <w:rFonts w:ascii="Times New Roman" w:hAnsi="Times New Roman" w:cs="Times New Roman"/>
          <w:i/>
          <w:sz w:val="24"/>
          <w:szCs w:val="24"/>
        </w:rPr>
      </w:pPr>
      <w:r w:rsidRPr="00F86805">
        <w:rPr>
          <w:rFonts w:ascii="Times New Roman" w:hAnsi="Times New Roman" w:cs="Times New Roman"/>
          <w:i/>
          <w:sz w:val="24"/>
          <w:szCs w:val="24"/>
        </w:rPr>
        <w:t>Mansfield v Weetabix Ltd [1998] 1 WLR 1263</w:t>
      </w:r>
    </w:p>
    <w:p w:rsidR="00F86805" w:rsidRPr="00F86805" w:rsidRDefault="00F86805" w:rsidP="00F86805">
      <w:pPr>
        <w:widowControl w:val="0"/>
        <w:autoSpaceDE w:val="0"/>
        <w:autoSpaceDN w:val="0"/>
        <w:adjustRightInd w:val="0"/>
        <w:spacing w:after="0" w:line="480" w:lineRule="auto"/>
        <w:ind w:left="720" w:hanging="720"/>
        <w:rPr>
          <w:rFonts w:ascii="Times New Roman" w:hAnsi="Times New Roman" w:cs="Times New Roman"/>
          <w:sz w:val="24"/>
          <w:szCs w:val="24"/>
        </w:rPr>
      </w:pPr>
      <w:r w:rsidRPr="00F86805">
        <w:rPr>
          <w:rFonts w:ascii="Times New Roman" w:hAnsi="Times New Roman" w:cs="Times New Roman"/>
          <w:sz w:val="24"/>
          <w:szCs w:val="24"/>
        </w:rPr>
        <w:t xml:space="preserve">Mulheron, R. (2016). </w:t>
      </w:r>
      <w:r w:rsidRPr="00F86805">
        <w:rPr>
          <w:rFonts w:ascii="Times New Roman" w:hAnsi="Times New Roman" w:cs="Times New Roman"/>
          <w:i/>
          <w:iCs/>
          <w:sz w:val="24"/>
          <w:szCs w:val="24"/>
        </w:rPr>
        <w:t>Principles of tort law</w:t>
      </w:r>
      <w:r w:rsidRPr="00F86805">
        <w:rPr>
          <w:rFonts w:ascii="Times New Roman" w:hAnsi="Times New Roman" w:cs="Times New Roman"/>
          <w:sz w:val="24"/>
          <w:szCs w:val="24"/>
        </w:rPr>
        <w:t xml:space="preserve">. Cambridge </w:t>
      </w:r>
      <w:proofErr w:type="spellStart"/>
      <w:r w:rsidRPr="00F86805">
        <w:rPr>
          <w:rFonts w:ascii="Times New Roman" w:hAnsi="Times New Roman" w:cs="Times New Roman"/>
          <w:sz w:val="24"/>
          <w:szCs w:val="24"/>
        </w:rPr>
        <w:t>Cambridge</w:t>
      </w:r>
      <w:proofErr w:type="spellEnd"/>
      <w:r w:rsidRPr="00F86805">
        <w:rPr>
          <w:rFonts w:ascii="Times New Roman" w:hAnsi="Times New Roman" w:cs="Times New Roman"/>
          <w:sz w:val="24"/>
          <w:szCs w:val="24"/>
        </w:rPr>
        <w:t xml:space="preserve"> University Press.</w:t>
      </w:r>
    </w:p>
    <w:p w:rsidR="00F86805" w:rsidRPr="00F86805" w:rsidRDefault="00F86805" w:rsidP="00F86805">
      <w:pPr>
        <w:spacing w:after="0" w:line="480" w:lineRule="auto"/>
        <w:ind w:left="720" w:hanging="720"/>
        <w:rPr>
          <w:rFonts w:ascii="Times New Roman" w:hAnsi="Times New Roman" w:cs="Times New Roman"/>
          <w:i/>
          <w:sz w:val="24"/>
          <w:szCs w:val="24"/>
        </w:rPr>
      </w:pPr>
      <w:r w:rsidRPr="00F86805">
        <w:rPr>
          <w:rFonts w:ascii="Times New Roman" w:hAnsi="Times New Roman" w:cs="Times New Roman"/>
          <w:i/>
          <w:sz w:val="24"/>
          <w:szCs w:val="24"/>
        </w:rPr>
        <w:lastRenderedPageBreak/>
        <w:t xml:space="preserve">Nettleship v Weston [1971] EWCA </w:t>
      </w:r>
      <w:proofErr w:type="spellStart"/>
      <w:r w:rsidRPr="00F86805">
        <w:rPr>
          <w:rFonts w:ascii="Times New Roman" w:hAnsi="Times New Roman" w:cs="Times New Roman"/>
          <w:i/>
          <w:sz w:val="24"/>
          <w:szCs w:val="24"/>
        </w:rPr>
        <w:t>Civ</w:t>
      </w:r>
      <w:proofErr w:type="spellEnd"/>
      <w:r w:rsidRPr="00F86805">
        <w:rPr>
          <w:rFonts w:ascii="Times New Roman" w:hAnsi="Times New Roman" w:cs="Times New Roman"/>
          <w:i/>
          <w:sz w:val="24"/>
          <w:szCs w:val="24"/>
        </w:rPr>
        <w:t xml:space="preserve"> 6, [1971] 2 QB 691, [1971] 3 WLR 370, [1971] 3 All ER 581, [1971] RTR 425</w:t>
      </w:r>
    </w:p>
    <w:p w:rsidR="00F86805" w:rsidRPr="00F86805" w:rsidRDefault="00F86805" w:rsidP="00F86805">
      <w:pPr>
        <w:widowControl w:val="0"/>
        <w:autoSpaceDE w:val="0"/>
        <w:autoSpaceDN w:val="0"/>
        <w:adjustRightInd w:val="0"/>
        <w:spacing w:after="0" w:line="480" w:lineRule="auto"/>
        <w:ind w:left="720" w:hanging="720"/>
        <w:rPr>
          <w:rFonts w:ascii="Times New Roman" w:hAnsi="Times New Roman" w:cs="Times New Roman"/>
          <w:sz w:val="24"/>
          <w:szCs w:val="24"/>
        </w:rPr>
      </w:pPr>
      <w:r w:rsidRPr="00F86805">
        <w:rPr>
          <w:rFonts w:ascii="Times New Roman" w:hAnsi="Times New Roman" w:cs="Times New Roman"/>
          <w:sz w:val="24"/>
          <w:szCs w:val="24"/>
        </w:rPr>
        <w:t xml:space="preserve">Ontario </w:t>
      </w:r>
      <w:proofErr w:type="gramStart"/>
      <w:r w:rsidRPr="00F86805">
        <w:rPr>
          <w:rFonts w:ascii="Times New Roman" w:hAnsi="Times New Roman" w:cs="Times New Roman"/>
          <w:sz w:val="24"/>
          <w:szCs w:val="24"/>
        </w:rPr>
        <w:t>Bar</w:t>
      </w:r>
      <w:proofErr w:type="gramEnd"/>
      <w:r w:rsidRPr="00F86805">
        <w:rPr>
          <w:rFonts w:ascii="Times New Roman" w:hAnsi="Times New Roman" w:cs="Times New Roman"/>
          <w:sz w:val="24"/>
          <w:szCs w:val="24"/>
        </w:rPr>
        <w:t xml:space="preserve"> Association (2017). </w:t>
      </w:r>
      <w:r w:rsidRPr="00F86805">
        <w:rPr>
          <w:rFonts w:ascii="Times New Roman" w:hAnsi="Times New Roman" w:cs="Times New Roman"/>
          <w:i/>
          <w:iCs/>
          <w:sz w:val="24"/>
          <w:szCs w:val="24"/>
        </w:rPr>
        <w:t xml:space="preserve">Privacy class </w:t>
      </w:r>
      <w:proofErr w:type="gramStart"/>
      <w:r w:rsidRPr="00F86805">
        <w:rPr>
          <w:rFonts w:ascii="Times New Roman" w:hAnsi="Times New Roman" w:cs="Times New Roman"/>
          <w:i/>
          <w:iCs/>
          <w:sz w:val="24"/>
          <w:szCs w:val="24"/>
        </w:rPr>
        <w:t>actions :</w:t>
      </w:r>
      <w:proofErr w:type="gramEnd"/>
      <w:r w:rsidRPr="00F86805">
        <w:rPr>
          <w:rFonts w:ascii="Times New Roman" w:hAnsi="Times New Roman" w:cs="Times New Roman"/>
          <w:i/>
          <w:iCs/>
          <w:sz w:val="24"/>
          <w:szCs w:val="24"/>
        </w:rPr>
        <w:t xml:space="preserve"> defining the standard of care and exploring the impacts of a breach.</w:t>
      </w:r>
      <w:r w:rsidRPr="00F86805">
        <w:rPr>
          <w:rFonts w:ascii="Times New Roman" w:hAnsi="Times New Roman" w:cs="Times New Roman"/>
          <w:sz w:val="24"/>
          <w:szCs w:val="24"/>
        </w:rPr>
        <w:t xml:space="preserve"> Toronto: Ontario Bar Association = Association Du </w:t>
      </w:r>
      <w:proofErr w:type="spellStart"/>
      <w:r w:rsidRPr="00F86805">
        <w:rPr>
          <w:rFonts w:ascii="Times New Roman" w:hAnsi="Times New Roman" w:cs="Times New Roman"/>
          <w:sz w:val="24"/>
          <w:szCs w:val="24"/>
        </w:rPr>
        <w:t>Barreau</w:t>
      </w:r>
      <w:proofErr w:type="spellEnd"/>
      <w:r w:rsidRPr="00F86805">
        <w:rPr>
          <w:rFonts w:ascii="Times New Roman" w:hAnsi="Times New Roman" w:cs="Times New Roman"/>
          <w:sz w:val="24"/>
          <w:szCs w:val="24"/>
        </w:rPr>
        <w:t xml:space="preserve"> De </w:t>
      </w:r>
      <w:proofErr w:type="spellStart"/>
      <w:r w:rsidRPr="00F86805">
        <w:rPr>
          <w:rFonts w:ascii="Times New Roman" w:hAnsi="Times New Roman" w:cs="Times New Roman"/>
          <w:sz w:val="24"/>
          <w:szCs w:val="24"/>
        </w:rPr>
        <w:t>L’ontario</w:t>
      </w:r>
      <w:proofErr w:type="spellEnd"/>
      <w:r w:rsidRPr="00F86805">
        <w:rPr>
          <w:rFonts w:ascii="Times New Roman" w:hAnsi="Times New Roman" w:cs="Times New Roman"/>
          <w:sz w:val="24"/>
          <w:szCs w:val="24"/>
        </w:rPr>
        <w:t>.</w:t>
      </w:r>
    </w:p>
    <w:p w:rsidR="00F86805" w:rsidRPr="00F86805" w:rsidRDefault="00F86805" w:rsidP="00F86805">
      <w:pPr>
        <w:spacing w:after="0" w:line="480" w:lineRule="auto"/>
        <w:ind w:left="720" w:hanging="720"/>
        <w:rPr>
          <w:rFonts w:ascii="Times New Roman" w:hAnsi="Times New Roman" w:cs="Times New Roman"/>
          <w:i/>
          <w:sz w:val="24"/>
          <w:szCs w:val="24"/>
        </w:rPr>
      </w:pPr>
      <w:r w:rsidRPr="00F86805">
        <w:rPr>
          <w:rFonts w:ascii="Times New Roman" w:hAnsi="Times New Roman" w:cs="Times New Roman"/>
          <w:i/>
          <w:sz w:val="24"/>
          <w:szCs w:val="24"/>
        </w:rPr>
        <w:t>Roe v. Minister of Health [1954] 2 QB 66</w:t>
      </w:r>
    </w:p>
    <w:p w:rsidR="00F86805" w:rsidRPr="00F86805" w:rsidRDefault="00F86805" w:rsidP="00F86805">
      <w:pPr>
        <w:spacing w:after="0" w:line="480" w:lineRule="auto"/>
        <w:ind w:left="720" w:hanging="720"/>
        <w:rPr>
          <w:rFonts w:ascii="Times New Roman" w:hAnsi="Times New Roman" w:cs="Times New Roman"/>
          <w:i/>
          <w:sz w:val="24"/>
          <w:szCs w:val="24"/>
        </w:rPr>
      </w:pPr>
      <w:r w:rsidRPr="00F86805">
        <w:rPr>
          <w:rFonts w:ascii="Times New Roman" w:hAnsi="Times New Roman" w:cs="Times New Roman"/>
          <w:i/>
          <w:sz w:val="24"/>
          <w:szCs w:val="24"/>
        </w:rPr>
        <w:t>Watt v Hertfordshire County Council | [1954] 1 WLR 835</w:t>
      </w:r>
    </w:p>
    <w:p w:rsidR="00F86805" w:rsidRPr="00F86805" w:rsidRDefault="00F86805" w:rsidP="00F86805">
      <w:pPr>
        <w:spacing w:after="0" w:line="480" w:lineRule="auto"/>
        <w:ind w:left="720" w:hanging="720"/>
        <w:rPr>
          <w:rFonts w:ascii="Times New Roman" w:hAnsi="Times New Roman" w:cs="Times New Roman"/>
          <w:i/>
          <w:sz w:val="24"/>
          <w:szCs w:val="24"/>
        </w:rPr>
      </w:pPr>
      <w:r w:rsidRPr="00F86805">
        <w:rPr>
          <w:rFonts w:ascii="Times New Roman" w:hAnsi="Times New Roman" w:cs="Times New Roman"/>
          <w:i/>
          <w:sz w:val="24"/>
          <w:szCs w:val="24"/>
        </w:rPr>
        <w:t>Wilsher v Essex Area Health Authority [1988] AC 1074</w:t>
      </w:r>
    </w:p>
    <w:p w:rsidR="00F86805" w:rsidRPr="00F86805" w:rsidRDefault="00F86805" w:rsidP="00F86805">
      <w:pPr>
        <w:spacing w:after="0" w:line="480" w:lineRule="auto"/>
        <w:rPr>
          <w:rFonts w:ascii="Times New Roman" w:hAnsi="Times New Roman" w:cs="Times New Roman"/>
          <w:sz w:val="24"/>
          <w:szCs w:val="24"/>
        </w:rPr>
      </w:pPr>
    </w:p>
    <w:sectPr w:rsidR="00F86805" w:rsidRPr="00F86805" w:rsidSect="004C2EE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FE2C21"/>
    <w:rsid w:val="0001194A"/>
    <w:rsid w:val="000C4F77"/>
    <w:rsid w:val="00126826"/>
    <w:rsid w:val="00155D81"/>
    <w:rsid w:val="004C2EE9"/>
    <w:rsid w:val="00575122"/>
    <w:rsid w:val="00685A34"/>
    <w:rsid w:val="00696478"/>
    <w:rsid w:val="007C7D69"/>
    <w:rsid w:val="00A25FCF"/>
    <w:rsid w:val="00A34EC5"/>
    <w:rsid w:val="00AA2CED"/>
    <w:rsid w:val="00D403CD"/>
    <w:rsid w:val="00E053AF"/>
    <w:rsid w:val="00EB3500"/>
    <w:rsid w:val="00F11C93"/>
    <w:rsid w:val="00F536BE"/>
    <w:rsid w:val="00F86805"/>
    <w:rsid w:val="00FC3576"/>
    <w:rsid w:val="00FE2C21"/>
    <w:rsid w:val="00FF1AC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2EE9"/>
  </w:style>
  <w:style w:type="character" w:default="1" w:styleId="Fuentedeprrafopredeter">
    <w:name w:val="Default Paragraph Font"/>
    <w:uiPriority w:val="1"/>
    <w:semiHidden/>
    <w:unhideWhenUsed/>
  </w:style>
  <w:style w:type="table" w:default="1" w:styleId="Tablanormal">
    <w:name w:val="Normal Table"/>
    <w:uiPriority w:val="99"/>
    <w:semiHidden/>
    <w:unhideWhenUsed/>
    <w:qFormat/>
    <w:tblPr>
      <w:tblInd w:w="0" w:type="dxa"/>
      <w:tblCellMar>
        <w:top w:w="0" w:type="dxa"/>
        <w:left w:w="108" w:type="dxa"/>
        <w:bottom w:w="0" w:type="dxa"/>
        <w:right w:w="108" w:type="dxa"/>
      </w:tblCellMar>
    </w:tblPr>
  </w:style>
  <w:style w:type="numbering" w:default="1" w:styleId="Sinlista">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07/relationships/stylesWithEffects" Target="stylesWithEffect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11</Pages>
  <Words>2505</Words>
  <Characters>14281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DANIELAPARDO</dc:creator>
  <cp:lastModifiedBy>HP</cp:lastModifiedBy>
  <cp:revision>4</cp:revision>
  <dcterms:created xsi:type="dcterms:W3CDTF">2021-11-04T18:16:00Z</dcterms:created>
  <dcterms:modified xsi:type="dcterms:W3CDTF">2021-11-04T18:20:00Z</dcterms:modified>
</cp:coreProperties>
</file>