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25EBD" w14:textId="78BC13D3" w:rsidR="00217D74" w:rsidRPr="002A3031" w:rsidRDefault="002A3031" w:rsidP="002A3031">
      <w:pPr>
        <w:spacing w:line="360" w:lineRule="auto"/>
        <w:jc w:val="center"/>
        <w:rPr>
          <w:rFonts w:ascii="Arial" w:hAnsi="Arial" w:cs="Arial"/>
          <w:b/>
          <w:bCs/>
          <w:sz w:val="40"/>
          <w:szCs w:val="40"/>
          <w:lang w:val="en-GB"/>
        </w:rPr>
      </w:pPr>
      <w:r w:rsidRPr="00904B24">
        <w:rPr>
          <w:rFonts w:ascii="Arial" w:hAnsi="Arial" w:cs="Arial"/>
          <w:noProof/>
        </w:rPr>
        <w:drawing>
          <wp:anchor distT="0" distB="0" distL="114300" distR="114300" simplePos="0" relativeHeight="251660288" behindDoc="0" locked="0" layoutInCell="1" allowOverlap="1" wp14:anchorId="3D33AD91" wp14:editId="706A5295">
            <wp:simplePos x="0" y="0"/>
            <wp:positionH relativeFrom="column">
              <wp:posOffset>-464820</wp:posOffset>
            </wp:positionH>
            <wp:positionV relativeFrom="paragraph">
              <wp:posOffset>0</wp:posOffset>
            </wp:positionV>
            <wp:extent cx="2883535" cy="1444625"/>
            <wp:effectExtent l="0" t="0" r="0" b="0"/>
            <wp:wrapTopAndBottom/>
            <wp:docPr id="1157064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3535" cy="1444625"/>
                    </a:xfrm>
                    <a:prstGeom prst="rect">
                      <a:avLst/>
                    </a:prstGeom>
                    <a:noFill/>
                  </pic:spPr>
                </pic:pic>
              </a:graphicData>
            </a:graphic>
            <wp14:sizeRelH relativeFrom="page">
              <wp14:pctWidth>0</wp14:pctWidth>
            </wp14:sizeRelH>
            <wp14:sizeRelV relativeFrom="page">
              <wp14:pctHeight>0</wp14:pctHeight>
            </wp14:sizeRelV>
          </wp:anchor>
        </w:drawing>
      </w:r>
      <w:r w:rsidR="004339C5" w:rsidRPr="00937192">
        <w:rPr>
          <w:rFonts w:ascii="Arial" w:hAnsi="Arial" w:cs="Arial"/>
          <w:b/>
          <w:bCs/>
          <w:sz w:val="32"/>
          <w:szCs w:val="32"/>
        </w:rPr>
        <w:t xml:space="preserve">COMPONENT </w:t>
      </w:r>
      <w:r w:rsidR="00620FE3">
        <w:rPr>
          <w:rFonts w:ascii="Arial" w:hAnsi="Arial" w:cs="Arial"/>
          <w:b/>
          <w:bCs/>
          <w:sz w:val="32"/>
          <w:szCs w:val="32"/>
        </w:rPr>
        <w:t>2</w:t>
      </w:r>
      <w:r w:rsidR="00F454F3">
        <w:rPr>
          <w:rFonts w:ascii="Arial" w:hAnsi="Arial" w:cs="Arial"/>
          <w:b/>
          <w:bCs/>
          <w:sz w:val="32"/>
          <w:szCs w:val="32"/>
        </w:rPr>
        <w:t xml:space="preserve"> </w:t>
      </w:r>
      <w:r w:rsidR="00E41D0E">
        <w:rPr>
          <w:rFonts w:ascii="Arial" w:hAnsi="Arial" w:cs="Arial"/>
          <w:b/>
          <w:bCs/>
          <w:sz w:val="32"/>
          <w:szCs w:val="32"/>
        </w:rPr>
        <w:t xml:space="preserve"> </w:t>
      </w:r>
    </w:p>
    <w:p w14:paraId="44939BEF" w14:textId="1EE75FEE" w:rsidR="00620FE3" w:rsidRDefault="00620FE3" w:rsidP="00937192">
      <w:pPr>
        <w:tabs>
          <w:tab w:val="left" w:pos="2736"/>
        </w:tabs>
        <w:spacing w:line="360" w:lineRule="auto"/>
        <w:jc w:val="center"/>
        <w:rPr>
          <w:rFonts w:ascii="Arial" w:hAnsi="Arial" w:cs="Arial"/>
          <w:b/>
          <w:bCs/>
          <w:sz w:val="32"/>
          <w:szCs w:val="32"/>
        </w:rPr>
      </w:pPr>
      <w:r>
        <w:rPr>
          <w:rFonts w:ascii="Arial" w:hAnsi="Arial" w:cs="Arial"/>
          <w:b/>
          <w:bCs/>
          <w:sz w:val="32"/>
          <w:szCs w:val="32"/>
        </w:rPr>
        <w:t>Research Report</w:t>
      </w:r>
    </w:p>
    <w:p w14:paraId="1840A88F" w14:textId="5201D295" w:rsidR="00554C01" w:rsidRPr="003C4A22" w:rsidRDefault="00620FE3" w:rsidP="003C4A22">
      <w:pPr>
        <w:jc w:val="center"/>
        <w:rPr>
          <w:rFonts w:ascii="Arial" w:hAnsi="Arial" w:cs="Arial"/>
          <w:b/>
          <w:bCs/>
          <w:sz w:val="32"/>
          <w:szCs w:val="32"/>
        </w:rPr>
      </w:pPr>
      <w:r>
        <w:rPr>
          <w:rFonts w:ascii="Arial" w:hAnsi="Arial" w:cs="Arial"/>
          <w:b/>
          <w:bCs/>
          <w:sz w:val="32"/>
          <w:szCs w:val="32"/>
        </w:rPr>
        <w:t xml:space="preserve"> </w:t>
      </w:r>
      <w:r w:rsidR="003C4A22" w:rsidRPr="00A228CC">
        <w:rPr>
          <w:rFonts w:ascii="Arial" w:hAnsi="Arial" w:cs="Arial"/>
          <w:b/>
          <w:bCs/>
          <w:sz w:val="32"/>
          <w:szCs w:val="32"/>
        </w:rPr>
        <w:t xml:space="preserve">The </w:t>
      </w:r>
      <w:r w:rsidR="004A2F5E">
        <w:rPr>
          <w:rFonts w:ascii="Arial" w:hAnsi="Arial" w:cs="Arial"/>
          <w:b/>
          <w:bCs/>
          <w:sz w:val="32"/>
          <w:szCs w:val="32"/>
        </w:rPr>
        <w:t>R</w:t>
      </w:r>
      <w:r w:rsidR="003C4A22" w:rsidRPr="00A228CC">
        <w:rPr>
          <w:rFonts w:ascii="Arial" w:hAnsi="Arial" w:cs="Arial"/>
          <w:b/>
          <w:bCs/>
          <w:sz w:val="32"/>
          <w:szCs w:val="32"/>
        </w:rPr>
        <w:t xml:space="preserve">ole of </w:t>
      </w:r>
      <w:r w:rsidR="004A2F5E">
        <w:rPr>
          <w:rFonts w:ascii="Arial" w:hAnsi="Arial" w:cs="Arial"/>
          <w:b/>
          <w:bCs/>
          <w:sz w:val="32"/>
          <w:szCs w:val="32"/>
        </w:rPr>
        <w:t>T</w:t>
      </w:r>
      <w:r w:rsidR="003C4A22" w:rsidRPr="00A228CC">
        <w:rPr>
          <w:rFonts w:ascii="Arial" w:hAnsi="Arial" w:cs="Arial"/>
          <w:b/>
          <w:bCs/>
          <w:sz w:val="32"/>
          <w:szCs w:val="32"/>
        </w:rPr>
        <w:t xml:space="preserve">elehealth in </w:t>
      </w:r>
      <w:r w:rsidR="00CC2284" w:rsidRPr="00A228CC">
        <w:rPr>
          <w:rFonts w:ascii="Arial" w:hAnsi="Arial" w:cs="Arial"/>
          <w:b/>
          <w:bCs/>
          <w:sz w:val="32"/>
          <w:szCs w:val="32"/>
        </w:rPr>
        <w:t>A</w:t>
      </w:r>
      <w:r w:rsidR="003C4A22" w:rsidRPr="00A228CC">
        <w:rPr>
          <w:rFonts w:ascii="Arial" w:hAnsi="Arial" w:cs="Arial"/>
          <w:b/>
          <w:bCs/>
          <w:sz w:val="32"/>
          <w:szCs w:val="32"/>
        </w:rPr>
        <w:t xml:space="preserve">ddressing </w:t>
      </w:r>
      <w:r w:rsidR="00CC2284" w:rsidRPr="00A228CC">
        <w:rPr>
          <w:rFonts w:ascii="Arial" w:hAnsi="Arial" w:cs="Arial"/>
          <w:b/>
          <w:bCs/>
          <w:sz w:val="32"/>
          <w:szCs w:val="32"/>
        </w:rPr>
        <w:t>H</w:t>
      </w:r>
      <w:r w:rsidR="003C4A22" w:rsidRPr="00A228CC">
        <w:rPr>
          <w:rFonts w:ascii="Arial" w:hAnsi="Arial" w:cs="Arial"/>
          <w:b/>
          <w:bCs/>
          <w:sz w:val="32"/>
          <w:szCs w:val="32"/>
        </w:rPr>
        <w:t xml:space="preserve">ealthcare </w:t>
      </w:r>
      <w:r w:rsidR="00CC2284" w:rsidRPr="00A228CC">
        <w:rPr>
          <w:rFonts w:ascii="Arial" w:hAnsi="Arial" w:cs="Arial"/>
          <w:b/>
          <w:bCs/>
          <w:sz w:val="32"/>
          <w:szCs w:val="32"/>
        </w:rPr>
        <w:t>A</w:t>
      </w:r>
      <w:r w:rsidR="003C4A22" w:rsidRPr="00A228CC">
        <w:rPr>
          <w:rFonts w:ascii="Arial" w:hAnsi="Arial" w:cs="Arial"/>
          <w:b/>
          <w:bCs/>
          <w:sz w:val="32"/>
          <w:szCs w:val="32"/>
        </w:rPr>
        <w:t xml:space="preserve">ccess and </w:t>
      </w:r>
      <w:r w:rsidR="00CC2284" w:rsidRPr="00A228CC">
        <w:rPr>
          <w:rFonts w:ascii="Arial" w:hAnsi="Arial" w:cs="Arial"/>
          <w:b/>
          <w:bCs/>
          <w:sz w:val="32"/>
          <w:szCs w:val="32"/>
        </w:rPr>
        <w:t>E</w:t>
      </w:r>
      <w:r w:rsidR="003C4A22" w:rsidRPr="00A228CC">
        <w:rPr>
          <w:rFonts w:ascii="Arial" w:hAnsi="Arial" w:cs="Arial"/>
          <w:b/>
          <w:bCs/>
          <w:sz w:val="32"/>
          <w:szCs w:val="32"/>
        </w:rPr>
        <w:t>quity in the UK</w:t>
      </w:r>
      <w:r>
        <w:rPr>
          <w:rFonts w:ascii="Arial" w:hAnsi="Arial" w:cs="Arial"/>
          <w:b/>
          <w:bCs/>
          <w:sz w:val="32"/>
          <w:szCs w:val="32"/>
        </w:rPr>
        <w:t xml:space="preserve"> </w:t>
      </w:r>
      <w:r w:rsidR="001F1E6A">
        <w:rPr>
          <w:rFonts w:ascii="Arial" w:hAnsi="Arial" w:cs="Arial"/>
          <w:b/>
          <w:bCs/>
        </w:rPr>
        <w:t xml:space="preserve"> </w:t>
      </w:r>
    </w:p>
    <w:tbl>
      <w:tblPr>
        <w:tblpPr w:leftFromText="180" w:rightFromText="180" w:vertAnchor="text" w:horzAnchor="margin" w:tblpXSpec="center" w:tblpY="443"/>
        <w:tblW w:w="103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18"/>
        <w:gridCol w:w="2751"/>
        <w:gridCol w:w="3099"/>
        <w:gridCol w:w="1737"/>
      </w:tblGrid>
      <w:tr w:rsidR="00904B24" w:rsidRPr="00904B24" w14:paraId="427ACE7C" w14:textId="77777777" w:rsidTr="00AC460C">
        <w:trPr>
          <w:trHeight w:val="1373"/>
        </w:trPr>
        <w:tc>
          <w:tcPr>
            <w:tcW w:w="2718" w:type="dxa"/>
            <w:shd w:val="pct15" w:color="auto" w:fill="auto"/>
            <w:vAlign w:val="center"/>
          </w:tcPr>
          <w:p w14:paraId="41851C08"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Name</w:t>
            </w:r>
          </w:p>
        </w:tc>
        <w:tc>
          <w:tcPr>
            <w:tcW w:w="2751" w:type="dxa"/>
            <w:vAlign w:val="center"/>
          </w:tcPr>
          <w:p w14:paraId="2A912C9C"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Sofia Jabeen</w:t>
            </w:r>
          </w:p>
        </w:tc>
        <w:tc>
          <w:tcPr>
            <w:tcW w:w="3099" w:type="dxa"/>
            <w:shd w:val="clear" w:color="auto" w:fill="D9D9D9"/>
            <w:vAlign w:val="center"/>
          </w:tcPr>
          <w:p w14:paraId="1E691E03"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ID Number</w:t>
            </w:r>
          </w:p>
        </w:tc>
        <w:tc>
          <w:tcPr>
            <w:tcW w:w="1737" w:type="dxa"/>
            <w:vAlign w:val="center"/>
          </w:tcPr>
          <w:p w14:paraId="41B11B8D"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2309199</w:t>
            </w:r>
          </w:p>
        </w:tc>
      </w:tr>
      <w:tr w:rsidR="00904B24" w:rsidRPr="00904B24" w14:paraId="1E3629E1" w14:textId="77777777" w:rsidTr="00AC460C">
        <w:trPr>
          <w:trHeight w:val="1354"/>
        </w:trPr>
        <w:tc>
          <w:tcPr>
            <w:tcW w:w="2718" w:type="dxa"/>
            <w:shd w:val="pct15" w:color="auto" w:fill="auto"/>
            <w:vAlign w:val="center"/>
          </w:tcPr>
          <w:p w14:paraId="7C5031DA"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Programme</w:t>
            </w:r>
          </w:p>
        </w:tc>
        <w:tc>
          <w:tcPr>
            <w:tcW w:w="7587" w:type="dxa"/>
            <w:gridSpan w:val="3"/>
            <w:vAlign w:val="center"/>
          </w:tcPr>
          <w:p w14:paraId="2B956AFD" w14:textId="766FE7C3" w:rsidR="00217D74" w:rsidRPr="00937192" w:rsidRDefault="00F13E6C"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BSc Health and Social Care</w:t>
            </w:r>
          </w:p>
        </w:tc>
      </w:tr>
      <w:tr w:rsidR="009519FD" w:rsidRPr="00904B24" w14:paraId="06160CED" w14:textId="77777777" w:rsidTr="00C66B05">
        <w:trPr>
          <w:trHeight w:val="1373"/>
        </w:trPr>
        <w:tc>
          <w:tcPr>
            <w:tcW w:w="2718" w:type="dxa"/>
            <w:shd w:val="pct15" w:color="auto" w:fill="auto"/>
            <w:vAlign w:val="center"/>
          </w:tcPr>
          <w:p w14:paraId="1EF15889" w14:textId="77777777" w:rsidR="009519FD" w:rsidRPr="00937192" w:rsidRDefault="009519FD" w:rsidP="009519FD">
            <w:pPr>
              <w:spacing w:line="360" w:lineRule="auto"/>
              <w:jc w:val="center"/>
              <w:rPr>
                <w:rFonts w:ascii="Arial" w:hAnsi="Arial" w:cs="Arial"/>
                <w:b/>
                <w:bCs/>
                <w:sz w:val="32"/>
                <w:szCs w:val="32"/>
                <w:lang w:val="en-GB"/>
              </w:rPr>
            </w:pPr>
            <w:r w:rsidRPr="00937192">
              <w:rPr>
                <w:rFonts w:ascii="Arial" w:hAnsi="Arial" w:cs="Arial"/>
                <w:b/>
                <w:bCs/>
                <w:sz w:val="32"/>
                <w:szCs w:val="32"/>
                <w:lang w:val="en-GB"/>
              </w:rPr>
              <w:t>Module</w:t>
            </w:r>
          </w:p>
        </w:tc>
        <w:tc>
          <w:tcPr>
            <w:tcW w:w="7587" w:type="dxa"/>
            <w:gridSpan w:val="3"/>
            <w:vAlign w:val="center"/>
          </w:tcPr>
          <w:p w14:paraId="2BDE314C" w14:textId="272E6022" w:rsidR="009519FD" w:rsidRPr="00C66B05" w:rsidRDefault="003C4A22" w:rsidP="009519FD">
            <w:pPr>
              <w:spacing w:line="360" w:lineRule="auto"/>
              <w:jc w:val="center"/>
              <w:rPr>
                <w:rFonts w:ascii="Arial" w:hAnsi="Arial" w:cs="Arial"/>
                <w:b/>
                <w:bCs/>
                <w:sz w:val="32"/>
                <w:szCs w:val="32"/>
                <w:lang w:val="en-GB"/>
              </w:rPr>
            </w:pPr>
            <w:r w:rsidRPr="003C4A22">
              <w:rPr>
                <w:rFonts w:ascii="Arial" w:hAnsi="Arial" w:cs="Arial"/>
                <w:b/>
                <w:bCs/>
                <w:sz w:val="32"/>
                <w:szCs w:val="32"/>
              </w:rPr>
              <w:t>Introduction to Independent Research Skills</w:t>
            </w:r>
          </w:p>
        </w:tc>
      </w:tr>
      <w:tr w:rsidR="009519FD" w:rsidRPr="00904B24" w14:paraId="1A649E8A" w14:textId="77777777" w:rsidTr="00C66B05">
        <w:trPr>
          <w:trHeight w:val="1354"/>
        </w:trPr>
        <w:tc>
          <w:tcPr>
            <w:tcW w:w="2718" w:type="dxa"/>
            <w:shd w:val="pct15" w:color="auto" w:fill="auto"/>
            <w:vAlign w:val="center"/>
          </w:tcPr>
          <w:p w14:paraId="16FA8B2F" w14:textId="77777777" w:rsidR="009519FD" w:rsidRPr="00937192" w:rsidRDefault="009519FD" w:rsidP="009519FD">
            <w:pPr>
              <w:spacing w:line="360" w:lineRule="auto"/>
              <w:jc w:val="center"/>
              <w:rPr>
                <w:rFonts w:ascii="Arial" w:hAnsi="Arial" w:cs="Arial"/>
                <w:b/>
                <w:bCs/>
                <w:sz w:val="32"/>
                <w:szCs w:val="32"/>
                <w:lang w:val="en-GB"/>
              </w:rPr>
            </w:pPr>
            <w:r w:rsidRPr="00937192">
              <w:rPr>
                <w:rFonts w:ascii="Arial" w:hAnsi="Arial" w:cs="Arial"/>
                <w:b/>
                <w:bCs/>
                <w:sz w:val="32"/>
                <w:szCs w:val="32"/>
                <w:lang w:val="en-GB"/>
              </w:rPr>
              <w:t>Module code</w:t>
            </w:r>
          </w:p>
        </w:tc>
        <w:tc>
          <w:tcPr>
            <w:tcW w:w="7587" w:type="dxa"/>
            <w:gridSpan w:val="3"/>
            <w:vAlign w:val="center"/>
          </w:tcPr>
          <w:p w14:paraId="24BA4E90" w14:textId="3F96D640" w:rsidR="009519FD" w:rsidRPr="00C66B05" w:rsidRDefault="009519FD" w:rsidP="009519FD">
            <w:pPr>
              <w:spacing w:line="360" w:lineRule="auto"/>
              <w:jc w:val="center"/>
              <w:rPr>
                <w:rFonts w:ascii="Arial" w:hAnsi="Arial" w:cs="Arial"/>
                <w:b/>
                <w:bCs/>
                <w:sz w:val="32"/>
                <w:szCs w:val="32"/>
                <w:lang w:val="en-GB"/>
              </w:rPr>
            </w:pPr>
            <w:r w:rsidRPr="000E1B2D">
              <w:rPr>
                <w:rFonts w:ascii="Arial" w:hAnsi="Arial" w:cs="Arial"/>
                <w:b/>
                <w:sz w:val="32"/>
                <w:szCs w:val="32"/>
              </w:rPr>
              <w:t>BMHP50</w:t>
            </w:r>
            <w:r w:rsidR="003C4A22">
              <w:rPr>
                <w:rFonts w:ascii="Arial" w:hAnsi="Arial" w:cs="Arial"/>
                <w:b/>
                <w:sz w:val="32"/>
                <w:szCs w:val="32"/>
              </w:rPr>
              <w:t>19</w:t>
            </w:r>
          </w:p>
        </w:tc>
      </w:tr>
      <w:tr w:rsidR="00904B24" w:rsidRPr="00904B24" w14:paraId="1BE34293" w14:textId="77777777" w:rsidTr="00AC460C">
        <w:trPr>
          <w:trHeight w:val="1373"/>
        </w:trPr>
        <w:tc>
          <w:tcPr>
            <w:tcW w:w="2718" w:type="dxa"/>
            <w:shd w:val="pct15" w:color="auto" w:fill="auto"/>
            <w:vAlign w:val="center"/>
          </w:tcPr>
          <w:p w14:paraId="2122DEC3"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Tutor’s Name</w:t>
            </w:r>
          </w:p>
        </w:tc>
        <w:tc>
          <w:tcPr>
            <w:tcW w:w="7587" w:type="dxa"/>
            <w:gridSpan w:val="3"/>
            <w:vAlign w:val="center"/>
          </w:tcPr>
          <w:p w14:paraId="51C8B562" w14:textId="14FF4893" w:rsidR="00217D74" w:rsidRPr="00937192" w:rsidRDefault="003C4A22" w:rsidP="00937192">
            <w:pPr>
              <w:spacing w:line="360" w:lineRule="auto"/>
              <w:jc w:val="center"/>
              <w:rPr>
                <w:rFonts w:ascii="Arial" w:hAnsi="Arial" w:cs="Arial"/>
                <w:b/>
                <w:bCs/>
                <w:sz w:val="32"/>
                <w:szCs w:val="32"/>
                <w:lang w:val="en-GB"/>
              </w:rPr>
            </w:pPr>
            <w:r>
              <w:rPr>
                <w:rFonts w:ascii="Arial" w:hAnsi="Arial" w:cs="Arial"/>
                <w:b/>
                <w:bCs/>
                <w:sz w:val="32"/>
                <w:szCs w:val="32"/>
                <w:lang w:val="en-GB"/>
              </w:rPr>
              <w:t>Rizwan Nadim</w:t>
            </w:r>
            <w:r w:rsidR="009519FD">
              <w:rPr>
                <w:rFonts w:ascii="Arial" w:hAnsi="Arial" w:cs="Arial"/>
                <w:b/>
                <w:bCs/>
                <w:sz w:val="32"/>
                <w:szCs w:val="32"/>
                <w:lang w:val="en-GB"/>
              </w:rPr>
              <w:t xml:space="preserve"> </w:t>
            </w:r>
            <w:r w:rsidR="00374489">
              <w:rPr>
                <w:rFonts w:ascii="Arial" w:hAnsi="Arial" w:cs="Arial"/>
                <w:b/>
                <w:bCs/>
                <w:sz w:val="32"/>
                <w:szCs w:val="32"/>
                <w:lang w:val="en-GB"/>
              </w:rPr>
              <w:t xml:space="preserve"> </w:t>
            </w:r>
          </w:p>
        </w:tc>
      </w:tr>
    </w:tbl>
    <w:p w14:paraId="576D9B80" w14:textId="77777777" w:rsidR="00217D74" w:rsidRPr="00904B24" w:rsidRDefault="00217D74" w:rsidP="00904B24">
      <w:pPr>
        <w:spacing w:line="360" w:lineRule="auto"/>
        <w:jc w:val="both"/>
        <w:rPr>
          <w:rFonts w:ascii="Arial" w:hAnsi="Arial" w:cs="Arial"/>
        </w:rPr>
      </w:pPr>
    </w:p>
    <w:p w14:paraId="3ED6DD19" w14:textId="26C3D0C3" w:rsidR="00266076" w:rsidRPr="00CF517F" w:rsidRDefault="00E76C2C">
      <w:pPr>
        <w:rPr>
          <w:rFonts w:ascii="Arial" w:hAnsi="Arial" w:cs="Arial"/>
        </w:rPr>
      </w:pPr>
      <w:r>
        <w:rPr>
          <w:rFonts w:ascii="Arial" w:hAnsi="Arial" w:cs="Arial"/>
        </w:rPr>
        <w:br w:type="page"/>
      </w:r>
    </w:p>
    <w:p w14:paraId="2B6B1B37" w14:textId="02E8FA4C" w:rsidR="00E76C2C" w:rsidRPr="008863BF" w:rsidRDefault="00E76C2C" w:rsidP="00E76C2C">
      <w:pPr>
        <w:spacing w:line="360" w:lineRule="auto"/>
        <w:jc w:val="center"/>
        <w:rPr>
          <w:rFonts w:ascii="Arial" w:hAnsi="Arial" w:cs="Arial"/>
          <w:b/>
          <w:bCs/>
          <w:sz w:val="24"/>
          <w:szCs w:val="24"/>
        </w:rPr>
      </w:pPr>
      <w:r w:rsidRPr="008863BF">
        <w:rPr>
          <w:rFonts w:ascii="Arial" w:eastAsia="Times New Roman" w:hAnsi="Arial" w:cs="Arial"/>
          <w:b/>
          <w:bCs/>
          <w:sz w:val="28"/>
          <w:szCs w:val="28"/>
          <w:lang w:eastAsia="en-GB"/>
        </w:rPr>
        <w:lastRenderedPageBreak/>
        <w:t>Table of Contents</w:t>
      </w:r>
    </w:p>
    <w:p w14:paraId="047368CF" w14:textId="35BD7F1F" w:rsidR="009C18C4" w:rsidRPr="000201D5" w:rsidRDefault="00E76C2C"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Introduction</w:t>
      </w:r>
      <w:r w:rsidRPr="000201D5">
        <w:rPr>
          <w:rFonts w:ascii="Arial" w:eastAsia="Times New Roman" w:hAnsi="Arial" w:cs="Arial"/>
          <w:u w:val="single"/>
          <w:lang w:eastAsia="en-GB"/>
        </w:rPr>
        <w:t xml:space="preserve"> </w:t>
      </w:r>
      <w:r w:rsidRPr="000201D5">
        <w:rPr>
          <w:rFonts w:ascii="Arial" w:eastAsia="Times New Roman" w:hAnsi="Arial" w:cs="Arial"/>
          <w:lang w:eastAsia="en-GB"/>
        </w:rPr>
        <w:t>---------------------------------------------------</w:t>
      </w:r>
      <w:r w:rsidR="009C18C4" w:rsidRPr="000201D5">
        <w:rPr>
          <w:rFonts w:ascii="Arial" w:eastAsia="Times New Roman" w:hAnsi="Arial" w:cs="Arial"/>
          <w:lang w:eastAsia="en-GB"/>
        </w:rPr>
        <w:t>----------------------------------</w:t>
      </w:r>
      <w:r w:rsidRPr="000201D5">
        <w:rPr>
          <w:rFonts w:ascii="Arial" w:eastAsia="Times New Roman" w:hAnsi="Arial" w:cs="Arial"/>
          <w:lang w:eastAsia="en-GB"/>
        </w:rPr>
        <w:t>------------</w:t>
      </w:r>
      <w:r w:rsidR="009C18C4" w:rsidRPr="000201D5">
        <w:rPr>
          <w:rFonts w:ascii="Arial" w:eastAsia="Times New Roman" w:hAnsi="Arial" w:cs="Arial"/>
          <w:lang w:eastAsia="en-GB"/>
        </w:rPr>
        <w:t>3</w:t>
      </w:r>
    </w:p>
    <w:p w14:paraId="6494BBC5" w14:textId="6A6901E0" w:rsidR="009C18C4"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lang w:eastAsia="en-GB"/>
        </w:rPr>
        <w:t>Rationale</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--------3</w:t>
      </w:r>
    </w:p>
    <w:p w14:paraId="51AB9C55" w14:textId="15D31A7B" w:rsidR="00E76C2C"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lang w:eastAsia="en-GB"/>
        </w:rPr>
        <w:t>Aims and Objectives</w:t>
      </w:r>
      <w:r w:rsidR="00E76C2C" w:rsidRPr="000201D5">
        <w:rPr>
          <w:rFonts w:ascii="Arial" w:eastAsia="Times New Roman" w:hAnsi="Arial" w:cs="Arial"/>
          <w:lang w:eastAsia="en-GB"/>
        </w:rPr>
        <w:t>---------------------------------------------------------</w:t>
      </w:r>
      <w:r w:rsidR="009C18C4" w:rsidRPr="000201D5">
        <w:rPr>
          <w:rFonts w:ascii="Arial" w:eastAsia="Times New Roman" w:hAnsi="Arial" w:cs="Arial"/>
          <w:lang w:eastAsia="en-GB"/>
        </w:rPr>
        <w:t>-------------------------------3</w:t>
      </w:r>
    </w:p>
    <w:p w14:paraId="07113CE2" w14:textId="69373084" w:rsidR="009C18C4"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lang w:eastAsia="en-GB"/>
        </w:rPr>
        <w:t>Review Question</w:t>
      </w:r>
      <w:r w:rsidR="00E76C2C" w:rsidRPr="000201D5">
        <w:rPr>
          <w:rFonts w:ascii="Arial" w:eastAsia="Times New Roman" w:hAnsi="Arial" w:cs="Arial"/>
          <w:lang w:eastAsia="en-GB"/>
        </w:rPr>
        <w:t xml:space="preserve"> --------</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3</w:t>
      </w:r>
    </w:p>
    <w:p w14:paraId="78B7DAF3" w14:textId="752BE58A" w:rsidR="00E76C2C"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Background</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-----4</w:t>
      </w:r>
    </w:p>
    <w:p w14:paraId="40578746" w14:textId="1BCE42C1" w:rsidR="00E76C2C"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Methodology</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5</w:t>
      </w:r>
    </w:p>
    <w:p w14:paraId="78ED70F4" w14:textId="519984A9" w:rsidR="00E76C2C"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lang w:eastAsia="en-GB"/>
        </w:rPr>
        <w:t>Research Design</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5</w:t>
      </w:r>
    </w:p>
    <w:p w14:paraId="48132964" w14:textId="4062509C" w:rsidR="00E76C2C" w:rsidRPr="000201D5" w:rsidRDefault="009C18C4" w:rsidP="009C18C4">
      <w:pPr>
        <w:spacing w:line="240" w:lineRule="auto"/>
        <w:rPr>
          <w:rFonts w:ascii="Arial" w:eastAsia="Times New Roman" w:hAnsi="Arial" w:cs="Arial"/>
          <w:lang w:eastAsia="en-GB"/>
        </w:rPr>
      </w:pPr>
      <w:r w:rsidRPr="000201D5">
        <w:rPr>
          <w:rFonts w:ascii="Arial" w:eastAsia="Times New Roman" w:hAnsi="Arial" w:cs="Arial"/>
          <w:lang w:eastAsia="en-GB"/>
        </w:rPr>
        <w:t>D</w:t>
      </w:r>
      <w:r w:rsidR="008863BF" w:rsidRPr="000201D5">
        <w:rPr>
          <w:rFonts w:ascii="Arial" w:eastAsia="Times New Roman" w:hAnsi="Arial" w:cs="Arial"/>
          <w:lang w:eastAsia="en-GB"/>
        </w:rPr>
        <w:t>ata Accumulation</w:t>
      </w:r>
      <w:r w:rsidR="00E76C2C" w:rsidRPr="000201D5">
        <w:rPr>
          <w:rFonts w:ascii="Arial" w:eastAsia="Times New Roman" w:hAnsi="Arial" w:cs="Arial"/>
          <w:lang w:eastAsia="en-GB"/>
        </w:rPr>
        <w:t>------------------------</w:t>
      </w:r>
      <w:r w:rsidRPr="000201D5">
        <w:rPr>
          <w:rFonts w:ascii="Arial" w:eastAsia="Times New Roman" w:hAnsi="Arial" w:cs="Arial"/>
          <w:lang w:eastAsia="en-GB"/>
        </w:rPr>
        <w:t>-----------</w:t>
      </w:r>
      <w:r w:rsidR="00E76C2C" w:rsidRPr="000201D5">
        <w:rPr>
          <w:rFonts w:ascii="Arial" w:eastAsia="Times New Roman" w:hAnsi="Arial" w:cs="Arial"/>
          <w:lang w:eastAsia="en-GB"/>
        </w:rPr>
        <w:t>--------------------------------------------------------</w:t>
      </w:r>
      <w:r w:rsidRPr="000201D5">
        <w:rPr>
          <w:rFonts w:ascii="Arial" w:eastAsia="Times New Roman" w:hAnsi="Arial" w:cs="Arial"/>
          <w:lang w:eastAsia="en-GB"/>
        </w:rPr>
        <w:t>6</w:t>
      </w:r>
    </w:p>
    <w:p w14:paraId="2227B8C6" w14:textId="35BC54D1" w:rsidR="00E76C2C"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lang w:eastAsia="en-GB"/>
        </w:rPr>
        <w:t>Database used for Peer Reviewed Literature</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6C4BC1">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6</w:t>
      </w:r>
    </w:p>
    <w:p w14:paraId="605A45D6" w14:textId="5FFEC8A6" w:rsidR="008863BF"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lang w:eastAsia="en-GB"/>
        </w:rPr>
        <w:t>National Institute of Health Running Databases</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7</w:t>
      </w:r>
    </w:p>
    <w:p w14:paraId="57BA811A" w14:textId="037BDF6C" w:rsidR="008863BF"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Data Analysis</w:t>
      </w:r>
      <w:r w:rsidR="009C18C4" w:rsidRPr="000201D5">
        <w:rPr>
          <w:rFonts w:ascii="Arial" w:eastAsia="Times New Roman" w:hAnsi="Arial" w:cs="Arial"/>
          <w:lang w:eastAsia="en-GB"/>
        </w:rPr>
        <w:t>------------------------------------------------------------------------------------------------7</w:t>
      </w:r>
    </w:p>
    <w:p w14:paraId="2F7D0423" w14:textId="5EBC2B57" w:rsidR="00E76C2C"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Inclusion Criteria</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6C4BC1">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7</w:t>
      </w:r>
    </w:p>
    <w:p w14:paraId="6A1474F3" w14:textId="70CBB0EC" w:rsidR="00E76C2C"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Exclusion Criteria</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7</w:t>
      </w:r>
    </w:p>
    <w:p w14:paraId="2DD77DFF" w14:textId="77D0073A" w:rsidR="00E76C2C"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Ethical Considerations</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8</w:t>
      </w:r>
    </w:p>
    <w:p w14:paraId="3F0972CF" w14:textId="6B34AD4A" w:rsidR="00E76C2C"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Results</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8</w:t>
      </w:r>
    </w:p>
    <w:p w14:paraId="68863A80" w14:textId="75E3C99F" w:rsidR="00E76C2C"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Overview of Studies</w:t>
      </w:r>
      <w:r w:rsidR="00E76C2C" w:rsidRPr="000201D5">
        <w:rPr>
          <w:rFonts w:ascii="Arial" w:eastAsia="Times New Roman" w:hAnsi="Arial" w:cs="Arial"/>
          <w:lang w:eastAsia="en-GB"/>
        </w:rPr>
        <w:t>----</w:t>
      </w:r>
      <w:r w:rsidR="009C18C4" w:rsidRPr="000201D5">
        <w:rPr>
          <w:rFonts w:ascii="Arial" w:eastAsia="Times New Roman" w:hAnsi="Arial" w:cs="Arial"/>
          <w:lang w:eastAsia="en-GB"/>
        </w:rPr>
        <w:t>-----</w:t>
      </w:r>
      <w:r w:rsidR="00E76C2C" w:rsidRPr="000201D5">
        <w:rPr>
          <w:rFonts w:ascii="Arial" w:eastAsia="Times New Roman" w:hAnsi="Arial" w:cs="Arial"/>
          <w:lang w:eastAsia="en-GB"/>
        </w:rPr>
        <w:t>------------------------------------------------------------------------------</w:t>
      </w:r>
      <w:r w:rsidR="009C18C4" w:rsidRPr="000201D5">
        <w:rPr>
          <w:rFonts w:ascii="Arial" w:eastAsia="Times New Roman" w:hAnsi="Arial" w:cs="Arial"/>
          <w:lang w:eastAsia="en-GB"/>
        </w:rPr>
        <w:t>9</w:t>
      </w:r>
    </w:p>
    <w:p w14:paraId="6ABAD111" w14:textId="4C4A5A45" w:rsidR="007B453C" w:rsidRPr="000201D5" w:rsidRDefault="008863BF"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Discussion</w:t>
      </w:r>
      <w:r w:rsidR="009C18C4" w:rsidRPr="000201D5">
        <w:rPr>
          <w:rFonts w:ascii="Arial" w:eastAsia="Times New Roman" w:hAnsi="Arial" w:cs="Arial"/>
          <w:lang w:eastAsia="en-GB"/>
        </w:rPr>
        <w:t xml:space="preserve"> ---------------------------------------------------------------------------------------------------9</w:t>
      </w:r>
    </w:p>
    <w:p w14:paraId="146E37EE" w14:textId="3F5E2565" w:rsidR="007B453C" w:rsidRPr="000201D5" w:rsidRDefault="007B453C" w:rsidP="009C18C4">
      <w:pPr>
        <w:spacing w:line="240" w:lineRule="auto"/>
        <w:rPr>
          <w:rFonts w:ascii="Arial" w:eastAsia="Times New Roman" w:hAnsi="Arial" w:cs="Arial"/>
          <w:lang w:eastAsia="en-GB"/>
        </w:rPr>
      </w:pPr>
      <w:r w:rsidRPr="000201D5">
        <w:rPr>
          <w:rFonts w:ascii="Arial" w:eastAsia="Times New Roman" w:hAnsi="Arial" w:cs="Arial"/>
          <w:lang w:eastAsia="en-GB"/>
        </w:rPr>
        <w:t>Theme 1</w:t>
      </w:r>
      <w:r w:rsidR="009C18C4" w:rsidRPr="000201D5">
        <w:rPr>
          <w:rFonts w:ascii="Arial" w:eastAsia="Times New Roman" w:hAnsi="Arial" w:cs="Arial"/>
          <w:lang w:eastAsia="en-GB"/>
        </w:rPr>
        <w:t>--------------------------------------------------------------------------------------------------------9</w:t>
      </w:r>
    </w:p>
    <w:p w14:paraId="6CEBE1BF" w14:textId="157E1E54" w:rsidR="007B453C" w:rsidRPr="000201D5" w:rsidRDefault="007B453C" w:rsidP="009C18C4">
      <w:pPr>
        <w:spacing w:line="240" w:lineRule="auto"/>
        <w:rPr>
          <w:rFonts w:ascii="Arial" w:eastAsia="Times New Roman" w:hAnsi="Arial" w:cs="Arial"/>
          <w:lang w:eastAsia="en-GB"/>
        </w:rPr>
      </w:pPr>
      <w:r w:rsidRPr="000201D5">
        <w:rPr>
          <w:rFonts w:ascii="Arial" w:eastAsia="Times New Roman" w:hAnsi="Arial" w:cs="Arial"/>
          <w:lang w:eastAsia="en-GB"/>
        </w:rPr>
        <w:t>Analysis Findings</w:t>
      </w:r>
      <w:r w:rsidR="009C18C4" w:rsidRPr="000201D5">
        <w:rPr>
          <w:rFonts w:ascii="Arial" w:eastAsia="Times New Roman" w:hAnsi="Arial" w:cs="Arial"/>
          <w:lang w:eastAsia="en-GB"/>
        </w:rPr>
        <w:t>---------------------------------------------------------------------------------------------9</w:t>
      </w:r>
    </w:p>
    <w:p w14:paraId="3E980CB2" w14:textId="1712E861" w:rsidR="007B453C" w:rsidRPr="000201D5" w:rsidRDefault="007B453C" w:rsidP="009C18C4">
      <w:pPr>
        <w:spacing w:line="240" w:lineRule="auto"/>
        <w:rPr>
          <w:rFonts w:ascii="Arial" w:eastAsia="Times New Roman" w:hAnsi="Arial" w:cs="Arial"/>
          <w:lang w:eastAsia="en-GB"/>
        </w:rPr>
      </w:pPr>
      <w:r w:rsidRPr="000201D5">
        <w:rPr>
          <w:rFonts w:ascii="Arial" w:eastAsia="Times New Roman" w:hAnsi="Arial" w:cs="Arial"/>
          <w:lang w:eastAsia="en-GB"/>
        </w:rPr>
        <w:t>Theme 2</w:t>
      </w:r>
      <w:r w:rsidR="009C18C4" w:rsidRPr="000201D5">
        <w:rPr>
          <w:rFonts w:ascii="Arial" w:eastAsia="Times New Roman" w:hAnsi="Arial" w:cs="Arial"/>
          <w:lang w:eastAsia="en-GB"/>
        </w:rPr>
        <w:t>-------------------------------------------------------------------------------------------</w:t>
      </w:r>
      <w:r w:rsidR="006C4BC1">
        <w:rPr>
          <w:rFonts w:ascii="Arial" w:eastAsia="Times New Roman" w:hAnsi="Arial" w:cs="Arial"/>
          <w:lang w:eastAsia="en-GB"/>
        </w:rPr>
        <w:t>-------</w:t>
      </w:r>
      <w:r w:rsidR="009C18C4" w:rsidRPr="000201D5">
        <w:rPr>
          <w:rFonts w:ascii="Arial" w:eastAsia="Times New Roman" w:hAnsi="Arial" w:cs="Arial"/>
          <w:lang w:eastAsia="en-GB"/>
        </w:rPr>
        <w:t>------10</w:t>
      </w:r>
    </w:p>
    <w:p w14:paraId="325DA23A" w14:textId="7604A7A5" w:rsidR="007B453C" w:rsidRPr="000201D5" w:rsidRDefault="007B453C" w:rsidP="009C18C4">
      <w:pPr>
        <w:spacing w:line="240" w:lineRule="auto"/>
        <w:rPr>
          <w:rFonts w:ascii="Arial" w:eastAsia="Times New Roman" w:hAnsi="Arial" w:cs="Arial"/>
          <w:lang w:eastAsia="en-GB"/>
        </w:rPr>
      </w:pPr>
      <w:r w:rsidRPr="000201D5">
        <w:rPr>
          <w:rFonts w:ascii="Arial" w:eastAsia="Times New Roman" w:hAnsi="Arial" w:cs="Arial"/>
          <w:lang w:eastAsia="en-GB"/>
        </w:rPr>
        <w:t>Analysis Findings</w:t>
      </w:r>
      <w:r w:rsidR="009C18C4" w:rsidRPr="000201D5">
        <w:rPr>
          <w:rFonts w:ascii="Arial" w:eastAsia="Times New Roman" w:hAnsi="Arial" w:cs="Arial"/>
          <w:lang w:eastAsia="en-GB"/>
        </w:rPr>
        <w:t>---------------------------------------------------------------------------------------------10</w:t>
      </w:r>
    </w:p>
    <w:p w14:paraId="43A22251" w14:textId="3AE9B7B4" w:rsidR="007B453C" w:rsidRPr="000201D5" w:rsidRDefault="007B453C" w:rsidP="009C18C4">
      <w:pPr>
        <w:spacing w:line="240" w:lineRule="auto"/>
        <w:rPr>
          <w:rFonts w:ascii="Arial" w:eastAsia="Times New Roman" w:hAnsi="Arial" w:cs="Arial"/>
          <w:lang w:eastAsia="en-GB"/>
        </w:rPr>
      </w:pPr>
      <w:r w:rsidRPr="000201D5">
        <w:rPr>
          <w:rFonts w:ascii="Arial" w:eastAsia="Times New Roman" w:hAnsi="Arial" w:cs="Arial"/>
          <w:lang w:eastAsia="en-GB"/>
        </w:rPr>
        <w:t>Theme 3</w:t>
      </w:r>
      <w:r w:rsidR="009C18C4" w:rsidRPr="000201D5">
        <w:rPr>
          <w:rFonts w:ascii="Arial" w:eastAsia="Times New Roman" w:hAnsi="Arial" w:cs="Arial"/>
          <w:lang w:eastAsia="en-GB"/>
        </w:rPr>
        <w:t>---------------------------------------------------------------------------------------------------------10</w:t>
      </w:r>
    </w:p>
    <w:p w14:paraId="3E0B51B8" w14:textId="4BACA4CB" w:rsidR="007B453C" w:rsidRPr="000201D5" w:rsidRDefault="007B453C" w:rsidP="009C18C4">
      <w:pPr>
        <w:spacing w:line="240" w:lineRule="auto"/>
        <w:rPr>
          <w:rFonts w:ascii="Arial" w:eastAsia="Times New Roman" w:hAnsi="Arial" w:cs="Arial"/>
          <w:lang w:eastAsia="en-GB"/>
        </w:rPr>
      </w:pPr>
      <w:r w:rsidRPr="000201D5">
        <w:rPr>
          <w:rFonts w:ascii="Arial" w:eastAsia="Times New Roman" w:hAnsi="Arial" w:cs="Arial"/>
          <w:lang w:eastAsia="en-GB"/>
        </w:rPr>
        <w:t>Analysis Findings</w:t>
      </w:r>
      <w:r w:rsidR="009C18C4" w:rsidRPr="000201D5">
        <w:rPr>
          <w:rFonts w:ascii="Arial" w:eastAsia="Times New Roman" w:hAnsi="Arial" w:cs="Arial"/>
          <w:lang w:eastAsia="en-GB"/>
        </w:rPr>
        <w:t>---------------------------------------------------------------------------------</w:t>
      </w:r>
      <w:r w:rsidR="006C4BC1">
        <w:rPr>
          <w:rFonts w:ascii="Arial" w:eastAsia="Times New Roman" w:hAnsi="Arial" w:cs="Arial"/>
          <w:lang w:eastAsia="en-GB"/>
        </w:rPr>
        <w:t>-</w:t>
      </w:r>
      <w:r w:rsidR="009C18C4" w:rsidRPr="000201D5">
        <w:rPr>
          <w:rFonts w:ascii="Arial" w:eastAsia="Times New Roman" w:hAnsi="Arial" w:cs="Arial"/>
          <w:lang w:eastAsia="en-GB"/>
        </w:rPr>
        <w:t>------------10</w:t>
      </w:r>
    </w:p>
    <w:p w14:paraId="534AE6F2" w14:textId="2ED7D1A2" w:rsidR="007B453C" w:rsidRPr="000201D5" w:rsidRDefault="007B453C" w:rsidP="009C18C4">
      <w:pPr>
        <w:spacing w:line="240" w:lineRule="auto"/>
        <w:rPr>
          <w:rFonts w:ascii="Arial" w:eastAsia="Times New Roman" w:hAnsi="Arial" w:cs="Arial"/>
          <w:lang w:eastAsia="en-GB"/>
        </w:rPr>
      </w:pPr>
      <w:r w:rsidRPr="000201D5">
        <w:rPr>
          <w:rFonts w:ascii="Arial" w:eastAsia="Times New Roman" w:hAnsi="Arial" w:cs="Arial"/>
          <w:lang w:eastAsia="en-GB"/>
        </w:rPr>
        <w:t>Theme 4</w:t>
      </w:r>
      <w:r w:rsidR="009C18C4" w:rsidRPr="000201D5">
        <w:rPr>
          <w:rFonts w:ascii="Arial" w:eastAsia="Times New Roman" w:hAnsi="Arial" w:cs="Arial"/>
          <w:lang w:eastAsia="en-GB"/>
        </w:rPr>
        <w:t>----------------------------------------------------------------------------------------------------------11</w:t>
      </w:r>
    </w:p>
    <w:p w14:paraId="46659F6E" w14:textId="15B9F027" w:rsidR="007B453C" w:rsidRPr="000201D5" w:rsidRDefault="007B453C" w:rsidP="009C18C4">
      <w:pPr>
        <w:spacing w:line="240" w:lineRule="auto"/>
        <w:rPr>
          <w:rFonts w:ascii="Arial" w:eastAsia="Times New Roman" w:hAnsi="Arial" w:cs="Arial"/>
          <w:lang w:eastAsia="en-GB"/>
        </w:rPr>
      </w:pPr>
      <w:r w:rsidRPr="000201D5">
        <w:rPr>
          <w:rFonts w:ascii="Arial" w:eastAsia="Times New Roman" w:hAnsi="Arial" w:cs="Arial"/>
          <w:lang w:eastAsia="en-GB"/>
        </w:rPr>
        <w:t>Analysis Findings</w:t>
      </w:r>
      <w:r w:rsidR="009C18C4" w:rsidRPr="000201D5">
        <w:rPr>
          <w:rFonts w:ascii="Arial" w:eastAsia="Times New Roman" w:hAnsi="Arial" w:cs="Arial"/>
          <w:lang w:eastAsia="en-GB"/>
        </w:rPr>
        <w:t>-------------------------------------------------------------------------------------</w:t>
      </w:r>
      <w:r w:rsidR="006C4BC1">
        <w:rPr>
          <w:rFonts w:ascii="Arial" w:eastAsia="Times New Roman" w:hAnsi="Arial" w:cs="Arial"/>
          <w:lang w:eastAsia="en-GB"/>
        </w:rPr>
        <w:t>-</w:t>
      </w:r>
      <w:r w:rsidR="009C18C4" w:rsidRPr="000201D5">
        <w:rPr>
          <w:rFonts w:ascii="Arial" w:eastAsia="Times New Roman" w:hAnsi="Arial" w:cs="Arial"/>
          <w:lang w:eastAsia="en-GB"/>
        </w:rPr>
        <w:t>---------11</w:t>
      </w:r>
    </w:p>
    <w:p w14:paraId="007F2F66" w14:textId="4FF0E03B" w:rsidR="00E76C2C" w:rsidRPr="000201D5" w:rsidRDefault="009C18C4"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Evidence Based Critical Assessment</w:t>
      </w:r>
      <w:r w:rsidR="00E76C2C" w:rsidRPr="000201D5">
        <w:rPr>
          <w:rFonts w:ascii="Arial" w:eastAsia="Times New Roman" w:hAnsi="Arial" w:cs="Arial"/>
          <w:lang w:eastAsia="en-GB"/>
        </w:rPr>
        <w:t>----------------------------------------------------</w:t>
      </w:r>
      <w:r w:rsidR="006C4BC1">
        <w:rPr>
          <w:rFonts w:ascii="Arial" w:eastAsia="Times New Roman" w:hAnsi="Arial" w:cs="Arial"/>
          <w:lang w:eastAsia="en-GB"/>
        </w:rPr>
        <w:t>---</w:t>
      </w:r>
      <w:r w:rsidR="00E76C2C" w:rsidRPr="000201D5">
        <w:rPr>
          <w:rFonts w:ascii="Arial" w:eastAsia="Times New Roman" w:hAnsi="Arial" w:cs="Arial"/>
          <w:lang w:eastAsia="en-GB"/>
        </w:rPr>
        <w:t>-------</w:t>
      </w:r>
      <w:r w:rsidRPr="000201D5">
        <w:rPr>
          <w:rFonts w:ascii="Arial" w:eastAsia="Times New Roman" w:hAnsi="Arial" w:cs="Arial"/>
          <w:lang w:eastAsia="en-GB"/>
        </w:rPr>
        <w:t>---</w:t>
      </w:r>
      <w:r w:rsidR="00E76C2C" w:rsidRPr="000201D5">
        <w:rPr>
          <w:rFonts w:ascii="Arial" w:eastAsia="Times New Roman" w:hAnsi="Arial" w:cs="Arial"/>
          <w:lang w:eastAsia="en-GB"/>
        </w:rPr>
        <w:t>-</w:t>
      </w:r>
      <w:r w:rsidRPr="000201D5">
        <w:rPr>
          <w:rFonts w:ascii="Arial" w:eastAsia="Times New Roman" w:hAnsi="Arial" w:cs="Arial"/>
          <w:lang w:eastAsia="en-GB"/>
        </w:rPr>
        <w:t>1</w:t>
      </w:r>
      <w:r w:rsidR="000201D5" w:rsidRPr="000201D5">
        <w:rPr>
          <w:rFonts w:ascii="Arial" w:eastAsia="Times New Roman" w:hAnsi="Arial" w:cs="Arial"/>
          <w:lang w:eastAsia="en-GB"/>
        </w:rPr>
        <w:t>1</w:t>
      </w:r>
    </w:p>
    <w:p w14:paraId="2A4A08F0" w14:textId="6F145333" w:rsidR="00E76C2C" w:rsidRPr="000201D5" w:rsidRDefault="009C18C4" w:rsidP="009C18C4">
      <w:pPr>
        <w:spacing w:line="240" w:lineRule="auto"/>
        <w:rPr>
          <w:rFonts w:ascii="Arial" w:eastAsia="Times New Roman" w:hAnsi="Arial" w:cs="Arial"/>
          <w:lang w:eastAsia="en-GB"/>
        </w:rPr>
      </w:pPr>
      <w:r w:rsidRPr="000201D5">
        <w:rPr>
          <w:rFonts w:ascii="Arial" w:eastAsia="Times New Roman" w:hAnsi="Arial" w:cs="Arial"/>
          <w:b/>
          <w:bCs/>
          <w:u w:val="single"/>
          <w:lang w:eastAsia="en-GB"/>
        </w:rPr>
        <w:t>Conclusion</w:t>
      </w:r>
      <w:r w:rsidR="000201D5" w:rsidRPr="000201D5">
        <w:rPr>
          <w:rFonts w:ascii="Arial" w:eastAsia="Times New Roman" w:hAnsi="Arial" w:cs="Arial"/>
          <w:b/>
          <w:bCs/>
          <w:u w:val="single"/>
          <w:lang w:eastAsia="en-GB"/>
        </w:rPr>
        <w:t xml:space="preserve"> and Recommendations</w:t>
      </w:r>
      <w:r w:rsidR="00E76C2C" w:rsidRPr="000201D5">
        <w:rPr>
          <w:rFonts w:ascii="Arial" w:eastAsia="Times New Roman" w:hAnsi="Arial" w:cs="Arial"/>
          <w:lang w:eastAsia="en-GB"/>
        </w:rPr>
        <w:t>----------</w:t>
      </w:r>
      <w:r w:rsidRPr="000201D5">
        <w:rPr>
          <w:rFonts w:ascii="Arial" w:eastAsia="Times New Roman" w:hAnsi="Arial" w:cs="Arial"/>
          <w:lang w:eastAsia="en-GB"/>
        </w:rPr>
        <w:t>----------------------------------------</w:t>
      </w:r>
      <w:r w:rsidR="006C4BC1">
        <w:rPr>
          <w:rFonts w:ascii="Arial" w:eastAsia="Times New Roman" w:hAnsi="Arial" w:cs="Arial"/>
          <w:lang w:eastAsia="en-GB"/>
        </w:rPr>
        <w:t>-</w:t>
      </w:r>
      <w:r w:rsidRPr="000201D5">
        <w:rPr>
          <w:rFonts w:ascii="Arial" w:eastAsia="Times New Roman" w:hAnsi="Arial" w:cs="Arial"/>
          <w:lang w:eastAsia="en-GB"/>
        </w:rPr>
        <w:t>---</w:t>
      </w:r>
      <w:r w:rsidR="00E76C2C" w:rsidRPr="000201D5">
        <w:rPr>
          <w:rFonts w:ascii="Arial" w:eastAsia="Times New Roman" w:hAnsi="Arial" w:cs="Arial"/>
          <w:lang w:eastAsia="en-GB"/>
        </w:rPr>
        <w:t>--------------</w:t>
      </w:r>
      <w:r w:rsidR="000201D5" w:rsidRPr="000201D5">
        <w:rPr>
          <w:rFonts w:ascii="Arial" w:eastAsia="Times New Roman" w:hAnsi="Arial" w:cs="Arial"/>
          <w:lang w:eastAsia="en-GB"/>
        </w:rPr>
        <w:t>12</w:t>
      </w:r>
    </w:p>
    <w:p w14:paraId="7545B175" w14:textId="2E3AC6CA" w:rsidR="00E76C2C" w:rsidRPr="000201D5" w:rsidRDefault="009C18C4" w:rsidP="000201D5">
      <w:pPr>
        <w:spacing w:line="240" w:lineRule="auto"/>
        <w:rPr>
          <w:rFonts w:ascii="Arial" w:eastAsia="Times New Roman" w:hAnsi="Arial" w:cs="Arial"/>
          <w:lang w:eastAsia="en-GB"/>
        </w:rPr>
      </w:pPr>
      <w:r w:rsidRPr="000201D5">
        <w:rPr>
          <w:rFonts w:ascii="Arial" w:eastAsia="Times New Roman" w:hAnsi="Arial" w:cs="Arial"/>
          <w:lang w:eastAsia="en-GB"/>
        </w:rPr>
        <w:t>Recommendation for Future Research</w:t>
      </w:r>
      <w:r w:rsidR="00E76C2C" w:rsidRPr="000201D5">
        <w:rPr>
          <w:rFonts w:ascii="Arial" w:eastAsia="Times New Roman" w:hAnsi="Arial" w:cs="Arial"/>
          <w:lang w:eastAsia="en-GB"/>
        </w:rPr>
        <w:t xml:space="preserve"> ----------------------------------------------------</w:t>
      </w:r>
      <w:r w:rsidR="000201D5" w:rsidRPr="000201D5">
        <w:rPr>
          <w:rFonts w:ascii="Arial" w:eastAsia="Times New Roman" w:hAnsi="Arial" w:cs="Arial"/>
          <w:lang w:eastAsia="en-GB"/>
        </w:rPr>
        <w:t>-</w:t>
      </w:r>
      <w:r w:rsidR="00E76C2C" w:rsidRPr="000201D5">
        <w:rPr>
          <w:rFonts w:ascii="Arial" w:eastAsia="Times New Roman" w:hAnsi="Arial" w:cs="Arial"/>
          <w:lang w:eastAsia="en-GB"/>
        </w:rPr>
        <w:t>-------------</w:t>
      </w:r>
      <w:r w:rsidR="000201D5" w:rsidRPr="000201D5">
        <w:rPr>
          <w:rFonts w:ascii="Arial" w:eastAsia="Times New Roman" w:hAnsi="Arial" w:cs="Arial"/>
          <w:lang w:eastAsia="en-GB"/>
        </w:rPr>
        <w:t>12</w:t>
      </w:r>
    </w:p>
    <w:p w14:paraId="0DB5CBC8" w14:textId="4B3BBCDC" w:rsidR="00E76C2C" w:rsidRPr="000201D5" w:rsidRDefault="00E76C2C" w:rsidP="000201D5">
      <w:pPr>
        <w:spacing w:line="240" w:lineRule="auto"/>
        <w:rPr>
          <w:rFonts w:ascii="Arial" w:eastAsia="Times New Roman" w:hAnsi="Arial" w:cs="Arial"/>
          <w:lang w:eastAsia="en-GB"/>
        </w:rPr>
      </w:pPr>
      <w:r w:rsidRPr="000201D5">
        <w:rPr>
          <w:rFonts w:ascii="Arial" w:eastAsia="Times New Roman" w:hAnsi="Arial" w:cs="Arial"/>
          <w:lang w:eastAsia="en-GB"/>
        </w:rPr>
        <w:t xml:space="preserve">Recommendations for </w:t>
      </w:r>
      <w:r w:rsidR="009C18C4" w:rsidRPr="000201D5">
        <w:rPr>
          <w:rFonts w:ascii="Arial" w:eastAsia="Times New Roman" w:hAnsi="Arial" w:cs="Arial"/>
          <w:lang w:eastAsia="en-GB"/>
        </w:rPr>
        <w:t>Policy Practices</w:t>
      </w:r>
      <w:r w:rsidRPr="000201D5">
        <w:rPr>
          <w:rFonts w:ascii="Arial" w:eastAsia="Times New Roman" w:hAnsi="Arial" w:cs="Arial"/>
          <w:lang w:eastAsia="en-GB"/>
        </w:rPr>
        <w:t xml:space="preserve"> -----------</w:t>
      </w:r>
      <w:r w:rsidR="000201D5" w:rsidRPr="000201D5">
        <w:rPr>
          <w:rFonts w:ascii="Arial" w:eastAsia="Times New Roman" w:hAnsi="Arial" w:cs="Arial"/>
          <w:lang w:eastAsia="en-GB"/>
        </w:rPr>
        <w:t>----------------------------------------------</w:t>
      </w:r>
      <w:r w:rsidRPr="000201D5">
        <w:rPr>
          <w:rFonts w:ascii="Arial" w:eastAsia="Times New Roman" w:hAnsi="Arial" w:cs="Arial"/>
          <w:lang w:eastAsia="en-GB"/>
        </w:rPr>
        <w:t>---------</w:t>
      </w:r>
      <w:r w:rsidR="000201D5" w:rsidRPr="000201D5">
        <w:rPr>
          <w:rFonts w:ascii="Arial" w:eastAsia="Times New Roman" w:hAnsi="Arial" w:cs="Arial"/>
          <w:lang w:eastAsia="en-GB"/>
        </w:rPr>
        <w:t>12</w:t>
      </w:r>
    </w:p>
    <w:p w14:paraId="0930947B" w14:textId="212DCD40" w:rsidR="009C18C4" w:rsidRPr="000201D5" w:rsidRDefault="009C18C4" w:rsidP="000201D5">
      <w:pPr>
        <w:spacing w:line="240" w:lineRule="auto"/>
        <w:rPr>
          <w:rFonts w:ascii="Arial" w:eastAsia="Times New Roman" w:hAnsi="Arial" w:cs="Arial"/>
          <w:lang w:eastAsia="en-GB"/>
        </w:rPr>
      </w:pPr>
      <w:r w:rsidRPr="000201D5">
        <w:rPr>
          <w:rFonts w:ascii="Arial" w:eastAsia="Times New Roman" w:hAnsi="Arial" w:cs="Arial"/>
          <w:b/>
          <w:bCs/>
          <w:u w:val="single"/>
          <w:lang w:eastAsia="en-GB"/>
        </w:rPr>
        <w:t>End Note</w:t>
      </w:r>
      <w:r w:rsidR="000201D5" w:rsidRPr="000201D5">
        <w:rPr>
          <w:rFonts w:ascii="Arial" w:eastAsia="Times New Roman" w:hAnsi="Arial" w:cs="Arial"/>
          <w:lang w:eastAsia="en-GB"/>
        </w:rPr>
        <w:t>---------------------------------------------------------------------------------------------------------13</w:t>
      </w:r>
    </w:p>
    <w:p w14:paraId="125773AD" w14:textId="5D532EA5" w:rsidR="00E76C2C" w:rsidRPr="000201D5" w:rsidRDefault="00E76C2C" w:rsidP="000201D5">
      <w:pPr>
        <w:spacing w:line="240" w:lineRule="auto"/>
        <w:rPr>
          <w:rFonts w:ascii="Arial" w:eastAsia="Times New Roman" w:hAnsi="Arial" w:cs="Arial"/>
          <w:lang w:eastAsia="en-GB"/>
        </w:rPr>
      </w:pPr>
      <w:r w:rsidRPr="000201D5">
        <w:rPr>
          <w:rFonts w:ascii="Arial" w:eastAsia="Times New Roman" w:hAnsi="Arial" w:cs="Arial"/>
          <w:b/>
          <w:bCs/>
          <w:u w:val="single"/>
          <w:lang w:eastAsia="en-GB"/>
        </w:rPr>
        <w:t>References</w:t>
      </w:r>
      <w:r w:rsidRPr="000201D5">
        <w:rPr>
          <w:rFonts w:ascii="Arial" w:eastAsia="Times New Roman" w:hAnsi="Arial" w:cs="Arial"/>
          <w:lang w:eastAsia="en-GB"/>
        </w:rPr>
        <w:t>---</w:t>
      </w:r>
      <w:r w:rsidR="000201D5" w:rsidRPr="000201D5">
        <w:rPr>
          <w:rFonts w:ascii="Arial" w:eastAsia="Times New Roman" w:hAnsi="Arial" w:cs="Arial"/>
          <w:lang w:eastAsia="en-GB"/>
        </w:rPr>
        <w:t>------------------------</w:t>
      </w:r>
      <w:r w:rsidRPr="000201D5">
        <w:rPr>
          <w:rFonts w:ascii="Arial" w:eastAsia="Times New Roman" w:hAnsi="Arial" w:cs="Arial"/>
          <w:lang w:eastAsia="en-GB"/>
        </w:rPr>
        <w:t>---------------------------------------------------------------------------1</w:t>
      </w:r>
      <w:r w:rsidR="000201D5" w:rsidRPr="000201D5">
        <w:rPr>
          <w:rFonts w:ascii="Arial" w:eastAsia="Times New Roman" w:hAnsi="Arial" w:cs="Arial"/>
          <w:lang w:eastAsia="en-GB"/>
        </w:rPr>
        <w:t>4</w:t>
      </w:r>
    </w:p>
    <w:p w14:paraId="3B8227E7" w14:textId="3266A4F1" w:rsidR="00E310CD" w:rsidRPr="00A26F71" w:rsidRDefault="00E76C2C" w:rsidP="00E76C2C">
      <w:pPr>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br w:type="page"/>
      </w:r>
      <w:r w:rsidR="00E310CD" w:rsidRPr="00A26F71">
        <w:rPr>
          <w:rFonts w:ascii="Arial" w:eastAsia="Times New Roman" w:hAnsi="Arial" w:cs="Arial"/>
          <w:b/>
          <w:bCs/>
          <w:sz w:val="24"/>
          <w:szCs w:val="24"/>
          <w:u w:val="single"/>
          <w:lang w:eastAsia="en-GB"/>
        </w:rPr>
        <w:lastRenderedPageBreak/>
        <w:t>Introduction</w:t>
      </w:r>
    </w:p>
    <w:p w14:paraId="6C913464" w14:textId="034FBA45" w:rsidR="001E2B98" w:rsidRDefault="001E2B98" w:rsidP="001E2B98">
      <w:pPr>
        <w:spacing w:line="360" w:lineRule="auto"/>
        <w:jc w:val="both"/>
        <w:rPr>
          <w:rFonts w:ascii="Arial" w:hAnsi="Arial" w:cs="Arial"/>
          <w:lang w:val="en-GB"/>
        </w:rPr>
      </w:pPr>
      <w:r w:rsidRPr="001E2B98">
        <w:rPr>
          <w:rFonts w:ascii="Arial" w:hAnsi="Arial" w:cs="Arial"/>
          <w:lang w:val="en-GB"/>
        </w:rPr>
        <w:t>The term "telehealth" describes the provision of medical treatment using digital and communication tools, including online platforms, video consultations, remote monitoring, and phone consultations. After fast digital development during and after the COVID-19 pandemic, telehealth has emerged as a key aspect of healthcare delivery in the</w:t>
      </w:r>
      <w:r w:rsidR="00C10480">
        <w:rPr>
          <w:rFonts w:ascii="Arial" w:hAnsi="Arial" w:cs="Arial"/>
          <w:lang w:val="en-GB"/>
        </w:rPr>
        <w:t xml:space="preserve"> </w:t>
      </w:r>
      <w:r w:rsidRPr="001E2B98">
        <w:rPr>
          <w:rFonts w:ascii="Arial" w:hAnsi="Arial" w:cs="Arial"/>
          <w:lang w:val="en-GB"/>
        </w:rPr>
        <w:t>UK, especially within the National Health Service</w:t>
      </w:r>
      <w:r w:rsidR="00C10480">
        <w:rPr>
          <w:rFonts w:ascii="Arial" w:hAnsi="Arial" w:cs="Arial"/>
          <w:lang w:val="en-GB"/>
        </w:rPr>
        <w:t xml:space="preserve"> </w:t>
      </w:r>
      <w:r w:rsidRPr="001E2B98">
        <w:rPr>
          <w:rFonts w:ascii="Arial" w:hAnsi="Arial" w:cs="Arial"/>
          <w:lang w:val="en-GB"/>
        </w:rPr>
        <w:t xml:space="preserve">(Greenhalgh et al., 2020). </w:t>
      </w:r>
      <w:r w:rsidR="0087385B" w:rsidRPr="0087385B">
        <w:rPr>
          <w:rFonts w:ascii="Arial" w:hAnsi="Arial" w:cs="Arial"/>
          <w:lang w:val="en-GB"/>
        </w:rPr>
        <w:t>Remote consultations, virtual treatment pathways, and digital monitoring have all been promoted as solutions to improve the healthcare industry's preparedness and effectiveness</w:t>
      </w:r>
      <w:r w:rsidR="00C10480" w:rsidRPr="00FA5368">
        <w:rPr>
          <w:rFonts w:ascii="Arial" w:hAnsi="Arial" w:cs="Arial"/>
          <w:lang w:val="en-GB"/>
        </w:rPr>
        <w:t>(Torjesen, 2022)</w:t>
      </w:r>
      <w:r w:rsidR="00C10480">
        <w:rPr>
          <w:rFonts w:ascii="Arial" w:hAnsi="Arial" w:cs="Arial"/>
          <w:lang w:val="en-GB"/>
        </w:rPr>
        <w:t>.</w:t>
      </w:r>
      <w:r w:rsidRPr="001E2B98">
        <w:rPr>
          <w:rFonts w:ascii="Arial" w:hAnsi="Arial" w:cs="Arial"/>
          <w:lang w:val="en-GB"/>
        </w:rPr>
        <w:t>Despite the NHS's fundamental tenets of healthcare justice and access, notable inequalities still exist among population groups according to socioeconomic position, location, age, disability, and ethnicity (Marmot et al., 2010).</w:t>
      </w:r>
    </w:p>
    <w:p w14:paraId="59FBE1DD" w14:textId="1B03153B" w:rsidR="0087385B" w:rsidRPr="0087385B" w:rsidRDefault="0087385B" w:rsidP="0087385B">
      <w:pPr>
        <w:spacing w:line="360" w:lineRule="auto"/>
        <w:jc w:val="both"/>
        <w:rPr>
          <w:rFonts w:ascii="Arial" w:hAnsi="Arial" w:cs="Arial"/>
          <w:lang w:val="en-GB"/>
        </w:rPr>
      </w:pPr>
      <w:r w:rsidRPr="0087385B">
        <w:rPr>
          <w:rFonts w:ascii="Arial" w:hAnsi="Arial" w:cs="Arial"/>
          <w:lang w:val="en-GB"/>
        </w:rPr>
        <w:t>Concerns regarding digital marginalisation, waiting times, faraway connections, and the potential to worsen already-existing health inequities have been raised, even if telehealth has the potential to reduce these issues</w:t>
      </w:r>
      <w:r>
        <w:rPr>
          <w:rFonts w:ascii="Arial" w:hAnsi="Arial" w:cs="Arial"/>
          <w:lang w:val="en-GB"/>
        </w:rPr>
        <w:t xml:space="preserve"> </w:t>
      </w:r>
      <w:r w:rsidRPr="00CC2284">
        <w:rPr>
          <w:rFonts w:ascii="Arial" w:hAnsi="Arial" w:cs="Arial"/>
          <w:lang w:val="en-GB"/>
        </w:rPr>
        <w:t>(Hutchings and Morris, 2022).</w:t>
      </w:r>
    </w:p>
    <w:p w14:paraId="7E877411" w14:textId="77777777" w:rsidR="00C10480" w:rsidRPr="00A26F71" w:rsidRDefault="00C10480" w:rsidP="00E310CD">
      <w:pPr>
        <w:spacing w:line="360" w:lineRule="auto"/>
        <w:jc w:val="both"/>
        <w:rPr>
          <w:rFonts w:ascii="Arial" w:hAnsi="Arial" w:cs="Arial"/>
          <w:u w:val="single"/>
        </w:rPr>
      </w:pPr>
      <w:r w:rsidRPr="00A26F71">
        <w:rPr>
          <w:rFonts w:ascii="Arial" w:hAnsi="Arial" w:cs="Arial"/>
          <w:b/>
          <w:bCs/>
          <w:sz w:val="24"/>
          <w:szCs w:val="24"/>
          <w:u w:val="single"/>
        </w:rPr>
        <w:t>Rationale</w:t>
      </w:r>
      <w:r w:rsidRPr="00A26F71">
        <w:rPr>
          <w:rFonts w:ascii="Arial" w:hAnsi="Arial" w:cs="Arial"/>
          <w:u w:val="single"/>
        </w:rPr>
        <w:t xml:space="preserve"> </w:t>
      </w:r>
    </w:p>
    <w:p w14:paraId="4843CBF3" w14:textId="69B8366E" w:rsidR="00124AC1" w:rsidRPr="00C10480" w:rsidRDefault="00C10480" w:rsidP="00C10480">
      <w:pPr>
        <w:spacing w:line="360" w:lineRule="auto"/>
        <w:jc w:val="both"/>
        <w:rPr>
          <w:rFonts w:ascii="Arial" w:hAnsi="Arial" w:cs="Arial"/>
          <w:lang w:val="en-GB"/>
        </w:rPr>
      </w:pPr>
      <w:r w:rsidRPr="00C10480">
        <w:rPr>
          <w:rFonts w:ascii="Arial" w:hAnsi="Arial" w:cs="Arial"/>
          <w:lang w:val="en-GB"/>
        </w:rPr>
        <w:t>This scoping review's justification stems from the increasing use of telehealth as a tool to increase access to treatment as well as worries that digital healthcare might inadvertently exacerbate already-existing health disparities. Telehealth can help those who are facing digital exclusion, such as low-income households and elderly persons, by lowering obstacles including travel time and appointment availability</w:t>
      </w:r>
      <w:r w:rsidR="00053670">
        <w:rPr>
          <w:rFonts w:ascii="Arial" w:hAnsi="Arial" w:cs="Arial"/>
          <w:lang w:val="en-GB"/>
        </w:rPr>
        <w:t xml:space="preserve"> </w:t>
      </w:r>
      <w:r w:rsidR="00053670" w:rsidRPr="00053670">
        <w:rPr>
          <w:rFonts w:ascii="Arial" w:hAnsi="Arial" w:cs="Arial"/>
          <w:lang w:val="en-GB"/>
        </w:rPr>
        <w:t>(Age UK, 2019)</w:t>
      </w:r>
      <w:r w:rsidR="00B221C2">
        <w:rPr>
          <w:rFonts w:ascii="Arial" w:hAnsi="Arial" w:cs="Arial"/>
          <w:lang w:val="en-GB"/>
        </w:rPr>
        <w:t>.</w:t>
      </w:r>
    </w:p>
    <w:p w14:paraId="0D8F62A3" w14:textId="2499ABDB" w:rsidR="00374206" w:rsidRPr="0087385B" w:rsidRDefault="00C10480" w:rsidP="00374206">
      <w:pPr>
        <w:spacing w:line="360" w:lineRule="auto"/>
        <w:jc w:val="both"/>
        <w:rPr>
          <w:rFonts w:ascii="Arial" w:hAnsi="Arial" w:cs="Arial"/>
          <w:lang w:val="en-GB"/>
        </w:rPr>
      </w:pPr>
      <w:r>
        <w:rPr>
          <w:rFonts w:ascii="Arial" w:hAnsi="Arial" w:cs="Arial"/>
          <w:lang w:val="en-GB"/>
        </w:rPr>
        <w:t xml:space="preserve"> </w:t>
      </w:r>
      <w:r w:rsidR="00124AC1" w:rsidRPr="008865B4">
        <w:rPr>
          <w:rFonts w:ascii="Arial" w:hAnsi="Arial" w:cs="Arial"/>
          <w:b/>
          <w:bCs/>
          <w:sz w:val="24"/>
          <w:szCs w:val="24"/>
          <w:u w:val="single"/>
        </w:rPr>
        <w:t>Aim and Objectives</w:t>
      </w:r>
    </w:p>
    <w:p w14:paraId="653F6C8C" w14:textId="18AC7BF6" w:rsidR="00374206" w:rsidRDefault="00741011" w:rsidP="00374206">
      <w:pPr>
        <w:spacing w:line="360" w:lineRule="auto"/>
        <w:jc w:val="both"/>
        <w:rPr>
          <w:rFonts w:ascii="Arial" w:hAnsi="Arial" w:cs="Arial"/>
          <w:lang w:val="en-GB"/>
        </w:rPr>
      </w:pPr>
      <w:r>
        <w:rPr>
          <w:rFonts w:ascii="Arial" w:hAnsi="Arial" w:cs="Arial"/>
          <w:lang w:val="en-GB"/>
        </w:rPr>
        <w:t>T</w:t>
      </w:r>
      <w:r w:rsidR="00374206" w:rsidRPr="00374206">
        <w:rPr>
          <w:rFonts w:ascii="Arial" w:hAnsi="Arial" w:cs="Arial"/>
          <w:lang w:val="en-GB"/>
        </w:rPr>
        <w:t>o use</w:t>
      </w:r>
      <w:r w:rsidR="00374206">
        <w:rPr>
          <w:rFonts w:ascii="Arial" w:hAnsi="Arial" w:cs="Arial"/>
          <w:lang w:val="en-GB"/>
        </w:rPr>
        <w:t xml:space="preserve"> a significant </w:t>
      </w:r>
      <w:r w:rsidR="00374206" w:rsidRPr="00374206">
        <w:rPr>
          <w:rFonts w:ascii="Arial" w:hAnsi="Arial" w:cs="Arial"/>
          <w:lang w:val="en-GB"/>
        </w:rPr>
        <w:t xml:space="preserve">methodology to </w:t>
      </w:r>
      <w:r w:rsidR="00374206">
        <w:rPr>
          <w:rFonts w:ascii="Arial" w:hAnsi="Arial" w:cs="Arial"/>
          <w:lang w:val="en-GB"/>
        </w:rPr>
        <w:t xml:space="preserve">give a quick review about the future </w:t>
      </w:r>
      <w:r w:rsidR="00374206" w:rsidRPr="00374206">
        <w:rPr>
          <w:rFonts w:ascii="Arial" w:hAnsi="Arial" w:cs="Arial"/>
          <w:lang w:val="en-GB"/>
        </w:rPr>
        <w:t>research on telehealth's role in addressing healthcare equity and access in the UK</w:t>
      </w:r>
      <w:r w:rsidR="00A228CC">
        <w:rPr>
          <w:rFonts w:ascii="Arial" w:hAnsi="Arial" w:cs="Arial"/>
          <w:lang w:val="en-GB"/>
        </w:rPr>
        <w:t xml:space="preserve"> which focuses on:  </w:t>
      </w:r>
      <w:r w:rsidR="00374206">
        <w:rPr>
          <w:rFonts w:ascii="Arial" w:hAnsi="Arial" w:cs="Arial"/>
          <w:lang w:val="en-GB"/>
        </w:rPr>
        <w:t xml:space="preserve"> </w:t>
      </w:r>
    </w:p>
    <w:p w14:paraId="10B6F265" w14:textId="49EA9901" w:rsidR="00374206" w:rsidRPr="00A228CC" w:rsidRDefault="00374206" w:rsidP="00A228CC">
      <w:pPr>
        <w:pStyle w:val="ListParagraph"/>
        <w:numPr>
          <w:ilvl w:val="0"/>
          <w:numId w:val="95"/>
        </w:numPr>
        <w:spacing w:line="360" w:lineRule="auto"/>
        <w:jc w:val="both"/>
        <w:rPr>
          <w:rFonts w:ascii="Arial" w:hAnsi="Arial" w:cs="Arial"/>
          <w:lang w:val="en-GB"/>
        </w:rPr>
      </w:pPr>
      <w:r w:rsidRPr="00374206">
        <w:rPr>
          <w:rFonts w:ascii="Arial" w:hAnsi="Arial" w:cs="Arial"/>
          <w:lang w:val="en-GB"/>
        </w:rPr>
        <w:t>To classify and identify</w:t>
      </w:r>
      <w:r w:rsidR="00B66CAE">
        <w:rPr>
          <w:rFonts w:ascii="Arial" w:hAnsi="Arial" w:cs="Arial"/>
          <w:lang w:val="en-GB"/>
        </w:rPr>
        <w:t xml:space="preserve"> </w:t>
      </w:r>
      <w:r w:rsidRPr="00374206">
        <w:rPr>
          <w:rFonts w:ascii="Arial" w:hAnsi="Arial" w:cs="Arial"/>
          <w:lang w:val="en-GB"/>
        </w:rPr>
        <w:t>topics in the UK literature on healthcare equity</w:t>
      </w:r>
      <w:r w:rsidR="00A228CC">
        <w:rPr>
          <w:rFonts w:ascii="Arial" w:hAnsi="Arial" w:cs="Arial"/>
          <w:lang w:val="en-GB"/>
        </w:rPr>
        <w:t xml:space="preserve">, </w:t>
      </w:r>
      <w:r w:rsidRPr="00374206">
        <w:rPr>
          <w:rFonts w:ascii="Arial" w:hAnsi="Arial" w:cs="Arial"/>
          <w:lang w:val="en-GB"/>
        </w:rPr>
        <w:t xml:space="preserve">access </w:t>
      </w:r>
      <w:r w:rsidR="00A228CC">
        <w:rPr>
          <w:rFonts w:ascii="Arial" w:hAnsi="Arial" w:cs="Arial"/>
          <w:lang w:val="en-GB"/>
        </w:rPr>
        <w:t>and</w:t>
      </w:r>
      <w:r w:rsidRPr="00374206">
        <w:rPr>
          <w:rFonts w:ascii="Arial" w:hAnsi="Arial" w:cs="Arial"/>
          <w:lang w:val="en-GB"/>
        </w:rPr>
        <w:t xml:space="preserve"> telehealth</w:t>
      </w:r>
      <w:r w:rsidR="00A228CC">
        <w:rPr>
          <w:rFonts w:ascii="Arial" w:hAnsi="Arial" w:cs="Arial"/>
          <w:lang w:val="en-GB"/>
        </w:rPr>
        <w:t xml:space="preserve"> by finding the gaps</w:t>
      </w:r>
      <w:r w:rsidRPr="00374206">
        <w:rPr>
          <w:rFonts w:ascii="Arial" w:hAnsi="Arial" w:cs="Arial"/>
          <w:lang w:val="en-GB"/>
        </w:rPr>
        <w:t xml:space="preserve">. </w:t>
      </w:r>
    </w:p>
    <w:p w14:paraId="6A48E0C0" w14:textId="20ADA5B7" w:rsidR="00374206" w:rsidRPr="00305E17" w:rsidRDefault="00374206" w:rsidP="00374206">
      <w:pPr>
        <w:pStyle w:val="ListParagraph"/>
        <w:numPr>
          <w:ilvl w:val="0"/>
          <w:numId w:val="95"/>
        </w:numPr>
        <w:spacing w:line="360" w:lineRule="auto"/>
        <w:jc w:val="both"/>
        <w:rPr>
          <w:rFonts w:ascii="Arial" w:hAnsi="Arial" w:cs="Arial"/>
          <w:sz w:val="24"/>
          <w:szCs w:val="24"/>
          <w:lang w:val="en-GB"/>
        </w:rPr>
      </w:pPr>
      <w:r w:rsidRPr="00374206">
        <w:rPr>
          <w:rFonts w:ascii="Arial" w:hAnsi="Arial" w:cs="Arial"/>
          <w:lang w:val="en-GB"/>
        </w:rPr>
        <w:t>To provide light on real-world telehealth uses in UK (NHS).</w:t>
      </w:r>
    </w:p>
    <w:p w14:paraId="7A4FA82F" w14:textId="314A6792" w:rsidR="00305E17" w:rsidRPr="001F09FC" w:rsidRDefault="00305E17" w:rsidP="00374206">
      <w:pPr>
        <w:pStyle w:val="ListParagraph"/>
        <w:numPr>
          <w:ilvl w:val="0"/>
          <w:numId w:val="95"/>
        </w:numPr>
        <w:spacing w:line="360" w:lineRule="auto"/>
        <w:jc w:val="both"/>
        <w:rPr>
          <w:rFonts w:ascii="Arial" w:hAnsi="Arial" w:cs="Arial"/>
          <w:sz w:val="24"/>
          <w:szCs w:val="24"/>
          <w:lang w:val="en-GB"/>
        </w:rPr>
      </w:pPr>
      <w:r w:rsidRPr="001F09FC">
        <w:rPr>
          <w:rFonts w:ascii="Arial" w:hAnsi="Arial" w:cs="Arial"/>
        </w:rPr>
        <w:t xml:space="preserve">To identify and analyze </w:t>
      </w:r>
      <w:r w:rsidR="001F09FC" w:rsidRPr="001F09FC">
        <w:rPr>
          <w:rFonts w:ascii="Arial" w:hAnsi="Arial" w:cs="Arial"/>
        </w:rPr>
        <w:t xml:space="preserve">core subject by </w:t>
      </w:r>
      <w:r w:rsidRPr="001F09FC">
        <w:rPr>
          <w:rFonts w:ascii="Arial" w:hAnsi="Arial" w:cs="Arial"/>
        </w:rPr>
        <w:t xml:space="preserve"> using </w:t>
      </w:r>
      <w:r w:rsidRPr="001F09FC">
        <w:rPr>
          <w:rFonts w:ascii="Arial" w:hAnsi="Arial" w:cs="Arial"/>
          <w:lang w:val="en-GB"/>
        </w:rPr>
        <w:t xml:space="preserve">Aveyard's (2021) simple </w:t>
      </w:r>
      <w:r w:rsidR="001F09FC" w:rsidRPr="001F09FC">
        <w:rPr>
          <w:rFonts w:ascii="Arial" w:hAnsi="Arial" w:cs="Arial"/>
          <w:lang w:val="en-GB"/>
        </w:rPr>
        <w:t>thematic</w:t>
      </w:r>
      <w:r w:rsidRPr="001F09FC">
        <w:rPr>
          <w:rFonts w:ascii="Arial" w:hAnsi="Arial" w:cs="Arial"/>
          <w:lang w:val="en-GB"/>
        </w:rPr>
        <w:t xml:space="preserve"> analysis</w:t>
      </w:r>
      <w:r w:rsidR="001F09FC" w:rsidRPr="001F09FC">
        <w:rPr>
          <w:rFonts w:ascii="Arial" w:hAnsi="Arial" w:cs="Arial"/>
          <w:lang w:val="en-GB"/>
        </w:rPr>
        <w:t>.</w:t>
      </w:r>
    </w:p>
    <w:p w14:paraId="0F564007" w14:textId="77777777" w:rsidR="006D0F44" w:rsidRPr="006D0F44" w:rsidRDefault="00374206" w:rsidP="00FA5368">
      <w:pPr>
        <w:pStyle w:val="ListParagraph"/>
        <w:numPr>
          <w:ilvl w:val="0"/>
          <w:numId w:val="95"/>
        </w:numPr>
        <w:spacing w:line="360" w:lineRule="auto"/>
        <w:jc w:val="both"/>
        <w:rPr>
          <w:rFonts w:ascii="Arial" w:hAnsi="Arial" w:cs="Arial"/>
          <w:sz w:val="24"/>
          <w:szCs w:val="24"/>
          <w:lang w:val="en-GB"/>
        </w:rPr>
      </w:pPr>
      <w:r>
        <w:rPr>
          <w:rFonts w:ascii="Arial" w:hAnsi="Arial" w:cs="Arial"/>
          <w:lang w:val="en-GB"/>
        </w:rPr>
        <w:t>To identify that how telehealth helps in maintaining equity and void off the disparities.</w:t>
      </w:r>
    </w:p>
    <w:p w14:paraId="617271B4" w14:textId="74201F1B" w:rsidR="00A428AE" w:rsidRPr="006D0F44" w:rsidRDefault="00124AC1" w:rsidP="006D0F44">
      <w:pPr>
        <w:spacing w:line="360" w:lineRule="auto"/>
        <w:jc w:val="both"/>
        <w:rPr>
          <w:rFonts w:ascii="Arial" w:hAnsi="Arial" w:cs="Arial"/>
          <w:sz w:val="24"/>
          <w:szCs w:val="24"/>
          <w:lang w:val="en-GB"/>
        </w:rPr>
      </w:pPr>
      <w:r w:rsidRPr="006D0F44">
        <w:rPr>
          <w:rFonts w:ascii="Arial" w:hAnsi="Arial" w:cs="Arial"/>
          <w:b/>
          <w:bCs/>
          <w:sz w:val="24"/>
          <w:szCs w:val="24"/>
          <w:u w:val="single"/>
        </w:rPr>
        <w:t>Re</w:t>
      </w:r>
      <w:r w:rsidR="00305E17" w:rsidRPr="006D0F44">
        <w:rPr>
          <w:rFonts w:ascii="Arial" w:hAnsi="Arial" w:cs="Arial"/>
          <w:b/>
          <w:bCs/>
          <w:sz w:val="24"/>
          <w:szCs w:val="24"/>
          <w:u w:val="single"/>
        </w:rPr>
        <w:t>view</w:t>
      </w:r>
      <w:r w:rsidRPr="006D0F44">
        <w:rPr>
          <w:rFonts w:ascii="Arial" w:hAnsi="Arial" w:cs="Arial"/>
          <w:b/>
          <w:bCs/>
          <w:sz w:val="24"/>
          <w:szCs w:val="24"/>
          <w:u w:val="single"/>
        </w:rPr>
        <w:t xml:space="preserve"> Question</w:t>
      </w:r>
    </w:p>
    <w:p w14:paraId="13A22869" w14:textId="7B4FB959" w:rsidR="00B26E3C" w:rsidRPr="00A428AE" w:rsidRDefault="00B26E3C" w:rsidP="00FA5368">
      <w:pPr>
        <w:spacing w:line="360" w:lineRule="auto"/>
        <w:jc w:val="both"/>
        <w:rPr>
          <w:rFonts w:ascii="Arial" w:hAnsi="Arial" w:cs="Arial"/>
          <w:sz w:val="24"/>
          <w:szCs w:val="24"/>
          <w:u w:val="single"/>
        </w:rPr>
      </w:pPr>
      <w:r w:rsidRPr="00A428AE">
        <w:rPr>
          <w:rFonts w:ascii="Arial" w:hAnsi="Arial" w:cs="Arial"/>
          <w:lang w:val="en-GB"/>
        </w:rPr>
        <w:t xml:space="preserve">What </w:t>
      </w:r>
      <w:r w:rsidR="00A428AE">
        <w:rPr>
          <w:rFonts w:ascii="Arial" w:hAnsi="Arial" w:cs="Arial"/>
          <w:lang w:val="en-GB"/>
        </w:rPr>
        <w:t xml:space="preserve">is the essence </w:t>
      </w:r>
      <w:r w:rsidRPr="00A428AE">
        <w:rPr>
          <w:rFonts w:ascii="Arial" w:hAnsi="Arial" w:cs="Arial"/>
          <w:lang w:val="en-GB"/>
        </w:rPr>
        <w:t>of telehealth in addressing healthcare access and equity in the UK as identified by existing peer-reviewed and grey literature</w:t>
      </w:r>
      <w:r w:rsidR="00A428AE">
        <w:rPr>
          <w:rFonts w:ascii="Arial" w:hAnsi="Arial" w:cs="Arial"/>
          <w:lang w:val="en-GB"/>
        </w:rPr>
        <w:t xml:space="preserve"> regarding the NHS</w:t>
      </w:r>
      <w:r w:rsidRPr="00A428AE">
        <w:rPr>
          <w:rFonts w:ascii="Arial" w:hAnsi="Arial" w:cs="Arial"/>
          <w:lang w:val="en-GB"/>
        </w:rPr>
        <w:t>?</w:t>
      </w:r>
    </w:p>
    <w:p w14:paraId="6A893FF8" w14:textId="4BDF7E20" w:rsidR="00A26F71" w:rsidRPr="00A26F71" w:rsidRDefault="00A26F71" w:rsidP="00A26F71">
      <w:pPr>
        <w:spacing w:line="360" w:lineRule="auto"/>
        <w:jc w:val="both"/>
        <w:rPr>
          <w:rFonts w:ascii="Arial" w:hAnsi="Arial" w:cs="Arial"/>
          <w:b/>
          <w:bCs/>
          <w:sz w:val="24"/>
          <w:szCs w:val="24"/>
          <w:lang w:val="en-GB"/>
        </w:rPr>
      </w:pPr>
      <w:r>
        <w:rPr>
          <w:rFonts w:ascii="Arial" w:hAnsi="Arial" w:cs="Arial"/>
          <w:b/>
          <w:bCs/>
          <w:sz w:val="24"/>
          <w:szCs w:val="24"/>
          <w:u w:val="single"/>
        </w:rPr>
        <w:lastRenderedPageBreak/>
        <w:t>Background</w:t>
      </w:r>
    </w:p>
    <w:p w14:paraId="1DA29217" w14:textId="0FEAED29" w:rsidR="00AE751F" w:rsidRPr="00AE751F" w:rsidRDefault="009F726F" w:rsidP="00AE751F">
      <w:pPr>
        <w:spacing w:line="360" w:lineRule="auto"/>
        <w:jc w:val="both"/>
        <w:rPr>
          <w:rFonts w:ascii="Arial" w:hAnsi="Arial" w:cs="Arial"/>
          <w:lang w:val="en-GB"/>
        </w:rPr>
      </w:pPr>
      <w:r>
        <w:rPr>
          <w:rFonts w:ascii="Arial" w:hAnsi="Arial" w:cs="Arial"/>
          <w:lang w:val="en-GB"/>
        </w:rPr>
        <w:t xml:space="preserve">Professor </w:t>
      </w:r>
      <w:r w:rsidR="00AE751F">
        <w:rPr>
          <w:rFonts w:ascii="Arial" w:hAnsi="Arial" w:cs="Arial"/>
          <w:lang w:val="en-GB"/>
        </w:rPr>
        <w:t>Marmot</w:t>
      </w:r>
      <w:r>
        <w:rPr>
          <w:rFonts w:ascii="Arial" w:hAnsi="Arial" w:cs="Arial"/>
          <w:lang w:val="en-GB"/>
        </w:rPr>
        <w:t xml:space="preserve"> 10 Years Review on health equity</w:t>
      </w:r>
      <w:r w:rsidR="00AE751F">
        <w:rPr>
          <w:rFonts w:ascii="Arial" w:hAnsi="Arial" w:cs="Arial"/>
          <w:lang w:val="en-GB"/>
        </w:rPr>
        <w:t xml:space="preserve"> </w:t>
      </w:r>
      <w:r>
        <w:rPr>
          <w:rFonts w:ascii="Arial" w:hAnsi="Arial" w:cs="Arial"/>
          <w:lang w:val="en-GB"/>
        </w:rPr>
        <w:t>explained</w:t>
      </w:r>
      <w:r w:rsidR="00AE751F">
        <w:rPr>
          <w:rFonts w:ascii="Arial" w:hAnsi="Arial" w:cs="Arial"/>
          <w:lang w:val="en-GB"/>
        </w:rPr>
        <w:t xml:space="preserve"> that i</w:t>
      </w:r>
      <w:r w:rsidR="00AE751F" w:rsidRPr="00AE751F">
        <w:rPr>
          <w:rFonts w:ascii="Arial" w:hAnsi="Arial" w:cs="Arial"/>
          <w:lang w:val="en-GB"/>
        </w:rPr>
        <w:t>n the UK, telehealth has grown in importance</w:t>
      </w:r>
      <w:r w:rsidR="00AE751F">
        <w:rPr>
          <w:rFonts w:ascii="Arial" w:hAnsi="Arial" w:cs="Arial"/>
          <w:lang w:val="en-GB"/>
        </w:rPr>
        <w:t xml:space="preserve"> significantly </w:t>
      </w:r>
      <w:r w:rsidR="00AE751F" w:rsidRPr="00AE751F">
        <w:rPr>
          <w:rFonts w:ascii="Arial" w:hAnsi="Arial" w:cs="Arial"/>
          <w:lang w:val="en-GB"/>
        </w:rPr>
        <w:t xml:space="preserve">as a </w:t>
      </w:r>
      <w:r w:rsidR="00AE751F">
        <w:rPr>
          <w:rFonts w:ascii="Arial" w:hAnsi="Arial" w:cs="Arial"/>
          <w:lang w:val="en-GB"/>
        </w:rPr>
        <w:t xml:space="preserve">core </w:t>
      </w:r>
      <w:r w:rsidR="00AE751F" w:rsidRPr="00AE751F">
        <w:rPr>
          <w:rFonts w:ascii="Arial" w:hAnsi="Arial" w:cs="Arial"/>
          <w:lang w:val="en-GB"/>
        </w:rPr>
        <w:t xml:space="preserve">part of healthcare delivery, especially in response to demands on service, labour capacity, and access. Even though the </w:t>
      </w:r>
      <w:r w:rsidR="00AE751F">
        <w:rPr>
          <w:rFonts w:ascii="Arial" w:hAnsi="Arial" w:cs="Arial"/>
          <w:lang w:val="en-GB"/>
        </w:rPr>
        <w:t xml:space="preserve">NHS </w:t>
      </w:r>
      <w:r w:rsidR="00AE751F" w:rsidRPr="00AE751F">
        <w:rPr>
          <w:rFonts w:ascii="Arial" w:hAnsi="Arial" w:cs="Arial"/>
          <w:lang w:val="en-GB"/>
        </w:rPr>
        <w:t xml:space="preserve">is universal, peer-reviewed research shows that healthcare equality and access continue to be major obstacles. Healthcare utilisation and results are still influenced by socioeconomic </w:t>
      </w:r>
      <w:r w:rsidR="00AE751F">
        <w:rPr>
          <w:rFonts w:ascii="Arial" w:hAnsi="Arial" w:cs="Arial"/>
          <w:lang w:val="en-GB"/>
        </w:rPr>
        <w:t>disparities</w:t>
      </w:r>
      <w:r>
        <w:rPr>
          <w:rFonts w:ascii="Arial" w:hAnsi="Arial" w:cs="Arial"/>
          <w:lang w:val="en-GB"/>
        </w:rPr>
        <w:t xml:space="preserve"> </w:t>
      </w:r>
      <w:r w:rsidRPr="009F726F">
        <w:rPr>
          <w:rFonts w:ascii="Arial" w:hAnsi="Arial" w:cs="Arial"/>
          <w:lang w:val="en-GB"/>
        </w:rPr>
        <w:t>(The Health Foundation, 2023)</w:t>
      </w:r>
      <w:r w:rsidR="00AE751F">
        <w:rPr>
          <w:rFonts w:ascii="Arial" w:hAnsi="Arial" w:cs="Arial"/>
          <w:lang w:val="en-GB"/>
        </w:rPr>
        <w:t>.</w:t>
      </w:r>
    </w:p>
    <w:p w14:paraId="20723B96" w14:textId="53B9032A" w:rsidR="00AE751F" w:rsidRPr="00AE751F" w:rsidRDefault="00AE751F" w:rsidP="00AE751F">
      <w:pPr>
        <w:spacing w:line="360" w:lineRule="auto"/>
        <w:jc w:val="both"/>
        <w:rPr>
          <w:rFonts w:ascii="Arial" w:hAnsi="Arial" w:cs="Arial"/>
          <w:lang w:val="en-GB"/>
        </w:rPr>
      </w:pPr>
      <w:r w:rsidRPr="00AE751F">
        <w:rPr>
          <w:rFonts w:ascii="Arial" w:hAnsi="Arial" w:cs="Arial"/>
          <w:lang w:val="en-GB"/>
        </w:rPr>
        <w:t xml:space="preserve">According to scholarly research, telehealth and other digital health interventions are commonly marketed as ways to overcome access barriers by lowering travel requirements, increasing appointment flexibility, and assisting with the management of chronic illnesses (Donaghy et al., 2019; Salisbury et al., 2020). </w:t>
      </w:r>
      <w:r w:rsidR="00EA49DE">
        <w:rPr>
          <w:rFonts w:ascii="Arial" w:hAnsi="Arial" w:cs="Arial"/>
          <w:lang w:val="en-GB"/>
        </w:rPr>
        <w:t>Greenhalgh and his fellows (2020) explained that t</w:t>
      </w:r>
      <w:r w:rsidRPr="00AE751F">
        <w:rPr>
          <w:rFonts w:ascii="Arial" w:hAnsi="Arial" w:cs="Arial"/>
          <w:lang w:val="en-GB"/>
        </w:rPr>
        <w:t>elehealth has been quickly incorporated into normal practice, especially for initial consultations and follow-up treatment, according to studies done in primary care settings in the UK</w:t>
      </w:r>
      <w:r w:rsidR="00EA49DE">
        <w:rPr>
          <w:rFonts w:ascii="Arial" w:hAnsi="Arial" w:cs="Arial"/>
          <w:lang w:val="en-GB"/>
        </w:rPr>
        <w:t xml:space="preserve">. </w:t>
      </w:r>
      <w:r w:rsidRPr="00AE751F">
        <w:rPr>
          <w:rFonts w:ascii="Arial" w:hAnsi="Arial" w:cs="Arial"/>
          <w:lang w:val="en-GB"/>
        </w:rPr>
        <w:t>In order to overcome these gaps, national initiatives are placing a greater focus on prevention, integration,</w:t>
      </w:r>
      <w:r w:rsidR="00EA49DE">
        <w:rPr>
          <w:rFonts w:ascii="Arial" w:hAnsi="Arial" w:cs="Arial"/>
          <w:lang w:val="en-GB"/>
        </w:rPr>
        <w:t xml:space="preserve"> intervention </w:t>
      </w:r>
      <w:r w:rsidRPr="00AE751F">
        <w:rPr>
          <w:rFonts w:ascii="Arial" w:hAnsi="Arial" w:cs="Arial"/>
          <w:lang w:val="en-GB"/>
        </w:rPr>
        <w:t xml:space="preserve"> and digital innovation</w:t>
      </w:r>
      <w:r w:rsidR="0027604B">
        <w:rPr>
          <w:rFonts w:ascii="Arial" w:hAnsi="Arial" w:cs="Arial"/>
          <w:lang w:val="en-GB"/>
        </w:rPr>
        <w:t>.</w:t>
      </w:r>
    </w:p>
    <w:p w14:paraId="22786C5C" w14:textId="04E47B26" w:rsidR="00A14359" w:rsidRDefault="00A14359" w:rsidP="00A14359">
      <w:pPr>
        <w:spacing w:line="360" w:lineRule="auto"/>
        <w:jc w:val="both"/>
        <w:rPr>
          <w:rFonts w:ascii="Arial" w:hAnsi="Arial" w:cs="Arial"/>
          <w:lang w:val="en-GB"/>
        </w:rPr>
      </w:pPr>
      <w:r w:rsidRPr="00A14359">
        <w:rPr>
          <w:rFonts w:ascii="Arial" w:hAnsi="Arial" w:cs="Arial"/>
          <w:lang w:val="en-GB"/>
        </w:rPr>
        <w:t>Telehealth supports NHS policy efforts that</w:t>
      </w:r>
      <w:r w:rsidR="00A23355">
        <w:rPr>
          <w:rFonts w:ascii="Arial" w:hAnsi="Arial" w:cs="Arial"/>
          <w:lang w:val="en-GB"/>
        </w:rPr>
        <w:t xml:space="preserve"> sequencing</w:t>
      </w:r>
      <w:r w:rsidRPr="00A14359">
        <w:rPr>
          <w:rFonts w:ascii="Arial" w:hAnsi="Arial" w:cs="Arial"/>
          <w:lang w:val="en-GB"/>
        </w:rPr>
        <w:t xml:space="preserve"> </w:t>
      </w:r>
      <w:r w:rsidR="00A23355">
        <w:rPr>
          <w:rFonts w:ascii="Arial" w:hAnsi="Arial" w:cs="Arial"/>
          <w:lang w:val="en-GB"/>
        </w:rPr>
        <w:t>DHC</w:t>
      </w:r>
      <w:r w:rsidRPr="00A14359">
        <w:rPr>
          <w:rFonts w:ascii="Arial" w:hAnsi="Arial" w:cs="Arial"/>
          <w:lang w:val="en-GB"/>
        </w:rPr>
        <w:t xml:space="preserve">, especially in long-term condition management and </w:t>
      </w:r>
      <w:r w:rsidR="00A23355">
        <w:rPr>
          <w:rFonts w:ascii="Arial" w:hAnsi="Arial" w:cs="Arial"/>
          <w:lang w:val="en-GB"/>
        </w:rPr>
        <w:t>foundation</w:t>
      </w:r>
      <w:r w:rsidRPr="00A14359">
        <w:rPr>
          <w:rFonts w:ascii="Arial" w:hAnsi="Arial" w:cs="Arial"/>
          <w:lang w:val="en-GB"/>
        </w:rPr>
        <w:t xml:space="preserve"> care. While regulatory advice </w:t>
      </w:r>
      <w:r w:rsidR="00A23355">
        <w:rPr>
          <w:rFonts w:ascii="Arial" w:hAnsi="Arial" w:cs="Arial"/>
          <w:lang w:val="en-GB"/>
        </w:rPr>
        <w:t>stimulate</w:t>
      </w:r>
      <w:r w:rsidR="003E2426">
        <w:rPr>
          <w:rFonts w:ascii="Arial" w:hAnsi="Arial" w:cs="Arial"/>
          <w:lang w:val="en-GB"/>
        </w:rPr>
        <w:t>s</w:t>
      </w:r>
      <w:r w:rsidRPr="00A14359">
        <w:rPr>
          <w:rFonts w:ascii="Arial" w:hAnsi="Arial" w:cs="Arial"/>
          <w:lang w:val="en-GB"/>
        </w:rPr>
        <w:t xml:space="preserve"> the safe and efficient us</w:t>
      </w:r>
      <w:r>
        <w:rPr>
          <w:rFonts w:ascii="Arial" w:hAnsi="Arial" w:cs="Arial"/>
          <w:lang w:val="en-GB"/>
        </w:rPr>
        <w:t>age</w:t>
      </w:r>
      <w:r w:rsidRPr="00A14359">
        <w:rPr>
          <w:rFonts w:ascii="Arial" w:hAnsi="Arial" w:cs="Arial"/>
          <w:lang w:val="en-GB"/>
        </w:rPr>
        <w:t xml:space="preserve"> of digital </w:t>
      </w:r>
      <w:r>
        <w:rPr>
          <w:rFonts w:ascii="Arial" w:hAnsi="Arial" w:cs="Arial"/>
          <w:lang w:val="en-GB"/>
        </w:rPr>
        <w:t>HT</w:t>
      </w:r>
      <w:r w:rsidRPr="00A14359">
        <w:rPr>
          <w:rFonts w:ascii="Arial" w:hAnsi="Arial" w:cs="Arial"/>
          <w:lang w:val="en-GB"/>
        </w:rPr>
        <w:t>, legislative frameworks like the Health and Social Care Act of 2012 stimulate innovation and service efficiency. National data, however, show</w:t>
      </w:r>
      <w:r>
        <w:rPr>
          <w:rFonts w:ascii="Arial" w:hAnsi="Arial" w:cs="Arial"/>
          <w:lang w:val="en-GB"/>
        </w:rPr>
        <w:t>s</w:t>
      </w:r>
      <w:r w:rsidRPr="00A14359">
        <w:rPr>
          <w:rFonts w:ascii="Arial" w:hAnsi="Arial" w:cs="Arial"/>
          <w:lang w:val="en-GB"/>
        </w:rPr>
        <w:t xml:space="preserve"> that digital exclusion is still a major problem in the UK, with differences in digital skills and internet access associated with </w:t>
      </w:r>
      <w:r>
        <w:rPr>
          <w:rFonts w:ascii="Arial" w:hAnsi="Arial" w:cs="Arial"/>
          <w:lang w:val="en-GB"/>
        </w:rPr>
        <w:t xml:space="preserve">social </w:t>
      </w:r>
      <w:r w:rsidR="00A23355">
        <w:rPr>
          <w:rFonts w:ascii="Arial" w:hAnsi="Arial" w:cs="Arial"/>
          <w:lang w:val="en-GB"/>
        </w:rPr>
        <w:t>discrepancies</w:t>
      </w:r>
      <w:r w:rsidRPr="00A14359">
        <w:rPr>
          <w:rFonts w:ascii="Arial" w:hAnsi="Arial" w:cs="Arial"/>
          <w:lang w:val="en-GB"/>
        </w:rPr>
        <w:t xml:space="preserve"> (ONS, 20</w:t>
      </w:r>
      <w:r>
        <w:rPr>
          <w:rFonts w:ascii="Arial" w:hAnsi="Arial" w:cs="Arial"/>
          <w:lang w:val="en-GB"/>
        </w:rPr>
        <w:t>19</w:t>
      </w:r>
      <w:r w:rsidRPr="00A14359">
        <w:rPr>
          <w:rFonts w:ascii="Arial" w:hAnsi="Arial" w:cs="Arial"/>
          <w:lang w:val="en-GB"/>
        </w:rPr>
        <w:t xml:space="preserve">). </w:t>
      </w:r>
    </w:p>
    <w:p w14:paraId="758E4DA2" w14:textId="77777777" w:rsidR="00067AB4" w:rsidRDefault="00A14359" w:rsidP="003E2426">
      <w:pPr>
        <w:spacing w:line="360" w:lineRule="auto"/>
        <w:jc w:val="both"/>
        <w:rPr>
          <w:rFonts w:ascii="Arial" w:hAnsi="Arial" w:cs="Arial"/>
          <w:lang w:val="en-GB"/>
        </w:rPr>
      </w:pPr>
      <w:r w:rsidRPr="00A14359">
        <w:rPr>
          <w:rFonts w:ascii="Arial" w:hAnsi="Arial" w:cs="Arial"/>
          <w:lang w:val="en-GB"/>
        </w:rPr>
        <w:t xml:space="preserve">Assessing telehealth's contribution to </w:t>
      </w:r>
      <w:r w:rsidR="00A23355">
        <w:rPr>
          <w:rFonts w:ascii="Arial" w:hAnsi="Arial" w:cs="Arial"/>
          <w:lang w:val="en-GB"/>
        </w:rPr>
        <w:t>an advancing</w:t>
      </w:r>
      <w:r w:rsidRPr="00A14359">
        <w:rPr>
          <w:rFonts w:ascii="Arial" w:hAnsi="Arial" w:cs="Arial"/>
          <w:lang w:val="en-GB"/>
        </w:rPr>
        <w:t xml:space="preserve"> healthcare </w:t>
      </w:r>
      <w:r w:rsidR="00A23355">
        <w:rPr>
          <w:rFonts w:ascii="Arial" w:hAnsi="Arial" w:cs="Arial"/>
          <w:lang w:val="en-GB"/>
        </w:rPr>
        <w:t>equity, fairness</w:t>
      </w:r>
      <w:r w:rsidRPr="00A14359">
        <w:rPr>
          <w:rFonts w:ascii="Arial" w:hAnsi="Arial" w:cs="Arial"/>
          <w:lang w:val="en-GB"/>
        </w:rPr>
        <w:t xml:space="preserve"> and access requires an understanding of the practice and policy environment. This scoping assessment concentrates on peer-reviewed academic research pertinent to UK practice, even though policy texts offer strategic guidance</w:t>
      </w:r>
      <w:r w:rsidR="00A23355">
        <w:rPr>
          <w:rFonts w:ascii="Arial" w:hAnsi="Arial" w:cs="Arial"/>
          <w:lang w:val="en-GB"/>
        </w:rPr>
        <w:t xml:space="preserve"> to get the knowledge and information by using the simple thematic analysis</w:t>
      </w:r>
      <w:r w:rsidR="00067AB4">
        <w:rPr>
          <w:rFonts w:ascii="Arial" w:hAnsi="Arial" w:cs="Arial"/>
          <w:lang w:val="en-GB"/>
        </w:rPr>
        <w:t>.</w:t>
      </w:r>
    </w:p>
    <w:p w14:paraId="0A8E8A0B" w14:textId="77777777" w:rsidR="00067AB4" w:rsidRDefault="003E2426" w:rsidP="00067AB4">
      <w:pPr>
        <w:spacing w:line="360" w:lineRule="auto"/>
        <w:jc w:val="both"/>
        <w:rPr>
          <w:rFonts w:ascii="Arial" w:hAnsi="Arial" w:cs="Arial"/>
          <w:lang w:val="en-GB"/>
        </w:rPr>
      </w:pPr>
      <w:r w:rsidRPr="003E2426">
        <w:rPr>
          <w:rFonts w:ascii="Arial" w:hAnsi="Arial" w:cs="Arial"/>
          <w:lang w:val="en-GB"/>
        </w:rPr>
        <w:t xml:space="preserve">Peer-reviewed data, however, also points to serious issues with equity. Access to telehealth is not equally dispersed throughout the community, according to several </w:t>
      </w:r>
      <w:r w:rsidR="00067AB4">
        <w:rPr>
          <w:rFonts w:ascii="Arial" w:hAnsi="Arial" w:cs="Arial"/>
          <w:lang w:val="en-GB"/>
        </w:rPr>
        <w:t xml:space="preserve">conducted </w:t>
      </w:r>
      <w:r w:rsidRPr="003E2426">
        <w:rPr>
          <w:rFonts w:ascii="Arial" w:hAnsi="Arial" w:cs="Arial"/>
          <w:lang w:val="en-GB"/>
        </w:rPr>
        <w:t>studies. People with lower socioeconomic position</w:t>
      </w:r>
      <w:r w:rsidR="00067AB4">
        <w:rPr>
          <w:rFonts w:ascii="Arial" w:hAnsi="Arial" w:cs="Arial"/>
          <w:lang w:val="en-GB"/>
        </w:rPr>
        <w:t>s</w:t>
      </w:r>
      <w:r w:rsidRPr="003E2426">
        <w:rPr>
          <w:rFonts w:ascii="Arial" w:hAnsi="Arial" w:cs="Arial"/>
          <w:lang w:val="en-GB"/>
        </w:rPr>
        <w:t>, older adults, and those with poor levels of computer literacy</w:t>
      </w:r>
      <w:r w:rsidR="00067AB4">
        <w:rPr>
          <w:rFonts w:ascii="Arial" w:hAnsi="Arial" w:cs="Arial"/>
          <w:lang w:val="en-GB"/>
        </w:rPr>
        <w:t xml:space="preserve"> mindset</w:t>
      </w:r>
      <w:r w:rsidRPr="003E2426">
        <w:rPr>
          <w:rFonts w:ascii="Arial" w:hAnsi="Arial" w:cs="Arial"/>
          <w:lang w:val="en-GB"/>
        </w:rPr>
        <w:t xml:space="preserve"> are less likely to use remote services, which might exacerbate already-existing health </w:t>
      </w:r>
      <w:r w:rsidR="00067AB4" w:rsidRPr="003E2426">
        <w:rPr>
          <w:rFonts w:ascii="Arial" w:hAnsi="Arial" w:cs="Arial"/>
          <w:lang w:val="en-GB"/>
        </w:rPr>
        <w:t>d</w:t>
      </w:r>
      <w:r w:rsidR="00067AB4">
        <w:rPr>
          <w:rFonts w:ascii="Arial" w:hAnsi="Arial" w:cs="Arial"/>
          <w:lang w:val="en-GB"/>
        </w:rPr>
        <w:t>iscrepancies</w:t>
      </w:r>
      <w:r w:rsidRPr="003E2426">
        <w:rPr>
          <w:rFonts w:ascii="Arial" w:hAnsi="Arial" w:cs="Arial"/>
          <w:lang w:val="en-GB"/>
        </w:rPr>
        <w:t xml:space="preserve"> </w:t>
      </w:r>
      <w:r w:rsidR="00067AB4" w:rsidRPr="00067AB4">
        <w:rPr>
          <w:rFonts w:ascii="Arial" w:hAnsi="Arial" w:cs="Arial"/>
          <w:lang w:val="en-GB"/>
        </w:rPr>
        <w:t>(Watts, 2020)</w:t>
      </w:r>
      <w:r w:rsidRPr="003E2426">
        <w:rPr>
          <w:rFonts w:ascii="Arial" w:hAnsi="Arial" w:cs="Arial"/>
          <w:lang w:val="en-GB"/>
        </w:rPr>
        <w:t>. According to qualitative research, some patients report issues with technology use, communication quality, and continuity of treatment, while others claim better access and convenience (S et al., 2018).</w:t>
      </w:r>
    </w:p>
    <w:p w14:paraId="4B6D7F72" w14:textId="0E698D2C" w:rsidR="00067AB4" w:rsidRPr="00067AB4" w:rsidRDefault="00067AB4" w:rsidP="00067AB4">
      <w:pPr>
        <w:spacing w:line="360" w:lineRule="auto"/>
        <w:jc w:val="both"/>
        <w:rPr>
          <w:rFonts w:ascii="Arial" w:hAnsi="Arial" w:cs="Arial"/>
          <w:lang w:val="en-GB"/>
        </w:rPr>
      </w:pPr>
      <w:r w:rsidRPr="00067AB4">
        <w:rPr>
          <w:rFonts w:ascii="Arial" w:hAnsi="Arial" w:cs="Arial"/>
          <w:lang w:val="en-GB"/>
        </w:rPr>
        <w:lastRenderedPageBreak/>
        <w:t>The three areas of healthcare practice where telehealth services are most frequently utilised are general practice, outpatient care, and chronic disease management. Peer-reviewed research</w:t>
      </w:r>
      <w:r>
        <w:rPr>
          <w:rFonts w:ascii="Arial" w:hAnsi="Arial" w:cs="Arial"/>
          <w:lang w:val="en-GB"/>
        </w:rPr>
        <w:t xml:space="preserve"> stipulates</w:t>
      </w:r>
      <w:r w:rsidRPr="00067AB4">
        <w:rPr>
          <w:rFonts w:ascii="Arial" w:hAnsi="Arial" w:cs="Arial"/>
          <w:lang w:val="en-GB"/>
        </w:rPr>
        <w:t xml:space="preserve"> that in order to strike a balance between efficiency, patient safety, and equality, physicians frequently use hybrid models that</w:t>
      </w:r>
      <w:r w:rsidR="00B43869">
        <w:rPr>
          <w:rFonts w:ascii="Arial" w:hAnsi="Arial" w:cs="Arial"/>
          <w:lang w:val="en-GB"/>
        </w:rPr>
        <w:t xml:space="preserve"> consolidate </w:t>
      </w:r>
      <w:r w:rsidRPr="00067AB4">
        <w:rPr>
          <w:rFonts w:ascii="Arial" w:hAnsi="Arial" w:cs="Arial"/>
          <w:lang w:val="en-GB"/>
        </w:rPr>
        <w:t xml:space="preserve">digital and in-person consultations (Donaghy et al., 2019; Greenhalgh et al., 2020). According to these </w:t>
      </w:r>
      <w:r w:rsidR="00B43869">
        <w:rPr>
          <w:rFonts w:ascii="Arial" w:hAnsi="Arial" w:cs="Arial"/>
          <w:lang w:val="en-GB"/>
        </w:rPr>
        <w:t>verdicts</w:t>
      </w:r>
      <w:r w:rsidRPr="00067AB4">
        <w:rPr>
          <w:rFonts w:ascii="Arial" w:hAnsi="Arial" w:cs="Arial"/>
          <w:lang w:val="en-GB"/>
        </w:rPr>
        <w:t xml:space="preserve">, telehealth is a complicated intervention whose effectiveness is </w:t>
      </w:r>
      <w:r w:rsidR="00B43869">
        <w:rPr>
          <w:rFonts w:ascii="Arial" w:hAnsi="Arial" w:cs="Arial"/>
          <w:lang w:val="en-GB"/>
        </w:rPr>
        <w:t>turn</w:t>
      </w:r>
      <w:r w:rsidRPr="00067AB4">
        <w:rPr>
          <w:rFonts w:ascii="Arial" w:hAnsi="Arial" w:cs="Arial"/>
          <w:lang w:val="en-GB"/>
        </w:rPr>
        <w:t xml:space="preserve"> on the way services are planned and provided rather than a one-size-fits-all approach.</w:t>
      </w:r>
    </w:p>
    <w:p w14:paraId="4E3446F8" w14:textId="09841951" w:rsidR="00AD03CF" w:rsidRPr="00AD03CF" w:rsidRDefault="00AD03CF" w:rsidP="00AD03CF">
      <w:pPr>
        <w:spacing w:line="360" w:lineRule="auto"/>
        <w:jc w:val="both"/>
        <w:rPr>
          <w:rFonts w:ascii="Arial" w:hAnsi="Arial" w:cs="Arial"/>
          <w:lang w:val="en-GB"/>
        </w:rPr>
      </w:pPr>
      <w:r w:rsidRPr="00AD03CF">
        <w:rPr>
          <w:rFonts w:ascii="Arial" w:hAnsi="Arial" w:cs="Arial"/>
          <w:lang w:val="en-GB"/>
        </w:rPr>
        <w:t>Over the past ten years</w:t>
      </w:r>
      <w:r>
        <w:rPr>
          <w:rFonts w:ascii="Arial" w:hAnsi="Arial" w:cs="Arial"/>
          <w:lang w:val="en-GB"/>
        </w:rPr>
        <w:t xml:space="preserve"> meta-analysis show that </w:t>
      </w:r>
      <w:r w:rsidRPr="00AD03CF">
        <w:rPr>
          <w:rFonts w:ascii="Arial" w:hAnsi="Arial" w:cs="Arial"/>
          <w:lang w:val="en-GB"/>
        </w:rPr>
        <w:t xml:space="preserve">, the NHS's </w:t>
      </w:r>
      <w:r w:rsidR="00B4022A">
        <w:rPr>
          <w:rFonts w:ascii="Arial" w:hAnsi="Arial" w:cs="Arial"/>
          <w:lang w:val="en-GB"/>
        </w:rPr>
        <w:t>augmentation</w:t>
      </w:r>
      <w:r w:rsidRPr="00AD03CF">
        <w:rPr>
          <w:rFonts w:ascii="Arial" w:hAnsi="Arial" w:cs="Arial"/>
          <w:lang w:val="en-GB"/>
        </w:rPr>
        <w:t xml:space="preserve"> of its digital infrastructure has generated a </w:t>
      </w:r>
      <w:r w:rsidR="00B4022A">
        <w:rPr>
          <w:rFonts w:ascii="Arial" w:hAnsi="Arial" w:cs="Arial"/>
          <w:lang w:val="en-GB"/>
        </w:rPr>
        <w:t xml:space="preserve">considerable </w:t>
      </w:r>
      <w:r w:rsidRPr="00AD03CF">
        <w:rPr>
          <w:rFonts w:ascii="Arial" w:hAnsi="Arial" w:cs="Arial"/>
          <w:lang w:val="en-GB"/>
        </w:rPr>
        <w:t xml:space="preserve">amount of </w:t>
      </w:r>
      <w:r w:rsidR="00B4022A">
        <w:rPr>
          <w:rFonts w:ascii="Arial" w:hAnsi="Arial" w:cs="Arial"/>
          <w:lang w:val="en-GB"/>
        </w:rPr>
        <w:t>regime regarding</w:t>
      </w:r>
      <w:r w:rsidRPr="00AD03CF">
        <w:rPr>
          <w:rFonts w:ascii="Arial" w:hAnsi="Arial" w:cs="Arial"/>
          <w:lang w:val="en-GB"/>
        </w:rPr>
        <w:t xml:space="preserve"> healthcare data</w:t>
      </w:r>
      <w:r w:rsidR="00B4022A">
        <w:rPr>
          <w:rFonts w:ascii="Arial" w:hAnsi="Arial" w:cs="Arial"/>
          <w:lang w:val="en-GB"/>
        </w:rPr>
        <w:t xml:space="preserve"> and </w:t>
      </w:r>
      <w:r w:rsidRPr="00AD03CF">
        <w:rPr>
          <w:rFonts w:ascii="Arial" w:hAnsi="Arial" w:cs="Arial"/>
          <w:lang w:val="en-GB"/>
        </w:rPr>
        <w:t xml:space="preserve"> enabling researchers to examine telehealth usage pa</w:t>
      </w:r>
      <w:r w:rsidR="00B4022A">
        <w:rPr>
          <w:rFonts w:ascii="Arial" w:hAnsi="Arial" w:cs="Arial"/>
          <w:lang w:val="en-GB"/>
        </w:rPr>
        <w:t>t</w:t>
      </w:r>
      <w:r w:rsidRPr="00AD03CF">
        <w:rPr>
          <w:rFonts w:ascii="Arial" w:hAnsi="Arial" w:cs="Arial"/>
          <w:lang w:val="en-GB"/>
        </w:rPr>
        <w:t>terns</w:t>
      </w:r>
      <w:r w:rsidR="00B4022A">
        <w:rPr>
          <w:rFonts w:ascii="Arial" w:hAnsi="Arial" w:cs="Arial"/>
          <w:lang w:val="en-GB"/>
        </w:rPr>
        <w:t xml:space="preserve"> among service users </w:t>
      </w:r>
      <w:r w:rsidRPr="00AD03CF">
        <w:rPr>
          <w:rFonts w:ascii="Arial" w:hAnsi="Arial" w:cs="Arial"/>
          <w:lang w:val="en-GB"/>
        </w:rPr>
        <w:t xml:space="preserve">at </w:t>
      </w:r>
      <w:r>
        <w:rPr>
          <w:rFonts w:ascii="Arial" w:hAnsi="Arial" w:cs="Arial"/>
          <w:lang w:val="en-GB"/>
        </w:rPr>
        <w:t xml:space="preserve">precedence </w:t>
      </w:r>
      <w:r w:rsidRPr="00AD03CF">
        <w:rPr>
          <w:rFonts w:ascii="Arial" w:hAnsi="Arial" w:cs="Arial"/>
          <w:lang w:val="en-GB"/>
        </w:rPr>
        <w:t xml:space="preserve">scale. Most </w:t>
      </w:r>
      <w:r>
        <w:rPr>
          <w:rFonts w:ascii="Arial" w:hAnsi="Arial" w:cs="Arial"/>
          <w:lang w:val="en-GB"/>
        </w:rPr>
        <w:t xml:space="preserve">of the </w:t>
      </w:r>
      <w:r w:rsidRPr="00AD03CF">
        <w:rPr>
          <w:rFonts w:ascii="Arial" w:hAnsi="Arial" w:cs="Arial"/>
          <w:lang w:val="en-GB"/>
        </w:rPr>
        <w:t>UK research</w:t>
      </w:r>
      <w:r>
        <w:rPr>
          <w:rFonts w:ascii="Arial" w:hAnsi="Arial" w:cs="Arial"/>
          <w:lang w:val="en-GB"/>
        </w:rPr>
        <w:t>er</w:t>
      </w:r>
      <w:r w:rsidRPr="00AD03CF">
        <w:rPr>
          <w:rFonts w:ascii="Arial" w:hAnsi="Arial" w:cs="Arial"/>
          <w:lang w:val="en-GB"/>
        </w:rPr>
        <w:t xml:space="preserve"> use</w:t>
      </w:r>
      <w:r>
        <w:rPr>
          <w:rFonts w:ascii="Arial" w:hAnsi="Arial" w:cs="Arial"/>
          <w:lang w:val="en-GB"/>
        </w:rPr>
        <w:t xml:space="preserve"> </w:t>
      </w:r>
      <w:r w:rsidRPr="00AD03CF">
        <w:rPr>
          <w:rFonts w:ascii="Arial" w:hAnsi="Arial" w:cs="Arial"/>
          <w:lang w:val="en-GB"/>
        </w:rPr>
        <w:t>questionnaires</w:t>
      </w:r>
      <w:r>
        <w:rPr>
          <w:rFonts w:ascii="Arial" w:hAnsi="Arial" w:cs="Arial"/>
          <w:lang w:val="en-GB"/>
        </w:rPr>
        <w:t xml:space="preserve"> based on patient perspective that how they feel about the telehealth and is it outrage the discrepancies</w:t>
      </w:r>
      <w:r w:rsidRPr="00AD03CF">
        <w:rPr>
          <w:rFonts w:ascii="Arial" w:hAnsi="Arial" w:cs="Arial"/>
          <w:lang w:val="en-GB"/>
        </w:rPr>
        <w:t>,</w:t>
      </w:r>
      <w:r>
        <w:rPr>
          <w:rFonts w:ascii="Arial" w:hAnsi="Arial" w:cs="Arial"/>
          <w:lang w:val="en-GB"/>
        </w:rPr>
        <w:t xml:space="preserve"> digitally organized </w:t>
      </w:r>
      <w:r w:rsidRPr="00AD03CF">
        <w:rPr>
          <w:rFonts w:ascii="Arial" w:hAnsi="Arial" w:cs="Arial"/>
          <w:lang w:val="en-GB"/>
        </w:rPr>
        <w:t>health records</w:t>
      </w:r>
      <w:r>
        <w:rPr>
          <w:rFonts w:ascii="Arial" w:hAnsi="Arial" w:cs="Arial"/>
          <w:lang w:val="en-GB"/>
        </w:rPr>
        <w:t xml:space="preserve"> regarding prime care </w:t>
      </w:r>
      <w:r w:rsidRPr="00AD03CF">
        <w:rPr>
          <w:rFonts w:ascii="Arial" w:hAnsi="Arial" w:cs="Arial"/>
          <w:lang w:val="en-GB"/>
        </w:rPr>
        <w:t>, and qualitative interviews to assess access and equality outcomes</w:t>
      </w:r>
      <w:r>
        <w:rPr>
          <w:rFonts w:ascii="Arial" w:hAnsi="Arial" w:cs="Arial"/>
          <w:lang w:val="en-GB"/>
        </w:rPr>
        <w:t xml:space="preserve"> from the patient’s overview</w:t>
      </w:r>
      <w:r w:rsidRPr="00AD03CF">
        <w:rPr>
          <w:rFonts w:ascii="Arial" w:hAnsi="Arial" w:cs="Arial"/>
          <w:lang w:val="en-GB"/>
        </w:rPr>
        <w:t>.</w:t>
      </w:r>
      <w:r>
        <w:rPr>
          <w:rFonts w:ascii="Arial" w:hAnsi="Arial" w:cs="Arial"/>
          <w:lang w:val="en-GB"/>
        </w:rPr>
        <w:t xml:space="preserve"> These research methodologies, data collection techniques provide </w:t>
      </w:r>
      <w:r w:rsidRPr="00AD03CF">
        <w:rPr>
          <w:rFonts w:ascii="Arial" w:hAnsi="Arial" w:cs="Arial"/>
          <w:lang w:val="en-GB"/>
        </w:rPr>
        <w:t xml:space="preserve"> valuable insights regarding </w:t>
      </w:r>
      <w:r w:rsidR="00B4022A">
        <w:rPr>
          <w:rFonts w:ascii="Arial" w:hAnsi="Arial" w:cs="Arial"/>
          <w:lang w:val="en-GB"/>
        </w:rPr>
        <w:t>multiculturality</w:t>
      </w:r>
      <w:r w:rsidR="00B4022A" w:rsidRPr="00AD03CF">
        <w:rPr>
          <w:rFonts w:ascii="Arial" w:hAnsi="Arial" w:cs="Arial"/>
          <w:lang w:val="en-GB"/>
        </w:rPr>
        <w:t xml:space="preserve"> in</w:t>
      </w:r>
      <w:r w:rsidRPr="00AD03CF">
        <w:rPr>
          <w:rFonts w:ascii="Arial" w:hAnsi="Arial" w:cs="Arial"/>
          <w:lang w:val="en-GB"/>
        </w:rPr>
        <w:t xml:space="preserve"> telehealth use, equity is typically evaluated using </w:t>
      </w:r>
      <w:r w:rsidR="00B4022A">
        <w:rPr>
          <w:rFonts w:ascii="Arial" w:hAnsi="Arial" w:cs="Arial"/>
          <w:lang w:val="en-GB"/>
        </w:rPr>
        <w:t>holistic benchmarks</w:t>
      </w:r>
      <w:r w:rsidRPr="00AD03CF">
        <w:rPr>
          <w:rFonts w:ascii="Arial" w:hAnsi="Arial" w:cs="Arial"/>
          <w:lang w:val="en-GB"/>
        </w:rPr>
        <w:t xml:space="preserve"> such as deprivation indices, age, and ethnicity categories. The absence of intersectional and longitudinal evaluations makes it</w:t>
      </w:r>
      <w:r w:rsidR="00B4022A">
        <w:rPr>
          <w:rFonts w:ascii="Arial" w:hAnsi="Arial" w:cs="Arial"/>
          <w:lang w:val="en-GB"/>
        </w:rPr>
        <w:t xml:space="preserve"> demand</w:t>
      </w:r>
      <w:r w:rsidRPr="00AD03CF">
        <w:rPr>
          <w:rFonts w:ascii="Arial" w:hAnsi="Arial" w:cs="Arial"/>
          <w:lang w:val="en-GB"/>
        </w:rPr>
        <w:t xml:space="preserve"> to properly assess the </w:t>
      </w:r>
      <w:r w:rsidR="00B4022A">
        <w:rPr>
          <w:rFonts w:ascii="Arial" w:hAnsi="Arial" w:cs="Arial"/>
          <w:lang w:val="en-GB"/>
        </w:rPr>
        <w:t>enduring impacts</w:t>
      </w:r>
      <w:r w:rsidRPr="00AD03CF">
        <w:rPr>
          <w:rFonts w:ascii="Arial" w:hAnsi="Arial" w:cs="Arial"/>
          <w:lang w:val="en-GB"/>
        </w:rPr>
        <w:t xml:space="preserve"> of telemedicine on health </w:t>
      </w:r>
      <w:r w:rsidR="00B4022A" w:rsidRPr="00AD03CF">
        <w:rPr>
          <w:rFonts w:ascii="Arial" w:hAnsi="Arial" w:cs="Arial"/>
          <w:lang w:val="en-GB"/>
        </w:rPr>
        <w:t>dis</w:t>
      </w:r>
      <w:r w:rsidR="00B4022A">
        <w:rPr>
          <w:rFonts w:ascii="Arial" w:hAnsi="Arial" w:cs="Arial"/>
          <w:lang w:val="en-GB"/>
        </w:rPr>
        <w:t>crepancies</w:t>
      </w:r>
      <w:r w:rsidRPr="00AD03CF">
        <w:rPr>
          <w:rFonts w:ascii="Arial" w:hAnsi="Arial" w:cs="Arial"/>
          <w:lang w:val="en-GB"/>
        </w:rPr>
        <w:t>. Because of this, the current co</w:t>
      </w:r>
      <w:r w:rsidR="00B4022A">
        <w:rPr>
          <w:rFonts w:ascii="Arial" w:hAnsi="Arial" w:cs="Arial"/>
          <w:lang w:val="en-GB"/>
        </w:rPr>
        <w:t>mpilation</w:t>
      </w:r>
      <w:r w:rsidRPr="00AD03CF">
        <w:rPr>
          <w:rFonts w:ascii="Arial" w:hAnsi="Arial" w:cs="Arial"/>
          <w:lang w:val="en-GB"/>
        </w:rPr>
        <w:t xml:space="preserve"> of research offers good descriptive insights but subpar causal and predictive models of equality effects.</w:t>
      </w:r>
    </w:p>
    <w:p w14:paraId="3066638F" w14:textId="7AC0677D" w:rsidR="00067AB4" w:rsidRDefault="00067AB4" w:rsidP="00067AB4">
      <w:pPr>
        <w:spacing w:line="360" w:lineRule="auto"/>
        <w:jc w:val="both"/>
        <w:rPr>
          <w:rFonts w:ascii="Arial" w:hAnsi="Arial" w:cs="Arial"/>
          <w:lang w:val="en-GB"/>
        </w:rPr>
      </w:pPr>
      <w:r w:rsidRPr="00067AB4">
        <w:rPr>
          <w:rFonts w:ascii="Arial" w:hAnsi="Arial" w:cs="Arial"/>
          <w:lang w:val="en-GB"/>
        </w:rPr>
        <w:t>Although its role in addressing equality is debatable, the peer-reviewed research generally shows that telehealth has the potential to enhance healthcare access</w:t>
      </w:r>
      <w:r>
        <w:rPr>
          <w:rFonts w:ascii="Arial" w:hAnsi="Arial" w:cs="Arial"/>
          <w:lang w:val="en-GB"/>
        </w:rPr>
        <w:t xml:space="preserve"> and equity</w:t>
      </w:r>
      <w:r w:rsidRPr="00067AB4">
        <w:rPr>
          <w:rFonts w:ascii="Arial" w:hAnsi="Arial" w:cs="Arial"/>
          <w:lang w:val="en-GB"/>
        </w:rPr>
        <w:t xml:space="preserve"> in the UK. This </w:t>
      </w:r>
      <w:r>
        <w:rPr>
          <w:rFonts w:ascii="Arial" w:hAnsi="Arial" w:cs="Arial"/>
          <w:lang w:val="en-GB"/>
        </w:rPr>
        <w:t xml:space="preserve">prominence the essentiality </w:t>
      </w:r>
      <w:r w:rsidRPr="00067AB4">
        <w:rPr>
          <w:rFonts w:ascii="Arial" w:hAnsi="Arial" w:cs="Arial"/>
          <w:lang w:val="en-GB"/>
        </w:rPr>
        <w:t xml:space="preserve">of a comprehensive </w:t>
      </w:r>
      <w:r>
        <w:rPr>
          <w:rFonts w:ascii="Arial" w:hAnsi="Arial" w:cs="Arial"/>
          <w:lang w:val="en-GB"/>
        </w:rPr>
        <w:t xml:space="preserve">approachable review </w:t>
      </w:r>
      <w:r w:rsidRPr="00067AB4">
        <w:rPr>
          <w:rFonts w:ascii="Arial" w:hAnsi="Arial" w:cs="Arial"/>
          <w:lang w:val="en-GB"/>
        </w:rPr>
        <w:t>that synthesises the body of scholarly research in order to pinpoint important themes, knowledge gaps, and implications for the practice of health and digital health.</w:t>
      </w:r>
    </w:p>
    <w:p w14:paraId="0B15EC6E" w14:textId="08D7CF20" w:rsidR="00570186" w:rsidRPr="007166E0" w:rsidRDefault="00570186" w:rsidP="007166E0">
      <w:pPr>
        <w:spacing w:before="100" w:beforeAutospacing="1" w:after="100" w:afterAutospacing="1" w:line="240" w:lineRule="auto"/>
        <w:rPr>
          <w:rFonts w:ascii="Arial" w:eastAsia="Times New Roman" w:hAnsi="Arial" w:cs="Arial"/>
          <w:sz w:val="20"/>
          <w:szCs w:val="20"/>
          <w:lang w:eastAsia="en-GB"/>
        </w:rPr>
      </w:pPr>
      <w:r w:rsidRPr="007166E0">
        <w:rPr>
          <w:rFonts w:ascii="Arial" w:hAnsi="Arial" w:cs="Arial"/>
          <w:b/>
          <w:bCs/>
          <w:sz w:val="24"/>
          <w:szCs w:val="24"/>
          <w:u w:val="single"/>
        </w:rPr>
        <w:t>Methodology</w:t>
      </w:r>
    </w:p>
    <w:p w14:paraId="6D42FD09" w14:textId="4B3EEDD8" w:rsidR="00570186" w:rsidRDefault="00570186" w:rsidP="00570186">
      <w:r>
        <w:rPr>
          <w:b/>
          <w:bCs/>
        </w:rPr>
        <w:t xml:space="preserve">Research Design  </w:t>
      </w:r>
    </w:p>
    <w:p w14:paraId="68ED0837" w14:textId="5C5EED5C" w:rsidR="00570186" w:rsidRPr="008F1786" w:rsidRDefault="001D701D" w:rsidP="001D701D">
      <w:pPr>
        <w:spacing w:line="360" w:lineRule="auto"/>
        <w:jc w:val="both"/>
        <w:rPr>
          <w:rFonts w:ascii="Arial" w:hAnsi="Arial" w:cs="Arial"/>
          <w:lang w:val="en-GB"/>
        </w:rPr>
      </w:pPr>
      <w:r>
        <w:rPr>
          <w:rFonts w:ascii="Arial" w:hAnsi="Arial" w:cs="Arial"/>
        </w:rPr>
        <w:t>This conducted research is employed by the s</w:t>
      </w:r>
      <w:r w:rsidR="00570186" w:rsidRPr="00C06FD7">
        <w:rPr>
          <w:rFonts w:ascii="Arial" w:hAnsi="Arial" w:cs="Arial"/>
        </w:rPr>
        <w:t xml:space="preserve">coping </w:t>
      </w:r>
      <w:r>
        <w:rPr>
          <w:rFonts w:ascii="Arial" w:hAnsi="Arial" w:cs="Arial"/>
        </w:rPr>
        <w:t>r</w:t>
      </w:r>
      <w:r w:rsidR="00570186" w:rsidRPr="00C06FD7">
        <w:rPr>
          <w:rFonts w:ascii="Arial" w:hAnsi="Arial" w:cs="Arial"/>
        </w:rPr>
        <w:t xml:space="preserve">eview </w:t>
      </w:r>
      <w:r>
        <w:rPr>
          <w:rFonts w:ascii="Arial" w:hAnsi="Arial" w:cs="Arial"/>
        </w:rPr>
        <w:t>investigation f</w:t>
      </w:r>
      <w:r w:rsidR="00570186" w:rsidRPr="00C06FD7">
        <w:rPr>
          <w:rFonts w:ascii="Arial" w:hAnsi="Arial" w:cs="Arial"/>
        </w:rPr>
        <w:t>ramework</w:t>
      </w:r>
      <w:r>
        <w:rPr>
          <w:rFonts w:ascii="Arial" w:hAnsi="Arial" w:cs="Arial"/>
        </w:rPr>
        <w:t xml:space="preserve"> which is a proposed approach of  </w:t>
      </w:r>
      <w:r w:rsidR="00570186" w:rsidRPr="008F1786">
        <w:rPr>
          <w:rFonts w:ascii="Arial" w:hAnsi="Arial" w:cs="Arial"/>
          <w:lang w:val="en-GB"/>
        </w:rPr>
        <w:t>Arksey and O'Malley</w:t>
      </w:r>
      <w:r w:rsidR="00570186">
        <w:rPr>
          <w:rFonts w:ascii="Arial" w:hAnsi="Arial" w:cs="Arial"/>
          <w:lang w:val="en-GB"/>
        </w:rPr>
        <w:t xml:space="preserve"> (</w:t>
      </w:r>
      <w:r w:rsidR="00570186" w:rsidRPr="008F1786">
        <w:rPr>
          <w:rFonts w:ascii="Arial" w:hAnsi="Arial" w:cs="Arial"/>
          <w:lang w:val="en-GB"/>
        </w:rPr>
        <w:t>2005),</w:t>
      </w:r>
      <w:r>
        <w:rPr>
          <w:rFonts w:ascii="Arial" w:hAnsi="Arial" w:cs="Arial"/>
          <w:lang w:val="en-GB"/>
        </w:rPr>
        <w:t xml:space="preserve"> </w:t>
      </w:r>
      <w:r w:rsidR="00570186" w:rsidRPr="008F1786">
        <w:rPr>
          <w:rFonts w:ascii="Arial" w:hAnsi="Arial" w:cs="Arial"/>
          <w:lang w:val="en-GB"/>
        </w:rPr>
        <w:t>appropriate for investigating wide-ranging</w:t>
      </w:r>
      <w:r>
        <w:rPr>
          <w:rFonts w:ascii="Arial" w:hAnsi="Arial" w:cs="Arial"/>
          <w:lang w:val="en-GB"/>
        </w:rPr>
        <w:t xml:space="preserve"> of data</w:t>
      </w:r>
      <w:r w:rsidR="00570186" w:rsidRPr="008F1786">
        <w:rPr>
          <w:rFonts w:ascii="Arial" w:hAnsi="Arial" w:cs="Arial"/>
          <w:lang w:val="en-GB"/>
        </w:rPr>
        <w:t xml:space="preserve"> and complicated subjects</w:t>
      </w:r>
      <w:r w:rsidR="00570186">
        <w:rPr>
          <w:rFonts w:ascii="Arial" w:hAnsi="Arial" w:cs="Arial"/>
          <w:lang w:val="en-GB"/>
        </w:rPr>
        <w:t xml:space="preserve"> in an adaptable way </w:t>
      </w:r>
      <w:r>
        <w:rPr>
          <w:rFonts w:ascii="Arial" w:hAnsi="Arial" w:cs="Arial"/>
          <w:lang w:val="en-GB"/>
        </w:rPr>
        <w:t xml:space="preserve">like find out the pertinent research then using this indagation to find out the answers of the proposed research questions, thematic analysis and reporting of the data, data compilation and summarisation of the expected outcomes with inclusive and inclusive studies for the proper professional organization of the reasoning and its graphing. </w:t>
      </w:r>
    </w:p>
    <w:p w14:paraId="4F435B82" w14:textId="532244B7" w:rsidR="00570186" w:rsidRDefault="001D701D" w:rsidP="00570186">
      <w:pPr>
        <w:rPr>
          <w:b/>
          <w:bCs/>
        </w:rPr>
      </w:pPr>
      <w:r w:rsidRPr="001D701D">
        <w:rPr>
          <w:b/>
          <w:bCs/>
        </w:rPr>
        <w:lastRenderedPageBreak/>
        <w:t xml:space="preserve">Data </w:t>
      </w:r>
      <w:r>
        <w:rPr>
          <w:b/>
          <w:bCs/>
        </w:rPr>
        <w:t>Accumulation</w:t>
      </w:r>
    </w:p>
    <w:p w14:paraId="30A2613D" w14:textId="229D65EB" w:rsidR="00F42DF0" w:rsidRDefault="0084653E" w:rsidP="0084653E">
      <w:pPr>
        <w:spacing w:line="360" w:lineRule="auto"/>
        <w:jc w:val="both"/>
        <w:rPr>
          <w:rFonts w:ascii="Arial" w:hAnsi="Arial" w:cs="Arial"/>
          <w:lang w:val="en-GB"/>
        </w:rPr>
      </w:pPr>
      <w:r>
        <w:rPr>
          <w:rFonts w:ascii="Arial" w:hAnsi="Arial" w:cs="Arial"/>
          <w:lang w:val="en-GB"/>
        </w:rPr>
        <w:t xml:space="preserve">Medlin, </w:t>
      </w:r>
      <w:r w:rsidR="00E75F2A" w:rsidRPr="00AA24B9">
        <w:rPr>
          <w:rFonts w:ascii="Arial" w:hAnsi="Arial" w:cs="Arial"/>
          <w:lang w:val="en-GB"/>
        </w:rPr>
        <w:t>CINAHL</w:t>
      </w:r>
      <w:r w:rsidR="00E75F2A">
        <w:rPr>
          <w:rFonts w:ascii="Arial" w:hAnsi="Arial" w:cs="Arial"/>
          <w:lang w:val="en-GB"/>
        </w:rPr>
        <w:t xml:space="preserve">, </w:t>
      </w:r>
      <w:r>
        <w:rPr>
          <w:rFonts w:ascii="Arial" w:hAnsi="Arial" w:cs="Arial"/>
          <w:lang w:val="en-GB"/>
        </w:rPr>
        <w:t xml:space="preserve">Cochrane Library, </w:t>
      </w:r>
      <w:r w:rsidRPr="00AA24B9">
        <w:rPr>
          <w:rFonts w:ascii="Arial" w:hAnsi="Arial" w:cs="Arial"/>
          <w:lang w:val="en-GB"/>
        </w:rPr>
        <w:t>Google Scholar</w:t>
      </w:r>
      <w:r w:rsidR="00E75F2A">
        <w:rPr>
          <w:rFonts w:ascii="Arial" w:hAnsi="Arial" w:cs="Arial"/>
          <w:lang w:val="en-GB"/>
        </w:rPr>
        <w:t xml:space="preserve"> and [</w:t>
      </w:r>
      <w:r w:rsidRPr="00AA24B9">
        <w:rPr>
          <w:rFonts w:ascii="Arial" w:hAnsi="Arial" w:cs="Arial"/>
          <w:lang w:val="en-GB"/>
        </w:rPr>
        <w:t>PubMed,</w:t>
      </w:r>
      <w:r>
        <w:rPr>
          <w:rFonts w:ascii="Arial" w:hAnsi="Arial" w:cs="Arial"/>
          <w:lang w:val="en-GB"/>
        </w:rPr>
        <w:t xml:space="preserve"> dbGaP, RePORTER</w:t>
      </w:r>
      <w:r w:rsidR="00E75F2A">
        <w:rPr>
          <w:rFonts w:ascii="Arial" w:hAnsi="Arial" w:cs="Arial"/>
          <w:lang w:val="en-GB"/>
        </w:rPr>
        <w:t xml:space="preserve">] these debases are running by the NIH; these </w:t>
      </w:r>
      <w:r w:rsidRPr="00AA24B9">
        <w:rPr>
          <w:rFonts w:ascii="Arial" w:hAnsi="Arial" w:cs="Arial"/>
          <w:lang w:val="en-GB"/>
        </w:rPr>
        <w:t>are just a few of the internet databases that will be thoroughly searched</w:t>
      </w:r>
      <w:r>
        <w:rPr>
          <w:rFonts w:ascii="Arial" w:hAnsi="Arial" w:cs="Arial"/>
          <w:lang w:val="en-GB"/>
        </w:rPr>
        <w:t xml:space="preserve"> for the</w:t>
      </w:r>
      <w:r w:rsidR="00E75F2A">
        <w:rPr>
          <w:rFonts w:ascii="Arial" w:hAnsi="Arial" w:cs="Arial"/>
          <w:lang w:val="en-GB"/>
        </w:rPr>
        <w:t xml:space="preserve"> secondary peer reviewed </w:t>
      </w:r>
      <w:r>
        <w:rPr>
          <w:rFonts w:ascii="Arial" w:hAnsi="Arial" w:cs="Arial"/>
          <w:lang w:val="en-GB"/>
        </w:rPr>
        <w:t>research</w:t>
      </w:r>
      <w:r w:rsidRPr="00AA24B9">
        <w:rPr>
          <w:rFonts w:ascii="Arial" w:hAnsi="Arial" w:cs="Arial"/>
          <w:lang w:val="en-GB"/>
        </w:rPr>
        <w:t>. Organisations including NHS, The King's Fund, The Nuffield Trust, and</w:t>
      </w:r>
      <w:r>
        <w:rPr>
          <w:rFonts w:ascii="Arial" w:hAnsi="Arial" w:cs="Arial"/>
          <w:lang w:val="en-GB"/>
        </w:rPr>
        <w:t xml:space="preserve"> </w:t>
      </w:r>
      <w:r w:rsidRPr="00AA24B9">
        <w:rPr>
          <w:rFonts w:ascii="Arial" w:hAnsi="Arial" w:cs="Arial"/>
          <w:lang w:val="en-GB"/>
        </w:rPr>
        <w:t>ONS will provide the grey literature</w:t>
      </w:r>
      <w:r>
        <w:rPr>
          <w:rFonts w:ascii="Arial" w:hAnsi="Arial" w:cs="Arial"/>
          <w:lang w:val="en-GB"/>
        </w:rPr>
        <w:t xml:space="preserve"> for secondary review with applying the Boolean Operators (OR/AND) for getting the refined outcomes</w:t>
      </w:r>
      <w:r w:rsidRPr="00AA24B9">
        <w:rPr>
          <w:rFonts w:ascii="Arial" w:hAnsi="Arial" w:cs="Arial"/>
          <w:lang w:val="en-GB"/>
        </w:rPr>
        <w:t>.</w:t>
      </w:r>
      <w:r w:rsidR="00F42DF0" w:rsidRPr="00F42DF0">
        <w:rPr>
          <w:rFonts w:ascii="Arial" w:hAnsi="Arial" w:cs="Arial"/>
          <w:lang w:val="en-GB"/>
        </w:rPr>
        <w:t xml:space="preserve"> These organisations offer excellent reports, assessments, and statistical information about healthcare access, the uptake of digital health, and socioeconomic </w:t>
      </w:r>
      <w:r w:rsidR="00F42DF0">
        <w:rPr>
          <w:rFonts w:ascii="Arial" w:hAnsi="Arial" w:cs="Arial"/>
          <w:lang w:val="en-GB"/>
        </w:rPr>
        <w:t>discrepancies</w:t>
      </w:r>
      <w:r w:rsidR="00F42DF0" w:rsidRPr="00F42DF0">
        <w:rPr>
          <w:rFonts w:ascii="Arial" w:hAnsi="Arial" w:cs="Arial"/>
          <w:lang w:val="en-GB"/>
        </w:rPr>
        <w:t xml:space="preserve"> in the UK. A more comprehensive grasp of practical telehealth implementation and contextual factors impacting health equity was facilitated by the incorporation of grey literature.</w:t>
      </w:r>
    </w:p>
    <w:p w14:paraId="5BC28C42" w14:textId="73FC49A6" w:rsidR="0084653E" w:rsidRDefault="0084653E" w:rsidP="0084653E">
      <w:pPr>
        <w:spacing w:line="360" w:lineRule="auto"/>
        <w:jc w:val="both"/>
        <w:rPr>
          <w:rFonts w:ascii="Arial" w:hAnsi="Arial" w:cs="Arial"/>
          <w:lang w:val="en-GB"/>
        </w:rPr>
      </w:pPr>
      <w:r>
        <w:rPr>
          <w:rFonts w:ascii="Arial" w:hAnsi="Arial" w:cs="Arial"/>
          <w:lang w:val="en-GB"/>
        </w:rPr>
        <w:t>Specified Search Terms included role of telehealth in NHS UK, socioeconomic inequalities, telehealth, digital Health, Usage of advance technology in healthcare sector, health equity and access to the usage of modern inventions, remote consultations etc</w:t>
      </w:r>
      <w:r w:rsidR="00E75F2A">
        <w:rPr>
          <w:rFonts w:ascii="Arial" w:hAnsi="Arial" w:cs="Arial"/>
          <w:lang w:val="en-GB"/>
        </w:rPr>
        <w:t xml:space="preserve"> also help in the finding the literature regarding the research proposal</w:t>
      </w:r>
      <w:r>
        <w:rPr>
          <w:rFonts w:ascii="Arial" w:hAnsi="Arial" w:cs="Arial"/>
          <w:lang w:val="en-GB"/>
        </w:rPr>
        <w:t>.</w:t>
      </w:r>
    </w:p>
    <w:p w14:paraId="6B159FDB" w14:textId="4F864B90" w:rsidR="004640A0" w:rsidRPr="004640A0" w:rsidRDefault="004640A0" w:rsidP="004640A0">
      <w:pPr>
        <w:spacing w:line="360" w:lineRule="auto"/>
        <w:jc w:val="both"/>
        <w:rPr>
          <w:rFonts w:ascii="Arial" w:hAnsi="Arial" w:cs="Arial"/>
          <w:lang w:val="en-GB"/>
        </w:rPr>
      </w:pPr>
      <w:r w:rsidRPr="004640A0">
        <w:rPr>
          <w:rFonts w:ascii="Arial" w:hAnsi="Arial" w:cs="Arial"/>
          <w:b/>
          <w:bCs/>
          <w:lang w:val="en-GB"/>
        </w:rPr>
        <w:t xml:space="preserve">Databases Used for </w:t>
      </w:r>
      <w:r>
        <w:rPr>
          <w:rFonts w:ascii="Arial" w:hAnsi="Arial" w:cs="Arial"/>
          <w:b/>
          <w:bCs/>
          <w:lang w:val="en-GB"/>
        </w:rPr>
        <w:t xml:space="preserve">Peer Reviewed </w:t>
      </w:r>
      <w:r w:rsidRPr="004640A0">
        <w:rPr>
          <w:rFonts w:ascii="Arial" w:hAnsi="Arial" w:cs="Arial"/>
          <w:b/>
          <w:bCs/>
          <w:lang w:val="en-GB"/>
        </w:rPr>
        <w:t>Literature</w:t>
      </w:r>
      <w:r>
        <w:rPr>
          <w:rFonts w:ascii="Arial" w:hAnsi="Arial" w:cs="Arial"/>
          <w:b/>
          <w:bCs/>
          <w:lang w:val="en-GB"/>
        </w:rPr>
        <w:t xml:space="preserve"> </w:t>
      </w:r>
    </w:p>
    <w:p w14:paraId="444256A5" w14:textId="77777777" w:rsidR="004640A0" w:rsidRPr="004640A0" w:rsidRDefault="004640A0" w:rsidP="004640A0">
      <w:pPr>
        <w:spacing w:line="360" w:lineRule="auto"/>
        <w:jc w:val="both"/>
        <w:rPr>
          <w:rFonts w:ascii="Arial" w:hAnsi="Arial" w:cs="Arial"/>
          <w:lang w:val="en-GB"/>
        </w:rPr>
      </w:pPr>
      <w:r w:rsidRPr="004640A0">
        <w:rPr>
          <w:rFonts w:ascii="Arial" w:hAnsi="Arial" w:cs="Arial"/>
          <w:lang w:val="en-GB"/>
        </w:rPr>
        <w:t>For this secondary study, a variety of reliable internet resources were thoroughly examined to find pertinent peer-reviewed literature. These databases were chosen to guarantee thorough coverage of research on healthcare, public health, digital health, and health equity both domestically and abroad.</w:t>
      </w:r>
    </w:p>
    <w:p w14:paraId="6FD6552D" w14:textId="0238A765" w:rsidR="004640A0" w:rsidRPr="004640A0" w:rsidRDefault="004640A0" w:rsidP="004640A0">
      <w:pPr>
        <w:spacing w:line="360" w:lineRule="auto"/>
        <w:jc w:val="both"/>
        <w:rPr>
          <w:rFonts w:ascii="Arial" w:hAnsi="Arial" w:cs="Arial"/>
          <w:lang w:val="en-GB"/>
        </w:rPr>
      </w:pPr>
      <w:r w:rsidRPr="004640A0">
        <w:rPr>
          <w:rFonts w:ascii="Arial" w:hAnsi="Arial" w:cs="Arial"/>
          <w:b/>
          <w:bCs/>
          <w:lang w:val="en-GB"/>
        </w:rPr>
        <w:t>MEDLINE</w:t>
      </w:r>
      <w:r>
        <w:rPr>
          <w:rFonts w:ascii="Arial" w:hAnsi="Arial" w:cs="Arial"/>
          <w:b/>
          <w:bCs/>
          <w:lang w:val="en-GB"/>
        </w:rPr>
        <w:t xml:space="preserve"> (primary biomedical database) : </w:t>
      </w:r>
      <w:r w:rsidR="003B6857" w:rsidRPr="003B6857">
        <w:rPr>
          <w:rFonts w:ascii="Arial" w:hAnsi="Arial" w:cs="Arial"/>
          <w:lang w:val="en-GB"/>
        </w:rPr>
        <w:t xml:space="preserve">It is </w:t>
      </w:r>
      <w:r w:rsidRPr="003B6857">
        <w:rPr>
          <w:rFonts w:ascii="Arial" w:hAnsi="Arial" w:cs="Arial"/>
          <w:lang w:val="en-GB"/>
        </w:rPr>
        <w:t xml:space="preserve">helpful in pointing out the literature regarding the telehealth intervention in NHS and clinical results of the healthcare </w:t>
      </w:r>
      <w:r w:rsidR="003B6857" w:rsidRPr="003B6857">
        <w:rPr>
          <w:rFonts w:ascii="Arial" w:hAnsi="Arial" w:cs="Arial"/>
          <w:lang w:val="en-GB"/>
        </w:rPr>
        <w:t xml:space="preserve">delivered models. </w:t>
      </w:r>
    </w:p>
    <w:p w14:paraId="0C8EA3AD" w14:textId="6E146D2E" w:rsidR="004640A0" w:rsidRPr="004640A0" w:rsidRDefault="004640A0" w:rsidP="004640A0">
      <w:pPr>
        <w:spacing w:line="360" w:lineRule="auto"/>
        <w:jc w:val="both"/>
        <w:rPr>
          <w:rFonts w:ascii="Arial" w:hAnsi="Arial" w:cs="Arial"/>
          <w:lang w:val="en-GB"/>
        </w:rPr>
      </w:pPr>
      <w:r w:rsidRPr="004640A0">
        <w:rPr>
          <w:rFonts w:ascii="Arial" w:hAnsi="Arial" w:cs="Arial"/>
          <w:b/>
          <w:bCs/>
          <w:lang w:val="en-GB"/>
        </w:rPr>
        <w:t>CINAHL</w:t>
      </w:r>
      <w:r w:rsidR="003B6857">
        <w:rPr>
          <w:rFonts w:ascii="Arial" w:hAnsi="Arial" w:cs="Arial"/>
          <w:b/>
          <w:bCs/>
          <w:lang w:val="en-GB"/>
        </w:rPr>
        <w:t xml:space="preserve">: </w:t>
      </w:r>
      <w:r w:rsidR="003B6857" w:rsidRPr="003B6857">
        <w:rPr>
          <w:rFonts w:ascii="Arial" w:hAnsi="Arial" w:cs="Arial"/>
          <w:lang w:val="en-GB"/>
        </w:rPr>
        <w:t>It is</w:t>
      </w:r>
      <w:r w:rsidR="003B6857">
        <w:rPr>
          <w:rFonts w:ascii="Arial" w:hAnsi="Arial" w:cs="Arial"/>
          <w:b/>
          <w:bCs/>
          <w:lang w:val="en-GB"/>
        </w:rPr>
        <w:t xml:space="preserve"> </w:t>
      </w:r>
      <w:r w:rsidR="003B6857" w:rsidRPr="003B6857">
        <w:rPr>
          <w:rFonts w:ascii="Arial" w:hAnsi="Arial" w:cs="Arial"/>
          <w:lang w:val="en-GB"/>
        </w:rPr>
        <w:t xml:space="preserve">stand for </w:t>
      </w:r>
      <w:r w:rsidRPr="004640A0">
        <w:rPr>
          <w:rFonts w:ascii="Arial" w:hAnsi="Arial" w:cs="Arial"/>
          <w:lang w:val="en-GB"/>
        </w:rPr>
        <w:t>Cumulative Index to Nursing and Allied Health Literature</w:t>
      </w:r>
      <w:r w:rsidR="003B6857">
        <w:rPr>
          <w:rFonts w:ascii="Arial" w:hAnsi="Arial" w:cs="Arial"/>
          <w:lang w:val="en-GB"/>
        </w:rPr>
        <w:t xml:space="preserve">. </w:t>
      </w:r>
      <w:proofErr w:type="gramStart"/>
      <w:r w:rsidR="003B6857">
        <w:rPr>
          <w:rFonts w:ascii="Arial" w:hAnsi="Arial" w:cs="Arial"/>
          <w:lang w:val="en-GB"/>
        </w:rPr>
        <w:t>It’s</w:t>
      </w:r>
      <w:proofErr w:type="gramEnd"/>
      <w:r w:rsidR="003B6857">
        <w:rPr>
          <w:rFonts w:ascii="Arial" w:hAnsi="Arial" w:cs="Arial"/>
          <w:lang w:val="en-GB"/>
        </w:rPr>
        <w:t xml:space="preserve"> relevancy is also helpful in telehealth practice implementation in the different communal groups.</w:t>
      </w:r>
    </w:p>
    <w:p w14:paraId="2E8C4452" w14:textId="26B3D3C5" w:rsidR="003B6857" w:rsidRPr="003B6857" w:rsidRDefault="004640A0" w:rsidP="003B6857">
      <w:pPr>
        <w:spacing w:line="360" w:lineRule="auto"/>
        <w:jc w:val="both"/>
        <w:rPr>
          <w:rFonts w:ascii="Arial" w:hAnsi="Arial" w:cs="Arial"/>
          <w:lang w:val="en-GB"/>
        </w:rPr>
      </w:pPr>
      <w:r w:rsidRPr="004640A0">
        <w:rPr>
          <w:rFonts w:ascii="Arial" w:hAnsi="Arial" w:cs="Arial"/>
          <w:b/>
          <w:bCs/>
          <w:lang w:val="en-GB"/>
        </w:rPr>
        <w:t>Cochrane Library</w:t>
      </w:r>
      <w:r w:rsidR="003B6857">
        <w:rPr>
          <w:rFonts w:ascii="Arial" w:hAnsi="Arial" w:cs="Arial"/>
          <w:b/>
          <w:bCs/>
          <w:lang w:val="en-GB"/>
        </w:rPr>
        <w:t xml:space="preserve">: </w:t>
      </w:r>
      <w:r w:rsidR="003B6857" w:rsidRPr="003B6857">
        <w:rPr>
          <w:rFonts w:ascii="Arial" w:hAnsi="Arial" w:cs="Arial"/>
          <w:lang w:val="en-GB"/>
        </w:rPr>
        <w:t>It</w:t>
      </w:r>
      <w:r w:rsidR="003B6857">
        <w:rPr>
          <w:rFonts w:ascii="Arial" w:hAnsi="Arial" w:cs="Arial"/>
          <w:b/>
          <w:bCs/>
          <w:lang w:val="en-GB"/>
        </w:rPr>
        <w:t xml:space="preserve"> </w:t>
      </w:r>
      <w:r w:rsidR="003B6857" w:rsidRPr="003B6857">
        <w:rPr>
          <w:rFonts w:ascii="Arial" w:hAnsi="Arial" w:cs="Arial"/>
          <w:lang w:val="en-GB"/>
        </w:rPr>
        <w:t>was looked through to find evidence-based research and systematic reviews evaluating the efficacy of medical therapies</w:t>
      </w:r>
      <w:r w:rsidR="003B6857">
        <w:rPr>
          <w:rFonts w:ascii="Arial" w:hAnsi="Arial" w:cs="Arial"/>
          <w:lang w:val="en-GB"/>
        </w:rPr>
        <w:t xml:space="preserve"> related to telehealth</w:t>
      </w:r>
      <w:r w:rsidR="003B6857" w:rsidRPr="003B6857">
        <w:rPr>
          <w:rFonts w:ascii="Arial" w:hAnsi="Arial" w:cs="Arial"/>
          <w:lang w:val="en-GB"/>
        </w:rPr>
        <w:t>. This database facilitates the synthesis of high-quality research and is helpful in assessing how telehealth affects healthcare fairness and access</w:t>
      </w:r>
      <w:r w:rsidR="003B6857">
        <w:rPr>
          <w:rFonts w:ascii="Arial" w:hAnsi="Arial" w:cs="Arial"/>
          <w:lang w:val="en-GB"/>
        </w:rPr>
        <w:t xml:space="preserve"> and void off the disparities</w:t>
      </w:r>
      <w:r w:rsidR="003B6857" w:rsidRPr="003B6857">
        <w:rPr>
          <w:rFonts w:ascii="Arial" w:hAnsi="Arial" w:cs="Arial"/>
          <w:lang w:val="en-GB"/>
        </w:rPr>
        <w:t>.</w:t>
      </w:r>
    </w:p>
    <w:p w14:paraId="4ACA0617" w14:textId="3FB741CE" w:rsidR="003B6857" w:rsidRPr="003B6857" w:rsidRDefault="003B6857" w:rsidP="003B6857">
      <w:pPr>
        <w:spacing w:line="360" w:lineRule="auto"/>
        <w:jc w:val="both"/>
        <w:rPr>
          <w:rFonts w:ascii="Arial" w:hAnsi="Arial" w:cs="Arial"/>
          <w:lang w:val="en-GB"/>
        </w:rPr>
      </w:pPr>
      <w:r w:rsidRPr="004640A0">
        <w:rPr>
          <w:rFonts w:ascii="Arial" w:hAnsi="Arial" w:cs="Arial"/>
          <w:b/>
          <w:bCs/>
          <w:lang w:val="en-GB"/>
        </w:rPr>
        <w:t>Google Scholar</w:t>
      </w:r>
      <w:r>
        <w:rPr>
          <w:rFonts w:ascii="Arial" w:hAnsi="Arial" w:cs="Arial"/>
          <w:b/>
          <w:bCs/>
          <w:lang w:val="en-GB"/>
        </w:rPr>
        <w:t>:</w:t>
      </w:r>
      <w:r w:rsidRPr="004640A0">
        <w:rPr>
          <w:rFonts w:ascii="Arial" w:hAnsi="Arial" w:cs="Arial"/>
          <w:lang w:val="en-GB"/>
        </w:rPr>
        <w:t xml:space="preserve"> </w:t>
      </w:r>
      <w:r>
        <w:rPr>
          <w:rFonts w:ascii="Arial" w:hAnsi="Arial" w:cs="Arial"/>
          <w:lang w:val="en-GB"/>
        </w:rPr>
        <w:t xml:space="preserve">It </w:t>
      </w:r>
      <w:r w:rsidRPr="003B6857">
        <w:rPr>
          <w:rFonts w:ascii="Arial" w:hAnsi="Arial" w:cs="Arial"/>
          <w:lang w:val="en-GB"/>
        </w:rPr>
        <w:t xml:space="preserve">was employed as an additional search engine to guarantee thorough coverage and find pertinent, peer-reviewed publications that conventional databases might not index. It was also helpful for identifying important studies in telehealth </w:t>
      </w:r>
      <w:r>
        <w:rPr>
          <w:rFonts w:ascii="Arial" w:hAnsi="Arial" w:cs="Arial"/>
          <w:lang w:val="en-GB"/>
        </w:rPr>
        <w:t xml:space="preserve">or digital healthcare </w:t>
      </w:r>
      <w:r w:rsidRPr="003B6857">
        <w:rPr>
          <w:rFonts w:ascii="Arial" w:hAnsi="Arial" w:cs="Arial"/>
          <w:lang w:val="en-GB"/>
        </w:rPr>
        <w:t xml:space="preserve">research and tracking </w:t>
      </w:r>
      <w:r>
        <w:rPr>
          <w:rFonts w:ascii="Arial" w:hAnsi="Arial" w:cs="Arial"/>
          <w:lang w:val="en-GB"/>
        </w:rPr>
        <w:t xml:space="preserve">study related specific </w:t>
      </w:r>
      <w:r w:rsidRPr="003B6857">
        <w:rPr>
          <w:rFonts w:ascii="Arial" w:hAnsi="Arial" w:cs="Arial"/>
          <w:lang w:val="en-GB"/>
        </w:rPr>
        <w:t>citations.</w:t>
      </w:r>
    </w:p>
    <w:p w14:paraId="47C15EA0" w14:textId="77777777" w:rsidR="00B4022A" w:rsidRDefault="00B4022A">
      <w:pPr>
        <w:rPr>
          <w:rFonts w:ascii="Arial" w:hAnsi="Arial" w:cs="Arial"/>
          <w:b/>
          <w:bCs/>
          <w:lang w:val="en-GB"/>
        </w:rPr>
      </w:pPr>
      <w:r>
        <w:rPr>
          <w:rFonts w:ascii="Arial" w:hAnsi="Arial" w:cs="Arial"/>
          <w:b/>
          <w:bCs/>
          <w:lang w:val="en-GB"/>
        </w:rPr>
        <w:br w:type="page"/>
      </w:r>
    </w:p>
    <w:p w14:paraId="50F2763F" w14:textId="2BCBE29D" w:rsidR="003B6857" w:rsidRPr="004640A0" w:rsidRDefault="00CD7B86" w:rsidP="003B6857">
      <w:pPr>
        <w:spacing w:line="360" w:lineRule="auto"/>
        <w:jc w:val="both"/>
        <w:rPr>
          <w:rFonts w:ascii="Arial" w:hAnsi="Arial" w:cs="Arial"/>
          <w:b/>
          <w:bCs/>
          <w:lang w:val="en-GB"/>
        </w:rPr>
      </w:pPr>
      <w:r w:rsidRPr="00CD7B86">
        <w:rPr>
          <w:rFonts w:ascii="Arial" w:hAnsi="Arial" w:cs="Arial"/>
          <w:b/>
          <w:bCs/>
          <w:lang w:val="en-GB"/>
        </w:rPr>
        <w:lastRenderedPageBreak/>
        <w:t>National Institute of Health running Databases</w:t>
      </w:r>
    </w:p>
    <w:p w14:paraId="3992D842" w14:textId="4E88FC6A" w:rsidR="00CD7B86" w:rsidRPr="00CD7B86" w:rsidRDefault="004640A0" w:rsidP="00CD7B86">
      <w:pPr>
        <w:spacing w:line="360" w:lineRule="auto"/>
        <w:jc w:val="both"/>
        <w:rPr>
          <w:rFonts w:ascii="Arial" w:hAnsi="Arial" w:cs="Arial"/>
          <w:lang w:val="en-GB"/>
        </w:rPr>
      </w:pPr>
      <w:r w:rsidRPr="004640A0">
        <w:rPr>
          <w:rFonts w:ascii="Arial" w:hAnsi="Arial" w:cs="Arial"/>
          <w:b/>
          <w:bCs/>
          <w:lang w:val="en-GB"/>
        </w:rPr>
        <w:t>PubMed</w:t>
      </w:r>
      <w:r w:rsidR="00CD7B86" w:rsidRPr="00316527">
        <w:rPr>
          <w:rFonts w:ascii="Arial" w:hAnsi="Arial" w:cs="Arial"/>
          <w:b/>
          <w:bCs/>
          <w:lang w:val="en-GB"/>
        </w:rPr>
        <w:t>:</w:t>
      </w:r>
      <w:r w:rsidR="00BD5BD2">
        <w:rPr>
          <w:rFonts w:ascii="Arial" w:hAnsi="Arial" w:cs="Arial"/>
          <w:b/>
          <w:bCs/>
          <w:lang w:val="en-GB"/>
        </w:rPr>
        <w:t xml:space="preserve"> </w:t>
      </w:r>
      <w:r w:rsidR="00BD5BD2" w:rsidRPr="00BD5BD2">
        <w:rPr>
          <w:rFonts w:ascii="Arial" w:hAnsi="Arial" w:cs="Arial"/>
          <w:lang w:val="en-GB"/>
        </w:rPr>
        <w:t>It</w:t>
      </w:r>
      <w:r w:rsidR="00CD7B86">
        <w:rPr>
          <w:rFonts w:ascii="Arial" w:hAnsi="Arial" w:cs="Arial"/>
          <w:lang w:val="en-GB"/>
        </w:rPr>
        <w:t xml:space="preserve"> is</w:t>
      </w:r>
      <w:r w:rsidR="00CD7B86" w:rsidRPr="00CD7B86">
        <w:rPr>
          <w:rFonts w:ascii="Arial" w:hAnsi="Arial" w:cs="Arial"/>
          <w:lang w:val="en-GB"/>
        </w:rPr>
        <w:t xml:space="preserve"> used to access a large collection of peer-reviewed biomedical and health services research that was kept up to date by </w:t>
      </w:r>
      <w:r w:rsidR="00CD7B86">
        <w:rPr>
          <w:rFonts w:ascii="Arial" w:hAnsi="Arial" w:cs="Arial"/>
          <w:lang w:val="en-GB"/>
        </w:rPr>
        <w:t>NIH . Also</w:t>
      </w:r>
      <w:r w:rsidR="00F42DF0">
        <w:rPr>
          <w:rFonts w:ascii="Arial" w:hAnsi="Arial" w:cs="Arial"/>
          <w:lang w:val="en-GB"/>
        </w:rPr>
        <w:t>,</w:t>
      </w:r>
      <w:r w:rsidR="00CD7B86">
        <w:rPr>
          <w:rFonts w:ascii="Arial" w:hAnsi="Arial" w:cs="Arial"/>
          <w:lang w:val="en-GB"/>
        </w:rPr>
        <w:t xml:space="preserve"> b</w:t>
      </w:r>
      <w:r w:rsidR="00CD7B86" w:rsidRPr="00CD7B86">
        <w:rPr>
          <w:rFonts w:ascii="Arial" w:hAnsi="Arial" w:cs="Arial"/>
          <w:lang w:val="en-GB"/>
        </w:rPr>
        <w:t xml:space="preserve">y giving users more access to life sciences journals and </w:t>
      </w:r>
      <w:r w:rsidR="00316527" w:rsidRPr="00CD7B86">
        <w:rPr>
          <w:rFonts w:ascii="Arial" w:hAnsi="Arial" w:cs="Arial"/>
          <w:lang w:val="en-GB"/>
        </w:rPr>
        <w:t>early online</w:t>
      </w:r>
      <w:r w:rsidR="00CD7B86" w:rsidRPr="00CD7B86">
        <w:rPr>
          <w:rFonts w:ascii="Arial" w:hAnsi="Arial" w:cs="Arial"/>
          <w:lang w:val="en-GB"/>
        </w:rPr>
        <w:t xml:space="preserve"> publications about telemedicine and digital health</w:t>
      </w:r>
      <w:r w:rsidR="00316527">
        <w:rPr>
          <w:rFonts w:ascii="Arial" w:hAnsi="Arial" w:cs="Arial"/>
          <w:lang w:val="en-GB"/>
        </w:rPr>
        <w:t xml:space="preserve">. Basically, </w:t>
      </w:r>
      <w:r w:rsidR="00CD7B86" w:rsidRPr="00CD7B86">
        <w:rPr>
          <w:rFonts w:ascii="Arial" w:hAnsi="Arial" w:cs="Arial"/>
          <w:lang w:val="en-GB"/>
        </w:rPr>
        <w:t>PubMed enhances MEDLINE.</w:t>
      </w:r>
    </w:p>
    <w:p w14:paraId="139CD2B0" w14:textId="5457FCC5" w:rsidR="00F42DF0" w:rsidRDefault="004640A0" w:rsidP="00F42DF0">
      <w:pPr>
        <w:spacing w:line="360" w:lineRule="auto"/>
        <w:jc w:val="both"/>
        <w:rPr>
          <w:rFonts w:ascii="Arial" w:hAnsi="Arial" w:cs="Arial"/>
          <w:lang w:val="en-GB"/>
        </w:rPr>
      </w:pPr>
      <w:r w:rsidRPr="004640A0">
        <w:rPr>
          <w:rFonts w:ascii="Arial" w:hAnsi="Arial" w:cs="Arial"/>
          <w:b/>
          <w:bCs/>
          <w:lang w:val="en-GB"/>
        </w:rPr>
        <w:t>dbGaP</w:t>
      </w:r>
      <w:r w:rsidR="00316527" w:rsidRPr="00316527">
        <w:rPr>
          <w:rFonts w:ascii="Arial" w:hAnsi="Arial" w:cs="Arial"/>
          <w:b/>
          <w:bCs/>
          <w:lang w:val="en-GB"/>
        </w:rPr>
        <w:t xml:space="preserve"> and </w:t>
      </w:r>
      <w:r w:rsidRPr="004640A0">
        <w:rPr>
          <w:rFonts w:ascii="Arial" w:hAnsi="Arial" w:cs="Arial"/>
          <w:b/>
          <w:bCs/>
          <w:lang w:val="en-GB"/>
        </w:rPr>
        <w:t>RePORTER</w:t>
      </w:r>
      <w:r w:rsidR="00316527" w:rsidRPr="00316527">
        <w:rPr>
          <w:rFonts w:ascii="Arial" w:hAnsi="Arial" w:cs="Arial"/>
          <w:b/>
          <w:bCs/>
          <w:lang w:val="en-GB"/>
        </w:rPr>
        <w:t>:</w:t>
      </w:r>
      <w:r w:rsidRPr="004640A0">
        <w:rPr>
          <w:rFonts w:ascii="Arial" w:hAnsi="Arial" w:cs="Arial"/>
          <w:lang w:val="en-GB"/>
        </w:rPr>
        <w:t xml:space="preserve"> </w:t>
      </w:r>
      <w:r w:rsidR="00BD5BD2">
        <w:rPr>
          <w:rFonts w:ascii="Arial" w:hAnsi="Arial" w:cs="Arial"/>
          <w:lang w:val="en-GB"/>
        </w:rPr>
        <w:t xml:space="preserve">It is </w:t>
      </w:r>
      <w:r w:rsidR="00F42DF0">
        <w:rPr>
          <w:rFonts w:ascii="Arial" w:hAnsi="Arial" w:cs="Arial"/>
          <w:lang w:val="en-GB"/>
        </w:rPr>
        <w:t>used</w:t>
      </w:r>
      <w:r w:rsidR="00F42DF0" w:rsidRPr="00F42DF0">
        <w:rPr>
          <w:rFonts w:ascii="Arial" w:hAnsi="Arial" w:cs="Arial"/>
          <w:lang w:val="en-GB"/>
        </w:rPr>
        <w:t xml:space="preserve"> to find pertinent funded studies and datasets related to health disparities and telehealth. These resources offer info</w:t>
      </w:r>
      <w:r w:rsidR="00F42DF0">
        <w:rPr>
          <w:rFonts w:ascii="Arial" w:hAnsi="Arial" w:cs="Arial"/>
          <w:lang w:val="en-GB"/>
        </w:rPr>
        <w:t xml:space="preserve"> </w:t>
      </w:r>
      <w:r w:rsidR="00F42DF0" w:rsidRPr="00F42DF0">
        <w:rPr>
          <w:rFonts w:ascii="Arial" w:hAnsi="Arial" w:cs="Arial"/>
          <w:lang w:val="en-GB"/>
        </w:rPr>
        <w:t>about completed and ongoing research projects that contribute to the body of evidence supporting digital health interventions.</w:t>
      </w:r>
    </w:p>
    <w:p w14:paraId="3A5B980C" w14:textId="77777777" w:rsidR="00BD5BD2" w:rsidRPr="00BD5BD2" w:rsidRDefault="00570186" w:rsidP="007166E0">
      <w:pPr>
        <w:spacing w:line="360" w:lineRule="auto"/>
        <w:jc w:val="both"/>
        <w:rPr>
          <w:rFonts w:ascii="Arial" w:hAnsi="Arial" w:cs="Arial"/>
          <w:sz w:val="24"/>
          <w:szCs w:val="24"/>
          <w:u w:val="single"/>
          <w:lang w:val="en-GB"/>
        </w:rPr>
      </w:pPr>
      <w:r w:rsidRPr="00BD5BD2">
        <w:rPr>
          <w:rFonts w:ascii="Arial" w:hAnsi="Arial" w:cs="Arial"/>
          <w:b/>
          <w:bCs/>
          <w:sz w:val="24"/>
          <w:szCs w:val="24"/>
          <w:u w:val="single"/>
          <w:lang w:val="en-GB"/>
        </w:rPr>
        <w:t>Data Analysis</w:t>
      </w:r>
    </w:p>
    <w:p w14:paraId="1FE6196C" w14:textId="16724F5E" w:rsidR="007166E0" w:rsidRDefault="00570186" w:rsidP="007166E0">
      <w:pPr>
        <w:spacing w:line="360" w:lineRule="auto"/>
        <w:jc w:val="both"/>
        <w:rPr>
          <w:rFonts w:ascii="Arial" w:hAnsi="Arial" w:cs="Arial"/>
          <w:lang w:val="en-GB"/>
        </w:rPr>
      </w:pPr>
      <w:r w:rsidRPr="00CA44BE">
        <w:rPr>
          <w:rFonts w:ascii="Arial" w:hAnsi="Arial" w:cs="Arial"/>
          <w:lang w:val="en-GB"/>
        </w:rPr>
        <w:t>The data will be analysed using Aveyard's (20</w:t>
      </w:r>
      <w:r>
        <w:rPr>
          <w:rFonts w:ascii="Arial" w:hAnsi="Arial" w:cs="Arial"/>
          <w:lang w:val="en-GB"/>
        </w:rPr>
        <w:t>21</w:t>
      </w:r>
      <w:r w:rsidRPr="00CA44BE">
        <w:rPr>
          <w:rFonts w:ascii="Arial" w:hAnsi="Arial" w:cs="Arial"/>
          <w:lang w:val="en-GB"/>
        </w:rPr>
        <w:t>) simple theme analysis</w:t>
      </w:r>
      <w:r>
        <w:rPr>
          <w:rFonts w:ascii="Arial" w:hAnsi="Arial" w:cs="Arial"/>
          <w:lang w:val="en-GB"/>
        </w:rPr>
        <w:t xml:space="preserve"> </w:t>
      </w:r>
      <w:r w:rsidR="00F42DF0">
        <w:rPr>
          <w:rFonts w:ascii="Arial" w:hAnsi="Arial" w:cs="Arial"/>
          <w:lang w:val="en-GB"/>
        </w:rPr>
        <w:t>through which studies were analysed by reading particular data repeatedly and creating broader idea</w:t>
      </w:r>
      <w:r w:rsidRPr="00F42DF0">
        <w:rPr>
          <w:rFonts w:ascii="Arial" w:hAnsi="Arial" w:cs="Arial"/>
          <w:lang w:val="en-GB"/>
        </w:rPr>
        <w:t xml:space="preserve"> about fairness, access, and telehealth</w:t>
      </w:r>
      <w:r w:rsidR="00F42DF0">
        <w:rPr>
          <w:rFonts w:ascii="Arial" w:hAnsi="Arial" w:cs="Arial"/>
          <w:lang w:val="en-GB"/>
        </w:rPr>
        <w:t>. In Thematic Analysis, i</w:t>
      </w:r>
      <w:r w:rsidR="00F42DF0" w:rsidRPr="00F42DF0">
        <w:rPr>
          <w:rFonts w:ascii="Arial" w:hAnsi="Arial" w:cs="Arial"/>
          <w:lang w:val="en-GB"/>
        </w:rPr>
        <w:t>mportant conclusions, results, and stated effects of telehealth on equity and access were taken out and coded</w:t>
      </w:r>
      <w:r w:rsidR="00F42DF0">
        <w:rPr>
          <w:rFonts w:ascii="Arial" w:hAnsi="Arial" w:cs="Arial"/>
          <w:lang w:val="en-GB"/>
        </w:rPr>
        <w:t xml:space="preserve"> professionally</w:t>
      </w:r>
      <w:r w:rsidR="00F42DF0" w:rsidRPr="00F42DF0">
        <w:rPr>
          <w:rFonts w:ascii="Arial" w:hAnsi="Arial" w:cs="Arial"/>
          <w:lang w:val="en-GB"/>
        </w:rPr>
        <w:t>. The data was used to generate initial codes, which were then categorised into more general themes like service efficiency, socioeconomic barriers, rural access, and digital inclusion. To make sure they were consistent and pertinent to the review question, the themes were examined and improved.</w:t>
      </w:r>
    </w:p>
    <w:p w14:paraId="3AE26BF5" w14:textId="1B547491" w:rsidR="007166E0" w:rsidRPr="007166E0" w:rsidRDefault="007166E0" w:rsidP="007166E0">
      <w:pPr>
        <w:spacing w:line="360" w:lineRule="auto"/>
        <w:jc w:val="both"/>
        <w:rPr>
          <w:rFonts w:ascii="Arial" w:hAnsi="Arial" w:cs="Arial"/>
          <w:b/>
          <w:bCs/>
          <w:sz w:val="24"/>
          <w:szCs w:val="24"/>
          <w:u w:val="single"/>
          <w:lang w:val="en-GB"/>
        </w:rPr>
      </w:pPr>
      <w:r w:rsidRPr="00A428AE">
        <w:rPr>
          <w:rFonts w:ascii="Arial" w:hAnsi="Arial" w:cs="Arial"/>
          <w:b/>
          <w:bCs/>
          <w:sz w:val="24"/>
          <w:szCs w:val="24"/>
          <w:u w:val="single"/>
          <w:lang w:val="en-GB"/>
        </w:rPr>
        <w:t>Inclusion Criteria</w:t>
      </w:r>
    </w:p>
    <w:p w14:paraId="6F2EE494" w14:textId="4E07AC45" w:rsidR="007166E0" w:rsidRPr="007166E0" w:rsidRDefault="007166E0" w:rsidP="007166E0">
      <w:pPr>
        <w:pStyle w:val="ListParagraph"/>
        <w:numPr>
          <w:ilvl w:val="0"/>
          <w:numId w:val="97"/>
        </w:numPr>
        <w:spacing w:line="360" w:lineRule="auto"/>
        <w:jc w:val="both"/>
        <w:rPr>
          <w:rFonts w:ascii="Arial" w:hAnsi="Arial" w:cs="Arial"/>
          <w:b/>
          <w:bCs/>
          <w:sz w:val="24"/>
          <w:szCs w:val="24"/>
          <w:u w:val="single"/>
        </w:rPr>
      </w:pPr>
      <w:r w:rsidRPr="00A428AE">
        <w:rPr>
          <w:rFonts w:ascii="Arial" w:hAnsi="Arial" w:cs="Arial"/>
          <w:lang w:val="en-GB"/>
        </w:rPr>
        <w:t>Research and publications</w:t>
      </w:r>
      <w:r>
        <w:rPr>
          <w:rFonts w:ascii="Arial" w:hAnsi="Arial" w:cs="Arial"/>
          <w:lang w:val="en-GB"/>
        </w:rPr>
        <w:t xml:space="preserve"> </w:t>
      </w:r>
      <w:r w:rsidRPr="00A428AE">
        <w:rPr>
          <w:rFonts w:ascii="Arial" w:hAnsi="Arial" w:cs="Arial"/>
          <w:lang w:val="en-GB"/>
        </w:rPr>
        <w:t>on digital healthcare</w:t>
      </w:r>
      <w:r>
        <w:rPr>
          <w:rFonts w:ascii="Arial" w:hAnsi="Arial" w:cs="Arial"/>
          <w:lang w:val="en-GB"/>
        </w:rPr>
        <w:t xml:space="preserve"> monitoring</w:t>
      </w:r>
      <w:r w:rsidRPr="00A428AE">
        <w:rPr>
          <w:rFonts w:ascii="Arial" w:hAnsi="Arial" w:cs="Arial"/>
          <w:lang w:val="en-GB"/>
        </w:rPr>
        <w:t xml:space="preserve"> </w:t>
      </w:r>
      <w:r w:rsidR="000C5AD8">
        <w:rPr>
          <w:rFonts w:ascii="Arial" w:hAnsi="Arial" w:cs="Arial"/>
          <w:lang w:val="en-GB"/>
        </w:rPr>
        <w:t>for peer reviewed secondary research.</w:t>
      </w:r>
    </w:p>
    <w:p w14:paraId="2988CB32" w14:textId="19565B44" w:rsidR="007166E0" w:rsidRPr="00A428AE" w:rsidRDefault="000C5AD8" w:rsidP="007166E0">
      <w:pPr>
        <w:pStyle w:val="ListParagraph"/>
        <w:numPr>
          <w:ilvl w:val="0"/>
          <w:numId w:val="97"/>
        </w:numPr>
        <w:spacing w:line="360" w:lineRule="auto"/>
        <w:jc w:val="both"/>
        <w:rPr>
          <w:rFonts w:ascii="Arial" w:hAnsi="Arial" w:cs="Arial"/>
          <w:b/>
          <w:bCs/>
          <w:sz w:val="24"/>
          <w:szCs w:val="24"/>
          <w:u w:val="single"/>
        </w:rPr>
      </w:pPr>
      <w:r>
        <w:rPr>
          <w:rFonts w:ascii="Arial" w:hAnsi="Arial" w:cs="Arial"/>
          <w:lang w:val="en-GB"/>
        </w:rPr>
        <w:t xml:space="preserve">Previous </w:t>
      </w:r>
      <w:r w:rsidR="007166E0">
        <w:rPr>
          <w:rFonts w:ascii="Arial" w:hAnsi="Arial" w:cs="Arial"/>
          <w:lang w:val="en-GB"/>
        </w:rPr>
        <w:t xml:space="preserve">Investigation </w:t>
      </w:r>
      <w:r>
        <w:rPr>
          <w:rFonts w:ascii="Arial" w:hAnsi="Arial" w:cs="Arial"/>
          <w:lang w:val="en-GB"/>
        </w:rPr>
        <w:t xml:space="preserve">on </w:t>
      </w:r>
      <w:r w:rsidR="007166E0">
        <w:rPr>
          <w:rFonts w:ascii="Arial" w:hAnsi="Arial" w:cs="Arial"/>
          <w:lang w:val="en-GB"/>
        </w:rPr>
        <w:t>addressing the telehealth and health care access and equity</w:t>
      </w:r>
      <w:r>
        <w:rPr>
          <w:rFonts w:ascii="Arial" w:hAnsi="Arial" w:cs="Arial"/>
          <w:lang w:val="en-GB"/>
        </w:rPr>
        <w:t xml:space="preserve"> as a grey literature.</w:t>
      </w:r>
      <w:r w:rsidR="007166E0" w:rsidRPr="00A428AE">
        <w:rPr>
          <w:rFonts w:ascii="Arial" w:hAnsi="Arial" w:cs="Arial"/>
          <w:lang w:val="en-GB"/>
        </w:rPr>
        <w:t xml:space="preserve"> </w:t>
      </w:r>
    </w:p>
    <w:p w14:paraId="7FE7F3C9" w14:textId="20F80218" w:rsidR="007166E0" w:rsidRPr="00A428AE" w:rsidRDefault="007166E0" w:rsidP="007166E0">
      <w:pPr>
        <w:pStyle w:val="ListParagraph"/>
        <w:numPr>
          <w:ilvl w:val="0"/>
          <w:numId w:val="97"/>
        </w:numPr>
        <w:spacing w:line="360" w:lineRule="auto"/>
        <w:jc w:val="both"/>
        <w:rPr>
          <w:rFonts w:ascii="Arial" w:hAnsi="Arial" w:cs="Arial"/>
          <w:lang w:val="en-GB"/>
        </w:rPr>
      </w:pPr>
      <w:r>
        <w:rPr>
          <w:rFonts w:ascii="Arial" w:hAnsi="Arial" w:cs="Arial"/>
          <w:lang w:val="en-GB"/>
        </w:rPr>
        <w:t xml:space="preserve">Healthcare </w:t>
      </w:r>
      <w:r w:rsidR="000C5AD8">
        <w:rPr>
          <w:rFonts w:ascii="Arial" w:hAnsi="Arial" w:cs="Arial"/>
          <w:lang w:val="en-GB"/>
        </w:rPr>
        <w:t>legislative Frameworks UK regarding NHS.</w:t>
      </w:r>
      <w:r>
        <w:rPr>
          <w:rFonts w:ascii="Arial" w:hAnsi="Arial" w:cs="Arial"/>
          <w:lang w:val="en-GB"/>
        </w:rPr>
        <w:t xml:space="preserve"> </w:t>
      </w:r>
      <w:r w:rsidR="000C5AD8">
        <w:rPr>
          <w:rFonts w:ascii="Arial" w:hAnsi="Arial" w:cs="Arial"/>
          <w:lang w:val="en-GB"/>
        </w:rPr>
        <w:t xml:space="preserve"> </w:t>
      </w:r>
    </w:p>
    <w:p w14:paraId="00804FD3" w14:textId="7884883F" w:rsidR="007166E0" w:rsidRPr="00A428AE" w:rsidRDefault="007166E0" w:rsidP="007166E0">
      <w:pPr>
        <w:pStyle w:val="ListParagraph"/>
        <w:numPr>
          <w:ilvl w:val="0"/>
          <w:numId w:val="97"/>
        </w:numPr>
        <w:spacing w:line="360" w:lineRule="auto"/>
        <w:jc w:val="both"/>
        <w:rPr>
          <w:rFonts w:ascii="Arial" w:hAnsi="Arial" w:cs="Arial"/>
          <w:lang w:val="en-GB"/>
        </w:rPr>
      </w:pPr>
      <w:r w:rsidRPr="00A428AE">
        <w:rPr>
          <w:rFonts w:ascii="Arial" w:hAnsi="Arial" w:cs="Arial"/>
          <w:lang w:val="en-GB"/>
        </w:rPr>
        <w:t>Works that discuss healthcare fairness, access, or disparities</w:t>
      </w:r>
      <w:r w:rsidR="000C5AD8">
        <w:rPr>
          <w:rFonts w:ascii="Arial" w:hAnsi="Arial" w:cs="Arial"/>
          <w:lang w:val="en-GB"/>
        </w:rPr>
        <w:t xml:space="preserve"> for understandable knowledge to conduct a refine research.</w:t>
      </w:r>
      <w:r w:rsidRPr="00A428AE">
        <w:rPr>
          <w:rFonts w:ascii="Arial" w:hAnsi="Arial" w:cs="Arial"/>
          <w:lang w:val="en-GB"/>
        </w:rPr>
        <w:t xml:space="preserve"> </w:t>
      </w:r>
    </w:p>
    <w:p w14:paraId="5582F10C" w14:textId="3971AEC6" w:rsidR="007166E0" w:rsidRPr="00A428AE" w:rsidRDefault="000C5AD8" w:rsidP="007166E0">
      <w:pPr>
        <w:pStyle w:val="ListParagraph"/>
        <w:numPr>
          <w:ilvl w:val="0"/>
          <w:numId w:val="97"/>
        </w:numPr>
        <w:spacing w:line="360" w:lineRule="auto"/>
        <w:jc w:val="both"/>
        <w:rPr>
          <w:rFonts w:ascii="Arial" w:hAnsi="Arial" w:cs="Arial"/>
          <w:lang w:val="en-GB"/>
        </w:rPr>
      </w:pPr>
      <w:r>
        <w:rPr>
          <w:rFonts w:ascii="Arial" w:hAnsi="Arial" w:cs="Arial"/>
          <w:lang w:val="en-GB"/>
        </w:rPr>
        <w:t xml:space="preserve">Noticeable </w:t>
      </w:r>
      <w:r w:rsidR="007166E0" w:rsidRPr="00A428AE">
        <w:rPr>
          <w:rFonts w:ascii="Arial" w:hAnsi="Arial" w:cs="Arial"/>
          <w:lang w:val="en-GB"/>
        </w:rPr>
        <w:t xml:space="preserve">grey literature and peer-reviewed </w:t>
      </w:r>
      <w:r>
        <w:rPr>
          <w:rFonts w:ascii="Arial" w:hAnsi="Arial" w:cs="Arial"/>
          <w:lang w:val="en-GB"/>
        </w:rPr>
        <w:t xml:space="preserve">journal or article </w:t>
      </w:r>
      <w:r w:rsidR="007166E0" w:rsidRPr="00A428AE">
        <w:rPr>
          <w:rFonts w:ascii="Arial" w:hAnsi="Arial" w:cs="Arial"/>
          <w:lang w:val="en-GB"/>
        </w:rPr>
        <w:t>publications</w:t>
      </w:r>
      <w:r>
        <w:rPr>
          <w:rFonts w:ascii="Arial" w:hAnsi="Arial" w:cs="Arial"/>
          <w:lang w:val="en-GB"/>
        </w:rPr>
        <w:t xml:space="preserve"> best for secondary research conduction.</w:t>
      </w:r>
    </w:p>
    <w:p w14:paraId="1B663753" w14:textId="77777777" w:rsidR="007166E0" w:rsidRPr="00A428AE" w:rsidRDefault="007166E0" w:rsidP="007166E0">
      <w:pPr>
        <w:spacing w:line="360" w:lineRule="auto"/>
        <w:jc w:val="both"/>
        <w:rPr>
          <w:rFonts w:ascii="Arial" w:hAnsi="Arial" w:cs="Arial"/>
          <w:sz w:val="24"/>
          <w:szCs w:val="24"/>
          <w:u w:val="single"/>
          <w:lang w:val="en-GB"/>
        </w:rPr>
      </w:pPr>
      <w:r w:rsidRPr="00A428AE">
        <w:rPr>
          <w:rFonts w:ascii="Arial" w:hAnsi="Arial" w:cs="Arial"/>
          <w:b/>
          <w:bCs/>
          <w:sz w:val="24"/>
          <w:szCs w:val="24"/>
          <w:u w:val="single"/>
          <w:lang w:val="en-GB"/>
        </w:rPr>
        <w:t>Exclusion Criteria</w:t>
      </w:r>
    </w:p>
    <w:p w14:paraId="3B65218D" w14:textId="0F953C75" w:rsidR="007166E0" w:rsidRPr="00A428AE" w:rsidRDefault="007166E0" w:rsidP="007166E0">
      <w:pPr>
        <w:pStyle w:val="ListParagraph"/>
        <w:numPr>
          <w:ilvl w:val="0"/>
          <w:numId w:val="98"/>
        </w:numPr>
        <w:spacing w:line="360" w:lineRule="auto"/>
        <w:jc w:val="both"/>
        <w:rPr>
          <w:rFonts w:ascii="Arial" w:hAnsi="Arial" w:cs="Arial"/>
          <w:lang w:val="en-GB"/>
        </w:rPr>
      </w:pPr>
      <w:r>
        <w:rPr>
          <w:rFonts w:ascii="Arial" w:hAnsi="Arial" w:cs="Arial"/>
          <w:lang w:val="en-GB"/>
        </w:rPr>
        <w:t>Non-UK based research publications and conductions</w:t>
      </w:r>
      <w:r w:rsidR="000C5AD8">
        <w:rPr>
          <w:rFonts w:ascii="Arial" w:hAnsi="Arial" w:cs="Arial"/>
          <w:lang w:val="en-GB"/>
        </w:rPr>
        <w:t xml:space="preserve"> shouldn’t be applicable in research.</w:t>
      </w:r>
    </w:p>
    <w:p w14:paraId="31C4F31E" w14:textId="3ABA329C" w:rsidR="007166E0" w:rsidRPr="00A428AE" w:rsidRDefault="007166E0" w:rsidP="007166E0">
      <w:pPr>
        <w:pStyle w:val="ListParagraph"/>
        <w:numPr>
          <w:ilvl w:val="0"/>
          <w:numId w:val="98"/>
        </w:numPr>
        <w:spacing w:line="360" w:lineRule="auto"/>
        <w:jc w:val="both"/>
        <w:rPr>
          <w:rFonts w:ascii="Arial" w:hAnsi="Arial" w:cs="Arial"/>
          <w:lang w:val="en-GB"/>
        </w:rPr>
      </w:pPr>
      <w:r w:rsidRPr="00A428AE">
        <w:rPr>
          <w:rFonts w:ascii="Arial" w:hAnsi="Arial" w:cs="Arial"/>
          <w:lang w:val="en-GB"/>
        </w:rPr>
        <w:lastRenderedPageBreak/>
        <w:t>Articles that just discuss clinical efficacy without including equality or access</w:t>
      </w:r>
      <w:r w:rsidR="000C5AD8">
        <w:rPr>
          <w:rFonts w:ascii="Arial" w:hAnsi="Arial" w:cs="Arial"/>
          <w:lang w:val="en-GB"/>
        </w:rPr>
        <w:t xml:space="preserve"> shouldn’t be used as a grey literature to find the information gap in a conducted study.</w:t>
      </w:r>
    </w:p>
    <w:p w14:paraId="6BAF9804" w14:textId="41EF2DE1" w:rsidR="007166E0" w:rsidRDefault="007166E0" w:rsidP="007166E0">
      <w:pPr>
        <w:pStyle w:val="ListParagraph"/>
        <w:numPr>
          <w:ilvl w:val="0"/>
          <w:numId w:val="98"/>
        </w:numPr>
        <w:spacing w:line="360" w:lineRule="auto"/>
        <w:jc w:val="both"/>
        <w:rPr>
          <w:rFonts w:ascii="Arial" w:hAnsi="Arial" w:cs="Arial"/>
          <w:lang w:val="en-GB"/>
        </w:rPr>
      </w:pPr>
      <w:r w:rsidRPr="00A428AE">
        <w:rPr>
          <w:rFonts w:ascii="Arial" w:hAnsi="Arial" w:cs="Arial"/>
          <w:lang w:val="en-GB"/>
        </w:rPr>
        <w:t>Opinion articles devoid of proof</w:t>
      </w:r>
      <w:r w:rsidR="000C5AD8">
        <w:rPr>
          <w:rFonts w:ascii="Arial" w:hAnsi="Arial" w:cs="Arial"/>
          <w:lang w:val="en-GB"/>
        </w:rPr>
        <w:t xml:space="preserve"> are not applicable.</w:t>
      </w:r>
    </w:p>
    <w:p w14:paraId="65213649" w14:textId="77777777" w:rsidR="005F535F" w:rsidRDefault="000C5AD8" w:rsidP="005F535F">
      <w:pPr>
        <w:pStyle w:val="ListParagraph"/>
        <w:numPr>
          <w:ilvl w:val="0"/>
          <w:numId w:val="98"/>
        </w:numPr>
        <w:spacing w:line="360" w:lineRule="auto"/>
        <w:jc w:val="both"/>
        <w:rPr>
          <w:rFonts w:asciiTheme="minorBidi" w:hAnsiTheme="minorBidi"/>
          <w:sz w:val="23"/>
          <w:szCs w:val="23"/>
        </w:rPr>
      </w:pPr>
      <w:r>
        <w:rPr>
          <w:rFonts w:asciiTheme="minorBidi" w:hAnsiTheme="minorBidi"/>
          <w:sz w:val="23"/>
          <w:szCs w:val="23"/>
        </w:rPr>
        <w:t xml:space="preserve"> Non-Usage of commentary papers, guidance reports, editorials and conference proceedings.</w:t>
      </w:r>
    </w:p>
    <w:p w14:paraId="406E473E" w14:textId="0D21CF7A" w:rsidR="00570186" w:rsidRPr="005F535F" w:rsidRDefault="00570186" w:rsidP="005F535F">
      <w:pPr>
        <w:spacing w:line="360" w:lineRule="auto"/>
        <w:jc w:val="both"/>
        <w:rPr>
          <w:rFonts w:asciiTheme="minorBidi" w:hAnsiTheme="minorBidi"/>
          <w:sz w:val="23"/>
          <w:szCs w:val="23"/>
        </w:rPr>
      </w:pPr>
      <w:r w:rsidRPr="005F535F">
        <w:rPr>
          <w:rFonts w:ascii="Arial" w:hAnsi="Arial" w:cs="Arial"/>
          <w:b/>
          <w:bCs/>
          <w:sz w:val="24"/>
          <w:szCs w:val="24"/>
          <w:u w:val="single"/>
          <w:lang w:val="en-GB"/>
        </w:rPr>
        <w:t>Ethical Considerations</w:t>
      </w:r>
    </w:p>
    <w:p w14:paraId="54EFCBC0" w14:textId="356D5FA1" w:rsidR="005F535F" w:rsidRPr="005F535F" w:rsidRDefault="005F535F" w:rsidP="00570186">
      <w:pPr>
        <w:spacing w:line="360" w:lineRule="auto"/>
        <w:jc w:val="both"/>
        <w:rPr>
          <w:rFonts w:ascii="Arial" w:hAnsi="Arial" w:cs="Arial"/>
          <w:lang w:val="en-GB"/>
        </w:rPr>
      </w:pPr>
      <w:r w:rsidRPr="005F535F">
        <w:rPr>
          <w:rFonts w:ascii="Arial" w:hAnsi="Arial" w:cs="Arial"/>
          <w:lang w:val="en-GB"/>
        </w:rPr>
        <w:t>As this research report is containing on the secondary data of peer reviewed methodology so ethical approval was not required but certai</w:t>
      </w:r>
      <w:r>
        <w:rPr>
          <w:rFonts w:ascii="Arial" w:hAnsi="Arial" w:cs="Arial"/>
          <w:lang w:val="en-GB"/>
        </w:rPr>
        <w:t xml:space="preserve">n study </w:t>
      </w:r>
      <w:r w:rsidRPr="005F535F">
        <w:rPr>
          <w:rFonts w:ascii="Arial" w:hAnsi="Arial" w:cs="Arial"/>
          <w:lang w:val="en-GB"/>
        </w:rPr>
        <w:t>ethics are needed to be taken into consideration during research conduction like:</w:t>
      </w:r>
    </w:p>
    <w:p w14:paraId="61AFE685" w14:textId="12EC378A" w:rsidR="00570186" w:rsidRPr="000713E8" w:rsidRDefault="005F535F" w:rsidP="00570186">
      <w:pPr>
        <w:pStyle w:val="ListParagraph"/>
        <w:numPr>
          <w:ilvl w:val="0"/>
          <w:numId w:val="100"/>
        </w:numPr>
        <w:spacing w:line="360" w:lineRule="auto"/>
        <w:jc w:val="both"/>
        <w:rPr>
          <w:rFonts w:ascii="Arial" w:hAnsi="Arial" w:cs="Arial"/>
          <w:lang w:val="en-GB"/>
        </w:rPr>
      </w:pPr>
      <w:r>
        <w:rPr>
          <w:rFonts w:ascii="Arial" w:hAnsi="Arial" w:cs="Arial"/>
          <w:lang w:val="en-GB"/>
        </w:rPr>
        <w:t>Data should be pla</w:t>
      </w:r>
      <w:r w:rsidRPr="000713E8">
        <w:rPr>
          <w:rFonts w:ascii="Arial" w:hAnsi="Arial" w:cs="Arial"/>
          <w:lang w:val="en-GB"/>
        </w:rPr>
        <w:t>giarised</w:t>
      </w:r>
      <w:r w:rsidR="00570186">
        <w:rPr>
          <w:rFonts w:ascii="Arial" w:hAnsi="Arial" w:cs="Arial"/>
          <w:lang w:val="en-GB"/>
        </w:rPr>
        <w:t xml:space="preserve"> and bias</w:t>
      </w:r>
      <w:r>
        <w:rPr>
          <w:rFonts w:ascii="Arial" w:hAnsi="Arial" w:cs="Arial"/>
          <w:lang w:val="en-GB"/>
        </w:rPr>
        <w:t xml:space="preserve"> free</w:t>
      </w:r>
      <w:r w:rsidR="00570186">
        <w:rPr>
          <w:rFonts w:ascii="Arial" w:hAnsi="Arial" w:cs="Arial"/>
          <w:lang w:val="en-GB"/>
        </w:rPr>
        <w:t>.</w:t>
      </w:r>
    </w:p>
    <w:p w14:paraId="342B63B8" w14:textId="28DDE959" w:rsidR="00570186" w:rsidRPr="000713E8" w:rsidRDefault="005F535F" w:rsidP="00570186">
      <w:pPr>
        <w:pStyle w:val="ListParagraph"/>
        <w:numPr>
          <w:ilvl w:val="0"/>
          <w:numId w:val="100"/>
        </w:numPr>
        <w:spacing w:line="360" w:lineRule="auto"/>
        <w:jc w:val="both"/>
        <w:rPr>
          <w:rFonts w:ascii="Arial" w:hAnsi="Arial" w:cs="Arial"/>
          <w:lang w:val="en-GB"/>
        </w:rPr>
      </w:pPr>
      <w:r>
        <w:rPr>
          <w:rFonts w:ascii="Arial" w:hAnsi="Arial" w:cs="Arial"/>
          <w:lang w:val="en-GB"/>
        </w:rPr>
        <w:t>To m</w:t>
      </w:r>
      <w:r w:rsidR="00570186" w:rsidRPr="000713E8">
        <w:rPr>
          <w:rFonts w:ascii="Arial" w:hAnsi="Arial" w:cs="Arial"/>
          <w:lang w:val="en-GB"/>
        </w:rPr>
        <w:t xml:space="preserve">aintain the confidentiality and </w:t>
      </w:r>
      <w:r w:rsidR="00570186">
        <w:rPr>
          <w:rFonts w:ascii="Arial" w:hAnsi="Arial" w:cs="Arial"/>
          <w:lang w:val="en-GB"/>
        </w:rPr>
        <w:t>d</w:t>
      </w:r>
      <w:r w:rsidR="00570186" w:rsidRPr="000713E8">
        <w:rPr>
          <w:rFonts w:ascii="Arial" w:hAnsi="Arial" w:cs="Arial"/>
          <w:lang w:val="en-GB"/>
        </w:rPr>
        <w:t>ignity</w:t>
      </w:r>
      <w:r>
        <w:rPr>
          <w:rFonts w:ascii="Arial" w:hAnsi="Arial" w:cs="Arial"/>
          <w:lang w:val="en-GB"/>
        </w:rPr>
        <w:t xml:space="preserve"> of the peers or authors while finding out the study gap in their published literature</w:t>
      </w:r>
      <w:r w:rsidR="00570186">
        <w:rPr>
          <w:rFonts w:ascii="Arial" w:hAnsi="Arial" w:cs="Arial"/>
          <w:lang w:val="en-GB"/>
        </w:rPr>
        <w:t>.</w:t>
      </w:r>
    </w:p>
    <w:p w14:paraId="7F9D56CB" w14:textId="01CE2273" w:rsidR="00570186" w:rsidRPr="000713E8" w:rsidRDefault="005F535F" w:rsidP="00570186">
      <w:pPr>
        <w:pStyle w:val="ListParagraph"/>
        <w:numPr>
          <w:ilvl w:val="0"/>
          <w:numId w:val="100"/>
        </w:numPr>
        <w:spacing w:line="360" w:lineRule="auto"/>
        <w:jc w:val="both"/>
        <w:rPr>
          <w:rFonts w:ascii="Arial" w:hAnsi="Arial" w:cs="Arial"/>
          <w:lang w:val="en-GB"/>
        </w:rPr>
      </w:pPr>
      <w:r>
        <w:rPr>
          <w:rFonts w:ascii="Arial" w:hAnsi="Arial" w:cs="Arial"/>
          <w:lang w:val="en-GB"/>
        </w:rPr>
        <w:t>Before conducting a research t</w:t>
      </w:r>
      <w:r w:rsidR="00570186" w:rsidRPr="000713E8">
        <w:rPr>
          <w:rFonts w:ascii="Arial" w:hAnsi="Arial" w:cs="Arial"/>
          <w:lang w:val="en-GB"/>
        </w:rPr>
        <w:t xml:space="preserve">ake </w:t>
      </w:r>
      <w:r>
        <w:rPr>
          <w:rFonts w:ascii="Arial" w:hAnsi="Arial" w:cs="Arial"/>
          <w:lang w:val="en-GB"/>
        </w:rPr>
        <w:t>c</w:t>
      </w:r>
      <w:r w:rsidR="00570186" w:rsidRPr="000713E8">
        <w:rPr>
          <w:rFonts w:ascii="Arial" w:hAnsi="Arial" w:cs="Arial"/>
          <w:lang w:val="en-GB"/>
        </w:rPr>
        <w:t xml:space="preserve">onsent and avoid </w:t>
      </w:r>
      <w:r>
        <w:rPr>
          <w:rFonts w:ascii="Arial" w:hAnsi="Arial" w:cs="Arial"/>
          <w:lang w:val="en-GB"/>
        </w:rPr>
        <w:t>c</w:t>
      </w:r>
      <w:r w:rsidR="00570186" w:rsidRPr="000713E8">
        <w:rPr>
          <w:rFonts w:ascii="Arial" w:hAnsi="Arial" w:cs="Arial"/>
          <w:lang w:val="en-GB"/>
        </w:rPr>
        <w:t>opyrights</w:t>
      </w:r>
      <w:r>
        <w:rPr>
          <w:rFonts w:ascii="Arial" w:hAnsi="Arial" w:cs="Arial"/>
          <w:lang w:val="en-GB"/>
        </w:rPr>
        <w:t xml:space="preserve"> if possible or necessary</w:t>
      </w:r>
      <w:r w:rsidR="00570186">
        <w:rPr>
          <w:rFonts w:ascii="Arial" w:hAnsi="Arial" w:cs="Arial"/>
          <w:lang w:val="en-GB"/>
        </w:rPr>
        <w:t>.</w:t>
      </w:r>
    </w:p>
    <w:p w14:paraId="5217987D" w14:textId="2391CE10" w:rsidR="00570186" w:rsidRDefault="005F535F" w:rsidP="00570186">
      <w:pPr>
        <w:pStyle w:val="ListParagraph"/>
        <w:numPr>
          <w:ilvl w:val="0"/>
          <w:numId w:val="100"/>
        </w:numPr>
        <w:spacing w:line="360" w:lineRule="auto"/>
        <w:jc w:val="both"/>
        <w:rPr>
          <w:rFonts w:ascii="Arial" w:hAnsi="Arial" w:cs="Arial"/>
          <w:lang w:val="en-GB"/>
        </w:rPr>
      </w:pPr>
      <w:r>
        <w:rPr>
          <w:rFonts w:ascii="Arial" w:hAnsi="Arial" w:cs="Arial"/>
          <w:lang w:val="en-GB"/>
        </w:rPr>
        <w:t>Candidate s</w:t>
      </w:r>
      <w:r w:rsidR="00570186" w:rsidRPr="000713E8">
        <w:rPr>
          <w:rFonts w:ascii="Arial" w:hAnsi="Arial" w:cs="Arial"/>
          <w:lang w:val="en-GB"/>
        </w:rPr>
        <w:t xml:space="preserve">hould be </w:t>
      </w:r>
      <w:r>
        <w:rPr>
          <w:rFonts w:ascii="Arial" w:hAnsi="Arial" w:cs="Arial"/>
          <w:lang w:val="en-GB"/>
        </w:rPr>
        <w:t>t</w:t>
      </w:r>
      <w:r w:rsidR="00570186" w:rsidRPr="000713E8">
        <w:rPr>
          <w:rFonts w:ascii="Arial" w:hAnsi="Arial" w:cs="Arial"/>
          <w:lang w:val="en-GB"/>
        </w:rPr>
        <w:t>ransparent in the whole research</w:t>
      </w:r>
      <w:r>
        <w:rPr>
          <w:rFonts w:ascii="Arial" w:hAnsi="Arial" w:cs="Arial"/>
          <w:lang w:val="en-GB"/>
        </w:rPr>
        <w:t>.</w:t>
      </w:r>
    </w:p>
    <w:p w14:paraId="7287F85A" w14:textId="4B3E9359" w:rsidR="005F535F" w:rsidRPr="000713E8" w:rsidRDefault="005F535F" w:rsidP="00570186">
      <w:pPr>
        <w:pStyle w:val="ListParagraph"/>
        <w:numPr>
          <w:ilvl w:val="0"/>
          <w:numId w:val="100"/>
        </w:numPr>
        <w:spacing w:line="360" w:lineRule="auto"/>
        <w:jc w:val="both"/>
        <w:rPr>
          <w:rFonts w:ascii="Arial" w:hAnsi="Arial" w:cs="Arial"/>
          <w:lang w:val="en-GB"/>
        </w:rPr>
      </w:pPr>
      <w:r>
        <w:rPr>
          <w:rFonts w:ascii="Arial" w:hAnsi="Arial" w:cs="Arial"/>
          <w:lang w:val="en-GB"/>
        </w:rPr>
        <w:t>Results should be drawn from the clear analysis of the research.</w:t>
      </w:r>
    </w:p>
    <w:p w14:paraId="3AC4DDC1" w14:textId="77777777" w:rsidR="00D321C6" w:rsidRDefault="005F535F" w:rsidP="00D321C6">
      <w:pPr>
        <w:pStyle w:val="ListParagraph"/>
        <w:numPr>
          <w:ilvl w:val="0"/>
          <w:numId w:val="100"/>
        </w:numPr>
        <w:spacing w:line="360" w:lineRule="auto"/>
        <w:jc w:val="both"/>
        <w:rPr>
          <w:rFonts w:ascii="Arial" w:hAnsi="Arial" w:cs="Arial"/>
          <w:lang w:val="en-GB"/>
        </w:rPr>
      </w:pPr>
      <w:r>
        <w:rPr>
          <w:rFonts w:ascii="Arial" w:hAnsi="Arial" w:cs="Arial"/>
          <w:lang w:val="en-GB"/>
        </w:rPr>
        <w:t>At the end ,a</w:t>
      </w:r>
      <w:r w:rsidR="00570186" w:rsidRPr="000713E8">
        <w:rPr>
          <w:rFonts w:ascii="Arial" w:hAnsi="Arial" w:cs="Arial"/>
          <w:lang w:val="en-GB"/>
        </w:rPr>
        <w:t>cknowledgement should be given</w:t>
      </w:r>
      <w:r w:rsidR="00570186">
        <w:rPr>
          <w:rFonts w:ascii="Arial" w:hAnsi="Arial" w:cs="Arial"/>
          <w:lang w:val="en-GB"/>
        </w:rPr>
        <w:t xml:space="preserve"> </w:t>
      </w:r>
      <w:r w:rsidR="00570186" w:rsidRPr="000713E8">
        <w:rPr>
          <w:rFonts w:ascii="Arial" w:hAnsi="Arial" w:cs="Arial"/>
          <w:lang w:val="en-GB"/>
        </w:rPr>
        <w:t>(Aveyard, 2023).</w:t>
      </w:r>
    </w:p>
    <w:p w14:paraId="59F7C0E9" w14:textId="588B3BC9" w:rsidR="005F535F" w:rsidRDefault="005F535F" w:rsidP="00D321C6">
      <w:pPr>
        <w:spacing w:line="360" w:lineRule="auto"/>
        <w:jc w:val="both"/>
        <w:rPr>
          <w:rFonts w:ascii="Arial" w:hAnsi="Arial" w:cs="Arial"/>
          <w:lang w:val="en-GB"/>
        </w:rPr>
      </w:pPr>
      <w:r w:rsidRPr="00D321C6">
        <w:rPr>
          <w:rFonts w:ascii="Arial" w:hAnsi="Arial" w:cs="Arial"/>
          <w:lang w:val="en-GB"/>
        </w:rPr>
        <w:t xml:space="preserve">For this study, the aforementioned ethics were upheld. </w:t>
      </w:r>
      <w:r w:rsidR="000F17F8">
        <w:rPr>
          <w:rFonts w:ascii="Arial" w:hAnsi="Arial" w:cs="Arial"/>
          <w:lang w:val="en-GB"/>
        </w:rPr>
        <w:t>The</w:t>
      </w:r>
      <w:r w:rsidRPr="00D321C6">
        <w:rPr>
          <w:rFonts w:ascii="Arial" w:hAnsi="Arial" w:cs="Arial"/>
          <w:lang w:val="en-GB"/>
        </w:rPr>
        <w:t xml:space="preserve"> researcher was very open and honest about the study, its </w:t>
      </w:r>
      <w:r w:rsidR="000F17F8">
        <w:rPr>
          <w:rFonts w:ascii="Arial" w:hAnsi="Arial" w:cs="Arial"/>
          <w:lang w:val="en-GB"/>
        </w:rPr>
        <w:t>aims and objectives</w:t>
      </w:r>
      <w:r w:rsidRPr="00D321C6">
        <w:rPr>
          <w:rFonts w:ascii="Arial" w:hAnsi="Arial" w:cs="Arial"/>
          <w:lang w:val="en-GB"/>
        </w:rPr>
        <w:t xml:space="preserve">, and what he expected from the </w:t>
      </w:r>
      <w:r w:rsidR="007807E1" w:rsidRPr="00D321C6">
        <w:rPr>
          <w:rFonts w:ascii="Arial" w:hAnsi="Arial" w:cs="Arial"/>
          <w:lang w:val="en-GB"/>
        </w:rPr>
        <w:t>peer reviewed scholarly publications</w:t>
      </w:r>
      <w:r w:rsidRPr="00D321C6">
        <w:rPr>
          <w:rFonts w:ascii="Arial" w:hAnsi="Arial" w:cs="Arial"/>
          <w:lang w:val="en-GB"/>
        </w:rPr>
        <w:t>.</w:t>
      </w:r>
      <w:r w:rsidR="007807E1" w:rsidRPr="00D321C6">
        <w:rPr>
          <w:rFonts w:ascii="Arial" w:hAnsi="Arial" w:cs="Arial"/>
          <w:lang w:val="en-GB"/>
        </w:rPr>
        <w:t xml:space="preserve"> </w:t>
      </w:r>
      <w:r w:rsidRPr="00D321C6">
        <w:rPr>
          <w:rFonts w:ascii="Arial" w:hAnsi="Arial" w:cs="Arial"/>
          <w:lang w:val="en-GB"/>
        </w:rPr>
        <w:t xml:space="preserve">Following collection, the data was </w:t>
      </w:r>
      <w:r w:rsidR="007807E1" w:rsidRPr="00D321C6">
        <w:rPr>
          <w:rFonts w:ascii="Arial" w:hAnsi="Arial" w:cs="Arial"/>
          <w:lang w:val="en-GB"/>
        </w:rPr>
        <w:t>deducting from the applicable and credible sources and totally relevant to the research review question.</w:t>
      </w:r>
    </w:p>
    <w:p w14:paraId="7963B34C" w14:textId="09AD456B" w:rsidR="00C8027B" w:rsidRPr="005F535F" w:rsidRDefault="00C8027B" w:rsidP="00C8027B">
      <w:pPr>
        <w:spacing w:line="360" w:lineRule="auto"/>
        <w:rPr>
          <w:rFonts w:asciiTheme="minorBidi" w:hAnsiTheme="minorBidi"/>
          <w:sz w:val="23"/>
          <w:szCs w:val="23"/>
        </w:rPr>
      </w:pPr>
      <w:r>
        <w:rPr>
          <w:rFonts w:ascii="Arial" w:hAnsi="Arial" w:cs="Arial"/>
          <w:b/>
          <w:bCs/>
          <w:sz w:val="24"/>
          <w:szCs w:val="24"/>
          <w:u w:val="single"/>
          <w:lang w:val="en-GB"/>
        </w:rPr>
        <w:t>Results</w:t>
      </w:r>
    </w:p>
    <w:p w14:paraId="017021CB" w14:textId="6376488A" w:rsidR="00C8027B" w:rsidRDefault="00C8027B" w:rsidP="00C8027B">
      <w:pPr>
        <w:spacing w:line="360" w:lineRule="auto"/>
        <w:jc w:val="both"/>
        <w:rPr>
          <w:rFonts w:ascii="Arial" w:hAnsi="Arial" w:cs="Arial"/>
          <w:lang w:val="en-GB"/>
        </w:rPr>
      </w:pPr>
      <w:r>
        <w:rPr>
          <w:rFonts w:ascii="Arial" w:hAnsi="Arial" w:cs="Arial"/>
          <w:lang w:val="en-GB"/>
        </w:rPr>
        <w:t xml:space="preserve">Due to thematic </w:t>
      </w:r>
      <w:r w:rsidRPr="00C8027B">
        <w:rPr>
          <w:rFonts w:ascii="Arial" w:hAnsi="Arial" w:cs="Arial"/>
          <w:lang w:val="en-GB"/>
        </w:rPr>
        <w:t>analysis</w:t>
      </w:r>
      <w:r>
        <w:rPr>
          <w:rFonts w:ascii="Arial" w:hAnsi="Arial" w:cs="Arial"/>
          <w:lang w:val="en-GB"/>
        </w:rPr>
        <w:t xml:space="preserve"> researcher has find out the noticeable gaps that </w:t>
      </w:r>
      <w:r w:rsidRPr="00C8027B">
        <w:rPr>
          <w:rFonts w:ascii="Arial" w:hAnsi="Arial" w:cs="Arial"/>
          <w:lang w:val="en-GB"/>
        </w:rPr>
        <w:t>require more study</w:t>
      </w:r>
      <w:r>
        <w:rPr>
          <w:rFonts w:ascii="Arial" w:hAnsi="Arial" w:cs="Arial"/>
          <w:lang w:val="en-GB"/>
        </w:rPr>
        <w:t xml:space="preserve">. It has </w:t>
      </w:r>
      <w:r w:rsidRPr="00C8027B">
        <w:rPr>
          <w:rFonts w:ascii="Arial" w:hAnsi="Arial" w:cs="Arial"/>
          <w:lang w:val="en-GB"/>
        </w:rPr>
        <w:t>highlight</w:t>
      </w:r>
      <w:r>
        <w:rPr>
          <w:rFonts w:ascii="Arial" w:hAnsi="Arial" w:cs="Arial"/>
          <w:lang w:val="en-GB"/>
        </w:rPr>
        <w:t>ed</w:t>
      </w:r>
      <w:r w:rsidRPr="00C8027B">
        <w:rPr>
          <w:rFonts w:ascii="Arial" w:hAnsi="Arial" w:cs="Arial"/>
          <w:lang w:val="en-GB"/>
        </w:rPr>
        <w:t xml:space="preserve"> the benefits and drawbacks of telehealth therapy and enhance understanding of the data that is already available. The results might have a </w:t>
      </w:r>
      <w:r>
        <w:rPr>
          <w:rFonts w:ascii="Arial" w:hAnsi="Arial" w:cs="Arial"/>
          <w:lang w:val="en-GB"/>
        </w:rPr>
        <w:t xml:space="preserve">particular </w:t>
      </w:r>
      <w:r w:rsidRPr="00C8027B">
        <w:rPr>
          <w:rFonts w:ascii="Arial" w:hAnsi="Arial" w:cs="Arial"/>
          <w:lang w:val="en-GB"/>
        </w:rPr>
        <w:t>impact on healthcare practice, policy modelling, and eHealth in the future.</w:t>
      </w:r>
    </w:p>
    <w:p w14:paraId="17F16146" w14:textId="0DA563DB" w:rsidR="00C8027B" w:rsidRDefault="00C8027B" w:rsidP="00C8027B">
      <w:pPr>
        <w:spacing w:line="360" w:lineRule="auto"/>
        <w:jc w:val="both"/>
        <w:rPr>
          <w:rFonts w:ascii="Arial" w:hAnsi="Arial" w:cs="Arial"/>
          <w:lang w:val="en-GB"/>
        </w:rPr>
      </w:pPr>
      <w:r>
        <w:rPr>
          <w:rFonts w:ascii="Arial" w:hAnsi="Arial" w:cs="Arial"/>
          <w:lang w:val="en-GB"/>
        </w:rPr>
        <w:t xml:space="preserve">There </w:t>
      </w:r>
      <w:r w:rsidR="0098700B">
        <w:rPr>
          <w:rFonts w:ascii="Arial" w:hAnsi="Arial" w:cs="Arial"/>
          <w:lang w:val="en-GB"/>
        </w:rPr>
        <w:t>are</w:t>
      </w:r>
      <w:r>
        <w:rPr>
          <w:rFonts w:ascii="Arial" w:hAnsi="Arial" w:cs="Arial"/>
          <w:lang w:val="en-GB"/>
        </w:rPr>
        <w:t xml:space="preserve"> </w:t>
      </w:r>
      <w:r w:rsidR="003E2CEF">
        <w:rPr>
          <w:rFonts w:ascii="Arial" w:hAnsi="Arial" w:cs="Arial"/>
          <w:lang w:val="en-GB"/>
        </w:rPr>
        <w:t>six</w:t>
      </w:r>
      <w:r>
        <w:rPr>
          <w:rFonts w:ascii="Arial" w:hAnsi="Arial" w:cs="Arial"/>
          <w:lang w:val="en-GB"/>
        </w:rPr>
        <w:t xml:space="preserve"> peer reviewed studies were used in the scoping review which elaborates the secondary research employed the methodological choices like mixed method, quantitative and qualitative approaches and mainly focus on the </w:t>
      </w:r>
      <w:r w:rsidR="003E2CEF">
        <w:rPr>
          <w:rFonts w:ascii="Arial" w:hAnsi="Arial" w:cs="Arial"/>
          <w:lang w:val="en-GB"/>
        </w:rPr>
        <w:t>outpatient care and community healthcare practices.</w:t>
      </w:r>
    </w:p>
    <w:p w14:paraId="16DC9577" w14:textId="275EAEA7" w:rsidR="00B4022A" w:rsidRPr="00C8027B" w:rsidRDefault="00B4022A" w:rsidP="00B4022A">
      <w:pPr>
        <w:rPr>
          <w:rFonts w:ascii="Arial" w:hAnsi="Arial" w:cs="Arial"/>
          <w:lang w:val="en-GB"/>
        </w:rPr>
      </w:pPr>
      <w:r>
        <w:rPr>
          <w:rFonts w:ascii="Arial" w:hAnsi="Arial" w:cs="Arial"/>
          <w:lang w:val="en-GB"/>
        </w:rPr>
        <w:br w:type="page"/>
      </w:r>
    </w:p>
    <w:tbl>
      <w:tblPr>
        <w:tblStyle w:val="TableGrid"/>
        <w:tblW w:w="10490" w:type="dxa"/>
        <w:tblInd w:w="-714" w:type="dxa"/>
        <w:tblLook w:val="04A0" w:firstRow="1" w:lastRow="0" w:firstColumn="1" w:lastColumn="0" w:noHBand="0" w:noVBand="1"/>
      </w:tblPr>
      <w:tblGrid>
        <w:gridCol w:w="567"/>
        <w:gridCol w:w="1843"/>
        <w:gridCol w:w="2005"/>
        <w:gridCol w:w="1681"/>
        <w:gridCol w:w="3118"/>
        <w:gridCol w:w="1276"/>
      </w:tblGrid>
      <w:tr w:rsidR="003E2CEF" w14:paraId="1084AA1F" w14:textId="294691C7" w:rsidTr="005943FF">
        <w:tc>
          <w:tcPr>
            <w:tcW w:w="10490" w:type="dxa"/>
            <w:gridSpan w:val="6"/>
          </w:tcPr>
          <w:p w14:paraId="135356F6" w14:textId="1175531A" w:rsidR="003E2CEF" w:rsidRPr="003E2CEF" w:rsidRDefault="003E2CEF" w:rsidP="003E2CEF">
            <w:pPr>
              <w:spacing w:line="360" w:lineRule="auto"/>
              <w:jc w:val="center"/>
              <w:rPr>
                <w:rFonts w:ascii="Arial" w:hAnsi="Arial" w:cs="Arial"/>
                <w:b/>
                <w:bCs/>
                <w:lang w:val="en-GB"/>
              </w:rPr>
            </w:pPr>
            <w:r w:rsidRPr="005943FF">
              <w:rPr>
                <w:rFonts w:ascii="Arial" w:hAnsi="Arial" w:cs="Arial"/>
                <w:b/>
                <w:bCs/>
                <w:sz w:val="24"/>
                <w:szCs w:val="24"/>
                <w:lang w:val="en-GB"/>
              </w:rPr>
              <w:lastRenderedPageBreak/>
              <w:t>Overview of Studies</w:t>
            </w:r>
          </w:p>
        </w:tc>
      </w:tr>
      <w:tr w:rsidR="005943FF" w14:paraId="3A4E7F82" w14:textId="7F3BE2C5" w:rsidTr="005943FF">
        <w:tc>
          <w:tcPr>
            <w:tcW w:w="567" w:type="dxa"/>
            <w:vAlign w:val="center"/>
          </w:tcPr>
          <w:p w14:paraId="4C7F1F4F" w14:textId="1A4B9214" w:rsidR="003E2CEF" w:rsidRPr="005943FF" w:rsidRDefault="003E2CEF" w:rsidP="005943FF">
            <w:pPr>
              <w:spacing w:line="360" w:lineRule="auto"/>
              <w:jc w:val="center"/>
              <w:rPr>
                <w:rFonts w:ascii="Arial" w:hAnsi="Arial" w:cs="Arial"/>
                <w:b/>
                <w:bCs/>
                <w:lang w:val="en-GB"/>
              </w:rPr>
            </w:pPr>
            <w:r w:rsidRPr="005943FF">
              <w:rPr>
                <w:rFonts w:ascii="Arial" w:hAnsi="Arial" w:cs="Arial"/>
                <w:b/>
                <w:bCs/>
                <w:lang w:val="en-GB"/>
              </w:rPr>
              <w:t>Sr No</w:t>
            </w:r>
          </w:p>
        </w:tc>
        <w:tc>
          <w:tcPr>
            <w:tcW w:w="1843" w:type="dxa"/>
            <w:vAlign w:val="center"/>
          </w:tcPr>
          <w:p w14:paraId="43E0EE71" w14:textId="2994B7A4" w:rsidR="003E2CEF" w:rsidRPr="005943FF" w:rsidRDefault="003E2CEF" w:rsidP="005943FF">
            <w:pPr>
              <w:spacing w:line="360" w:lineRule="auto"/>
              <w:jc w:val="center"/>
              <w:rPr>
                <w:rFonts w:ascii="Arial" w:hAnsi="Arial" w:cs="Arial"/>
                <w:b/>
                <w:bCs/>
                <w:lang w:val="en-GB"/>
              </w:rPr>
            </w:pPr>
            <w:r w:rsidRPr="005943FF">
              <w:rPr>
                <w:rFonts w:ascii="Arial" w:hAnsi="Arial" w:cs="Arial"/>
                <w:b/>
                <w:bCs/>
                <w:lang w:val="en-GB"/>
              </w:rPr>
              <w:t>Author (s)</w:t>
            </w:r>
          </w:p>
        </w:tc>
        <w:tc>
          <w:tcPr>
            <w:tcW w:w="2005" w:type="dxa"/>
            <w:vAlign w:val="center"/>
          </w:tcPr>
          <w:p w14:paraId="27284F9A" w14:textId="63A2696A" w:rsidR="003E2CEF" w:rsidRPr="005943FF" w:rsidRDefault="003E2CEF" w:rsidP="005943FF">
            <w:pPr>
              <w:spacing w:line="360" w:lineRule="auto"/>
              <w:jc w:val="center"/>
              <w:rPr>
                <w:rFonts w:ascii="Arial" w:hAnsi="Arial" w:cs="Arial"/>
                <w:b/>
                <w:bCs/>
                <w:lang w:val="en-GB"/>
              </w:rPr>
            </w:pPr>
            <w:r w:rsidRPr="005943FF">
              <w:rPr>
                <w:rFonts w:ascii="Arial" w:hAnsi="Arial" w:cs="Arial"/>
                <w:b/>
                <w:bCs/>
                <w:lang w:val="en-GB"/>
              </w:rPr>
              <w:t>Research Design</w:t>
            </w:r>
          </w:p>
        </w:tc>
        <w:tc>
          <w:tcPr>
            <w:tcW w:w="1681" w:type="dxa"/>
            <w:vAlign w:val="center"/>
          </w:tcPr>
          <w:p w14:paraId="508285A9" w14:textId="38E49E44" w:rsidR="003E2CEF" w:rsidRPr="005943FF" w:rsidRDefault="003E2CEF" w:rsidP="005943FF">
            <w:pPr>
              <w:spacing w:line="360" w:lineRule="auto"/>
              <w:jc w:val="center"/>
              <w:rPr>
                <w:rFonts w:ascii="Arial" w:hAnsi="Arial" w:cs="Arial"/>
                <w:b/>
                <w:bCs/>
                <w:lang w:val="en-GB"/>
              </w:rPr>
            </w:pPr>
            <w:r w:rsidRPr="005943FF">
              <w:rPr>
                <w:rFonts w:ascii="Arial" w:hAnsi="Arial" w:cs="Arial"/>
                <w:b/>
                <w:bCs/>
                <w:lang w:val="en-GB"/>
              </w:rPr>
              <w:t>Settings</w:t>
            </w:r>
          </w:p>
        </w:tc>
        <w:tc>
          <w:tcPr>
            <w:tcW w:w="3118" w:type="dxa"/>
            <w:vAlign w:val="center"/>
          </w:tcPr>
          <w:p w14:paraId="21A38A45" w14:textId="359878B6" w:rsidR="003E2CEF" w:rsidRPr="005943FF" w:rsidRDefault="003E2CEF" w:rsidP="005943FF">
            <w:pPr>
              <w:spacing w:line="360" w:lineRule="auto"/>
              <w:jc w:val="center"/>
              <w:rPr>
                <w:rFonts w:ascii="Arial" w:hAnsi="Arial" w:cs="Arial"/>
                <w:b/>
                <w:bCs/>
                <w:lang w:val="en-GB"/>
              </w:rPr>
            </w:pPr>
            <w:r w:rsidRPr="005943FF">
              <w:rPr>
                <w:rFonts w:ascii="Arial" w:hAnsi="Arial" w:cs="Arial"/>
                <w:b/>
                <w:bCs/>
                <w:lang w:val="en-GB"/>
              </w:rPr>
              <w:t>Core Insights</w:t>
            </w:r>
          </w:p>
        </w:tc>
        <w:tc>
          <w:tcPr>
            <w:tcW w:w="1276" w:type="dxa"/>
            <w:vAlign w:val="center"/>
          </w:tcPr>
          <w:p w14:paraId="3777A3BE" w14:textId="409540D2" w:rsidR="003E2CEF" w:rsidRPr="005943FF" w:rsidRDefault="003E2CEF" w:rsidP="005943FF">
            <w:pPr>
              <w:spacing w:line="360" w:lineRule="auto"/>
              <w:jc w:val="center"/>
              <w:rPr>
                <w:rFonts w:ascii="Arial" w:hAnsi="Arial" w:cs="Arial"/>
                <w:b/>
                <w:bCs/>
                <w:lang w:val="en-GB"/>
              </w:rPr>
            </w:pPr>
            <w:r w:rsidRPr="005943FF">
              <w:rPr>
                <w:rFonts w:ascii="Arial" w:hAnsi="Arial" w:cs="Arial"/>
                <w:b/>
                <w:bCs/>
                <w:lang w:val="en-GB"/>
              </w:rPr>
              <w:t>Study Year</w:t>
            </w:r>
          </w:p>
        </w:tc>
      </w:tr>
      <w:tr w:rsidR="005943FF" w14:paraId="30DA27BE" w14:textId="03D17363" w:rsidTr="005943FF">
        <w:tc>
          <w:tcPr>
            <w:tcW w:w="567" w:type="dxa"/>
            <w:vAlign w:val="center"/>
          </w:tcPr>
          <w:p w14:paraId="707E7344" w14:textId="6C904982" w:rsidR="003E2CEF" w:rsidRPr="005943FF" w:rsidRDefault="003E2CEF" w:rsidP="005943FF">
            <w:pPr>
              <w:spacing w:line="360" w:lineRule="auto"/>
              <w:jc w:val="center"/>
              <w:rPr>
                <w:rFonts w:ascii="Arial" w:hAnsi="Arial" w:cs="Arial"/>
                <w:b/>
                <w:bCs/>
                <w:lang w:val="en-GB"/>
              </w:rPr>
            </w:pPr>
            <w:r w:rsidRPr="005943FF">
              <w:rPr>
                <w:rFonts w:ascii="Arial" w:hAnsi="Arial" w:cs="Arial"/>
                <w:b/>
                <w:bCs/>
                <w:lang w:val="en-GB"/>
              </w:rPr>
              <w:t>1</w:t>
            </w:r>
          </w:p>
        </w:tc>
        <w:tc>
          <w:tcPr>
            <w:tcW w:w="1843" w:type="dxa"/>
            <w:vAlign w:val="center"/>
          </w:tcPr>
          <w:p w14:paraId="42105BFD" w14:textId="64857E96" w:rsidR="003E2CEF" w:rsidRDefault="003E2CEF" w:rsidP="005943FF">
            <w:pPr>
              <w:spacing w:line="360" w:lineRule="auto"/>
              <w:jc w:val="center"/>
              <w:rPr>
                <w:rFonts w:ascii="Arial" w:hAnsi="Arial" w:cs="Arial"/>
                <w:lang w:val="en-GB"/>
              </w:rPr>
            </w:pPr>
            <w:r w:rsidRPr="005943FF">
              <w:rPr>
                <w:rFonts w:ascii="Arial" w:hAnsi="Arial" w:cs="Arial"/>
                <w:lang w:val="en-GB"/>
              </w:rPr>
              <w:t>Marmot</w:t>
            </w:r>
            <w:r w:rsidR="00F6333D">
              <w:rPr>
                <w:rFonts w:ascii="Arial" w:hAnsi="Arial" w:cs="Arial"/>
                <w:lang w:val="en-GB"/>
              </w:rPr>
              <w:t xml:space="preserve">(2010) </w:t>
            </w:r>
          </w:p>
          <w:p w14:paraId="3E18FE20" w14:textId="2810B331" w:rsidR="00F6333D" w:rsidRPr="005943FF" w:rsidRDefault="00F6333D" w:rsidP="005943FF">
            <w:pPr>
              <w:spacing w:line="360" w:lineRule="auto"/>
              <w:jc w:val="center"/>
              <w:rPr>
                <w:rFonts w:ascii="Arial" w:hAnsi="Arial" w:cs="Arial"/>
                <w:lang w:val="en-GB"/>
              </w:rPr>
            </w:pPr>
            <w:r>
              <w:rPr>
                <w:rFonts w:ascii="Arial" w:hAnsi="Arial" w:cs="Arial"/>
                <w:lang w:val="en-GB"/>
              </w:rPr>
              <w:t xml:space="preserve">The Health Foundation </w:t>
            </w:r>
            <w:r w:rsidR="00AD455D">
              <w:rPr>
                <w:rFonts w:ascii="Arial" w:hAnsi="Arial" w:cs="Arial"/>
                <w:lang w:val="en-GB"/>
              </w:rPr>
              <w:t xml:space="preserve"> </w:t>
            </w:r>
          </w:p>
        </w:tc>
        <w:tc>
          <w:tcPr>
            <w:tcW w:w="2005" w:type="dxa"/>
            <w:vAlign w:val="center"/>
          </w:tcPr>
          <w:p w14:paraId="5FD9E65E" w14:textId="3F0CB33B" w:rsidR="003E2CEF" w:rsidRPr="005943FF" w:rsidRDefault="00A31060" w:rsidP="005943FF">
            <w:pPr>
              <w:spacing w:line="360" w:lineRule="auto"/>
              <w:jc w:val="center"/>
              <w:rPr>
                <w:rFonts w:ascii="Arial" w:hAnsi="Arial" w:cs="Arial"/>
                <w:lang w:val="en-GB"/>
              </w:rPr>
            </w:pPr>
            <w:r w:rsidRPr="005943FF">
              <w:rPr>
                <w:rFonts w:ascii="Arial" w:hAnsi="Arial" w:cs="Arial"/>
                <w:lang w:val="en-GB"/>
              </w:rPr>
              <w:t>Mixed Methods</w:t>
            </w:r>
          </w:p>
        </w:tc>
        <w:tc>
          <w:tcPr>
            <w:tcW w:w="1681" w:type="dxa"/>
            <w:vAlign w:val="center"/>
          </w:tcPr>
          <w:p w14:paraId="45678EB2" w14:textId="60837E02" w:rsidR="003E2CEF" w:rsidRPr="005943FF" w:rsidRDefault="003E2CEF" w:rsidP="005943FF">
            <w:pPr>
              <w:spacing w:line="360" w:lineRule="auto"/>
              <w:jc w:val="center"/>
              <w:rPr>
                <w:rFonts w:ascii="Arial" w:hAnsi="Arial" w:cs="Arial"/>
                <w:lang w:val="en-GB"/>
              </w:rPr>
            </w:pPr>
            <w:r w:rsidRPr="005943FF">
              <w:rPr>
                <w:rFonts w:ascii="Arial" w:hAnsi="Arial" w:cs="Arial"/>
                <w:lang w:val="en-GB"/>
              </w:rPr>
              <w:t>Healthcare (NHS)</w:t>
            </w:r>
          </w:p>
        </w:tc>
        <w:tc>
          <w:tcPr>
            <w:tcW w:w="3118" w:type="dxa"/>
            <w:vAlign w:val="center"/>
          </w:tcPr>
          <w:p w14:paraId="7F166EB6" w14:textId="67033F72" w:rsidR="003E2CEF" w:rsidRPr="005943FF" w:rsidRDefault="00A31060" w:rsidP="005943FF">
            <w:pPr>
              <w:spacing w:line="360" w:lineRule="auto"/>
              <w:jc w:val="center"/>
              <w:rPr>
                <w:rFonts w:ascii="Arial" w:hAnsi="Arial" w:cs="Arial"/>
                <w:lang w:val="en-GB"/>
              </w:rPr>
            </w:pPr>
            <w:r w:rsidRPr="005943FF">
              <w:rPr>
                <w:rFonts w:ascii="Arial" w:hAnsi="Arial" w:cs="Arial"/>
                <w:lang w:val="en-GB"/>
              </w:rPr>
              <w:t>Telehealth has grown importantly in healthcare delivery.</w:t>
            </w:r>
          </w:p>
        </w:tc>
        <w:tc>
          <w:tcPr>
            <w:tcW w:w="1276" w:type="dxa"/>
            <w:vAlign w:val="center"/>
          </w:tcPr>
          <w:p w14:paraId="15445BC2" w14:textId="00F14A4C" w:rsidR="003E2CEF" w:rsidRPr="005943FF" w:rsidRDefault="003E2CEF" w:rsidP="005943FF">
            <w:pPr>
              <w:spacing w:line="360" w:lineRule="auto"/>
              <w:jc w:val="center"/>
              <w:rPr>
                <w:rFonts w:ascii="Arial" w:hAnsi="Arial" w:cs="Arial"/>
                <w:lang w:val="en-GB"/>
              </w:rPr>
            </w:pPr>
            <w:r w:rsidRPr="005943FF">
              <w:rPr>
                <w:rFonts w:ascii="Arial" w:hAnsi="Arial" w:cs="Arial"/>
                <w:lang w:val="en-GB"/>
              </w:rPr>
              <w:t>20</w:t>
            </w:r>
            <w:r w:rsidR="00F6333D">
              <w:rPr>
                <w:rFonts w:ascii="Arial" w:hAnsi="Arial" w:cs="Arial"/>
                <w:lang w:val="en-GB"/>
              </w:rPr>
              <w:t>23</w:t>
            </w:r>
          </w:p>
        </w:tc>
      </w:tr>
      <w:tr w:rsidR="005943FF" w14:paraId="50D04865" w14:textId="7A80DD31" w:rsidTr="005943FF">
        <w:tc>
          <w:tcPr>
            <w:tcW w:w="567" w:type="dxa"/>
            <w:vAlign w:val="center"/>
          </w:tcPr>
          <w:p w14:paraId="3C337F23" w14:textId="7660DF88" w:rsidR="003E2CEF" w:rsidRPr="005943FF" w:rsidRDefault="003E2CEF" w:rsidP="005943FF">
            <w:pPr>
              <w:spacing w:line="360" w:lineRule="auto"/>
              <w:jc w:val="center"/>
              <w:rPr>
                <w:rFonts w:ascii="Arial" w:hAnsi="Arial" w:cs="Arial"/>
                <w:b/>
                <w:bCs/>
                <w:lang w:val="en-GB"/>
              </w:rPr>
            </w:pPr>
            <w:r w:rsidRPr="005943FF">
              <w:rPr>
                <w:rFonts w:ascii="Arial" w:hAnsi="Arial" w:cs="Arial"/>
                <w:b/>
                <w:bCs/>
                <w:lang w:val="en-GB"/>
              </w:rPr>
              <w:t>2</w:t>
            </w:r>
          </w:p>
        </w:tc>
        <w:tc>
          <w:tcPr>
            <w:tcW w:w="1843" w:type="dxa"/>
            <w:vAlign w:val="center"/>
          </w:tcPr>
          <w:p w14:paraId="1EA136C3" w14:textId="1BFAB861" w:rsidR="003E2CEF" w:rsidRPr="005943FF" w:rsidRDefault="003E2CEF" w:rsidP="005943FF">
            <w:pPr>
              <w:spacing w:line="360" w:lineRule="auto"/>
              <w:jc w:val="center"/>
              <w:rPr>
                <w:rFonts w:ascii="Arial" w:hAnsi="Arial" w:cs="Arial"/>
                <w:lang w:val="en-GB"/>
              </w:rPr>
            </w:pPr>
            <w:r w:rsidRPr="005943FF">
              <w:rPr>
                <w:rFonts w:ascii="Arial" w:hAnsi="Arial" w:cs="Arial"/>
              </w:rPr>
              <w:t>Donaghy et al.</w:t>
            </w:r>
          </w:p>
        </w:tc>
        <w:tc>
          <w:tcPr>
            <w:tcW w:w="2005" w:type="dxa"/>
            <w:vAlign w:val="center"/>
          </w:tcPr>
          <w:p w14:paraId="29BE9089" w14:textId="52002349" w:rsidR="003E2CEF" w:rsidRPr="005943FF" w:rsidRDefault="00A31060" w:rsidP="005943FF">
            <w:pPr>
              <w:spacing w:line="360" w:lineRule="auto"/>
              <w:jc w:val="center"/>
              <w:rPr>
                <w:rFonts w:ascii="Arial" w:hAnsi="Arial" w:cs="Arial"/>
                <w:lang w:val="en-GB"/>
              </w:rPr>
            </w:pPr>
            <w:r w:rsidRPr="005943FF">
              <w:rPr>
                <w:rFonts w:ascii="Arial" w:hAnsi="Arial" w:cs="Arial"/>
                <w:lang w:val="en-GB"/>
              </w:rPr>
              <w:t>Qualitative Research</w:t>
            </w:r>
          </w:p>
        </w:tc>
        <w:tc>
          <w:tcPr>
            <w:tcW w:w="1681" w:type="dxa"/>
            <w:vAlign w:val="center"/>
          </w:tcPr>
          <w:p w14:paraId="0EBBAC5E" w14:textId="0D57487E" w:rsidR="003E2CEF" w:rsidRPr="005943FF" w:rsidRDefault="00A31060" w:rsidP="005943FF">
            <w:pPr>
              <w:spacing w:line="360" w:lineRule="auto"/>
              <w:jc w:val="center"/>
              <w:rPr>
                <w:rFonts w:ascii="Arial" w:hAnsi="Arial" w:cs="Arial"/>
                <w:lang w:val="en-GB"/>
              </w:rPr>
            </w:pPr>
            <w:r w:rsidRPr="005943FF">
              <w:rPr>
                <w:rFonts w:ascii="Arial" w:hAnsi="Arial" w:cs="Arial"/>
                <w:lang w:val="en-GB"/>
              </w:rPr>
              <w:t>Outpatient care UK</w:t>
            </w:r>
          </w:p>
        </w:tc>
        <w:tc>
          <w:tcPr>
            <w:tcW w:w="3118" w:type="dxa"/>
            <w:vAlign w:val="center"/>
          </w:tcPr>
          <w:p w14:paraId="59B95CA0" w14:textId="64CB0BEB" w:rsidR="003E2CEF" w:rsidRPr="005943FF" w:rsidRDefault="00A31060" w:rsidP="005943FF">
            <w:pPr>
              <w:spacing w:line="360" w:lineRule="auto"/>
              <w:jc w:val="center"/>
              <w:rPr>
                <w:rFonts w:ascii="Arial" w:hAnsi="Arial" w:cs="Arial"/>
                <w:lang w:val="en-GB"/>
              </w:rPr>
            </w:pPr>
            <w:r w:rsidRPr="005943FF">
              <w:rPr>
                <w:rFonts w:ascii="Arial" w:hAnsi="Arial" w:cs="Arial"/>
                <w:lang w:val="en-GB"/>
              </w:rPr>
              <w:t>Telehealth has enhanced the patient ease but elevate concerns.</w:t>
            </w:r>
          </w:p>
        </w:tc>
        <w:tc>
          <w:tcPr>
            <w:tcW w:w="1276" w:type="dxa"/>
            <w:vAlign w:val="center"/>
          </w:tcPr>
          <w:p w14:paraId="3CB29816" w14:textId="2253A60F" w:rsidR="003E2CEF" w:rsidRPr="005943FF" w:rsidRDefault="003E2CEF" w:rsidP="005943FF">
            <w:pPr>
              <w:spacing w:line="360" w:lineRule="auto"/>
              <w:jc w:val="center"/>
              <w:rPr>
                <w:rFonts w:ascii="Arial" w:hAnsi="Arial" w:cs="Arial"/>
                <w:lang w:val="en-GB"/>
              </w:rPr>
            </w:pPr>
            <w:r w:rsidRPr="005943FF">
              <w:rPr>
                <w:rFonts w:ascii="Arial" w:hAnsi="Arial" w:cs="Arial"/>
                <w:lang w:val="en-GB"/>
              </w:rPr>
              <w:t>2019</w:t>
            </w:r>
          </w:p>
        </w:tc>
      </w:tr>
      <w:tr w:rsidR="005943FF" w14:paraId="6B3F4A7E" w14:textId="77777777" w:rsidTr="005943FF">
        <w:tc>
          <w:tcPr>
            <w:tcW w:w="567" w:type="dxa"/>
            <w:vAlign w:val="center"/>
          </w:tcPr>
          <w:p w14:paraId="46F1B3BE" w14:textId="541BAF9A" w:rsidR="00A31060" w:rsidRPr="005943FF" w:rsidRDefault="00A31060" w:rsidP="005943FF">
            <w:pPr>
              <w:spacing w:line="360" w:lineRule="auto"/>
              <w:jc w:val="center"/>
              <w:rPr>
                <w:rFonts w:ascii="Arial" w:hAnsi="Arial" w:cs="Arial"/>
                <w:b/>
                <w:bCs/>
                <w:lang w:val="en-GB"/>
              </w:rPr>
            </w:pPr>
            <w:r w:rsidRPr="005943FF">
              <w:rPr>
                <w:rFonts w:ascii="Arial" w:hAnsi="Arial" w:cs="Arial"/>
                <w:b/>
                <w:bCs/>
                <w:lang w:val="en-GB"/>
              </w:rPr>
              <w:t>3</w:t>
            </w:r>
          </w:p>
        </w:tc>
        <w:tc>
          <w:tcPr>
            <w:tcW w:w="1843" w:type="dxa"/>
            <w:vAlign w:val="center"/>
          </w:tcPr>
          <w:p w14:paraId="41894854" w14:textId="7619BAAF" w:rsidR="00A31060" w:rsidRPr="005943FF" w:rsidRDefault="00A31060" w:rsidP="005943FF">
            <w:pPr>
              <w:spacing w:line="360" w:lineRule="auto"/>
              <w:jc w:val="center"/>
              <w:rPr>
                <w:rFonts w:ascii="Arial" w:hAnsi="Arial" w:cs="Arial"/>
              </w:rPr>
            </w:pPr>
            <w:r w:rsidRPr="005943FF">
              <w:rPr>
                <w:rFonts w:ascii="Arial" w:hAnsi="Arial" w:cs="Arial"/>
              </w:rPr>
              <w:t>Salisbury et al.</w:t>
            </w:r>
          </w:p>
        </w:tc>
        <w:tc>
          <w:tcPr>
            <w:tcW w:w="2005" w:type="dxa"/>
            <w:vAlign w:val="center"/>
          </w:tcPr>
          <w:p w14:paraId="4AA8A338" w14:textId="0D3838B5" w:rsidR="00A31060" w:rsidRPr="005943FF" w:rsidRDefault="00A31060" w:rsidP="005943FF">
            <w:pPr>
              <w:spacing w:line="360" w:lineRule="auto"/>
              <w:jc w:val="center"/>
              <w:rPr>
                <w:rFonts w:ascii="Arial" w:hAnsi="Arial" w:cs="Arial"/>
                <w:lang w:val="en-GB"/>
              </w:rPr>
            </w:pPr>
            <w:r w:rsidRPr="005943FF">
              <w:rPr>
                <w:rFonts w:ascii="Arial" w:hAnsi="Arial" w:cs="Arial"/>
              </w:rPr>
              <w:t>Randomized Controlled Trial</w:t>
            </w:r>
          </w:p>
        </w:tc>
        <w:tc>
          <w:tcPr>
            <w:tcW w:w="1681" w:type="dxa"/>
            <w:vAlign w:val="center"/>
          </w:tcPr>
          <w:p w14:paraId="428A79FA" w14:textId="1E227A6F" w:rsidR="00A31060" w:rsidRPr="005943FF" w:rsidRDefault="00A31060" w:rsidP="005943FF">
            <w:pPr>
              <w:spacing w:line="360" w:lineRule="auto"/>
              <w:jc w:val="center"/>
              <w:rPr>
                <w:rFonts w:ascii="Arial" w:hAnsi="Arial" w:cs="Arial"/>
                <w:lang w:val="en-GB"/>
              </w:rPr>
            </w:pPr>
            <w:r w:rsidRPr="005943FF">
              <w:rPr>
                <w:rFonts w:ascii="Arial" w:hAnsi="Arial" w:cs="Arial"/>
                <w:lang w:val="en-GB"/>
              </w:rPr>
              <w:t>Outpatient Care</w:t>
            </w:r>
          </w:p>
        </w:tc>
        <w:tc>
          <w:tcPr>
            <w:tcW w:w="3118" w:type="dxa"/>
            <w:vAlign w:val="center"/>
          </w:tcPr>
          <w:p w14:paraId="55765578" w14:textId="37AF6722" w:rsidR="00A31060" w:rsidRPr="005943FF" w:rsidRDefault="005943FF" w:rsidP="005943FF">
            <w:pPr>
              <w:spacing w:line="360" w:lineRule="auto"/>
              <w:jc w:val="center"/>
              <w:rPr>
                <w:rFonts w:ascii="Arial" w:hAnsi="Arial" w:cs="Arial"/>
                <w:lang w:val="en-GB"/>
              </w:rPr>
            </w:pPr>
            <w:r w:rsidRPr="005943FF">
              <w:rPr>
                <w:rFonts w:ascii="Arial" w:hAnsi="Arial" w:cs="Arial"/>
                <w:lang w:val="en-GB"/>
              </w:rPr>
              <w:t>Digital Healthcare showed mixed equity results.</w:t>
            </w:r>
          </w:p>
        </w:tc>
        <w:tc>
          <w:tcPr>
            <w:tcW w:w="1276" w:type="dxa"/>
            <w:vAlign w:val="center"/>
          </w:tcPr>
          <w:p w14:paraId="37B9BAC8" w14:textId="7C574083" w:rsidR="00A31060" w:rsidRPr="005943FF" w:rsidRDefault="00A31060" w:rsidP="005943FF">
            <w:pPr>
              <w:spacing w:line="360" w:lineRule="auto"/>
              <w:jc w:val="center"/>
              <w:rPr>
                <w:rFonts w:ascii="Arial" w:hAnsi="Arial" w:cs="Arial"/>
                <w:lang w:val="en-GB"/>
              </w:rPr>
            </w:pPr>
            <w:r w:rsidRPr="005943FF">
              <w:rPr>
                <w:rFonts w:ascii="Arial" w:hAnsi="Arial" w:cs="Arial"/>
                <w:lang w:val="en-GB"/>
              </w:rPr>
              <w:t>2020</w:t>
            </w:r>
          </w:p>
        </w:tc>
      </w:tr>
      <w:tr w:rsidR="005943FF" w14:paraId="0AD595AC" w14:textId="2A81646D" w:rsidTr="005943FF">
        <w:tc>
          <w:tcPr>
            <w:tcW w:w="567" w:type="dxa"/>
            <w:vAlign w:val="center"/>
          </w:tcPr>
          <w:p w14:paraId="61763803" w14:textId="5A29D01A" w:rsidR="003E2CEF" w:rsidRPr="005943FF" w:rsidRDefault="00A31060" w:rsidP="005943FF">
            <w:pPr>
              <w:spacing w:line="360" w:lineRule="auto"/>
              <w:jc w:val="center"/>
              <w:rPr>
                <w:rFonts w:ascii="Arial" w:hAnsi="Arial" w:cs="Arial"/>
                <w:b/>
                <w:bCs/>
                <w:lang w:val="en-GB"/>
              </w:rPr>
            </w:pPr>
            <w:r w:rsidRPr="005943FF">
              <w:rPr>
                <w:rFonts w:ascii="Arial" w:hAnsi="Arial" w:cs="Arial"/>
                <w:b/>
                <w:bCs/>
                <w:lang w:val="en-GB"/>
              </w:rPr>
              <w:t>4</w:t>
            </w:r>
          </w:p>
        </w:tc>
        <w:tc>
          <w:tcPr>
            <w:tcW w:w="1843" w:type="dxa"/>
            <w:vAlign w:val="center"/>
          </w:tcPr>
          <w:p w14:paraId="0F4FA575" w14:textId="3A22231D" w:rsidR="003E2CEF" w:rsidRPr="005943FF" w:rsidRDefault="003E2CEF" w:rsidP="005943FF">
            <w:pPr>
              <w:spacing w:line="360" w:lineRule="auto"/>
              <w:jc w:val="center"/>
              <w:rPr>
                <w:rFonts w:ascii="Arial" w:hAnsi="Arial" w:cs="Arial"/>
                <w:lang w:val="en-GB"/>
              </w:rPr>
            </w:pPr>
            <w:r w:rsidRPr="005943FF">
              <w:rPr>
                <w:rFonts w:ascii="Arial" w:hAnsi="Arial" w:cs="Arial"/>
              </w:rPr>
              <w:t>Greenhalgh et al.</w:t>
            </w:r>
          </w:p>
        </w:tc>
        <w:tc>
          <w:tcPr>
            <w:tcW w:w="2005" w:type="dxa"/>
            <w:vAlign w:val="center"/>
          </w:tcPr>
          <w:p w14:paraId="7D8B2F39" w14:textId="602FD0D2" w:rsidR="003E2CEF" w:rsidRPr="005943FF" w:rsidRDefault="005943FF" w:rsidP="005943FF">
            <w:pPr>
              <w:spacing w:line="360" w:lineRule="auto"/>
              <w:jc w:val="center"/>
              <w:rPr>
                <w:rFonts w:ascii="Arial" w:hAnsi="Arial" w:cs="Arial"/>
                <w:lang w:val="en-GB"/>
              </w:rPr>
            </w:pPr>
            <w:r w:rsidRPr="005943FF">
              <w:rPr>
                <w:rFonts w:ascii="Arial" w:hAnsi="Arial" w:cs="Arial"/>
                <w:lang w:val="en-GB"/>
              </w:rPr>
              <w:t>Qualitative Research</w:t>
            </w:r>
          </w:p>
        </w:tc>
        <w:tc>
          <w:tcPr>
            <w:tcW w:w="1681" w:type="dxa"/>
            <w:vAlign w:val="center"/>
          </w:tcPr>
          <w:p w14:paraId="5F9FA6F9" w14:textId="6B8A6682" w:rsidR="003E2CEF" w:rsidRPr="005943FF" w:rsidRDefault="005943FF" w:rsidP="005943FF">
            <w:pPr>
              <w:spacing w:line="360" w:lineRule="auto"/>
              <w:jc w:val="center"/>
              <w:rPr>
                <w:rFonts w:ascii="Arial" w:hAnsi="Arial" w:cs="Arial"/>
                <w:lang w:val="en-GB"/>
              </w:rPr>
            </w:pPr>
            <w:r w:rsidRPr="005943FF">
              <w:rPr>
                <w:rFonts w:ascii="Arial" w:hAnsi="Arial" w:cs="Arial"/>
                <w:lang w:val="en-GB"/>
              </w:rPr>
              <w:t>NHS Provisions</w:t>
            </w:r>
          </w:p>
        </w:tc>
        <w:tc>
          <w:tcPr>
            <w:tcW w:w="3118" w:type="dxa"/>
            <w:vAlign w:val="center"/>
          </w:tcPr>
          <w:p w14:paraId="66957515" w14:textId="77777777" w:rsidR="005943FF" w:rsidRPr="005943FF" w:rsidRDefault="005943FF" w:rsidP="005943FF">
            <w:pPr>
              <w:spacing w:line="360" w:lineRule="auto"/>
              <w:jc w:val="center"/>
              <w:rPr>
                <w:rFonts w:ascii="Arial" w:hAnsi="Arial" w:cs="Arial"/>
                <w:lang w:val="en-GB"/>
              </w:rPr>
            </w:pPr>
            <w:r w:rsidRPr="005943FF">
              <w:rPr>
                <w:rFonts w:ascii="Arial" w:hAnsi="Arial" w:cs="Arial"/>
                <w:lang w:val="en-GB"/>
              </w:rPr>
              <w:t>Access was enhanced by digital care, yet the dangers of exclusion rose.</w:t>
            </w:r>
          </w:p>
          <w:p w14:paraId="5E9055F2" w14:textId="77777777" w:rsidR="003E2CEF" w:rsidRPr="005943FF" w:rsidRDefault="003E2CEF" w:rsidP="005943FF">
            <w:pPr>
              <w:spacing w:line="360" w:lineRule="auto"/>
              <w:jc w:val="center"/>
              <w:rPr>
                <w:rFonts w:ascii="Arial" w:hAnsi="Arial" w:cs="Arial"/>
                <w:lang w:val="en-GB"/>
              </w:rPr>
            </w:pPr>
          </w:p>
        </w:tc>
        <w:tc>
          <w:tcPr>
            <w:tcW w:w="1276" w:type="dxa"/>
            <w:vAlign w:val="center"/>
          </w:tcPr>
          <w:p w14:paraId="40F67AAC" w14:textId="597E7732" w:rsidR="003E2CEF" w:rsidRPr="005943FF" w:rsidRDefault="003E2CEF" w:rsidP="005943FF">
            <w:pPr>
              <w:spacing w:line="360" w:lineRule="auto"/>
              <w:jc w:val="center"/>
              <w:rPr>
                <w:rFonts w:ascii="Arial" w:hAnsi="Arial" w:cs="Arial"/>
                <w:lang w:val="en-GB"/>
              </w:rPr>
            </w:pPr>
            <w:r w:rsidRPr="005943FF">
              <w:rPr>
                <w:rFonts w:ascii="Arial" w:hAnsi="Arial" w:cs="Arial"/>
                <w:lang w:val="en-GB"/>
              </w:rPr>
              <w:t>2020</w:t>
            </w:r>
          </w:p>
        </w:tc>
      </w:tr>
      <w:tr w:rsidR="005943FF" w14:paraId="159296B1" w14:textId="4ACCE07D" w:rsidTr="005943FF">
        <w:tc>
          <w:tcPr>
            <w:tcW w:w="567" w:type="dxa"/>
            <w:vAlign w:val="center"/>
          </w:tcPr>
          <w:p w14:paraId="3EDB9A96" w14:textId="4572BAA0" w:rsidR="003E2CEF" w:rsidRPr="005943FF" w:rsidRDefault="00A31060" w:rsidP="005943FF">
            <w:pPr>
              <w:spacing w:line="360" w:lineRule="auto"/>
              <w:jc w:val="center"/>
              <w:rPr>
                <w:rFonts w:ascii="Arial" w:hAnsi="Arial" w:cs="Arial"/>
                <w:b/>
                <w:bCs/>
                <w:lang w:val="en-GB"/>
              </w:rPr>
            </w:pPr>
            <w:r w:rsidRPr="005943FF">
              <w:rPr>
                <w:rFonts w:ascii="Arial" w:hAnsi="Arial" w:cs="Arial"/>
                <w:b/>
                <w:bCs/>
                <w:lang w:val="en-GB"/>
              </w:rPr>
              <w:t>5</w:t>
            </w:r>
          </w:p>
        </w:tc>
        <w:tc>
          <w:tcPr>
            <w:tcW w:w="1843" w:type="dxa"/>
            <w:vAlign w:val="center"/>
          </w:tcPr>
          <w:p w14:paraId="09C641B0" w14:textId="1E616DEC" w:rsidR="003E2CEF" w:rsidRPr="005943FF" w:rsidRDefault="003E2CEF" w:rsidP="005943FF">
            <w:pPr>
              <w:spacing w:line="360" w:lineRule="auto"/>
              <w:jc w:val="center"/>
              <w:rPr>
                <w:rFonts w:ascii="Arial" w:hAnsi="Arial" w:cs="Arial"/>
                <w:lang w:val="en-GB"/>
              </w:rPr>
            </w:pPr>
            <w:r w:rsidRPr="005943FF">
              <w:rPr>
                <w:rFonts w:ascii="Arial" w:hAnsi="Arial" w:cs="Arial"/>
              </w:rPr>
              <w:t>Watts et al.</w:t>
            </w:r>
          </w:p>
        </w:tc>
        <w:tc>
          <w:tcPr>
            <w:tcW w:w="2005" w:type="dxa"/>
            <w:vAlign w:val="center"/>
          </w:tcPr>
          <w:p w14:paraId="15D2C492" w14:textId="72E61C10" w:rsidR="003E2CEF" w:rsidRPr="005943FF" w:rsidRDefault="005943FF" w:rsidP="005943FF">
            <w:pPr>
              <w:spacing w:line="360" w:lineRule="auto"/>
              <w:jc w:val="center"/>
              <w:rPr>
                <w:rFonts w:ascii="Arial" w:hAnsi="Arial" w:cs="Arial"/>
                <w:lang w:val="en-GB"/>
              </w:rPr>
            </w:pPr>
            <w:r w:rsidRPr="005943FF">
              <w:rPr>
                <w:rFonts w:ascii="Arial" w:hAnsi="Arial" w:cs="Arial"/>
                <w:lang w:val="en-GB"/>
              </w:rPr>
              <w:t>Mixed Methods</w:t>
            </w:r>
          </w:p>
        </w:tc>
        <w:tc>
          <w:tcPr>
            <w:tcW w:w="1681" w:type="dxa"/>
            <w:vAlign w:val="center"/>
          </w:tcPr>
          <w:p w14:paraId="51CBE164" w14:textId="27E972B2" w:rsidR="003E2CEF" w:rsidRPr="005943FF" w:rsidRDefault="005943FF" w:rsidP="005943FF">
            <w:pPr>
              <w:spacing w:line="360" w:lineRule="auto"/>
              <w:jc w:val="center"/>
              <w:rPr>
                <w:rFonts w:ascii="Arial" w:hAnsi="Arial" w:cs="Arial"/>
                <w:lang w:val="en-GB"/>
              </w:rPr>
            </w:pPr>
            <w:r w:rsidRPr="005943FF">
              <w:rPr>
                <w:rFonts w:ascii="Arial" w:hAnsi="Arial" w:cs="Arial"/>
                <w:lang w:val="en-GB"/>
              </w:rPr>
              <w:t>GP (NHS)</w:t>
            </w:r>
          </w:p>
        </w:tc>
        <w:tc>
          <w:tcPr>
            <w:tcW w:w="3118" w:type="dxa"/>
            <w:vAlign w:val="center"/>
          </w:tcPr>
          <w:p w14:paraId="7F156746" w14:textId="6A100763" w:rsidR="003E2CEF" w:rsidRPr="005943FF" w:rsidRDefault="005943FF" w:rsidP="005943FF">
            <w:pPr>
              <w:spacing w:line="360" w:lineRule="auto"/>
              <w:jc w:val="center"/>
              <w:rPr>
                <w:rFonts w:ascii="Arial" w:hAnsi="Arial" w:cs="Arial"/>
                <w:lang w:val="en-GB"/>
              </w:rPr>
            </w:pPr>
            <w:r w:rsidRPr="005943FF">
              <w:rPr>
                <w:rFonts w:ascii="Arial" w:hAnsi="Arial" w:cs="Arial"/>
                <w:lang w:val="en-GB"/>
              </w:rPr>
              <w:t xml:space="preserve">Telehealth </w:t>
            </w:r>
            <w:proofErr w:type="gramStart"/>
            <w:r w:rsidRPr="005943FF">
              <w:rPr>
                <w:rFonts w:ascii="Arial" w:hAnsi="Arial" w:cs="Arial"/>
                <w:lang w:val="en-GB"/>
              </w:rPr>
              <w:t>help</w:t>
            </w:r>
            <w:proofErr w:type="gramEnd"/>
            <w:r w:rsidRPr="005943FF">
              <w:rPr>
                <w:rFonts w:ascii="Arial" w:hAnsi="Arial" w:cs="Arial"/>
                <w:lang w:val="en-GB"/>
              </w:rPr>
              <w:t xml:space="preserve"> communal groups but are disparities still existing.</w:t>
            </w:r>
          </w:p>
        </w:tc>
        <w:tc>
          <w:tcPr>
            <w:tcW w:w="1276" w:type="dxa"/>
            <w:vAlign w:val="center"/>
          </w:tcPr>
          <w:p w14:paraId="30CD0A9B" w14:textId="476AB3B0" w:rsidR="003E2CEF" w:rsidRPr="005943FF" w:rsidRDefault="003E2CEF" w:rsidP="005943FF">
            <w:pPr>
              <w:spacing w:line="360" w:lineRule="auto"/>
              <w:jc w:val="center"/>
              <w:rPr>
                <w:rFonts w:ascii="Arial" w:hAnsi="Arial" w:cs="Arial"/>
                <w:lang w:val="en-GB"/>
              </w:rPr>
            </w:pPr>
            <w:r w:rsidRPr="005943FF">
              <w:rPr>
                <w:rFonts w:ascii="Arial" w:hAnsi="Arial" w:cs="Arial"/>
                <w:lang w:val="en-GB"/>
              </w:rPr>
              <w:t>2020</w:t>
            </w:r>
          </w:p>
        </w:tc>
      </w:tr>
      <w:tr w:rsidR="005943FF" w14:paraId="104CC78E" w14:textId="77777777" w:rsidTr="005943FF">
        <w:tc>
          <w:tcPr>
            <w:tcW w:w="567" w:type="dxa"/>
            <w:vAlign w:val="center"/>
          </w:tcPr>
          <w:p w14:paraId="0B22C586" w14:textId="6C6AA782" w:rsidR="003E2CEF" w:rsidRPr="005943FF" w:rsidRDefault="00A31060" w:rsidP="005943FF">
            <w:pPr>
              <w:spacing w:line="360" w:lineRule="auto"/>
              <w:jc w:val="center"/>
              <w:rPr>
                <w:rFonts w:ascii="Arial" w:hAnsi="Arial" w:cs="Arial"/>
                <w:b/>
                <w:bCs/>
                <w:lang w:val="en-GB"/>
              </w:rPr>
            </w:pPr>
            <w:r w:rsidRPr="005943FF">
              <w:rPr>
                <w:rFonts w:ascii="Arial" w:hAnsi="Arial" w:cs="Arial"/>
                <w:b/>
                <w:bCs/>
                <w:lang w:val="en-GB"/>
              </w:rPr>
              <w:t>6</w:t>
            </w:r>
          </w:p>
        </w:tc>
        <w:tc>
          <w:tcPr>
            <w:tcW w:w="1843" w:type="dxa"/>
            <w:vAlign w:val="center"/>
          </w:tcPr>
          <w:p w14:paraId="50005F26" w14:textId="02ED9197" w:rsidR="003E2CEF" w:rsidRPr="005943FF" w:rsidRDefault="003E2CEF" w:rsidP="005943FF">
            <w:pPr>
              <w:spacing w:line="360" w:lineRule="auto"/>
              <w:jc w:val="center"/>
              <w:rPr>
                <w:rFonts w:ascii="Arial" w:hAnsi="Arial" w:cs="Arial"/>
                <w:lang w:val="en-GB"/>
              </w:rPr>
            </w:pPr>
            <w:r w:rsidRPr="005943FF">
              <w:rPr>
                <w:rFonts w:ascii="Arial" w:hAnsi="Arial" w:cs="Arial"/>
              </w:rPr>
              <w:t>Shaw et al</w:t>
            </w:r>
          </w:p>
        </w:tc>
        <w:tc>
          <w:tcPr>
            <w:tcW w:w="2005" w:type="dxa"/>
            <w:vAlign w:val="center"/>
          </w:tcPr>
          <w:p w14:paraId="394F1ADC" w14:textId="0051079B" w:rsidR="003E2CEF" w:rsidRPr="005943FF" w:rsidRDefault="005943FF" w:rsidP="005943FF">
            <w:pPr>
              <w:spacing w:line="360" w:lineRule="auto"/>
              <w:jc w:val="center"/>
              <w:rPr>
                <w:rFonts w:ascii="Arial" w:hAnsi="Arial" w:cs="Arial"/>
                <w:lang w:val="en-GB"/>
              </w:rPr>
            </w:pPr>
            <w:r w:rsidRPr="005943FF">
              <w:rPr>
                <w:rFonts w:ascii="Arial" w:hAnsi="Arial" w:cs="Arial"/>
                <w:lang w:val="en-GB"/>
              </w:rPr>
              <w:t>Qualitative Research</w:t>
            </w:r>
          </w:p>
        </w:tc>
        <w:tc>
          <w:tcPr>
            <w:tcW w:w="1681" w:type="dxa"/>
            <w:vAlign w:val="center"/>
          </w:tcPr>
          <w:p w14:paraId="2AC62C89" w14:textId="1A2ABA48" w:rsidR="003E2CEF" w:rsidRPr="005943FF" w:rsidRDefault="005943FF" w:rsidP="005943FF">
            <w:pPr>
              <w:spacing w:line="360" w:lineRule="auto"/>
              <w:jc w:val="center"/>
              <w:rPr>
                <w:rFonts w:ascii="Arial" w:hAnsi="Arial" w:cs="Arial"/>
                <w:lang w:val="en-GB"/>
              </w:rPr>
            </w:pPr>
            <w:r w:rsidRPr="005943FF">
              <w:rPr>
                <w:rFonts w:ascii="Arial" w:hAnsi="Arial" w:cs="Arial"/>
                <w:lang w:val="en-GB"/>
              </w:rPr>
              <w:t>NHS Personals</w:t>
            </w:r>
          </w:p>
        </w:tc>
        <w:tc>
          <w:tcPr>
            <w:tcW w:w="3118" w:type="dxa"/>
            <w:vAlign w:val="center"/>
          </w:tcPr>
          <w:p w14:paraId="221C9C8B" w14:textId="73719B20" w:rsidR="005943FF" w:rsidRPr="005943FF" w:rsidRDefault="005943FF" w:rsidP="005943FF">
            <w:pPr>
              <w:spacing w:line="360" w:lineRule="auto"/>
              <w:jc w:val="center"/>
              <w:rPr>
                <w:rFonts w:ascii="Arial" w:hAnsi="Arial" w:cs="Arial"/>
                <w:lang w:val="en-GB"/>
              </w:rPr>
            </w:pPr>
            <w:r w:rsidRPr="005943FF">
              <w:rPr>
                <w:rFonts w:ascii="Arial" w:hAnsi="Arial" w:cs="Arial"/>
                <w:lang w:val="en-GB"/>
              </w:rPr>
              <w:t>The adoption of telehealth was enhanced by organisational support.</w:t>
            </w:r>
          </w:p>
          <w:p w14:paraId="0FA7499B" w14:textId="77777777" w:rsidR="003E2CEF" w:rsidRPr="005943FF" w:rsidRDefault="003E2CEF" w:rsidP="005943FF">
            <w:pPr>
              <w:spacing w:line="360" w:lineRule="auto"/>
              <w:jc w:val="center"/>
              <w:rPr>
                <w:rFonts w:ascii="Arial" w:hAnsi="Arial" w:cs="Arial"/>
                <w:lang w:val="en-GB"/>
              </w:rPr>
            </w:pPr>
          </w:p>
        </w:tc>
        <w:tc>
          <w:tcPr>
            <w:tcW w:w="1276" w:type="dxa"/>
            <w:vAlign w:val="center"/>
          </w:tcPr>
          <w:p w14:paraId="1FBF7DE0" w14:textId="540602E1" w:rsidR="003E2CEF" w:rsidRPr="005943FF" w:rsidRDefault="003E2CEF" w:rsidP="005943FF">
            <w:pPr>
              <w:spacing w:line="360" w:lineRule="auto"/>
              <w:jc w:val="center"/>
              <w:rPr>
                <w:rFonts w:ascii="Arial" w:hAnsi="Arial" w:cs="Arial"/>
                <w:lang w:val="en-GB"/>
              </w:rPr>
            </w:pPr>
            <w:r w:rsidRPr="005943FF">
              <w:rPr>
                <w:rFonts w:ascii="Arial" w:hAnsi="Arial" w:cs="Arial"/>
                <w:lang w:val="en-GB"/>
              </w:rPr>
              <w:t>2018</w:t>
            </w:r>
          </w:p>
        </w:tc>
      </w:tr>
    </w:tbl>
    <w:p w14:paraId="7545F7FD" w14:textId="77777777" w:rsidR="00E76C2C" w:rsidRDefault="00E76C2C" w:rsidP="00E76C2C">
      <w:pPr>
        <w:spacing w:line="360" w:lineRule="auto"/>
        <w:rPr>
          <w:rFonts w:ascii="Arial" w:hAnsi="Arial" w:cs="Arial"/>
          <w:b/>
          <w:bCs/>
          <w:sz w:val="24"/>
          <w:szCs w:val="24"/>
          <w:u w:val="single"/>
          <w:lang w:val="en-GB"/>
        </w:rPr>
      </w:pPr>
    </w:p>
    <w:p w14:paraId="1D322C05" w14:textId="26D28506" w:rsidR="00E76C2C" w:rsidRPr="005F535F" w:rsidRDefault="00E76C2C" w:rsidP="00E76C2C">
      <w:pPr>
        <w:spacing w:line="360" w:lineRule="auto"/>
        <w:rPr>
          <w:rFonts w:asciiTheme="minorBidi" w:hAnsiTheme="minorBidi"/>
          <w:sz w:val="23"/>
          <w:szCs w:val="23"/>
        </w:rPr>
      </w:pPr>
      <w:r>
        <w:rPr>
          <w:rFonts w:ascii="Arial" w:hAnsi="Arial" w:cs="Arial"/>
          <w:b/>
          <w:bCs/>
          <w:sz w:val="24"/>
          <w:szCs w:val="24"/>
          <w:u w:val="single"/>
          <w:lang w:val="en-GB"/>
        </w:rPr>
        <w:t>Discussion</w:t>
      </w:r>
    </w:p>
    <w:p w14:paraId="048F2ADF" w14:textId="5ED2EF5F" w:rsidR="00D812F6" w:rsidRDefault="00D812F6" w:rsidP="00D812F6">
      <w:pPr>
        <w:spacing w:line="360" w:lineRule="auto"/>
        <w:jc w:val="both"/>
        <w:rPr>
          <w:rFonts w:ascii="Arial" w:hAnsi="Arial" w:cs="Arial"/>
          <w:lang w:val="en-GB"/>
        </w:rPr>
      </w:pPr>
      <w:r>
        <w:rPr>
          <w:rFonts w:ascii="Arial" w:hAnsi="Arial" w:cs="Arial"/>
          <w:lang w:val="en-GB"/>
        </w:rPr>
        <w:t>After analysing the studies</w:t>
      </w:r>
      <w:r w:rsidR="00BE248A">
        <w:rPr>
          <w:rFonts w:ascii="Arial" w:hAnsi="Arial" w:cs="Arial"/>
          <w:lang w:val="en-GB"/>
        </w:rPr>
        <w:t xml:space="preserve"> four</w:t>
      </w:r>
      <w:r>
        <w:rPr>
          <w:rFonts w:ascii="Arial" w:hAnsi="Arial" w:cs="Arial"/>
          <w:lang w:val="en-GB"/>
        </w:rPr>
        <w:t xml:space="preserve"> key themes are identified.</w:t>
      </w:r>
    </w:p>
    <w:p w14:paraId="52F4CBEB" w14:textId="77777777" w:rsidR="00BE248A" w:rsidRPr="00BE248A" w:rsidRDefault="00D812F6" w:rsidP="00D812F6">
      <w:pPr>
        <w:spacing w:line="360" w:lineRule="auto"/>
        <w:jc w:val="both"/>
        <w:rPr>
          <w:rFonts w:ascii="Arial" w:hAnsi="Arial" w:cs="Arial"/>
          <w:b/>
          <w:bCs/>
          <w:lang w:val="en-GB"/>
        </w:rPr>
      </w:pPr>
      <w:r w:rsidRPr="00737B37">
        <w:rPr>
          <w:rFonts w:ascii="Arial" w:hAnsi="Arial" w:cs="Arial"/>
          <w:b/>
          <w:bCs/>
          <w:lang w:val="en-GB"/>
        </w:rPr>
        <w:t xml:space="preserve">Theme </w:t>
      </w:r>
      <w:r>
        <w:rPr>
          <w:rFonts w:ascii="Arial" w:hAnsi="Arial" w:cs="Arial"/>
          <w:b/>
          <w:bCs/>
          <w:lang w:val="en-GB"/>
        </w:rPr>
        <w:t>1</w:t>
      </w:r>
      <w:r w:rsidRPr="00737B37">
        <w:rPr>
          <w:rFonts w:ascii="Arial" w:hAnsi="Arial" w:cs="Arial"/>
          <w:lang w:val="en-GB"/>
        </w:rPr>
        <w:t>:</w:t>
      </w:r>
      <w:r>
        <w:rPr>
          <w:rFonts w:ascii="Arial" w:hAnsi="Arial" w:cs="Arial"/>
          <w:lang w:val="en-GB"/>
        </w:rPr>
        <w:t xml:space="preserve"> </w:t>
      </w:r>
      <w:r w:rsidR="00BE248A" w:rsidRPr="00BE248A">
        <w:rPr>
          <w:rFonts w:ascii="Arial" w:hAnsi="Arial" w:cs="Arial"/>
          <w:b/>
          <w:bCs/>
          <w:lang w:val="en-GB"/>
        </w:rPr>
        <w:t>Pros and Cons of Telehealth</w:t>
      </w:r>
    </w:p>
    <w:p w14:paraId="036C52A1" w14:textId="01F5EF95" w:rsidR="00D812F6" w:rsidRDefault="00D812F6" w:rsidP="00D812F6">
      <w:pPr>
        <w:spacing w:line="360" w:lineRule="auto"/>
        <w:jc w:val="both"/>
        <w:rPr>
          <w:rFonts w:ascii="Arial" w:hAnsi="Arial" w:cs="Arial"/>
          <w:lang w:val="en-GB"/>
        </w:rPr>
      </w:pPr>
      <w:r>
        <w:rPr>
          <w:rFonts w:ascii="Arial" w:hAnsi="Arial" w:cs="Arial"/>
          <w:lang w:val="en-GB"/>
        </w:rPr>
        <w:t xml:space="preserve">Telehealth is specifically important in </w:t>
      </w:r>
      <w:r w:rsidRPr="00AE751F">
        <w:rPr>
          <w:rFonts w:ascii="Arial" w:hAnsi="Arial" w:cs="Arial"/>
          <w:lang w:val="en-GB"/>
        </w:rPr>
        <w:t>healthcare delivery,</w:t>
      </w:r>
      <w:r>
        <w:rPr>
          <w:rFonts w:ascii="Arial" w:hAnsi="Arial" w:cs="Arial"/>
          <w:lang w:val="en-GB"/>
        </w:rPr>
        <w:t xml:space="preserve"> but equity and access are major barriers in small community groups</w:t>
      </w:r>
      <w:r w:rsidRPr="00737B37">
        <w:rPr>
          <w:rFonts w:ascii="Arial" w:hAnsi="Arial" w:cs="Arial"/>
          <w:lang w:val="en-GB"/>
        </w:rPr>
        <w:t>(</w:t>
      </w:r>
      <w:r w:rsidRPr="000713E8">
        <w:rPr>
          <w:rFonts w:ascii="Arial" w:hAnsi="Arial" w:cs="Arial"/>
          <w:lang w:val="en-GB"/>
        </w:rPr>
        <w:t>Marmo</w:t>
      </w:r>
      <w:r>
        <w:rPr>
          <w:rFonts w:ascii="Arial" w:hAnsi="Arial" w:cs="Arial"/>
          <w:lang w:val="en-GB"/>
        </w:rPr>
        <w:t>t et al.,2010</w:t>
      </w:r>
      <w:r w:rsidRPr="00737B37">
        <w:rPr>
          <w:rFonts w:ascii="Arial" w:hAnsi="Arial" w:cs="Arial"/>
          <w:lang w:val="en-GB"/>
        </w:rPr>
        <w:t>).</w:t>
      </w:r>
    </w:p>
    <w:p w14:paraId="5AAA2C6B" w14:textId="7F266DDA" w:rsidR="00063D08" w:rsidRPr="00063D08" w:rsidRDefault="00063D08" w:rsidP="00D812F6">
      <w:pPr>
        <w:spacing w:line="360" w:lineRule="auto"/>
        <w:jc w:val="both"/>
        <w:rPr>
          <w:rFonts w:ascii="Arial" w:hAnsi="Arial" w:cs="Arial"/>
          <w:b/>
          <w:bCs/>
          <w:lang w:val="en-GB"/>
        </w:rPr>
      </w:pPr>
      <w:r w:rsidRPr="00063D08">
        <w:rPr>
          <w:rFonts w:ascii="Arial" w:hAnsi="Arial" w:cs="Arial"/>
          <w:b/>
          <w:bCs/>
          <w:lang w:val="en-GB"/>
        </w:rPr>
        <w:t>Analysis Finding</w:t>
      </w:r>
      <w:r>
        <w:rPr>
          <w:rFonts w:ascii="Arial" w:hAnsi="Arial" w:cs="Arial"/>
          <w:b/>
          <w:bCs/>
          <w:lang w:val="en-GB"/>
        </w:rPr>
        <w:t>s</w:t>
      </w:r>
    </w:p>
    <w:p w14:paraId="2E7C2502" w14:textId="77777777" w:rsidR="00B025ED" w:rsidRPr="00BE248A" w:rsidRDefault="00B025ED" w:rsidP="00B025ED">
      <w:pPr>
        <w:spacing w:line="360" w:lineRule="auto"/>
        <w:jc w:val="both"/>
        <w:rPr>
          <w:rFonts w:ascii="Arial" w:hAnsi="Arial" w:cs="Arial"/>
          <w:lang w:val="en-GB"/>
        </w:rPr>
      </w:pPr>
      <w:r w:rsidRPr="00BE248A">
        <w:rPr>
          <w:rFonts w:ascii="Arial" w:hAnsi="Arial" w:cs="Arial"/>
          <w:lang w:val="en-GB"/>
        </w:rPr>
        <w:t>The results imply that telehealth affects healthcare fairness and access in the UK in two ways.</w:t>
      </w:r>
    </w:p>
    <w:p w14:paraId="6BA49624" w14:textId="4298EB87" w:rsidR="00B025ED" w:rsidRPr="00BE248A" w:rsidRDefault="00B025ED" w:rsidP="00B025ED">
      <w:pPr>
        <w:spacing w:line="360" w:lineRule="auto"/>
        <w:jc w:val="both"/>
        <w:rPr>
          <w:rFonts w:ascii="Arial" w:hAnsi="Arial" w:cs="Arial"/>
          <w:lang w:val="en-GB"/>
        </w:rPr>
      </w:pPr>
      <w:r w:rsidRPr="00BE248A">
        <w:rPr>
          <w:rFonts w:ascii="Arial" w:hAnsi="Arial" w:cs="Arial"/>
          <w:lang w:val="en-GB"/>
        </w:rPr>
        <w:t xml:space="preserve">If digital gap is not addressed, it may worsen inequality even if technology can lower logistical hurdles and increase easiness for patients. These results are consistent with the inverse care </w:t>
      </w:r>
      <w:r w:rsidRPr="00BE248A">
        <w:rPr>
          <w:rFonts w:ascii="Arial" w:hAnsi="Arial" w:cs="Arial"/>
          <w:lang w:val="en-GB"/>
        </w:rPr>
        <w:lastRenderedPageBreak/>
        <w:t xml:space="preserve">rule, which states that healthcare advances may have the least positive impact on people who are most in need (Marmot et al., 2010). </w:t>
      </w:r>
    </w:p>
    <w:p w14:paraId="0BF0C32C" w14:textId="18EABEE0" w:rsidR="00B025ED" w:rsidRPr="00D812F6" w:rsidRDefault="00B025ED" w:rsidP="00D812F6">
      <w:pPr>
        <w:spacing w:line="360" w:lineRule="auto"/>
        <w:jc w:val="both"/>
        <w:rPr>
          <w:rFonts w:ascii="Arial" w:hAnsi="Arial" w:cs="Arial"/>
          <w:lang w:val="en-GB"/>
        </w:rPr>
      </w:pPr>
      <w:r w:rsidRPr="00BE248A">
        <w:rPr>
          <w:rFonts w:ascii="Arial" w:hAnsi="Arial" w:cs="Arial"/>
          <w:lang w:val="en-GB"/>
        </w:rPr>
        <w:t>It seems that hybrid care approaches that coalesce online and in-person services are essential for reducing disparities. In order to guarantee that telehealth promotes fair healthcare delivery, workforce training, digital inclusion programs, and infrastructure investment are required. This may enhance the person-centred approach in the healthcare provision.</w:t>
      </w:r>
    </w:p>
    <w:p w14:paraId="1F9CBB0A" w14:textId="74CA32F8" w:rsidR="00D812F6" w:rsidRDefault="00D812F6" w:rsidP="00D812F6">
      <w:pPr>
        <w:spacing w:line="360" w:lineRule="auto"/>
        <w:jc w:val="both"/>
        <w:rPr>
          <w:rFonts w:ascii="Arial" w:hAnsi="Arial" w:cs="Arial"/>
          <w:lang w:val="en-GB"/>
        </w:rPr>
      </w:pPr>
      <w:r w:rsidRPr="00737B37">
        <w:rPr>
          <w:rFonts w:ascii="Arial" w:hAnsi="Arial" w:cs="Arial"/>
          <w:b/>
          <w:bCs/>
          <w:lang w:val="en-GB"/>
        </w:rPr>
        <w:t xml:space="preserve">Theme </w:t>
      </w:r>
      <w:r>
        <w:rPr>
          <w:rFonts w:ascii="Arial" w:hAnsi="Arial" w:cs="Arial"/>
          <w:b/>
          <w:bCs/>
          <w:lang w:val="en-GB"/>
        </w:rPr>
        <w:t>2</w:t>
      </w:r>
      <w:r w:rsidRPr="00737B37">
        <w:rPr>
          <w:rFonts w:ascii="Arial" w:hAnsi="Arial" w:cs="Arial"/>
          <w:lang w:val="en-GB"/>
        </w:rPr>
        <w:t xml:space="preserve">: </w:t>
      </w:r>
      <w:r w:rsidRPr="00737B37">
        <w:rPr>
          <w:rFonts w:ascii="Arial" w:hAnsi="Arial" w:cs="Arial"/>
          <w:b/>
          <w:bCs/>
          <w:lang w:val="en-GB"/>
        </w:rPr>
        <w:t xml:space="preserve">Enhanced </w:t>
      </w:r>
      <w:r>
        <w:rPr>
          <w:rFonts w:ascii="Arial" w:hAnsi="Arial" w:cs="Arial"/>
          <w:b/>
          <w:bCs/>
          <w:lang w:val="en-GB"/>
        </w:rPr>
        <w:t>Ease</w:t>
      </w:r>
      <w:r w:rsidRPr="00737B37">
        <w:rPr>
          <w:rFonts w:ascii="Arial" w:hAnsi="Arial" w:cs="Arial"/>
          <w:b/>
          <w:bCs/>
          <w:lang w:val="en-GB"/>
        </w:rPr>
        <w:t xml:space="preserve"> and Access</w:t>
      </w:r>
    </w:p>
    <w:p w14:paraId="4804B6E0" w14:textId="77777777" w:rsidR="00063D08" w:rsidRDefault="00D812F6" w:rsidP="00B025ED">
      <w:pPr>
        <w:spacing w:line="360" w:lineRule="auto"/>
        <w:jc w:val="both"/>
        <w:rPr>
          <w:rFonts w:ascii="Arial" w:hAnsi="Arial" w:cs="Arial"/>
          <w:lang w:val="en-GB"/>
        </w:rPr>
      </w:pPr>
      <w:r w:rsidRPr="00737B37">
        <w:rPr>
          <w:rFonts w:ascii="Arial" w:hAnsi="Arial" w:cs="Arial"/>
          <w:lang w:val="en-GB"/>
        </w:rPr>
        <w:t>Particularly for working-aged people and those with mobility impairments, telehealth lowered travel obstacles and improved appointment flexibility (Donaghy et al., 2019; Salisbury et al., 2020).</w:t>
      </w:r>
    </w:p>
    <w:p w14:paraId="2AC895D0" w14:textId="6C281025" w:rsidR="00063D08" w:rsidRPr="00063D08" w:rsidRDefault="00063D08" w:rsidP="00B025ED">
      <w:pPr>
        <w:spacing w:line="360" w:lineRule="auto"/>
        <w:jc w:val="both"/>
        <w:rPr>
          <w:rFonts w:ascii="Arial" w:hAnsi="Arial" w:cs="Arial"/>
          <w:b/>
          <w:bCs/>
          <w:lang w:val="en-GB"/>
        </w:rPr>
      </w:pPr>
      <w:r w:rsidRPr="00063D08">
        <w:rPr>
          <w:rFonts w:ascii="Arial" w:hAnsi="Arial" w:cs="Arial"/>
          <w:b/>
          <w:bCs/>
          <w:lang w:val="en-GB"/>
        </w:rPr>
        <w:t>Analysis Findings</w:t>
      </w:r>
    </w:p>
    <w:p w14:paraId="32AD74C1" w14:textId="3DFCEACD" w:rsidR="00B025ED" w:rsidRPr="00B025ED" w:rsidRDefault="00B025ED" w:rsidP="00B025ED">
      <w:pPr>
        <w:spacing w:line="360" w:lineRule="auto"/>
        <w:jc w:val="both"/>
        <w:rPr>
          <w:rFonts w:ascii="Arial" w:hAnsi="Arial" w:cs="Arial"/>
          <w:lang w:val="en-GB"/>
        </w:rPr>
      </w:pPr>
      <w:r w:rsidRPr="00B025ED">
        <w:rPr>
          <w:rFonts w:ascii="Arial" w:eastAsia="Times New Roman" w:hAnsi="Arial" w:cs="Arial"/>
          <w:lang w:val="en-GB" w:eastAsia="en-GB"/>
        </w:rPr>
        <w:t xml:space="preserve">The </w:t>
      </w:r>
      <w:r>
        <w:rPr>
          <w:rFonts w:ascii="Arial" w:eastAsia="Times New Roman" w:hAnsi="Arial" w:cs="Arial"/>
          <w:lang w:val="en-GB" w:eastAsia="en-GB"/>
        </w:rPr>
        <w:t>principal aim</w:t>
      </w:r>
      <w:r w:rsidRPr="00B025ED">
        <w:rPr>
          <w:rFonts w:ascii="Arial" w:eastAsia="Times New Roman" w:hAnsi="Arial" w:cs="Arial"/>
          <w:lang w:val="en-GB" w:eastAsia="en-GB"/>
        </w:rPr>
        <w:t xml:space="preserve"> of this analysis, which was to investigate how telehealth affects healthcare access in the UK, is immediately addressed by these findings.</w:t>
      </w:r>
    </w:p>
    <w:p w14:paraId="256634E1" w14:textId="77777777" w:rsidR="00AD455D" w:rsidRDefault="00B025ED" w:rsidP="00AD455D">
      <w:pPr>
        <w:spacing w:before="100" w:beforeAutospacing="1" w:after="100" w:afterAutospacing="1" w:line="360" w:lineRule="auto"/>
        <w:jc w:val="both"/>
        <w:rPr>
          <w:rFonts w:ascii="Arial" w:eastAsia="Times New Roman" w:hAnsi="Arial" w:cs="Arial"/>
          <w:lang w:val="en-GB" w:eastAsia="en-GB"/>
        </w:rPr>
      </w:pPr>
      <w:r w:rsidRPr="00B025ED">
        <w:rPr>
          <w:rFonts w:ascii="Arial" w:eastAsia="Times New Roman" w:hAnsi="Arial" w:cs="Arial"/>
          <w:lang w:val="en-GB" w:eastAsia="en-GB"/>
        </w:rPr>
        <w:t>Evidence, however, indicates that access improvements are not ubiquitous. Some demographic groups face additional obstacles, while others have better access. This draws attention to a significant inconsistency in the literature: depending on the specific situation, telehealth can both expand and limit access. The evaluated studies' utilisation of actual NHS settings is one of its strong points; this increases the findings' applicability to UK practice. Nevertheless, a lot of research concentrates on immediate results, which restricts our knowledge of the long-term advantages of access.</w:t>
      </w:r>
    </w:p>
    <w:p w14:paraId="78AA019A" w14:textId="71996936" w:rsidR="00BE248A" w:rsidRPr="00AD455D" w:rsidRDefault="00D812F6" w:rsidP="00AD455D">
      <w:pPr>
        <w:spacing w:before="100" w:beforeAutospacing="1" w:after="100" w:afterAutospacing="1" w:line="360" w:lineRule="auto"/>
        <w:jc w:val="both"/>
        <w:rPr>
          <w:rFonts w:ascii="Arial" w:eastAsia="Times New Roman" w:hAnsi="Arial" w:cs="Arial"/>
          <w:lang w:val="en-GB" w:eastAsia="en-GB"/>
        </w:rPr>
      </w:pPr>
      <w:r w:rsidRPr="00737B37">
        <w:rPr>
          <w:rFonts w:ascii="Arial" w:hAnsi="Arial" w:cs="Arial"/>
          <w:b/>
          <w:bCs/>
          <w:lang w:val="en-GB"/>
        </w:rPr>
        <w:t xml:space="preserve">Theme </w:t>
      </w:r>
      <w:r>
        <w:rPr>
          <w:rFonts w:ascii="Arial" w:hAnsi="Arial" w:cs="Arial"/>
          <w:b/>
          <w:bCs/>
          <w:lang w:val="en-GB"/>
        </w:rPr>
        <w:t>3</w:t>
      </w:r>
      <w:r w:rsidRPr="00737B37">
        <w:rPr>
          <w:rFonts w:ascii="Arial" w:hAnsi="Arial" w:cs="Arial"/>
          <w:b/>
          <w:bCs/>
          <w:lang w:val="en-GB"/>
        </w:rPr>
        <w:t>:</w:t>
      </w:r>
      <w:r w:rsidRPr="00737B37">
        <w:rPr>
          <w:rFonts w:ascii="Arial" w:hAnsi="Arial" w:cs="Arial"/>
          <w:lang w:val="en-GB"/>
        </w:rPr>
        <w:t xml:space="preserve"> </w:t>
      </w:r>
      <w:r w:rsidR="00BE248A" w:rsidRPr="00BE248A">
        <w:rPr>
          <w:rFonts w:ascii="Arial" w:hAnsi="Arial" w:cs="Arial"/>
          <w:b/>
          <w:bCs/>
          <w:lang w:val="en-GB"/>
        </w:rPr>
        <w:t>Inequality and Technological Gap</w:t>
      </w:r>
    </w:p>
    <w:p w14:paraId="4689123F" w14:textId="57552645" w:rsidR="00D812F6" w:rsidRDefault="00D812F6" w:rsidP="00D812F6">
      <w:pPr>
        <w:spacing w:line="360" w:lineRule="auto"/>
        <w:jc w:val="both"/>
        <w:rPr>
          <w:rFonts w:ascii="Arial" w:hAnsi="Arial" w:cs="Arial"/>
          <w:lang w:val="en-GB"/>
        </w:rPr>
      </w:pPr>
      <w:r w:rsidRPr="00737B37">
        <w:rPr>
          <w:rFonts w:ascii="Arial" w:hAnsi="Arial" w:cs="Arial"/>
          <w:lang w:val="en-GB"/>
        </w:rPr>
        <w:t>According to all research, digital exclusion is a serious issue that mostly affects low-income groups, older persons, and those with poor levels of digital literacy</w:t>
      </w:r>
      <w:r>
        <w:rPr>
          <w:rFonts w:ascii="Arial" w:hAnsi="Arial" w:cs="Arial"/>
          <w:lang w:val="en-GB"/>
        </w:rPr>
        <w:t xml:space="preserve"> so because of these discrepancies still exist in different socioeconomic groups</w:t>
      </w:r>
      <w:r w:rsidRPr="00737B37">
        <w:rPr>
          <w:rFonts w:ascii="Arial" w:hAnsi="Arial" w:cs="Arial"/>
          <w:lang w:val="en-GB"/>
        </w:rPr>
        <w:t>(Greenhalgh et al., 2020; Watts et al., 2020).</w:t>
      </w:r>
    </w:p>
    <w:p w14:paraId="1FDCE54C" w14:textId="33391FEB" w:rsidR="00063D08" w:rsidRPr="00063D08" w:rsidRDefault="00063D08" w:rsidP="00D812F6">
      <w:pPr>
        <w:spacing w:line="360" w:lineRule="auto"/>
        <w:jc w:val="both"/>
        <w:rPr>
          <w:rFonts w:ascii="Arial" w:hAnsi="Arial" w:cs="Arial"/>
          <w:b/>
          <w:bCs/>
          <w:lang w:val="en-GB"/>
        </w:rPr>
      </w:pPr>
      <w:r w:rsidRPr="00063D08">
        <w:rPr>
          <w:rFonts w:ascii="Arial" w:hAnsi="Arial" w:cs="Arial"/>
          <w:b/>
          <w:bCs/>
          <w:lang w:val="en-GB"/>
        </w:rPr>
        <w:t>Analysis Findings</w:t>
      </w:r>
    </w:p>
    <w:p w14:paraId="497D2B69" w14:textId="55D37678" w:rsidR="00B025ED" w:rsidRPr="00B025ED" w:rsidRDefault="00B025ED" w:rsidP="00B025ED">
      <w:pPr>
        <w:spacing w:before="100" w:beforeAutospacing="1" w:after="100" w:afterAutospacing="1" w:line="360" w:lineRule="auto"/>
        <w:jc w:val="both"/>
        <w:rPr>
          <w:rFonts w:ascii="Arial" w:eastAsia="Times New Roman" w:hAnsi="Arial" w:cs="Arial"/>
          <w:lang w:val="en-GB" w:eastAsia="en-GB"/>
        </w:rPr>
      </w:pPr>
      <w:r w:rsidRPr="00B025ED">
        <w:rPr>
          <w:rFonts w:ascii="Arial" w:eastAsia="Times New Roman" w:hAnsi="Arial" w:cs="Arial"/>
          <w:lang w:val="en-GB" w:eastAsia="en-GB"/>
        </w:rPr>
        <w:t xml:space="preserve">The most prevalent issue in all of the research was digital exclusion, which closely matched the second goal of determining the consequences for equity. This pattern implies that if digital hurdles are not </w:t>
      </w:r>
      <w:r w:rsidR="00063D08">
        <w:rPr>
          <w:rFonts w:ascii="Arial" w:eastAsia="Times New Roman" w:hAnsi="Arial" w:cs="Arial"/>
          <w:lang w:val="en-GB" w:eastAsia="en-GB"/>
        </w:rPr>
        <w:t>inscribed</w:t>
      </w:r>
      <w:r w:rsidRPr="00B025ED">
        <w:rPr>
          <w:rFonts w:ascii="Arial" w:eastAsia="Times New Roman" w:hAnsi="Arial" w:cs="Arial"/>
          <w:lang w:val="en-GB" w:eastAsia="en-GB"/>
        </w:rPr>
        <w:t xml:space="preserve">, telehealth runs the danger of exacerbating already-existing health </w:t>
      </w:r>
      <w:r w:rsidR="00063D08" w:rsidRPr="00063D08">
        <w:rPr>
          <w:rFonts w:ascii="Arial" w:eastAsia="Times New Roman" w:hAnsi="Arial" w:cs="Arial"/>
          <w:lang w:eastAsia="en-GB"/>
        </w:rPr>
        <w:t>incongruit</w:t>
      </w:r>
      <w:r w:rsidR="00063D08">
        <w:rPr>
          <w:rFonts w:ascii="Arial" w:eastAsia="Times New Roman" w:hAnsi="Arial" w:cs="Arial"/>
          <w:lang w:eastAsia="en-GB"/>
        </w:rPr>
        <w:t>ies</w:t>
      </w:r>
      <w:r w:rsidRPr="00B025ED">
        <w:rPr>
          <w:rFonts w:ascii="Arial" w:eastAsia="Times New Roman" w:hAnsi="Arial" w:cs="Arial"/>
          <w:lang w:val="en-GB" w:eastAsia="en-GB"/>
        </w:rPr>
        <w:t>.</w:t>
      </w:r>
    </w:p>
    <w:p w14:paraId="61F74371" w14:textId="307BE9A0" w:rsidR="00B025ED" w:rsidRPr="00B025ED" w:rsidRDefault="00B025ED" w:rsidP="00B025ED">
      <w:pPr>
        <w:spacing w:before="100" w:beforeAutospacing="1" w:after="100" w:afterAutospacing="1" w:line="360" w:lineRule="auto"/>
        <w:jc w:val="both"/>
        <w:rPr>
          <w:rFonts w:ascii="Arial" w:eastAsia="Times New Roman" w:hAnsi="Arial" w:cs="Arial"/>
          <w:lang w:val="en-GB" w:eastAsia="en-GB"/>
        </w:rPr>
      </w:pPr>
      <w:r w:rsidRPr="00B025ED">
        <w:rPr>
          <w:rFonts w:ascii="Arial" w:eastAsia="Times New Roman" w:hAnsi="Arial" w:cs="Arial"/>
          <w:lang w:val="en-GB" w:eastAsia="en-GB"/>
        </w:rPr>
        <w:lastRenderedPageBreak/>
        <w:t>The literature's little attention to intersectionality is a</w:t>
      </w:r>
      <w:r w:rsidR="00063D08">
        <w:rPr>
          <w:rFonts w:ascii="Arial" w:eastAsia="Times New Roman" w:hAnsi="Arial" w:cs="Arial"/>
          <w:lang w:val="en-GB" w:eastAsia="en-GB"/>
        </w:rPr>
        <w:t xml:space="preserve"> distinct</w:t>
      </w:r>
      <w:r w:rsidRPr="00B025ED">
        <w:rPr>
          <w:rFonts w:ascii="Arial" w:eastAsia="Times New Roman" w:hAnsi="Arial" w:cs="Arial"/>
          <w:lang w:val="en-GB" w:eastAsia="en-GB"/>
        </w:rPr>
        <w:t xml:space="preserve"> weakness. Few research looked at the ways in which telehealth access is influenced by the interaction of several characteristics, including age, ethnicity, disability, and deprivation. Although qualitative designs provide valuable insights into patient experiences, the findings' generalisability is constrained by the absence of extensive quantitative equity studies. However, the conclusion that equality must be a primary issue in the adoption of telehealth is strengthened by the consistency of data across several research.</w:t>
      </w:r>
    </w:p>
    <w:p w14:paraId="42029024" w14:textId="510DECF3" w:rsidR="00BE248A" w:rsidRPr="00BE248A" w:rsidRDefault="00D812F6" w:rsidP="00D812F6">
      <w:pPr>
        <w:spacing w:line="360" w:lineRule="auto"/>
        <w:jc w:val="both"/>
        <w:rPr>
          <w:rFonts w:ascii="Arial" w:hAnsi="Arial" w:cs="Arial"/>
          <w:b/>
          <w:bCs/>
          <w:lang w:val="en-GB"/>
        </w:rPr>
      </w:pPr>
      <w:r w:rsidRPr="00737B37">
        <w:rPr>
          <w:rFonts w:ascii="Arial" w:hAnsi="Arial" w:cs="Arial"/>
          <w:b/>
          <w:bCs/>
          <w:lang w:val="en-GB"/>
        </w:rPr>
        <w:t>Theme</w:t>
      </w:r>
      <w:r w:rsidRPr="00BE248A">
        <w:rPr>
          <w:rFonts w:ascii="Arial" w:hAnsi="Arial" w:cs="Arial"/>
          <w:b/>
          <w:bCs/>
          <w:lang w:val="en-GB"/>
        </w:rPr>
        <w:t xml:space="preserve"> 4</w:t>
      </w:r>
      <w:r w:rsidRPr="00737B37">
        <w:rPr>
          <w:rFonts w:ascii="Arial" w:hAnsi="Arial" w:cs="Arial"/>
          <w:b/>
          <w:bCs/>
          <w:lang w:val="en-GB"/>
        </w:rPr>
        <w:t>:</w:t>
      </w:r>
      <w:r w:rsidRPr="00BE248A">
        <w:rPr>
          <w:rFonts w:ascii="Arial" w:hAnsi="Arial" w:cs="Arial"/>
          <w:b/>
          <w:bCs/>
          <w:lang w:val="en-GB"/>
        </w:rPr>
        <w:t xml:space="preserve"> </w:t>
      </w:r>
      <w:r w:rsidR="00BE248A" w:rsidRPr="00BE248A">
        <w:rPr>
          <w:rFonts w:ascii="Arial" w:hAnsi="Arial" w:cs="Arial"/>
          <w:b/>
          <w:bCs/>
          <w:lang w:val="en-GB"/>
        </w:rPr>
        <w:t xml:space="preserve">Relationship </w:t>
      </w:r>
      <w:r w:rsidR="00BE248A">
        <w:rPr>
          <w:rFonts w:ascii="Arial" w:hAnsi="Arial" w:cs="Arial"/>
          <w:b/>
          <w:bCs/>
          <w:lang w:val="en-GB"/>
        </w:rPr>
        <w:t>between</w:t>
      </w:r>
      <w:r w:rsidR="00BE248A" w:rsidRPr="00BE248A">
        <w:rPr>
          <w:rFonts w:ascii="Arial" w:hAnsi="Arial" w:cs="Arial"/>
          <w:b/>
          <w:bCs/>
          <w:lang w:val="en-GB"/>
        </w:rPr>
        <w:t xml:space="preserve"> </w:t>
      </w:r>
      <w:r w:rsidR="00BE248A">
        <w:rPr>
          <w:rFonts w:ascii="Arial" w:hAnsi="Arial" w:cs="Arial"/>
          <w:b/>
          <w:bCs/>
          <w:lang w:val="en-GB"/>
        </w:rPr>
        <w:t>P</w:t>
      </w:r>
      <w:r w:rsidR="00BE248A" w:rsidRPr="00BE248A">
        <w:rPr>
          <w:rFonts w:ascii="Arial" w:hAnsi="Arial" w:cs="Arial"/>
          <w:b/>
          <w:bCs/>
          <w:lang w:val="en-GB"/>
        </w:rPr>
        <w:t xml:space="preserve">atients and </w:t>
      </w:r>
      <w:r w:rsidR="00BE248A">
        <w:rPr>
          <w:rFonts w:ascii="Arial" w:hAnsi="Arial" w:cs="Arial"/>
          <w:b/>
          <w:bCs/>
          <w:lang w:val="en-GB"/>
        </w:rPr>
        <w:t>P</w:t>
      </w:r>
      <w:r w:rsidR="00BE248A" w:rsidRPr="00BE248A">
        <w:rPr>
          <w:rFonts w:ascii="Arial" w:hAnsi="Arial" w:cs="Arial"/>
          <w:b/>
          <w:bCs/>
          <w:lang w:val="en-GB"/>
        </w:rPr>
        <w:t xml:space="preserve">rofessionals with </w:t>
      </w:r>
      <w:r w:rsidR="00BE248A">
        <w:rPr>
          <w:rFonts w:ascii="Arial" w:hAnsi="Arial" w:cs="Arial"/>
          <w:b/>
          <w:bCs/>
          <w:lang w:val="en-GB"/>
        </w:rPr>
        <w:t>C</w:t>
      </w:r>
      <w:r w:rsidR="00BE248A" w:rsidRPr="00BE248A">
        <w:rPr>
          <w:rFonts w:ascii="Arial" w:hAnsi="Arial" w:cs="Arial"/>
          <w:b/>
          <w:bCs/>
          <w:lang w:val="en-GB"/>
        </w:rPr>
        <w:t xml:space="preserve">are </w:t>
      </w:r>
      <w:r w:rsidR="00BE248A">
        <w:rPr>
          <w:rFonts w:ascii="Arial" w:hAnsi="Arial" w:cs="Arial"/>
          <w:b/>
          <w:bCs/>
          <w:lang w:val="en-GB"/>
        </w:rPr>
        <w:t>P</w:t>
      </w:r>
      <w:r w:rsidR="00BE248A" w:rsidRPr="00BE248A">
        <w:rPr>
          <w:rFonts w:ascii="Arial" w:hAnsi="Arial" w:cs="Arial"/>
          <w:b/>
          <w:bCs/>
          <w:lang w:val="en-GB"/>
        </w:rPr>
        <w:t>rovisions</w:t>
      </w:r>
    </w:p>
    <w:p w14:paraId="2CA921C2" w14:textId="6A96A29C" w:rsidR="00BE248A" w:rsidRDefault="00D812F6" w:rsidP="00BE248A">
      <w:pPr>
        <w:spacing w:line="360" w:lineRule="auto"/>
        <w:jc w:val="both"/>
        <w:rPr>
          <w:rFonts w:ascii="Arial" w:hAnsi="Arial" w:cs="Arial"/>
          <w:lang w:val="en-GB"/>
        </w:rPr>
      </w:pPr>
      <w:r w:rsidRPr="00737B37">
        <w:rPr>
          <w:rFonts w:ascii="Arial" w:hAnsi="Arial" w:cs="Arial"/>
          <w:lang w:val="en-GB"/>
        </w:rPr>
        <w:t>There is evidence that distant consultations, especially for complicated illnesses, result in decreased communication quality and relational continuity (Shaw et al., 2018).</w:t>
      </w:r>
    </w:p>
    <w:p w14:paraId="21C4B48C" w14:textId="77777777" w:rsidR="00063D08" w:rsidRDefault="00063D08" w:rsidP="00063D08">
      <w:pPr>
        <w:spacing w:line="360" w:lineRule="auto"/>
        <w:jc w:val="both"/>
        <w:rPr>
          <w:rFonts w:ascii="Arial" w:hAnsi="Arial" w:cs="Arial"/>
          <w:b/>
          <w:bCs/>
          <w:lang w:val="en-GB"/>
        </w:rPr>
      </w:pPr>
      <w:r w:rsidRPr="00063D08">
        <w:rPr>
          <w:rFonts w:ascii="Arial" w:hAnsi="Arial" w:cs="Arial"/>
          <w:b/>
          <w:bCs/>
          <w:lang w:val="en-GB"/>
        </w:rPr>
        <w:t>Analysis Finding</w:t>
      </w:r>
      <w:r>
        <w:rPr>
          <w:rFonts w:ascii="Arial" w:hAnsi="Arial" w:cs="Arial"/>
          <w:b/>
          <w:bCs/>
          <w:lang w:val="en-GB"/>
        </w:rPr>
        <w:t>s</w:t>
      </w:r>
    </w:p>
    <w:p w14:paraId="78FC817F" w14:textId="77777777" w:rsidR="00E76C2C" w:rsidRDefault="00063D08" w:rsidP="00E76C2C">
      <w:pPr>
        <w:spacing w:line="360" w:lineRule="auto"/>
        <w:jc w:val="both"/>
        <w:rPr>
          <w:rFonts w:ascii="Arial" w:hAnsi="Arial" w:cs="Arial"/>
          <w:b/>
          <w:bCs/>
          <w:lang w:val="en-GB"/>
        </w:rPr>
      </w:pPr>
      <w:r w:rsidRPr="00063D08">
        <w:rPr>
          <w:rFonts w:ascii="Arial" w:eastAsia="Times New Roman" w:hAnsi="Arial" w:cs="Arial"/>
          <w:lang w:val="en-GB" w:eastAsia="en-GB"/>
        </w:rPr>
        <w:t>The goal of examining the advantages and drawbacks of telehealth was supported by a number of studies that found high levels of patient satisfaction for both routine and follow-up visits. Shaw et al. (2018) and Greenhalgh et al. (2020), however, raised issues with worse communication quality, insufficient clinical evaluation, and difficulties establishing therapeutic alliances.</w:t>
      </w:r>
      <w:r w:rsidRPr="00063D08">
        <w:rPr>
          <w:rFonts w:ascii="Arial" w:eastAsia="Times New Roman" w:hAnsi="Arial" w:cs="Arial"/>
          <w:lang w:val="en-GB" w:eastAsia="en-GB"/>
        </w:rPr>
        <w:br/>
        <w:t>These results highlight a conflict in the body of evidence: telemedicine works well for certain kinds of treatment but is less appropriate for delicate, complicated, or diagnostic consultations. The evaluated studies' incorporation of patient and clinician viewpoints, which provides a balanced perspective on service quality, is one of its main strengths. Nevertheless, self-reported experiences were used in a large number of research, which might impair impartiality and create response bias.</w:t>
      </w:r>
    </w:p>
    <w:p w14:paraId="3A58F964" w14:textId="16A16257" w:rsidR="00063D08" w:rsidRPr="003A0FB1" w:rsidRDefault="00063D08" w:rsidP="00E76C2C">
      <w:pPr>
        <w:spacing w:line="360" w:lineRule="auto"/>
        <w:jc w:val="both"/>
        <w:rPr>
          <w:rFonts w:ascii="Arial" w:hAnsi="Arial" w:cs="Arial"/>
          <w:b/>
          <w:bCs/>
          <w:sz w:val="24"/>
          <w:szCs w:val="24"/>
          <w:u w:val="single"/>
          <w:lang w:val="en-GB"/>
        </w:rPr>
      </w:pPr>
      <w:r w:rsidRPr="003A0FB1">
        <w:rPr>
          <w:rFonts w:ascii="Arial" w:eastAsia="Times New Roman" w:hAnsi="Arial" w:cs="Arial"/>
          <w:b/>
          <w:bCs/>
          <w:sz w:val="24"/>
          <w:szCs w:val="24"/>
          <w:u w:val="single"/>
          <w:lang w:val="en-GB" w:eastAsia="en-GB"/>
        </w:rPr>
        <w:t xml:space="preserve">Evidence </w:t>
      </w:r>
      <w:r w:rsidR="003A0FB1" w:rsidRPr="003A0FB1">
        <w:rPr>
          <w:rFonts w:ascii="Arial" w:eastAsia="Times New Roman" w:hAnsi="Arial" w:cs="Arial"/>
          <w:b/>
          <w:bCs/>
          <w:sz w:val="24"/>
          <w:szCs w:val="24"/>
          <w:u w:val="single"/>
          <w:lang w:val="en-GB" w:eastAsia="en-GB"/>
        </w:rPr>
        <w:t>B</w:t>
      </w:r>
      <w:r w:rsidRPr="003A0FB1">
        <w:rPr>
          <w:rFonts w:ascii="Arial" w:eastAsia="Times New Roman" w:hAnsi="Arial" w:cs="Arial"/>
          <w:b/>
          <w:bCs/>
          <w:sz w:val="24"/>
          <w:szCs w:val="24"/>
          <w:u w:val="single"/>
          <w:lang w:val="en-GB" w:eastAsia="en-GB"/>
        </w:rPr>
        <w:t>ased Critical Assessment</w:t>
      </w:r>
    </w:p>
    <w:p w14:paraId="4CC6BBD8" w14:textId="1A6355D7" w:rsidR="00063D08" w:rsidRPr="00063D08" w:rsidRDefault="00063D08" w:rsidP="00063D08">
      <w:pPr>
        <w:spacing w:line="360" w:lineRule="auto"/>
        <w:jc w:val="both"/>
        <w:rPr>
          <w:rFonts w:ascii="Arial" w:eastAsia="Times New Roman" w:hAnsi="Arial" w:cs="Arial"/>
          <w:lang w:val="en-GB" w:eastAsia="en-GB"/>
        </w:rPr>
      </w:pPr>
      <w:r w:rsidRPr="00063D08">
        <w:rPr>
          <w:rFonts w:ascii="Arial" w:eastAsia="Times New Roman" w:hAnsi="Arial" w:cs="Arial"/>
          <w:lang w:val="en-GB" w:eastAsia="en-GB"/>
        </w:rPr>
        <w:t>All things considered, the evaluated research offer insightful information about healthcare fairness</w:t>
      </w:r>
      <w:r>
        <w:rPr>
          <w:rFonts w:ascii="Arial" w:eastAsia="Times New Roman" w:hAnsi="Arial" w:cs="Arial"/>
          <w:lang w:val="en-GB" w:eastAsia="en-GB"/>
        </w:rPr>
        <w:t>, access</w:t>
      </w:r>
      <w:r w:rsidRPr="00063D08">
        <w:rPr>
          <w:rFonts w:ascii="Arial" w:eastAsia="Times New Roman" w:hAnsi="Arial" w:cs="Arial"/>
          <w:lang w:val="en-GB" w:eastAsia="en-GB"/>
        </w:rPr>
        <w:t xml:space="preserve"> and telehealth in the UK, especially when using </w:t>
      </w:r>
      <w:r>
        <w:rPr>
          <w:rFonts w:ascii="Arial" w:eastAsia="Times New Roman" w:hAnsi="Arial" w:cs="Arial"/>
          <w:lang w:val="en-GB" w:eastAsia="en-GB"/>
        </w:rPr>
        <w:t xml:space="preserve">RCT, </w:t>
      </w:r>
      <w:r w:rsidRPr="00063D08">
        <w:rPr>
          <w:rFonts w:ascii="Arial" w:eastAsia="Times New Roman" w:hAnsi="Arial" w:cs="Arial"/>
          <w:lang w:val="en-GB" w:eastAsia="en-GB"/>
        </w:rPr>
        <w:t>mixed techniques and qualitative approaches</w:t>
      </w:r>
      <w:r>
        <w:rPr>
          <w:rFonts w:ascii="Arial" w:eastAsia="Times New Roman" w:hAnsi="Arial" w:cs="Arial"/>
          <w:lang w:val="en-GB" w:eastAsia="en-GB"/>
        </w:rPr>
        <w:t xml:space="preserve"> as a defined able methodological choice</w:t>
      </w:r>
      <w:r w:rsidRPr="00063D08">
        <w:rPr>
          <w:rFonts w:ascii="Arial" w:eastAsia="Times New Roman" w:hAnsi="Arial" w:cs="Arial"/>
          <w:lang w:val="en-GB" w:eastAsia="en-GB"/>
        </w:rPr>
        <w:t xml:space="preserve">. The </w:t>
      </w:r>
      <w:r>
        <w:rPr>
          <w:rFonts w:ascii="Arial" w:eastAsia="Times New Roman" w:hAnsi="Arial" w:cs="Arial"/>
          <w:lang w:val="en-GB" w:eastAsia="en-GB"/>
        </w:rPr>
        <w:t>prominence</w:t>
      </w:r>
      <w:r w:rsidRPr="00063D08">
        <w:rPr>
          <w:rFonts w:ascii="Arial" w:eastAsia="Times New Roman" w:hAnsi="Arial" w:cs="Arial"/>
          <w:lang w:val="en-GB" w:eastAsia="en-GB"/>
        </w:rPr>
        <w:t xml:space="preserve"> on NHS </w:t>
      </w:r>
      <w:r>
        <w:rPr>
          <w:rFonts w:ascii="Arial" w:eastAsia="Times New Roman" w:hAnsi="Arial" w:cs="Arial"/>
          <w:lang w:val="en-GB" w:eastAsia="en-GB"/>
        </w:rPr>
        <w:t>clinical context</w:t>
      </w:r>
      <w:r w:rsidRPr="00063D08">
        <w:rPr>
          <w:rFonts w:ascii="Arial" w:eastAsia="Times New Roman" w:hAnsi="Arial" w:cs="Arial"/>
          <w:lang w:val="en-GB" w:eastAsia="en-GB"/>
        </w:rPr>
        <w:t xml:space="preserve">, which guarantees applicability to UK health and digital health practice, is a significant strength. Small sample sizes, a focus on primary care, and quick deployment scenarios like the COVID 19 pandemic, however, restrict the body of </w:t>
      </w:r>
      <w:r w:rsidR="00E76C2C" w:rsidRPr="00063D08">
        <w:rPr>
          <w:rFonts w:ascii="Arial" w:eastAsia="Times New Roman" w:hAnsi="Arial" w:cs="Arial"/>
          <w:lang w:val="en-GB" w:eastAsia="en-GB"/>
        </w:rPr>
        <w:t>data. Longitudinal</w:t>
      </w:r>
      <w:r w:rsidRPr="00063D08">
        <w:rPr>
          <w:rFonts w:ascii="Arial" w:eastAsia="Times New Roman" w:hAnsi="Arial" w:cs="Arial"/>
          <w:lang w:val="en-GB" w:eastAsia="en-GB"/>
        </w:rPr>
        <w:t xml:space="preserve"> studies investigating the long-term effects of telehealth on equality and access are also lacking. This makes it more difficult to make definitive judgements on long-term </w:t>
      </w:r>
      <w:r>
        <w:rPr>
          <w:rFonts w:ascii="Arial" w:eastAsia="Times New Roman" w:hAnsi="Arial" w:cs="Arial"/>
          <w:lang w:val="en-GB" w:eastAsia="en-GB"/>
        </w:rPr>
        <w:t>upshots</w:t>
      </w:r>
      <w:r w:rsidRPr="00063D08">
        <w:rPr>
          <w:rFonts w:ascii="Arial" w:eastAsia="Times New Roman" w:hAnsi="Arial" w:cs="Arial"/>
          <w:lang w:val="en-GB" w:eastAsia="en-GB"/>
        </w:rPr>
        <w:t xml:space="preserve">. </w:t>
      </w:r>
      <w:r w:rsidR="00A37DA1">
        <w:rPr>
          <w:rFonts w:ascii="Arial" w:eastAsia="Times New Roman" w:hAnsi="Arial" w:cs="Arial"/>
          <w:lang w:val="en-GB" w:eastAsia="en-GB"/>
        </w:rPr>
        <w:t xml:space="preserve"> </w:t>
      </w:r>
    </w:p>
    <w:p w14:paraId="09388CEA" w14:textId="5052B8CD" w:rsidR="00A228CC" w:rsidRPr="008863BF" w:rsidRDefault="00B4022A" w:rsidP="008863BF">
      <w:pPr>
        <w:rPr>
          <w:rFonts w:ascii="Arial" w:hAnsi="Arial" w:cs="Arial"/>
          <w:b/>
          <w:bCs/>
          <w:sz w:val="24"/>
          <w:szCs w:val="24"/>
          <w:u w:val="single"/>
          <w:lang w:val="en-GB"/>
        </w:rPr>
      </w:pPr>
      <w:r>
        <w:rPr>
          <w:rFonts w:ascii="Arial" w:hAnsi="Arial" w:cs="Arial"/>
          <w:b/>
          <w:bCs/>
          <w:sz w:val="24"/>
          <w:szCs w:val="24"/>
          <w:u w:val="single"/>
          <w:lang w:val="en-GB"/>
        </w:rPr>
        <w:br w:type="page"/>
      </w:r>
      <w:r w:rsidR="00E76C2C">
        <w:rPr>
          <w:rFonts w:ascii="Arial" w:hAnsi="Arial" w:cs="Arial"/>
          <w:b/>
          <w:bCs/>
          <w:sz w:val="24"/>
          <w:szCs w:val="24"/>
          <w:u w:val="single"/>
          <w:lang w:val="en-GB"/>
        </w:rPr>
        <w:lastRenderedPageBreak/>
        <w:t>Conclusion and Recommendations</w:t>
      </w:r>
    </w:p>
    <w:p w14:paraId="2816A85F" w14:textId="77777777" w:rsidR="00E76C2C" w:rsidRPr="00E76C2C" w:rsidRDefault="00E76C2C" w:rsidP="00E76C2C">
      <w:pPr>
        <w:spacing w:line="360" w:lineRule="auto"/>
        <w:jc w:val="both"/>
        <w:rPr>
          <w:rFonts w:ascii="Arial" w:hAnsi="Arial" w:cs="Arial"/>
          <w:b/>
          <w:bCs/>
        </w:rPr>
      </w:pPr>
      <w:r w:rsidRPr="00E76C2C">
        <w:rPr>
          <w:rFonts w:ascii="Arial" w:hAnsi="Arial" w:cs="Arial"/>
          <w:b/>
          <w:bCs/>
        </w:rPr>
        <w:t>Conclusion</w:t>
      </w:r>
    </w:p>
    <w:p w14:paraId="25EFFB47" w14:textId="6983D119" w:rsidR="00263C5E" w:rsidRPr="00263C5E" w:rsidRDefault="00263C5E" w:rsidP="00263C5E">
      <w:pPr>
        <w:spacing w:line="360" w:lineRule="auto"/>
        <w:jc w:val="both"/>
        <w:rPr>
          <w:rFonts w:ascii="Arial" w:hAnsi="Arial" w:cs="Arial"/>
          <w:lang w:val="en-GB"/>
        </w:rPr>
      </w:pPr>
      <w:r>
        <w:rPr>
          <w:rFonts w:ascii="Arial" w:hAnsi="Arial" w:cs="Arial"/>
          <w:lang w:val="en-GB"/>
        </w:rPr>
        <w:t>The results of analysed p</w:t>
      </w:r>
      <w:r w:rsidRPr="00263C5E">
        <w:rPr>
          <w:rFonts w:ascii="Arial" w:hAnsi="Arial" w:cs="Arial"/>
          <w:lang w:val="en-GB"/>
        </w:rPr>
        <w:t>eer-reviewed UK literature</w:t>
      </w:r>
      <w:r>
        <w:rPr>
          <w:rFonts w:ascii="Arial" w:hAnsi="Arial" w:cs="Arial"/>
          <w:lang w:val="en-GB"/>
        </w:rPr>
        <w:t xml:space="preserve"> explains </w:t>
      </w:r>
      <w:r w:rsidRPr="00263C5E">
        <w:rPr>
          <w:rFonts w:ascii="Arial" w:hAnsi="Arial" w:cs="Arial"/>
          <w:lang w:val="en-GB"/>
        </w:rPr>
        <w:t>that by lowering logistical, time, and geographic obstacles, telehealth has a great potential to increase access to healthcare services</w:t>
      </w:r>
      <w:r w:rsidR="00E67FB4">
        <w:rPr>
          <w:rFonts w:ascii="Arial" w:hAnsi="Arial" w:cs="Arial"/>
          <w:lang w:val="en-GB"/>
        </w:rPr>
        <w:t xml:space="preserve"> </w:t>
      </w:r>
      <w:r w:rsidRPr="00263C5E">
        <w:rPr>
          <w:rFonts w:ascii="Arial" w:hAnsi="Arial" w:cs="Arial"/>
          <w:lang w:val="en-GB"/>
        </w:rPr>
        <w:t>especially noticeable for follow-up treatment</w:t>
      </w:r>
      <w:r w:rsidR="00E67FB4">
        <w:rPr>
          <w:rFonts w:ascii="Arial" w:hAnsi="Arial" w:cs="Arial"/>
          <w:lang w:val="en-GB"/>
        </w:rPr>
        <w:t xml:space="preserve">. </w:t>
      </w:r>
      <w:r w:rsidRPr="00263C5E">
        <w:rPr>
          <w:rFonts w:ascii="Arial" w:hAnsi="Arial" w:cs="Arial"/>
          <w:lang w:val="en-GB"/>
        </w:rPr>
        <w:t xml:space="preserve">These </w:t>
      </w:r>
      <w:r w:rsidR="00E67FB4">
        <w:rPr>
          <w:rFonts w:ascii="Arial" w:hAnsi="Arial" w:cs="Arial"/>
          <w:lang w:val="en-GB"/>
        </w:rPr>
        <w:t>outcomes</w:t>
      </w:r>
      <w:r w:rsidRPr="00263C5E">
        <w:rPr>
          <w:rFonts w:ascii="Arial" w:hAnsi="Arial" w:cs="Arial"/>
          <w:lang w:val="en-GB"/>
        </w:rPr>
        <w:t xml:space="preserve"> support the review's goals and demonstrate how telehealth might improve service convenience and flexibility in UK healthcare </w:t>
      </w:r>
      <w:r>
        <w:rPr>
          <w:rFonts w:ascii="Arial" w:hAnsi="Arial" w:cs="Arial"/>
          <w:lang w:val="en-GB"/>
        </w:rPr>
        <w:t>practices</w:t>
      </w:r>
      <w:r w:rsidRPr="00263C5E">
        <w:rPr>
          <w:rFonts w:ascii="Arial" w:hAnsi="Arial" w:cs="Arial"/>
          <w:lang w:val="en-GB"/>
        </w:rPr>
        <w:t>.</w:t>
      </w:r>
    </w:p>
    <w:p w14:paraId="3C267F83" w14:textId="3955AA3C" w:rsidR="00263C5E" w:rsidRPr="00263C5E" w:rsidRDefault="00263C5E" w:rsidP="00263C5E">
      <w:pPr>
        <w:spacing w:line="360" w:lineRule="auto"/>
        <w:jc w:val="both"/>
        <w:rPr>
          <w:rFonts w:ascii="Arial" w:hAnsi="Arial" w:cs="Arial"/>
          <w:lang w:val="en-GB"/>
        </w:rPr>
      </w:pPr>
      <w:r w:rsidRPr="00263C5E">
        <w:rPr>
          <w:rFonts w:ascii="Arial" w:hAnsi="Arial" w:cs="Arial"/>
          <w:lang w:val="en-GB"/>
        </w:rPr>
        <w:t xml:space="preserve">But the report also found enduring issues with equality. A recurring feature in all of the included research was digital exclusion, which means that those with low levels of computer literacy, older adults, and socioeconomically disadvantaged groups are less likely to benefit from telehealth services. Furthermore, telemedicine is not always suitable due to issues with patient-clinician interactions, service quality, and fit for complicated clinical demands. All things considered, the data indicates that although telehealth can increase access, its effects on equity are not uniform and heavily rely on the </w:t>
      </w:r>
      <w:r w:rsidR="00E67FB4">
        <w:rPr>
          <w:rFonts w:ascii="Arial" w:hAnsi="Arial" w:cs="Arial"/>
          <w:lang w:val="en-GB"/>
        </w:rPr>
        <w:t xml:space="preserve">up-to-date </w:t>
      </w:r>
      <w:r w:rsidRPr="00263C5E">
        <w:rPr>
          <w:rFonts w:ascii="Arial" w:hAnsi="Arial" w:cs="Arial"/>
          <w:lang w:val="en-GB"/>
        </w:rPr>
        <w:t>planning and execution of services</w:t>
      </w:r>
      <w:r w:rsidR="00E67FB4">
        <w:rPr>
          <w:rFonts w:ascii="Arial" w:hAnsi="Arial" w:cs="Arial"/>
          <w:lang w:val="en-GB"/>
        </w:rPr>
        <w:t xml:space="preserve"> on right hand</w:t>
      </w:r>
      <w:r w:rsidRPr="00263C5E">
        <w:rPr>
          <w:rFonts w:ascii="Arial" w:hAnsi="Arial" w:cs="Arial"/>
          <w:lang w:val="en-GB"/>
        </w:rPr>
        <w:t>.</w:t>
      </w:r>
    </w:p>
    <w:p w14:paraId="6A14FA8F" w14:textId="77777777" w:rsidR="00E76C2C" w:rsidRPr="00E76C2C" w:rsidRDefault="00E76C2C" w:rsidP="00E76C2C">
      <w:pPr>
        <w:spacing w:line="360" w:lineRule="auto"/>
        <w:jc w:val="both"/>
        <w:rPr>
          <w:rFonts w:ascii="Arial" w:hAnsi="Arial" w:cs="Arial"/>
          <w:b/>
          <w:bCs/>
          <w:lang w:val="en-GB"/>
        </w:rPr>
      </w:pPr>
      <w:r w:rsidRPr="00E76C2C">
        <w:rPr>
          <w:rFonts w:ascii="Arial" w:hAnsi="Arial" w:cs="Arial"/>
          <w:b/>
          <w:bCs/>
          <w:lang w:val="en-GB"/>
        </w:rPr>
        <w:t>Recommendations for Future Research</w:t>
      </w:r>
    </w:p>
    <w:p w14:paraId="21B1488D" w14:textId="311002B2" w:rsidR="00E67FB4" w:rsidRDefault="00E67FB4" w:rsidP="00E67FB4">
      <w:pPr>
        <w:spacing w:line="360" w:lineRule="auto"/>
        <w:jc w:val="both"/>
        <w:rPr>
          <w:rFonts w:ascii="Arial" w:hAnsi="Arial" w:cs="Arial"/>
          <w:lang w:val="en-GB"/>
        </w:rPr>
      </w:pPr>
      <w:r w:rsidRPr="00E67FB4">
        <w:rPr>
          <w:rFonts w:ascii="Arial" w:hAnsi="Arial" w:cs="Arial"/>
          <w:lang w:val="en-GB"/>
        </w:rPr>
        <w:t>In light of the inadequacies this study found, future studies ought to</w:t>
      </w:r>
      <w:r>
        <w:rPr>
          <w:rFonts w:ascii="Arial" w:hAnsi="Arial" w:cs="Arial"/>
          <w:lang w:val="en-GB"/>
        </w:rPr>
        <w:t>:</w:t>
      </w:r>
    </w:p>
    <w:p w14:paraId="70ECFD0C" w14:textId="77777777" w:rsidR="00E67FB4" w:rsidRPr="00E67FB4" w:rsidRDefault="00E67FB4" w:rsidP="00E67FB4">
      <w:pPr>
        <w:pStyle w:val="ListParagraph"/>
        <w:numPr>
          <w:ilvl w:val="0"/>
          <w:numId w:val="117"/>
        </w:numPr>
        <w:spacing w:line="360" w:lineRule="auto"/>
        <w:jc w:val="both"/>
        <w:rPr>
          <w:rFonts w:ascii="Arial" w:hAnsi="Arial" w:cs="Arial"/>
          <w:lang w:val="en-GB"/>
        </w:rPr>
      </w:pPr>
      <w:r w:rsidRPr="00E67FB4">
        <w:rPr>
          <w:rFonts w:ascii="Arial" w:hAnsi="Arial" w:cs="Arial"/>
          <w:lang w:val="en-GB"/>
        </w:rPr>
        <w:t>To better understand the obstacles to equitable telehealth access, concentrate on disadvantaged and digitally excluded communities.</w:t>
      </w:r>
    </w:p>
    <w:p w14:paraId="2BFDFFF1" w14:textId="77777777" w:rsidR="00E67FB4" w:rsidRPr="00E67FB4" w:rsidRDefault="00E67FB4" w:rsidP="00E67FB4">
      <w:pPr>
        <w:pStyle w:val="ListParagraph"/>
        <w:numPr>
          <w:ilvl w:val="0"/>
          <w:numId w:val="117"/>
        </w:numPr>
        <w:spacing w:line="360" w:lineRule="auto"/>
        <w:jc w:val="both"/>
        <w:rPr>
          <w:rFonts w:ascii="Arial" w:hAnsi="Arial" w:cs="Arial"/>
          <w:lang w:val="en-GB"/>
        </w:rPr>
      </w:pPr>
      <w:r w:rsidRPr="00E67FB4">
        <w:rPr>
          <w:rFonts w:ascii="Arial" w:hAnsi="Arial" w:cs="Arial"/>
          <w:lang w:val="en-GB"/>
        </w:rPr>
        <w:t>Examine the application of telehealth in a broader range of contexts, such as secondary and specialised care.</w:t>
      </w:r>
    </w:p>
    <w:p w14:paraId="190D6CB9" w14:textId="77777777" w:rsidR="00E67FB4" w:rsidRPr="00E67FB4" w:rsidRDefault="00E67FB4" w:rsidP="00E67FB4">
      <w:pPr>
        <w:pStyle w:val="ListParagraph"/>
        <w:numPr>
          <w:ilvl w:val="0"/>
          <w:numId w:val="117"/>
        </w:numPr>
        <w:spacing w:line="360" w:lineRule="auto"/>
        <w:jc w:val="both"/>
        <w:rPr>
          <w:rFonts w:ascii="Arial" w:hAnsi="Arial" w:cs="Arial"/>
          <w:lang w:val="en-GB"/>
        </w:rPr>
      </w:pPr>
      <w:r w:rsidRPr="00E67FB4">
        <w:rPr>
          <w:rFonts w:ascii="Arial" w:hAnsi="Arial" w:cs="Arial"/>
          <w:lang w:val="en-GB"/>
        </w:rPr>
        <w:t>To bolster the body of data, use mixed-methods and longitudinal study designs.</w:t>
      </w:r>
    </w:p>
    <w:p w14:paraId="5C2A0F09" w14:textId="77777777" w:rsidR="0093603D" w:rsidRDefault="00E67FB4" w:rsidP="00E76C2C">
      <w:pPr>
        <w:pStyle w:val="ListParagraph"/>
        <w:numPr>
          <w:ilvl w:val="0"/>
          <w:numId w:val="117"/>
        </w:numPr>
        <w:spacing w:line="360" w:lineRule="auto"/>
        <w:jc w:val="both"/>
        <w:rPr>
          <w:rFonts w:ascii="Arial" w:hAnsi="Arial" w:cs="Arial"/>
          <w:lang w:val="en-GB"/>
        </w:rPr>
      </w:pPr>
      <w:r w:rsidRPr="00E67FB4">
        <w:rPr>
          <w:rFonts w:ascii="Arial" w:hAnsi="Arial" w:cs="Arial"/>
          <w:lang w:val="en-GB"/>
        </w:rPr>
        <w:t xml:space="preserve">Look into telehealth's long-term effects on health disparities and healthcare access outside of pandemic-related circumstances. </w:t>
      </w:r>
    </w:p>
    <w:p w14:paraId="0578ABF8" w14:textId="3F2DD3FB" w:rsidR="00E76C2C" w:rsidRPr="0093603D" w:rsidRDefault="00E76C2C" w:rsidP="0093603D">
      <w:pPr>
        <w:spacing w:line="360" w:lineRule="auto"/>
        <w:jc w:val="both"/>
        <w:rPr>
          <w:rFonts w:ascii="Arial" w:hAnsi="Arial" w:cs="Arial"/>
          <w:lang w:val="en-GB"/>
        </w:rPr>
      </w:pPr>
      <w:r w:rsidRPr="0093603D">
        <w:rPr>
          <w:rFonts w:ascii="Arial" w:hAnsi="Arial" w:cs="Arial"/>
          <w:b/>
          <w:bCs/>
          <w:lang w:val="en-GB"/>
        </w:rPr>
        <w:t>Recommendations for Policy and Practice</w:t>
      </w:r>
    </w:p>
    <w:p w14:paraId="062D5D98" w14:textId="3B831BA2" w:rsidR="00EC7E32" w:rsidRDefault="0093603D" w:rsidP="0093603D">
      <w:pPr>
        <w:spacing w:after="0" w:line="360" w:lineRule="auto"/>
        <w:jc w:val="both"/>
        <w:rPr>
          <w:rFonts w:ascii="Arial" w:eastAsia="Times New Roman" w:hAnsi="Arial" w:cs="Arial"/>
          <w:kern w:val="0"/>
          <w:lang w:val="en-GB" w:eastAsia="en-GB"/>
          <w14:ligatures w14:val="none"/>
        </w:rPr>
      </w:pPr>
      <w:r w:rsidRPr="0093603D">
        <w:rPr>
          <w:rFonts w:ascii="Arial" w:eastAsia="Times New Roman" w:hAnsi="Arial" w:cs="Arial"/>
          <w:kern w:val="0"/>
          <w:lang w:val="en-GB" w:eastAsia="en-GB"/>
          <w14:ligatures w14:val="none"/>
        </w:rPr>
        <w:t xml:space="preserve">The following suggestions for practice and policy are put out to guarantee that telehealth promotes fair access to healthcare in the UK: Why </w:t>
      </w:r>
      <w:r w:rsidR="00EC7E32" w:rsidRPr="0093603D">
        <w:rPr>
          <w:rFonts w:ascii="Arial" w:eastAsia="Times New Roman" w:hAnsi="Arial" w:cs="Arial"/>
          <w:kern w:val="0"/>
          <w:lang w:val="en-GB" w:eastAsia="en-GB"/>
          <w14:ligatures w14:val="none"/>
        </w:rPr>
        <w:t>the</w:t>
      </w:r>
      <w:r w:rsidRPr="0093603D">
        <w:rPr>
          <w:rFonts w:ascii="Arial" w:eastAsia="Times New Roman" w:hAnsi="Arial" w:cs="Arial"/>
          <w:kern w:val="0"/>
          <w:lang w:val="en-GB" w:eastAsia="en-GB"/>
          <w14:ligatures w14:val="none"/>
        </w:rPr>
        <w:t xml:space="preserve"> UK healthcare system should keep using hybrid care models that incorporate in-person consultations with telemedicine.</w:t>
      </w:r>
    </w:p>
    <w:p w14:paraId="08026C19" w14:textId="77777777" w:rsidR="00EC7E32" w:rsidRPr="00EC7E32" w:rsidRDefault="00EC7E32" w:rsidP="00EC7E32">
      <w:pPr>
        <w:pStyle w:val="ListParagraph"/>
        <w:numPr>
          <w:ilvl w:val="0"/>
          <w:numId w:val="118"/>
        </w:numPr>
        <w:spacing w:after="0" w:line="360" w:lineRule="auto"/>
        <w:jc w:val="both"/>
        <w:rPr>
          <w:rFonts w:ascii="Arial" w:eastAsia="Times New Roman" w:hAnsi="Arial" w:cs="Arial"/>
          <w:kern w:val="0"/>
          <w:lang w:val="en-GB" w:eastAsia="en-GB"/>
          <w14:ligatures w14:val="none"/>
        </w:rPr>
      </w:pPr>
      <w:r w:rsidRPr="00EC7E32">
        <w:rPr>
          <w:rFonts w:ascii="Arial" w:eastAsia="Times New Roman" w:hAnsi="Arial" w:cs="Arial"/>
          <w:kern w:val="0"/>
          <w:lang w:val="en-GB" w:eastAsia="en-GB"/>
          <w14:ligatures w14:val="none"/>
        </w:rPr>
        <w:t>To facilitate proper triage, communication, and clinical decision-making in remote consultations, clinicians ought to be trained.</w:t>
      </w:r>
    </w:p>
    <w:p w14:paraId="48D047D5" w14:textId="5FF9B00E" w:rsidR="00EC7E32" w:rsidRPr="00EC7E32" w:rsidRDefault="00EC7E32" w:rsidP="00EC7E32">
      <w:pPr>
        <w:pStyle w:val="ListParagraph"/>
        <w:numPr>
          <w:ilvl w:val="0"/>
          <w:numId w:val="118"/>
        </w:numPr>
        <w:spacing w:after="0" w:line="360" w:lineRule="auto"/>
        <w:jc w:val="both"/>
        <w:rPr>
          <w:rFonts w:ascii="Arial" w:eastAsia="Times New Roman" w:hAnsi="Arial" w:cs="Arial"/>
          <w:kern w:val="0"/>
          <w:lang w:val="en-GB" w:eastAsia="en-GB"/>
          <w14:ligatures w14:val="none"/>
        </w:rPr>
      </w:pPr>
      <w:r w:rsidRPr="00EC7E32">
        <w:rPr>
          <w:rFonts w:ascii="Arial" w:eastAsia="Times New Roman" w:hAnsi="Arial" w:cs="Arial"/>
          <w:kern w:val="0"/>
          <w:lang w:val="en-GB" w:eastAsia="en-GB"/>
          <w14:ligatures w14:val="none"/>
        </w:rPr>
        <w:t>Incorporating equity issues into the design, assessment, and provision of telehealth services is crucial.</w:t>
      </w:r>
    </w:p>
    <w:p w14:paraId="2233D354" w14:textId="77777777" w:rsidR="00EC7E32" w:rsidRPr="00EC7E32" w:rsidRDefault="0093603D" w:rsidP="00EC7E32">
      <w:pPr>
        <w:pStyle w:val="ListParagraph"/>
        <w:numPr>
          <w:ilvl w:val="0"/>
          <w:numId w:val="118"/>
        </w:numPr>
        <w:spacing w:after="0" w:line="360" w:lineRule="auto"/>
        <w:jc w:val="both"/>
        <w:rPr>
          <w:rFonts w:ascii="Arial" w:eastAsia="Times New Roman" w:hAnsi="Arial" w:cs="Arial"/>
          <w:kern w:val="0"/>
          <w:lang w:val="en-GB" w:eastAsia="en-GB"/>
          <w14:ligatures w14:val="none"/>
        </w:rPr>
      </w:pPr>
      <w:r w:rsidRPr="00EC7E32">
        <w:rPr>
          <w:rFonts w:ascii="Arial" w:eastAsia="Times New Roman" w:hAnsi="Arial" w:cs="Arial"/>
          <w:kern w:val="0"/>
          <w:lang w:val="en-GB" w:eastAsia="en-GB"/>
          <w14:ligatures w14:val="none"/>
        </w:rPr>
        <w:lastRenderedPageBreak/>
        <w:t xml:space="preserve">Prioritisation should be given to digital inclusion programs that encourage digital skills, connection, and device access. </w:t>
      </w:r>
    </w:p>
    <w:p w14:paraId="41C274CF" w14:textId="149BF90B" w:rsidR="00EC7E32" w:rsidRPr="00802375" w:rsidRDefault="00211798" w:rsidP="0093603D">
      <w:pPr>
        <w:spacing w:line="360" w:lineRule="auto"/>
        <w:jc w:val="both"/>
        <w:rPr>
          <w:rFonts w:ascii="Arial" w:hAnsi="Arial" w:cs="Arial"/>
          <w:b/>
          <w:bCs/>
          <w:sz w:val="24"/>
          <w:szCs w:val="24"/>
          <w:u w:val="single"/>
          <w:lang w:val="en-GB"/>
        </w:rPr>
      </w:pPr>
      <w:r>
        <w:rPr>
          <w:rFonts w:ascii="Arial" w:hAnsi="Arial" w:cs="Arial"/>
          <w:b/>
          <w:bCs/>
          <w:sz w:val="24"/>
          <w:szCs w:val="24"/>
          <w:u w:val="single"/>
          <w:lang w:val="en-GB"/>
        </w:rPr>
        <w:t>End</w:t>
      </w:r>
      <w:r w:rsidR="009E7A14">
        <w:rPr>
          <w:rFonts w:ascii="Arial" w:hAnsi="Arial" w:cs="Arial"/>
          <w:b/>
          <w:bCs/>
          <w:sz w:val="24"/>
          <w:szCs w:val="24"/>
          <w:u w:val="single"/>
          <w:lang w:val="en-GB"/>
        </w:rPr>
        <w:t xml:space="preserve"> </w:t>
      </w:r>
      <w:r>
        <w:rPr>
          <w:rFonts w:ascii="Arial" w:hAnsi="Arial" w:cs="Arial"/>
          <w:b/>
          <w:bCs/>
          <w:sz w:val="24"/>
          <w:szCs w:val="24"/>
          <w:u w:val="single"/>
          <w:lang w:val="en-GB"/>
        </w:rPr>
        <w:t>Note</w:t>
      </w:r>
    </w:p>
    <w:p w14:paraId="004C74A4" w14:textId="2FCE9DA0" w:rsidR="00EC7E32" w:rsidRPr="00EC7E32" w:rsidRDefault="00EC7E32" w:rsidP="00EC7E32">
      <w:pPr>
        <w:spacing w:line="360" w:lineRule="auto"/>
        <w:jc w:val="both"/>
        <w:rPr>
          <w:rFonts w:ascii="Arial" w:hAnsi="Arial" w:cs="Arial"/>
          <w:lang w:val="en-GB"/>
        </w:rPr>
      </w:pPr>
      <w:r w:rsidRPr="00EC7E32">
        <w:rPr>
          <w:rFonts w:ascii="Arial" w:hAnsi="Arial" w:cs="Arial"/>
          <w:lang w:val="en-GB"/>
        </w:rPr>
        <w:t>To sum up</w:t>
      </w:r>
      <w:r>
        <w:rPr>
          <w:rFonts w:ascii="Arial" w:hAnsi="Arial" w:cs="Arial"/>
          <w:lang w:val="en-GB"/>
        </w:rPr>
        <w:t xml:space="preserve"> a report</w:t>
      </w:r>
      <w:r w:rsidRPr="00EC7E32">
        <w:rPr>
          <w:rFonts w:ascii="Arial" w:hAnsi="Arial" w:cs="Arial"/>
          <w:lang w:val="en-GB"/>
        </w:rPr>
        <w:t xml:space="preserve">, telehealth plays a significant role in the UK's contemporary healthcare </w:t>
      </w:r>
      <w:r>
        <w:rPr>
          <w:rFonts w:ascii="Arial" w:hAnsi="Arial" w:cs="Arial"/>
          <w:lang w:val="en-GB"/>
        </w:rPr>
        <w:t xml:space="preserve"> sector. </w:t>
      </w:r>
      <w:r w:rsidRPr="00EC7E32">
        <w:rPr>
          <w:rFonts w:ascii="Arial" w:hAnsi="Arial" w:cs="Arial"/>
          <w:lang w:val="en-GB"/>
        </w:rPr>
        <w:t>Telehealth has the potential to improve healthcare access while reducing the risk of exacerbating already-existing health inequalities if it is implemented with a strong emphasis on equity, workforce support, and patient choice.</w:t>
      </w:r>
      <w:r w:rsidR="00211798">
        <w:rPr>
          <w:rFonts w:ascii="Arial" w:hAnsi="Arial" w:cs="Arial"/>
          <w:lang w:val="en-GB"/>
        </w:rPr>
        <w:t xml:space="preserve"> It helps in overcoming the challenges which NHS bears on daily basis by enhancing the usage of telehealth in</w:t>
      </w:r>
      <w:r w:rsidR="0022032B">
        <w:rPr>
          <w:rFonts w:ascii="Arial" w:hAnsi="Arial" w:cs="Arial"/>
          <w:lang w:val="en-GB"/>
        </w:rPr>
        <w:t xml:space="preserve"> healthcare</w:t>
      </w:r>
      <w:r w:rsidR="00211798">
        <w:rPr>
          <w:rFonts w:ascii="Arial" w:hAnsi="Arial" w:cs="Arial"/>
          <w:lang w:val="en-GB"/>
        </w:rPr>
        <w:t xml:space="preserve"> practice. </w:t>
      </w:r>
    </w:p>
    <w:p w14:paraId="62644CE9" w14:textId="2EE89B88" w:rsidR="00305E17" w:rsidRPr="001D29D2" w:rsidRDefault="00305E17" w:rsidP="00305E17"/>
    <w:p w14:paraId="428D570A" w14:textId="664748FD" w:rsidR="00305E17" w:rsidRPr="001D29D2" w:rsidRDefault="00305E17" w:rsidP="00A26F71">
      <w:pPr>
        <w:spacing w:line="278" w:lineRule="auto"/>
        <w:ind w:left="720"/>
      </w:pPr>
    </w:p>
    <w:p w14:paraId="419DEC7E" w14:textId="7FA8AA32" w:rsidR="00741011" w:rsidRDefault="00741011" w:rsidP="00E310CD">
      <w:pPr>
        <w:pStyle w:val="ListParagraph"/>
        <w:spacing w:line="360" w:lineRule="auto"/>
        <w:jc w:val="both"/>
        <w:rPr>
          <w:rFonts w:ascii="Arial" w:hAnsi="Arial" w:cs="Arial"/>
          <w:lang w:val="en-GB"/>
        </w:rPr>
      </w:pPr>
    </w:p>
    <w:p w14:paraId="5EA1D567" w14:textId="77777777" w:rsidR="00E76C2C" w:rsidRDefault="00E76C2C">
      <w:pPr>
        <w:rPr>
          <w:rFonts w:ascii="Arial" w:hAnsi="Arial" w:cs="Arial"/>
          <w:b/>
          <w:bCs/>
          <w:sz w:val="24"/>
          <w:szCs w:val="24"/>
          <w:u w:val="single"/>
        </w:rPr>
      </w:pPr>
      <w:r>
        <w:rPr>
          <w:rFonts w:ascii="Arial" w:hAnsi="Arial" w:cs="Arial"/>
          <w:b/>
          <w:bCs/>
          <w:sz w:val="24"/>
          <w:szCs w:val="24"/>
          <w:u w:val="single"/>
        </w:rPr>
        <w:br w:type="page"/>
      </w:r>
    </w:p>
    <w:p w14:paraId="5E5F8E01" w14:textId="0A00E019" w:rsidR="00124AC1" w:rsidRPr="00741011" w:rsidRDefault="00124AC1" w:rsidP="00741011">
      <w:pPr>
        <w:rPr>
          <w:rFonts w:ascii="Arial" w:hAnsi="Arial" w:cs="Arial"/>
          <w:lang w:val="en-GB"/>
        </w:rPr>
      </w:pPr>
      <w:r w:rsidRPr="00741011">
        <w:rPr>
          <w:rFonts w:ascii="Arial" w:hAnsi="Arial" w:cs="Arial"/>
          <w:b/>
          <w:bCs/>
          <w:sz w:val="24"/>
          <w:szCs w:val="24"/>
          <w:u w:val="single"/>
        </w:rPr>
        <w:lastRenderedPageBreak/>
        <w:t>References</w:t>
      </w:r>
    </w:p>
    <w:p w14:paraId="560DA5E2" w14:textId="77777777" w:rsidR="00053670" w:rsidRPr="00053670" w:rsidRDefault="00053670" w:rsidP="00053670">
      <w:pPr>
        <w:pStyle w:val="ListParagraph"/>
        <w:numPr>
          <w:ilvl w:val="0"/>
          <w:numId w:val="121"/>
        </w:numPr>
        <w:spacing w:after="240" w:line="360" w:lineRule="auto"/>
        <w:jc w:val="both"/>
        <w:rPr>
          <w:rFonts w:ascii="Arial" w:eastAsia="Times New Roman" w:hAnsi="Arial" w:cs="Arial"/>
          <w:kern w:val="0"/>
          <w:lang w:val="en-GB" w:eastAsia="en-GB"/>
          <w14:ligatures w14:val="none"/>
        </w:rPr>
      </w:pPr>
      <w:r w:rsidRPr="00053670">
        <w:rPr>
          <w:rFonts w:ascii="Arial" w:eastAsia="Times New Roman" w:hAnsi="Arial" w:cs="Arial"/>
          <w:kern w:val="0"/>
          <w:lang w:val="en-GB" w:eastAsia="en-GB"/>
          <w14:ligatures w14:val="none"/>
        </w:rPr>
        <w:t>Age UK (2019). Telecare services: Using Technology for Independence | Age UK. [online] Ageuk.org.uk. Available at: https://www.ageuk.org.uk/information-advice/care/housing-options/adapting-home/telecare/.</w:t>
      </w:r>
    </w:p>
    <w:p w14:paraId="0E68C5A5" w14:textId="404B147D" w:rsidR="000713E8" w:rsidRPr="00131FE1" w:rsidRDefault="000713E8"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Arksey, H. and O’Malley, L. (2005). Scoping studies: Towards a Methodological Framework. International Journal of Social Research Methodology, [online] 8(1), pp.19–32. doi:https://doi.org/10.1080/1364557032000119616.</w:t>
      </w:r>
    </w:p>
    <w:p w14:paraId="2D2962EE" w14:textId="31AF60ED" w:rsidR="000713E8" w:rsidRPr="00131FE1" w:rsidRDefault="000713E8"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Aveyard, H., Payne, S. and Preston, N. (2021). A postgraduate’s guide to doing a literature review in health and social care. London: Open University Press.</w:t>
      </w:r>
    </w:p>
    <w:p w14:paraId="30D2B8EE" w14:textId="4BD00832" w:rsidR="0001261B" w:rsidRPr="00131FE1" w:rsidRDefault="00CF61C1"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 xml:space="preserve">Aveyard, H. (2023). Doing a Literature Review in Health and Social Care : a Practical Guide. 5th ed. New York </w:t>
      </w:r>
      <w:proofErr w:type="spellStart"/>
      <w:r w:rsidRPr="00131FE1">
        <w:rPr>
          <w:rFonts w:ascii="Arial" w:hAnsi="Arial" w:cs="Arial"/>
          <w:lang w:val="en-GB"/>
        </w:rPr>
        <w:t>Mcgraw</w:t>
      </w:r>
      <w:proofErr w:type="spellEnd"/>
      <w:r w:rsidRPr="00131FE1">
        <w:rPr>
          <w:rFonts w:ascii="Arial" w:hAnsi="Arial" w:cs="Arial"/>
          <w:lang w:val="en-GB"/>
        </w:rPr>
        <w:t xml:space="preserve"> Hill Professional.</w:t>
      </w:r>
    </w:p>
    <w:p w14:paraId="4CA48A1F" w14:textId="1DE7E5C2" w:rsidR="000713E8" w:rsidRPr="00131FE1" w:rsidRDefault="00AE259D"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Donaghy, E., Atherton, H., Hammersley, V. and McNeilly, H. (2019). Acceptability, benefits, and challenges of video consulting: a qualitative study in primary care. British Journal of General Practice, [online] 69(686), pp.586–594. doi:https://doi.org/10.3399/bjgp19x704141.</w:t>
      </w:r>
    </w:p>
    <w:p w14:paraId="0AB409BB" w14:textId="77777777" w:rsidR="00802375" w:rsidRPr="00131FE1" w:rsidRDefault="00802375"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 xml:space="preserve">Greenhalgh, T., </w:t>
      </w:r>
      <w:proofErr w:type="spellStart"/>
      <w:r w:rsidRPr="00131FE1">
        <w:rPr>
          <w:rFonts w:ascii="Arial" w:hAnsi="Arial" w:cs="Arial"/>
          <w:lang w:val="en-GB"/>
        </w:rPr>
        <w:t>Wherton</w:t>
      </w:r>
      <w:proofErr w:type="spellEnd"/>
      <w:r w:rsidRPr="00131FE1">
        <w:rPr>
          <w:rFonts w:ascii="Arial" w:hAnsi="Arial" w:cs="Arial"/>
          <w:lang w:val="en-GB"/>
        </w:rPr>
        <w:t>, J., Shaw, S. and Morrison, C. (2020). Video consultations for covid-19. BMJ, [online] 368(368), p.m998. doi:https://doi.org/10.1136/bmj.m998.</w:t>
      </w:r>
    </w:p>
    <w:p w14:paraId="4E68F35D" w14:textId="2C2F3E6A" w:rsidR="00067AB4" w:rsidRPr="00131FE1" w:rsidRDefault="000713E8"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 xml:space="preserve">Hutchings, R. and Morris, J. (2022). Digital health care across the UK: where are we now? [online] The Nuffield Trust. Available at: </w:t>
      </w:r>
      <w:hyperlink r:id="rId9" w:history="1">
        <w:r w:rsidR="00131FE1" w:rsidRPr="00131FE1">
          <w:rPr>
            <w:rStyle w:val="Hyperlink"/>
            <w:rFonts w:ascii="Arial" w:hAnsi="Arial" w:cs="Arial"/>
            <w:color w:val="auto"/>
            <w:u w:val="none"/>
            <w:lang w:val="en-GB"/>
          </w:rPr>
          <w:t>https://www.nuffieldtrust.org.uk/resource/digital-health-care-across-the-uk-where-are-we-now</w:t>
        </w:r>
      </w:hyperlink>
      <w:r w:rsidRPr="00131FE1">
        <w:rPr>
          <w:rFonts w:ascii="Arial" w:hAnsi="Arial" w:cs="Arial"/>
          <w:lang w:val="en-GB"/>
        </w:rPr>
        <w:t>.</w:t>
      </w:r>
    </w:p>
    <w:p w14:paraId="7E2B7F72" w14:textId="17066890" w:rsidR="000713E8" w:rsidRPr="00131FE1" w:rsidRDefault="00A97767"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Marmot, M. and Bell, R. (2010). Fair society, Healthy Lives. Public Health, [online] 126(1), pp.S4–S10. doi:https://doi.org/10.1016/j.puhe.2012.05.014.</w:t>
      </w:r>
    </w:p>
    <w:p w14:paraId="17F33414" w14:textId="0B5CB229" w:rsidR="008B2B3D" w:rsidRPr="00131FE1" w:rsidRDefault="008B2B3D"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ONS (2019). Exploring the UK’s Digital Divide. [online] Office for National Statistics. Available at:https://www.ons.gov.uk/peoplepopulationandcommunity/householdcharacteristics/homeinternetandsocialmediausage/articles/exploringtheuksdigitaldivide/2019-03-04.</w:t>
      </w:r>
    </w:p>
    <w:p w14:paraId="4124DE91" w14:textId="77777777" w:rsidR="00AE751F" w:rsidRPr="00131FE1" w:rsidRDefault="00AE751F"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Salisbury, C., Murphy, M. and Duncan, P. (2020). The impact of digital-first consultations on workload in general practice: modelling study (Preprint). Journal of Medical Internet Research, 22(6). doi:https://doi.org/10.2196/18203.</w:t>
      </w:r>
    </w:p>
    <w:p w14:paraId="430A3E05" w14:textId="77C9C246" w:rsidR="000713E8" w:rsidRPr="00131FE1" w:rsidRDefault="003E2426"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 xml:space="preserve">S, S., J, W., S, V. and J, M. (2018). Advantages and limitations of virtual online consultations in </w:t>
      </w:r>
      <w:proofErr w:type="gramStart"/>
      <w:r w:rsidRPr="00131FE1">
        <w:rPr>
          <w:rFonts w:ascii="Arial" w:hAnsi="Arial" w:cs="Arial"/>
          <w:lang w:val="en-GB"/>
        </w:rPr>
        <w:t>a</w:t>
      </w:r>
      <w:proofErr w:type="gramEnd"/>
      <w:r w:rsidRPr="00131FE1">
        <w:rPr>
          <w:rFonts w:ascii="Arial" w:hAnsi="Arial" w:cs="Arial"/>
          <w:lang w:val="en-GB"/>
        </w:rPr>
        <w:t xml:space="preserve"> NHS acute trust: the VOCAL mixed-methods study. Health Services and Delivery Research, [online] 6(21). doi:https://doi.org/10.3310/hsdr06210.</w:t>
      </w:r>
    </w:p>
    <w:p w14:paraId="7D552ACC" w14:textId="77777777" w:rsidR="00D120B1" w:rsidRPr="00D120B1" w:rsidRDefault="00D120B1" w:rsidP="00053670">
      <w:pPr>
        <w:pStyle w:val="ListParagraph"/>
        <w:numPr>
          <w:ilvl w:val="0"/>
          <w:numId w:val="121"/>
        </w:numPr>
        <w:spacing w:after="240" w:line="360" w:lineRule="auto"/>
        <w:jc w:val="both"/>
        <w:rPr>
          <w:rFonts w:ascii="Arial" w:eastAsia="Times New Roman" w:hAnsi="Arial" w:cs="Arial"/>
          <w:kern w:val="0"/>
          <w:lang w:val="en-GB" w:eastAsia="en-GB"/>
          <w14:ligatures w14:val="none"/>
        </w:rPr>
      </w:pPr>
      <w:r w:rsidRPr="00D120B1">
        <w:rPr>
          <w:rFonts w:ascii="Arial" w:eastAsia="Times New Roman" w:hAnsi="Arial" w:cs="Arial"/>
          <w:kern w:val="0"/>
          <w:lang w:val="en-GB" w:eastAsia="en-GB"/>
          <w14:ligatures w14:val="none"/>
        </w:rPr>
        <w:t>The Health Foundation. (2023). Health Equity in England: The Marmot Review 10 Years On. [online] Available at: https://www.health.org.uk/reports-and-analysis/reports/health-equity-in-england-the-marmot-review-10-years-on-</w:t>
      </w:r>
      <w:r w:rsidRPr="00D120B1">
        <w:rPr>
          <w:rFonts w:ascii="Arial" w:eastAsia="Times New Roman" w:hAnsi="Arial" w:cs="Arial"/>
          <w:kern w:val="0"/>
          <w:lang w:val="en-GB" w:eastAsia="en-GB"/>
          <w14:ligatures w14:val="none"/>
        </w:rPr>
        <w:lastRenderedPageBreak/>
        <w:t>0?gad_source=1&amp;gad_campaignid=13881943804&amp;gbraid=0AAAAADunFmS1U6c68BlbYQDoGnxAhxXOr&amp;gclid=EAIaIQobChMIyN7m-_qEkwMVF41QBh3PSzD0EAAYASAAEgL6QvD_BwE [Accessed 4 Mar. 2026].</w:t>
      </w:r>
    </w:p>
    <w:p w14:paraId="69D0D3DD" w14:textId="31A63911" w:rsidR="000713E8" w:rsidRPr="00131FE1" w:rsidRDefault="008B2B3D"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 xml:space="preserve">The King’s Fund. (2024). Ensuring Digitally Enabled Health Care Is Equitable </w:t>
      </w:r>
      <w:proofErr w:type="gramStart"/>
      <w:r w:rsidRPr="00131FE1">
        <w:rPr>
          <w:rFonts w:ascii="Arial" w:hAnsi="Arial" w:cs="Arial"/>
          <w:lang w:val="en-GB"/>
        </w:rPr>
        <w:t>And</w:t>
      </w:r>
      <w:proofErr w:type="gramEnd"/>
      <w:r w:rsidRPr="00131FE1">
        <w:rPr>
          <w:rFonts w:ascii="Arial" w:hAnsi="Arial" w:cs="Arial"/>
          <w:lang w:val="en-GB"/>
        </w:rPr>
        <w:t xml:space="preserve"> Effective </w:t>
      </w:r>
      <w:proofErr w:type="gramStart"/>
      <w:r w:rsidRPr="00131FE1">
        <w:rPr>
          <w:rFonts w:ascii="Arial" w:hAnsi="Arial" w:cs="Arial"/>
          <w:lang w:val="en-GB"/>
        </w:rPr>
        <w:t>For</w:t>
      </w:r>
      <w:proofErr w:type="gramEnd"/>
      <w:r w:rsidRPr="00131FE1">
        <w:rPr>
          <w:rFonts w:ascii="Arial" w:hAnsi="Arial" w:cs="Arial"/>
          <w:lang w:val="en-GB"/>
        </w:rPr>
        <w:t xml:space="preserve"> All | The King’s Fund. [online] Available at: https://www.kingsfund.org.uk/insight-and-analysis/evidence-and-consultations/ensuring-digitally-enabled-health-care-equitable-effective-for-all.</w:t>
      </w:r>
    </w:p>
    <w:p w14:paraId="5C9DFE89" w14:textId="687D3B62" w:rsidR="0001261B" w:rsidRPr="00131FE1" w:rsidRDefault="000713E8"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Torjesen, I. (2022). Health Education England outlines training plans for ‘digital first’ NHS. BMJ, p.o2921. doi:https://doi.org/10.1136/bmj.o2921.</w:t>
      </w:r>
    </w:p>
    <w:p w14:paraId="77EE4BE2" w14:textId="77777777" w:rsidR="00067AB4" w:rsidRPr="00131FE1" w:rsidRDefault="00067AB4" w:rsidP="00053670">
      <w:pPr>
        <w:pStyle w:val="ListParagraph"/>
        <w:numPr>
          <w:ilvl w:val="0"/>
          <w:numId w:val="121"/>
        </w:numPr>
        <w:spacing w:line="360" w:lineRule="auto"/>
        <w:jc w:val="both"/>
        <w:rPr>
          <w:rFonts w:ascii="Arial" w:hAnsi="Arial" w:cs="Arial"/>
          <w:lang w:val="en-GB"/>
        </w:rPr>
      </w:pPr>
      <w:r w:rsidRPr="00131FE1">
        <w:rPr>
          <w:rFonts w:ascii="Arial" w:hAnsi="Arial" w:cs="Arial"/>
          <w:lang w:val="en-GB"/>
        </w:rPr>
        <w:t>Watts, G. (2020). COVID-19 and the digital divide in the UK. The Lancet Digital Health, [online] 2(8), pp.395–396. doi:https://doi.org/10.1016/s2589-7500(20)30169-2.</w:t>
      </w:r>
    </w:p>
    <w:p w14:paraId="2F1A6E1B" w14:textId="77777777" w:rsidR="00A97767" w:rsidRDefault="00A97767" w:rsidP="00CF61C1">
      <w:pPr>
        <w:rPr>
          <w:rFonts w:ascii="Arial" w:hAnsi="Arial" w:cs="Arial"/>
          <w:lang w:val="en-GB"/>
        </w:rPr>
      </w:pPr>
    </w:p>
    <w:p w14:paraId="215612D4" w14:textId="77777777" w:rsidR="002236D3" w:rsidRDefault="002236D3" w:rsidP="00CF61C1">
      <w:pPr>
        <w:rPr>
          <w:rFonts w:ascii="Arial" w:hAnsi="Arial" w:cs="Arial"/>
          <w:lang w:val="en-GB"/>
        </w:rPr>
      </w:pPr>
    </w:p>
    <w:p w14:paraId="39997196" w14:textId="77777777" w:rsidR="002236D3" w:rsidRDefault="002236D3" w:rsidP="00CF61C1">
      <w:pPr>
        <w:rPr>
          <w:rFonts w:ascii="Arial" w:hAnsi="Arial" w:cs="Arial"/>
          <w:lang w:val="en-GB"/>
        </w:rPr>
      </w:pPr>
    </w:p>
    <w:p w14:paraId="03067151" w14:textId="77777777" w:rsidR="002236D3" w:rsidRDefault="002236D3" w:rsidP="00CF61C1">
      <w:pPr>
        <w:rPr>
          <w:rFonts w:ascii="Arial" w:hAnsi="Arial" w:cs="Arial"/>
          <w:lang w:val="en-GB"/>
        </w:rPr>
      </w:pPr>
    </w:p>
    <w:p w14:paraId="15800F0F" w14:textId="77777777" w:rsidR="002236D3" w:rsidRDefault="002236D3" w:rsidP="00CF61C1">
      <w:pPr>
        <w:rPr>
          <w:rFonts w:ascii="Arial" w:hAnsi="Arial" w:cs="Arial"/>
          <w:lang w:val="en-GB"/>
        </w:rPr>
      </w:pPr>
    </w:p>
    <w:p w14:paraId="455FA450" w14:textId="77777777" w:rsidR="002236D3" w:rsidRDefault="002236D3" w:rsidP="00CF61C1">
      <w:pPr>
        <w:rPr>
          <w:rFonts w:ascii="Arial" w:hAnsi="Arial" w:cs="Arial"/>
          <w:lang w:val="en-GB"/>
        </w:rPr>
      </w:pPr>
    </w:p>
    <w:p w14:paraId="12DA34F5" w14:textId="77777777" w:rsidR="002236D3" w:rsidRDefault="002236D3" w:rsidP="00CF61C1">
      <w:pPr>
        <w:rPr>
          <w:rFonts w:ascii="Arial" w:hAnsi="Arial" w:cs="Arial"/>
          <w:lang w:val="en-GB"/>
        </w:rPr>
      </w:pPr>
    </w:p>
    <w:p w14:paraId="0243B058" w14:textId="77777777" w:rsidR="002236D3" w:rsidRDefault="002236D3" w:rsidP="00CF61C1">
      <w:pPr>
        <w:rPr>
          <w:rFonts w:ascii="Arial" w:hAnsi="Arial" w:cs="Arial"/>
          <w:lang w:val="en-GB"/>
        </w:rPr>
      </w:pPr>
    </w:p>
    <w:p w14:paraId="5D99D393" w14:textId="77777777" w:rsidR="002236D3" w:rsidRDefault="002236D3" w:rsidP="00CF61C1">
      <w:pPr>
        <w:rPr>
          <w:rFonts w:ascii="Arial" w:hAnsi="Arial" w:cs="Arial"/>
          <w:lang w:val="en-GB"/>
        </w:rPr>
      </w:pPr>
    </w:p>
    <w:p w14:paraId="22F71EB1" w14:textId="77777777" w:rsidR="002236D3" w:rsidRDefault="002236D3" w:rsidP="00CF61C1">
      <w:pPr>
        <w:rPr>
          <w:rFonts w:ascii="Arial" w:hAnsi="Arial" w:cs="Arial"/>
          <w:lang w:val="en-GB"/>
        </w:rPr>
      </w:pPr>
    </w:p>
    <w:p w14:paraId="16DB2F9E" w14:textId="77777777" w:rsidR="002236D3" w:rsidRDefault="002236D3" w:rsidP="00CF61C1">
      <w:pPr>
        <w:rPr>
          <w:rFonts w:ascii="Arial" w:hAnsi="Arial" w:cs="Arial"/>
          <w:lang w:val="en-GB"/>
        </w:rPr>
      </w:pPr>
    </w:p>
    <w:p w14:paraId="32872903" w14:textId="77777777" w:rsidR="002236D3" w:rsidRDefault="002236D3" w:rsidP="00CF61C1">
      <w:pPr>
        <w:rPr>
          <w:rFonts w:ascii="Arial" w:hAnsi="Arial" w:cs="Arial"/>
          <w:lang w:val="en-GB"/>
        </w:rPr>
      </w:pPr>
    </w:p>
    <w:p w14:paraId="7574C056" w14:textId="77777777" w:rsidR="002236D3" w:rsidRDefault="002236D3" w:rsidP="00CF61C1">
      <w:pPr>
        <w:rPr>
          <w:rFonts w:ascii="Arial" w:hAnsi="Arial" w:cs="Arial"/>
          <w:lang w:val="en-GB"/>
        </w:rPr>
      </w:pPr>
    </w:p>
    <w:p w14:paraId="73D0731C" w14:textId="77777777" w:rsidR="002236D3" w:rsidRDefault="002236D3" w:rsidP="00CF61C1">
      <w:pPr>
        <w:rPr>
          <w:rFonts w:ascii="Arial" w:hAnsi="Arial" w:cs="Arial"/>
          <w:lang w:val="en-GB"/>
        </w:rPr>
      </w:pPr>
    </w:p>
    <w:p w14:paraId="7C540380" w14:textId="676AC406" w:rsidR="006C7E30" w:rsidRPr="006C7E30" w:rsidRDefault="006C7E30" w:rsidP="006C7E30">
      <w:pPr>
        <w:rPr>
          <w:rFonts w:ascii="Arial" w:hAnsi="Arial" w:cs="Arial"/>
          <w:lang w:val="en-GB"/>
        </w:rPr>
      </w:pPr>
    </w:p>
    <w:sectPr w:rsidR="006C7E30" w:rsidRPr="006C7E30" w:rsidSect="002F655A">
      <w:footerReference w:type="default" r:id="rId10"/>
      <w:type w:val="continuous"/>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6DE95" w14:textId="77777777" w:rsidR="002877FA" w:rsidRDefault="002877FA" w:rsidP="00E444F6">
      <w:pPr>
        <w:spacing w:after="0" w:line="240" w:lineRule="auto"/>
      </w:pPr>
      <w:r>
        <w:separator/>
      </w:r>
    </w:p>
  </w:endnote>
  <w:endnote w:type="continuationSeparator" w:id="0">
    <w:p w14:paraId="727F817C" w14:textId="77777777" w:rsidR="002877FA" w:rsidRDefault="002877FA" w:rsidP="00E44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8449400"/>
      <w:docPartObj>
        <w:docPartGallery w:val="Page Numbers (Bottom of Page)"/>
        <w:docPartUnique/>
      </w:docPartObj>
    </w:sdtPr>
    <w:sdtEndPr>
      <w:rPr>
        <w:noProof/>
      </w:rPr>
    </w:sdtEndPr>
    <w:sdtContent>
      <w:p w14:paraId="22CC5DB8" w14:textId="77777777" w:rsidR="002A2751" w:rsidRDefault="002A2751">
        <w:pPr>
          <w:pStyle w:val="Footer"/>
          <w:jc w:val="center"/>
        </w:pPr>
      </w:p>
      <w:p w14:paraId="66B107AA" w14:textId="21F08288" w:rsidR="002A2751" w:rsidRDefault="002A27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D69183" w14:textId="77777777" w:rsidR="002A2751" w:rsidRDefault="002A2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9829BF" w14:textId="77777777" w:rsidR="002877FA" w:rsidRDefault="002877FA" w:rsidP="00E444F6">
      <w:pPr>
        <w:spacing w:after="0" w:line="240" w:lineRule="auto"/>
      </w:pPr>
      <w:r>
        <w:separator/>
      </w:r>
    </w:p>
  </w:footnote>
  <w:footnote w:type="continuationSeparator" w:id="0">
    <w:p w14:paraId="43292023" w14:textId="77777777" w:rsidR="002877FA" w:rsidRDefault="002877FA" w:rsidP="00E44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13EE8"/>
    <w:multiLevelType w:val="hybridMultilevel"/>
    <w:tmpl w:val="A09E6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E4857"/>
    <w:multiLevelType w:val="hybridMultilevel"/>
    <w:tmpl w:val="CCF21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835D91"/>
    <w:multiLevelType w:val="multilevel"/>
    <w:tmpl w:val="ACEC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B24231"/>
    <w:multiLevelType w:val="hybridMultilevel"/>
    <w:tmpl w:val="14183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313DF2"/>
    <w:multiLevelType w:val="multilevel"/>
    <w:tmpl w:val="57082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564162"/>
    <w:multiLevelType w:val="hybridMultilevel"/>
    <w:tmpl w:val="FA9CDFD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67974BA"/>
    <w:multiLevelType w:val="multilevel"/>
    <w:tmpl w:val="86FCE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255212"/>
    <w:multiLevelType w:val="hybridMultilevel"/>
    <w:tmpl w:val="69FC4DC0"/>
    <w:lvl w:ilvl="0" w:tplc="08090001">
      <w:start w:val="1"/>
      <w:numFmt w:val="bullet"/>
      <w:lvlText w:val=""/>
      <w:lvlJc w:val="left"/>
      <w:pPr>
        <w:ind w:left="1050" w:hanging="360"/>
      </w:pPr>
      <w:rPr>
        <w:rFonts w:ascii="Symbol" w:hAnsi="Symbol" w:hint="default"/>
      </w:rPr>
    </w:lvl>
    <w:lvl w:ilvl="1" w:tplc="08090003">
      <w:start w:val="1"/>
      <w:numFmt w:val="bullet"/>
      <w:lvlText w:val="o"/>
      <w:lvlJc w:val="left"/>
      <w:pPr>
        <w:ind w:left="1770" w:hanging="360"/>
      </w:pPr>
      <w:rPr>
        <w:rFonts w:ascii="Courier New" w:hAnsi="Courier New" w:cs="Courier New" w:hint="default"/>
      </w:rPr>
    </w:lvl>
    <w:lvl w:ilvl="2" w:tplc="08090005">
      <w:start w:val="1"/>
      <w:numFmt w:val="bullet"/>
      <w:lvlText w:val=""/>
      <w:lvlJc w:val="left"/>
      <w:pPr>
        <w:ind w:left="2490" w:hanging="360"/>
      </w:pPr>
      <w:rPr>
        <w:rFonts w:ascii="Wingdings" w:hAnsi="Wingdings" w:hint="default"/>
      </w:rPr>
    </w:lvl>
    <w:lvl w:ilvl="3" w:tplc="08090001">
      <w:start w:val="1"/>
      <w:numFmt w:val="bullet"/>
      <w:lvlText w:val=""/>
      <w:lvlJc w:val="left"/>
      <w:pPr>
        <w:ind w:left="3210" w:hanging="360"/>
      </w:pPr>
      <w:rPr>
        <w:rFonts w:ascii="Symbol" w:hAnsi="Symbol" w:hint="default"/>
      </w:rPr>
    </w:lvl>
    <w:lvl w:ilvl="4" w:tplc="08090003">
      <w:start w:val="1"/>
      <w:numFmt w:val="bullet"/>
      <w:lvlText w:val="o"/>
      <w:lvlJc w:val="left"/>
      <w:pPr>
        <w:ind w:left="3930" w:hanging="360"/>
      </w:pPr>
      <w:rPr>
        <w:rFonts w:ascii="Courier New" w:hAnsi="Courier New" w:cs="Courier New" w:hint="default"/>
      </w:rPr>
    </w:lvl>
    <w:lvl w:ilvl="5" w:tplc="08090005">
      <w:start w:val="1"/>
      <w:numFmt w:val="bullet"/>
      <w:lvlText w:val=""/>
      <w:lvlJc w:val="left"/>
      <w:pPr>
        <w:ind w:left="4650" w:hanging="360"/>
      </w:pPr>
      <w:rPr>
        <w:rFonts w:ascii="Wingdings" w:hAnsi="Wingdings" w:hint="default"/>
      </w:rPr>
    </w:lvl>
    <w:lvl w:ilvl="6" w:tplc="08090001">
      <w:start w:val="1"/>
      <w:numFmt w:val="bullet"/>
      <w:lvlText w:val=""/>
      <w:lvlJc w:val="left"/>
      <w:pPr>
        <w:ind w:left="5370" w:hanging="360"/>
      </w:pPr>
      <w:rPr>
        <w:rFonts w:ascii="Symbol" w:hAnsi="Symbol" w:hint="default"/>
      </w:rPr>
    </w:lvl>
    <w:lvl w:ilvl="7" w:tplc="08090003">
      <w:start w:val="1"/>
      <w:numFmt w:val="bullet"/>
      <w:lvlText w:val="o"/>
      <w:lvlJc w:val="left"/>
      <w:pPr>
        <w:ind w:left="6090" w:hanging="360"/>
      </w:pPr>
      <w:rPr>
        <w:rFonts w:ascii="Courier New" w:hAnsi="Courier New" w:cs="Courier New" w:hint="default"/>
      </w:rPr>
    </w:lvl>
    <w:lvl w:ilvl="8" w:tplc="08090005">
      <w:start w:val="1"/>
      <w:numFmt w:val="bullet"/>
      <w:lvlText w:val=""/>
      <w:lvlJc w:val="left"/>
      <w:pPr>
        <w:ind w:left="6810" w:hanging="360"/>
      </w:pPr>
      <w:rPr>
        <w:rFonts w:ascii="Wingdings" w:hAnsi="Wingdings" w:hint="default"/>
      </w:rPr>
    </w:lvl>
  </w:abstractNum>
  <w:abstractNum w:abstractNumId="8"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9" w15:restartNumberingAfterBreak="0">
    <w:nsid w:val="0789363C"/>
    <w:multiLevelType w:val="multilevel"/>
    <w:tmpl w:val="C856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9221B35"/>
    <w:multiLevelType w:val="hybridMultilevel"/>
    <w:tmpl w:val="7A3CC39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09471874"/>
    <w:multiLevelType w:val="multilevel"/>
    <w:tmpl w:val="BEB49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97F724C"/>
    <w:multiLevelType w:val="multilevel"/>
    <w:tmpl w:val="6132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9AC4E78"/>
    <w:multiLevelType w:val="multilevel"/>
    <w:tmpl w:val="34EA6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B1132A7"/>
    <w:multiLevelType w:val="hybridMultilevel"/>
    <w:tmpl w:val="F54CF97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0E0E6644"/>
    <w:multiLevelType w:val="multilevel"/>
    <w:tmpl w:val="23EA2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30B3C75"/>
    <w:multiLevelType w:val="multilevel"/>
    <w:tmpl w:val="27FEC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41821CF"/>
    <w:multiLevelType w:val="multilevel"/>
    <w:tmpl w:val="5B24E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4AB1D77"/>
    <w:multiLevelType w:val="multilevel"/>
    <w:tmpl w:val="3BD6D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4C3315E"/>
    <w:multiLevelType w:val="hybridMultilevel"/>
    <w:tmpl w:val="2DEAD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5616A78"/>
    <w:multiLevelType w:val="hybridMultilevel"/>
    <w:tmpl w:val="B73618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7455D95"/>
    <w:multiLevelType w:val="hybridMultilevel"/>
    <w:tmpl w:val="D71E2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83E41D4"/>
    <w:multiLevelType w:val="multilevel"/>
    <w:tmpl w:val="239A3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004340"/>
    <w:multiLevelType w:val="multilevel"/>
    <w:tmpl w:val="426ED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9CF5819"/>
    <w:multiLevelType w:val="multilevel"/>
    <w:tmpl w:val="E6BA0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A1F484F"/>
    <w:multiLevelType w:val="multilevel"/>
    <w:tmpl w:val="6AC23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1AB724F9"/>
    <w:multiLevelType w:val="hybridMultilevel"/>
    <w:tmpl w:val="263AD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1B443EC5"/>
    <w:multiLevelType w:val="hybridMultilevel"/>
    <w:tmpl w:val="8BBC30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1BD33423"/>
    <w:multiLevelType w:val="hybridMultilevel"/>
    <w:tmpl w:val="C63EE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1F692630"/>
    <w:multiLevelType w:val="hybridMultilevel"/>
    <w:tmpl w:val="688644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20256794"/>
    <w:multiLevelType w:val="multilevel"/>
    <w:tmpl w:val="AF806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0674CD1"/>
    <w:multiLevelType w:val="multilevel"/>
    <w:tmpl w:val="6BE80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120066E"/>
    <w:multiLevelType w:val="hybridMultilevel"/>
    <w:tmpl w:val="8C26F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21990FDE"/>
    <w:multiLevelType w:val="hybridMultilevel"/>
    <w:tmpl w:val="BB5E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4580085"/>
    <w:multiLevelType w:val="multilevel"/>
    <w:tmpl w:val="3DBCC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45E6E41"/>
    <w:multiLevelType w:val="multilevel"/>
    <w:tmpl w:val="EF764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4737BEB"/>
    <w:multiLevelType w:val="hybridMultilevel"/>
    <w:tmpl w:val="73608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25573C18"/>
    <w:multiLevelType w:val="multilevel"/>
    <w:tmpl w:val="48648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7906B53"/>
    <w:multiLevelType w:val="multilevel"/>
    <w:tmpl w:val="2F2C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9AC6C6F"/>
    <w:multiLevelType w:val="multilevel"/>
    <w:tmpl w:val="7144C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BF1067A"/>
    <w:multiLevelType w:val="hybridMultilevel"/>
    <w:tmpl w:val="8D7C4C26"/>
    <w:lvl w:ilvl="0" w:tplc="AD9E2808">
      <w:start w:val="1"/>
      <w:numFmt w:val="upp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2C3A6B31"/>
    <w:multiLevelType w:val="multilevel"/>
    <w:tmpl w:val="12F80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C40401E"/>
    <w:multiLevelType w:val="multilevel"/>
    <w:tmpl w:val="E16ED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C9A5697"/>
    <w:multiLevelType w:val="multilevel"/>
    <w:tmpl w:val="53B80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EAD64DE"/>
    <w:multiLevelType w:val="multilevel"/>
    <w:tmpl w:val="D8EC6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FF509EA"/>
    <w:multiLevelType w:val="hybridMultilevel"/>
    <w:tmpl w:val="5A0049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3085265D"/>
    <w:multiLevelType w:val="multilevel"/>
    <w:tmpl w:val="E09A1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0BD7AA7"/>
    <w:multiLevelType w:val="hybridMultilevel"/>
    <w:tmpl w:val="51326AD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30CA61B9"/>
    <w:multiLevelType w:val="hybridMultilevel"/>
    <w:tmpl w:val="6ECE6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31B36553"/>
    <w:multiLevelType w:val="multilevel"/>
    <w:tmpl w:val="D23E4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1D20EA6"/>
    <w:multiLevelType w:val="hybridMultilevel"/>
    <w:tmpl w:val="3E34CF7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3407362F"/>
    <w:multiLevelType w:val="hybridMultilevel"/>
    <w:tmpl w:val="7694AEDA"/>
    <w:lvl w:ilvl="0" w:tplc="90CC814E">
      <w:start w:val="3"/>
      <w:numFmt w:val="decimal"/>
      <w:lvlText w:val="%1."/>
      <w:lvlJc w:val="left"/>
      <w:pPr>
        <w:ind w:left="360" w:hanging="360"/>
      </w:pPr>
      <w:rPr>
        <w:rFonts w:hint="default"/>
        <w:b/>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3" w15:restartNumberingAfterBreak="0">
    <w:nsid w:val="349B6E03"/>
    <w:multiLevelType w:val="multilevel"/>
    <w:tmpl w:val="549E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4FF45AF"/>
    <w:multiLevelType w:val="multilevel"/>
    <w:tmpl w:val="0212B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66C04C3"/>
    <w:multiLevelType w:val="hybridMultilevel"/>
    <w:tmpl w:val="9EF0C476"/>
    <w:lvl w:ilvl="0" w:tplc="6B7E410C">
      <w:start w:val="1"/>
      <w:numFmt w:val="bullet"/>
      <w:lvlText w:val="•"/>
      <w:lvlJc w:val="left"/>
      <w:pPr>
        <w:tabs>
          <w:tab w:val="num" w:pos="720"/>
        </w:tabs>
        <w:ind w:left="720" w:hanging="360"/>
      </w:pPr>
      <w:rPr>
        <w:rFonts w:ascii="Arial" w:hAnsi="Arial" w:hint="default"/>
      </w:rPr>
    </w:lvl>
    <w:lvl w:ilvl="1" w:tplc="EC9CD190" w:tentative="1">
      <w:start w:val="1"/>
      <w:numFmt w:val="bullet"/>
      <w:lvlText w:val="•"/>
      <w:lvlJc w:val="left"/>
      <w:pPr>
        <w:tabs>
          <w:tab w:val="num" w:pos="1440"/>
        </w:tabs>
        <w:ind w:left="1440" w:hanging="360"/>
      </w:pPr>
      <w:rPr>
        <w:rFonts w:ascii="Arial" w:hAnsi="Arial" w:hint="default"/>
      </w:rPr>
    </w:lvl>
    <w:lvl w:ilvl="2" w:tplc="087E3860" w:tentative="1">
      <w:start w:val="1"/>
      <w:numFmt w:val="bullet"/>
      <w:lvlText w:val="•"/>
      <w:lvlJc w:val="left"/>
      <w:pPr>
        <w:tabs>
          <w:tab w:val="num" w:pos="2160"/>
        </w:tabs>
        <w:ind w:left="2160" w:hanging="360"/>
      </w:pPr>
      <w:rPr>
        <w:rFonts w:ascii="Arial" w:hAnsi="Arial" w:hint="default"/>
      </w:rPr>
    </w:lvl>
    <w:lvl w:ilvl="3" w:tplc="3ACE8160" w:tentative="1">
      <w:start w:val="1"/>
      <w:numFmt w:val="bullet"/>
      <w:lvlText w:val="•"/>
      <w:lvlJc w:val="left"/>
      <w:pPr>
        <w:tabs>
          <w:tab w:val="num" w:pos="2880"/>
        </w:tabs>
        <w:ind w:left="2880" w:hanging="360"/>
      </w:pPr>
      <w:rPr>
        <w:rFonts w:ascii="Arial" w:hAnsi="Arial" w:hint="default"/>
      </w:rPr>
    </w:lvl>
    <w:lvl w:ilvl="4" w:tplc="A994FEF6" w:tentative="1">
      <w:start w:val="1"/>
      <w:numFmt w:val="bullet"/>
      <w:lvlText w:val="•"/>
      <w:lvlJc w:val="left"/>
      <w:pPr>
        <w:tabs>
          <w:tab w:val="num" w:pos="3600"/>
        </w:tabs>
        <w:ind w:left="3600" w:hanging="360"/>
      </w:pPr>
      <w:rPr>
        <w:rFonts w:ascii="Arial" w:hAnsi="Arial" w:hint="default"/>
      </w:rPr>
    </w:lvl>
    <w:lvl w:ilvl="5" w:tplc="DBA4A6C4" w:tentative="1">
      <w:start w:val="1"/>
      <w:numFmt w:val="bullet"/>
      <w:lvlText w:val="•"/>
      <w:lvlJc w:val="left"/>
      <w:pPr>
        <w:tabs>
          <w:tab w:val="num" w:pos="4320"/>
        </w:tabs>
        <w:ind w:left="4320" w:hanging="360"/>
      </w:pPr>
      <w:rPr>
        <w:rFonts w:ascii="Arial" w:hAnsi="Arial" w:hint="default"/>
      </w:rPr>
    </w:lvl>
    <w:lvl w:ilvl="6" w:tplc="5BF0A206" w:tentative="1">
      <w:start w:val="1"/>
      <w:numFmt w:val="bullet"/>
      <w:lvlText w:val="•"/>
      <w:lvlJc w:val="left"/>
      <w:pPr>
        <w:tabs>
          <w:tab w:val="num" w:pos="5040"/>
        </w:tabs>
        <w:ind w:left="5040" w:hanging="360"/>
      </w:pPr>
      <w:rPr>
        <w:rFonts w:ascii="Arial" w:hAnsi="Arial" w:hint="default"/>
      </w:rPr>
    </w:lvl>
    <w:lvl w:ilvl="7" w:tplc="67DCE768" w:tentative="1">
      <w:start w:val="1"/>
      <w:numFmt w:val="bullet"/>
      <w:lvlText w:val="•"/>
      <w:lvlJc w:val="left"/>
      <w:pPr>
        <w:tabs>
          <w:tab w:val="num" w:pos="5760"/>
        </w:tabs>
        <w:ind w:left="5760" w:hanging="360"/>
      </w:pPr>
      <w:rPr>
        <w:rFonts w:ascii="Arial" w:hAnsi="Arial" w:hint="default"/>
      </w:rPr>
    </w:lvl>
    <w:lvl w:ilvl="8" w:tplc="1CE28F64" w:tentative="1">
      <w:start w:val="1"/>
      <w:numFmt w:val="bullet"/>
      <w:lvlText w:val="•"/>
      <w:lvlJc w:val="left"/>
      <w:pPr>
        <w:tabs>
          <w:tab w:val="num" w:pos="6480"/>
        </w:tabs>
        <w:ind w:left="6480" w:hanging="360"/>
      </w:pPr>
      <w:rPr>
        <w:rFonts w:ascii="Arial" w:hAnsi="Arial" w:hint="default"/>
      </w:rPr>
    </w:lvl>
  </w:abstractNum>
  <w:abstractNum w:abstractNumId="56" w15:restartNumberingAfterBreak="0">
    <w:nsid w:val="383A3D1A"/>
    <w:multiLevelType w:val="hybridMultilevel"/>
    <w:tmpl w:val="AD4AA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38B41ACC"/>
    <w:multiLevelType w:val="hybridMultilevel"/>
    <w:tmpl w:val="918642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39B178C4"/>
    <w:multiLevelType w:val="multilevel"/>
    <w:tmpl w:val="AE324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3B1A1170"/>
    <w:multiLevelType w:val="hybridMultilevel"/>
    <w:tmpl w:val="35FA429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0" w15:restartNumberingAfterBreak="0">
    <w:nsid w:val="3B4C0842"/>
    <w:multiLevelType w:val="hybridMultilevel"/>
    <w:tmpl w:val="0D0AA02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1" w15:restartNumberingAfterBreak="0">
    <w:nsid w:val="3DA40679"/>
    <w:multiLevelType w:val="multilevel"/>
    <w:tmpl w:val="FAE26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41EA7500"/>
    <w:multiLevelType w:val="multilevel"/>
    <w:tmpl w:val="8D7C4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3670C4C"/>
    <w:multiLevelType w:val="multilevel"/>
    <w:tmpl w:val="E0CC8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38E6AEA"/>
    <w:multiLevelType w:val="multilevel"/>
    <w:tmpl w:val="E8CED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5F75C45"/>
    <w:multiLevelType w:val="multilevel"/>
    <w:tmpl w:val="1D7A2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73A4CEB"/>
    <w:multiLevelType w:val="hybridMultilevel"/>
    <w:tmpl w:val="5372C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47E42D34"/>
    <w:multiLevelType w:val="hybridMultilevel"/>
    <w:tmpl w:val="057E2CC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9" w15:restartNumberingAfterBreak="0">
    <w:nsid w:val="487B5D6B"/>
    <w:multiLevelType w:val="hybridMultilevel"/>
    <w:tmpl w:val="509244C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0" w15:restartNumberingAfterBreak="0">
    <w:nsid w:val="4DD77003"/>
    <w:multiLevelType w:val="multilevel"/>
    <w:tmpl w:val="C9FAF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EA1294E"/>
    <w:multiLevelType w:val="multilevel"/>
    <w:tmpl w:val="B62C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F344991"/>
    <w:multiLevelType w:val="hybridMultilevel"/>
    <w:tmpl w:val="F7307E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3" w15:restartNumberingAfterBreak="0">
    <w:nsid w:val="50336E82"/>
    <w:multiLevelType w:val="multilevel"/>
    <w:tmpl w:val="60CCD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0812B46"/>
    <w:multiLevelType w:val="multilevel"/>
    <w:tmpl w:val="C060C1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50A173FC"/>
    <w:multiLevelType w:val="hybridMultilevel"/>
    <w:tmpl w:val="DAA21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6" w15:restartNumberingAfterBreak="0">
    <w:nsid w:val="51D238C8"/>
    <w:multiLevelType w:val="hybridMultilevel"/>
    <w:tmpl w:val="3962C52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7" w15:restartNumberingAfterBreak="0">
    <w:nsid w:val="53702C39"/>
    <w:multiLevelType w:val="multilevel"/>
    <w:tmpl w:val="79203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3EC4362"/>
    <w:multiLevelType w:val="multilevel"/>
    <w:tmpl w:val="95D8E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58C308D"/>
    <w:multiLevelType w:val="multilevel"/>
    <w:tmpl w:val="FA04249C"/>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0" w15:restartNumberingAfterBreak="0">
    <w:nsid w:val="55EF6838"/>
    <w:multiLevelType w:val="multilevel"/>
    <w:tmpl w:val="0B7E4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7B5755B"/>
    <w:multiLevelType w:val="multilevel"/>
    <w:tmpl w:val="C8C83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9E73414"/>
    <w:multiLevelType w:val="multilevel"/>
    <w:tmpl w:val="4EA20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5A9D0778"/>
    <w:multiLevelType w:val="hybridMultilevel"/>
    <w:tmpl w:val="8C2CE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4" w15:restartNumberingAfterBreak="0">
    <w:nsid w:val="5AF403D7"/>
    <w:multiLevelType w:val="multilevel"/>
    <w:tmpl w:val="1FD23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CB60BD0"/>
    <w:multiLevelType w:val="multilevel"/>
    <w:tmpl w:val="CD7CA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F3F4A1D"/>
    <w:multiLevelType w:val="multilevel"/>
    <w:tmpl w:val="FF425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FC565C7"/>
    <w:multiLevelType w:val="multilevel"/>
    <w:tmpl w:val="A72E3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0403397"/>
    <w:multiLevelType w:val="multilevel"/>
    <w:tmpl w:val="DCCAC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0CA7BB2"/>
    <w:multiLevelType w:val="multilevel"/>
    <w:tmpl w:val="673A8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2052B8F"/>
    <w:multiLevelType w:val="multilevel"/>
    <w:tmpl w:val="8B549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626D42FF"/>
    <w:multiLevelType w:val="hybridMultilevel"/>
    <w:tmpl w:val="E6CA5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64415479"/>
    <w:multiLevelType w:val="multilevel"/>
    <w:tmpl w:val="C422C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4431CD1"/>
    <w:multiLevelType w:val="hybridMultilevel"/>
    <w:tmpl w:val="67C8BE3A"/>
    <w:lvl w:ilvl="0" w:tplc="34E0F2B6">
      <w:start w:val="1"/>
      <w:numFmt w:val="bullet"/>
      <w:lvlText w:val="•"/>
      <w:lvlJc w:val="left"/>
      <w:pPr>
        <w:tabs>
          <w:tab w:val="num" w:pos="720"/>
        </w:tabs>
        <w:ind w:left="720" w:hanging="360"/>
      </w:pPr>
      <w:rPr>
        <w:rFonts w:ascii="Arial" w:hAnsi="Arial" w:hint="default"/>
      </w:rPr>
    </w:lvl>
    <w:lvl w:ilvl="1" w:tplc="F23EDAD2" w:tentative="1">
      <w:start w:val="1"/>
      <w:numFmt w:val="bullet"/>
      <w:lvlText w:val="•"/>
      <w:lvlJc w:val="left"/>
      <w:pPr>
        <w:tabs>
          <w:tab w:val="num" w:pos="1440"/>
        </w:tabs>
        <w:ind w:left="1440" w:hanging="360"/>
      </w:pPr>
      <w:rPr>
        <w:rFonts w:ascii="Arial" w:hAnsi="Arial" w:hint="default"/>
      </w:rPr>
    </w:lvl>
    <w:lvl w:ilvl="2" w:tplc="6C683D2C" w:tentative="1">
      <w:start w:val="1"/>
      <w:numFmt w:val="bullet"/>
      <w:lvlText w:val="•"/>
      <w:lvlJc w:val="left"/>
      <w:pPr>
        <w:tabs>
          <w:tab w:val="num" w:pos="2160"/>
        </w:tabs>
        <w:ind w:left="2160" w:hanging="360"/>
      </w:pPr>
      <w:rPr>
        <w:rFonts w:ascii="Arial" w:hAnsi="Arial" w:hint="default"/>
      </w:rPr>
    </w:lvl>
    <w:lvl w:ilvl="3" w:tplc="3A505EFA" w:tentative="1">
      <w:start w:val="1"/>
      <w:numFmt w:val="bullet"/>
      <w:lvlText w:val="•"/>
      <w:lvlJc w:val="left"/>
      <w:pPr>
        <w:tabs>
          <w:tab w:val="num" w:pos="2880"/>
        </w:tabs>
        <w:ind w:left="2880" w:hanging="360"/>
      </w:pPr>
      <w:rPr>
        <w:rFonts w:ascii="Arial" w:hAnsi="Arial" w:hint="default"/>
      </w:rPr>
    </w:lvl>
    <w:lvl w:ilvl="4" w:tplc="09F68D1A" w:tentative="1">
      <w:start w:val="1"/>
      <w:numFmt w:val="bullet"/>
      <w:lvlText w:val="•"/>
      <w:lvlJc w:val="left"/>
      <w:pPr>
        <w:tabs>
          <w:tab w:val="num" w:pos="3600"/>
        </w:tabs>
        <w:ind w:left="3600" w:hanging="360"/>
      </w:pPr>
      <w:rPr>
        <w:rFonts w:ascii="Arial" w:hAnsi="Arial" w:hint="default"/>
      </w:rPr>
    </w:lvl>
    <w:lvl w:ilvl="5" w:tplc="C13C94F8" w:tentative="1">
      <w:start w:val="1"/>
      <w:numFmt w:val="bullet"/>
      <w:lvlText w:val="•"/>
      <w:lvlJc w:val="left"/>
      <w:pPr>
        <w:tabs>
          <w:tab w:val="num" w:pos="4320"/>
        </w:tabs>
        <w:ind w:left="4320" w:hanging="360"/>
      </w:pPr>
      <w:rPr>
        <w:rFonts w:ascii="Arial" w:hAnsi="Arial" w:hint="default"/>
      </w:rPr>
    </w:lvl>
    <w:lvl w:ilvl="6" w:tplc="9056BC6A" w:tentative="1">
      <w:start w:val="1"/>
      <w:numFmt w:val="bullet"/>
      <w:lvlText w:val="•"/>
      <w:lvlJc w:val="left"/>
      <w:pPr>
        <w:tabs>
          <w:tab w:val="num" w:pos="5040"/>
        </w:tabs>
        <w:ind w:left="5040" w:hanging="360"/>
      </w:pPr>
      <w:rPr>
        <w:rFonts w:ascii="Arial" w:hAnsi="Arial" w:hint="default"/>
      </w:rPr>
    </w:lvl>
    <w:lvl w:ilvl="7" w:tplc="E290591E" w:tentative="1">
      <w:start w:val="1"/>
      <w:numFmt w:val="bullet"/>
      <w:lvlText w:val="•"/>
      <w:lvlJc w:val="left"/>
      <w:pPr>
        <w:tabs>
          <w:tab w:val="num" w:pos="5760"/>
        </w:tabs>
        <w:ind w:left="5760" w:hanging="360"/>
      </w:pPr>
      <w:rPr>
        <w:rFonts w:ascii="Arial" w:hAnsi="Arial" w:hint="default"/>
      </w:rPr>
    </w:lvl>
    <w:lvl w:ilvl="8" w:tplc="261454F2" w:tentative="1">
      <w:start w:val="1"/>
      <w:numFmt w:val="bullet"/>
      <w:lvlText w:val="•"/>
      <w:lvlJc w:val="left"/>
      <w:pPr>
        <w:tabs>
          <w:tab w:val="num" w:pos="6480"/>
        </w:tabs>
        <w:ind w:left="6480" w:hanging="360"/>
      </w:pPr>
      <w:rPr>
        <w:rFonts w:ascii="Arial" w:hAnsi="Arial" w:hint="default"/>
      </w:rPr>
    </w:lvl>
  </w:abstractNum>
  <w:abstractNum w:abstractNumId="94"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5" w15:restartNumberingAfterBreak="0">
    <w:nsid w:val="663A123A"/>
    <w:multiLevelType w:val="hybridMultilevel"/>
    <w:tmpl w:val="7A3CC3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6" w15:restartNumberingAfterBreak="0">
    <w:nsid w:val="669821F1"/>
    <w:multiLevelType w:val="multilevel"/>
    <w:tmpl w:val="AEA6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7DF2DD1"/>
    <w:multiLevelType w:val="multilevel"/>
    <w:tmpl w:val="CA909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888020C"/>
    <w:multiLevelType w:val="hybridMultilevel"/>
    <w:tmpl w:val="4E4AE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AFD351C"/>
    <w:multiLevelType w:val="hybridMultilevel"/>
    <w:tmpl w:val="77AA1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6BA73CA7"/>
    <w:multiLevelType w:val="hybridMultilevel"/>
    <w:tmpl w:val="3962C52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2" w15:restartNumberingAfterBreak="0">
    <w:nsid w:val="6BD2185E"/>
    <w:multiLevelType w:val="multilevel"/>
    <w:tmpl w:val="F8987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E243351"/>
    <w:multiLevelType w:val="multilevel"/>
    <w:tmpl w:val="B3B84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6E642E85"/>
    <w:multiLevelType w:val="hybridMultilevel"/>
    <w:tmpl w:val="418AD6E6"/>
    <w:lvl w:ilvl="0" w:tplc="9FB6B488">
      <w:start w:val="1"/>
      <w:numFmt w:val="decimal"/>
      <w:lvlText w:val="%1."/>
      <w:lvlJc w:val="left"/>
      <w:pPr>
        <w:ind w:left="720" w:hanging="360"/>
      </w:pPr>
      <w:rPr>
        <w:rFonts w:eastAsia="Arial Nova"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5" w15:restartNumberingAfterBreak="0">
    <w:nsid w:val="6F8054F3"/>
    <w:multiLevelType w:val="hybridMultilevel"/>
    <w:tmpl w:val="68CA9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6" w15:restartNumberingAfterBreak="0">
    <w:nsid w:val="6F92083A"/>
    <w:multiLevelType w:val="hybridMultilevel"/>
    <w:tmpl w:val="7242D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72D102B2"/>
    <w:multiLevelType w:val="hybridMultilevel"/>
    <w:tmpl w:val="3C1EC3F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8" w15:restartNumberingAfterBreak="0">
    <w:nsid w:val="73026774"/>
    <w:multiLevelType w:val="multilevel"/>
    <w:tmpl w:val="1B6A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48F749B"/>
    <w:multiLevelType w:val="multilevel"/>
    <w:tmpl w:val="8440F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4BF06AD"/>
    <w:multiLevelType w:val="hybridMultilevel"/>
    <w:tmpl w:val="AD1A6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751323FD"/>
    <w:multiLevelType w:val="multilevel"/>
    <w:tmpl w:val="B6F20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54F30DC"/>
    <w:multiLevelType w:val="hybridMultilevel"/>
    <w:tmpl w:val="6756E0D6"/>
    <w:lvl w:ilvl="0" w:tplc="4992C54C">
      <w:start w:val="1"/>
      <w:numFmt w:val="decimal"/>
      <w:lvlText w:val="%1."/>
      <w:lvlJc w:val="left"/>
      <w:pPr>
        <w:ind w:left="360" w:hanging="360"/>
      </w:pPr>
      <w:rPr>
        <w:rFonts w:hint="default"/>
        <w:b/>
      </w:rPr>
    </w:lvl>
    <w:lvl w:ilvl="1" w:tplc="04090019" w:tentative="1">
      <w:start w:val="1"/>
      <w:numFmt w:val="lowerLetter"/>
      <w:lvlText w:val="%2."/>
      <w:lvlJc w:val="left"/>
      <w:pPr>
        <w:ind w:left="1152" w:hanging="360"/>
      </w:pPr>
    </w:lvl>
    <w:lvl w:ilvl="2" w:tplc="0409001B" w:tentative="1">
      <w:start w:val="1"/>
      <w:numFmt w:val="lowerRoman"/>
      <w:lvlText w:val="%3."/>
      <w:lvlJc w:val="right"/>
      <w:pPr>
        <w:ind w:left="1872" w:hanging="180"/>
      </w:pPr>
    </w:lvl>
    <w:lvl w:ilvl="3" w:tplc="0409000F" w:tentative="1">
      <w:start w:val="1"/>
      <w:numFmt w:val="decimal"/>
      <w:lvlText w:val="%4."/>
      <w:lvlJc w:val="left"/>
      <w:pPr>
        <w:ind w:left="2592" w:hanging="360"/>
      </w:pPr>
    </w:lvl>
    <w:lvl w:ilvl="4" w:tplc="04090019" w:tentative="1">
      <w:start w:val="1"/>
      <w:numFmt w:val="lowerLetter"/>
      <w:lvlText w:val="%5."/>
      <w:lvlJc w:val="left"/>
      <w:pPr>
        <w:ind w:left="3312" w:hanging="360"/>
      </w:pPr>
    </w:lvl>
    <w:lvl w:ilvl="5" w:tplc="0409001B" w:tentative="1">
      <w:start w:val="1"/>
      <w:numFmt w:val="lowerRoman"/>
      <w:lvlText w:val="%6."/>
      <w:lvlJc w:val="right"/>
      <w:pPr>
        <w:ind w:left="4032" w:hanging="180"/>
      </w:pPr>
    </w:lvl>
    <w:lvl w:ilvl="6" w:tplc="0409000F" w:tentative="1">
      <w:start w:val="1"/>
      <w:numFmt w:val="decimal"/>
      <w:lvlText w:val="%7."/>
      <w:lvlJc w:val="left"/>
      <w:pPr>
        <w:ind w:left="4752" w:hanging="360"/>
      </w:pPr>
    </w:lvl>
    <w:lvl w:ilvl="7" w:tplc="04090019" w:tentative="1">
      <w:start w:val="1"/>
      <w:numFmt w:val="lowerLetter"/>
      <w:lvlText w:val="%8."/>
      <w:lvlJc w:val="left"/>
      <w:pPr>
        <w:ind w:left="5472" w:hanging="360"/>
      </w:pPr>
    </w:lvl>
    <w:lvl w:ilvl="8" w:tplc="0409001B" w:tentative="1">
      <w:start w:val="1"/>
      <w:numFmt w:val="lowerRoman"/>
      <w:lvlText w:val="%9."/>
      <w:lvlJc w:val="right"/>
      <w:pPr>
        <w:ind w:left="6192" w:hanging="180"/>
      </w:pPr>
    </w:lvl>
  </w:abstractNum>
  <w:abstractNum w:abstractNumId="113" w15:restartNumberingAfterBreak="0">
    <w:nsid w:val="75840C38"/>
    <w:multiLevelType w:val="multilevel"/>
    <w:tmpl w:val="D41CD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76821A6C"/>
    <w:multiLevelType w:val="multilevel"/>
    <w:tmpl w:val="B8E82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76B427E1"/>
    <w:multiLevelType w:val="hybridMultilevel"/>
    <w:tmpl w:val="40008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15:restartNumberingAfterBreak="0">
    <w:nsid w:val="78BA3CB7"/>
    <w:multiLevelType w:val="hybridMultilevel"/>
    <w:tmpl w:val="EC1EB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7" w15:restartNumberingAfterBreak="0">
    <w:nsid w:val="7A001BF0"/>
    <w:multiLevelType w:val="multilevel"/>
    <w:tmpl w:val="D8EA4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7AD92389"/>
    <w:multiLevelType w:val="hybridMultilevel"/>
    <w:tmpl w:val="D0BA0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DDF3286"/>
    <w:multiLevelType w:val="multilevel"/>
    <w:tmpl w:val="1B66A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6124391">
    <w:abstractNumId w:val="46"/>
  </w:num>
  <w:num w:numId="2" w16cid:durableId="1874272292">
    <w:abstractNumId w:val="48"/>
  </w:num>
  <w:num w:numId="3" w16cid:durableId="1438259800">
    <w:abstractNumId w:val="4"/>
  </w:num>
  <w:num w:numId="4" w16cid:durableId="1325550751">
    <w:abstractNumId w:val="12"/>
  </w:num>
  <w:num w:numId="5" w16cid:durableId="210505505">
    <w:abstractNumId w:val="64"/>
  </w:num>
  <w:num w:numId="6" w16cid:durableId="79330795">
    <w:abstractNumId w:val="6"/>
  </w:num>
  <w:num w:numId="7" w16cid:durableId="826744057">
    <w:abstractNumId w:val="56"/>
  </w:num>
  <w:num w:numId="8" w16cid:durableId="598410110">
    <w:abstractNumId w:val="112"/>
  </w:num>
  <w:num w:numId="9" w16cid:durableId="1260917882">
    <w:abstractNumId w:val="79"/>
  </w:num>
  <w:num w:numId="10" w16cid:durableId="23336598">
    <w:abstractNumId w:val="52"/>
  </w:num>
  <w:num w:numId="11" w16cid:durableId="137384206">
    <w:abstractNumId w:val="69"/>
  </w:num>
  <w:num w:numId="12" w16cid:durableId="356272163">
    <w:abstractNumId w:val="73"/>
  </w:num>
  <w:num w:numId="13" w16cid:durableId="1688487384">
    <w:abstractNumId w:val="57"/>
  </w:num>
  <w:num w:numId="14" w16cid:durableId="975178635">
    <w:abstractNumId w:val="116"/>
  </w:num>
  <w:num w:numId="15" w16cid:durableId="1527864947">
    <w:abstractNumId w:val="33"/>
  </w:num>
  <w:num w:numId="16" w16cid:durableId="1132670713">
    <w:abstractNumId w:val="72"/>
  </w:num>
  <w:num w:numId="17" w16cid:durableId="943534632">
    <w:abstractNumId w:val="108"/>
  </w:num>
  <w:num w:numId="18" w16cid:durableId="919678227">
    <w:abstractNumId w:val="105"/>
  </w:num>
  <w:num w:numId="19" w16cid:durableId="1522354558">
    <w:abstractNumId w:val="41"/>
  </w:num>
  <w:num w:numId="20" w16cid:durableId="219680645">
    <w:abstractNumId w:val="5"/>
  </w:num>
  <w:num w:numId="21" w16cid:durableId="28651877">
    <w:abstractNumId w:val="30"/>
  </w:num>
  <w:num w:numId="22" w16cid:durableId="509105547">
    <w:abstractNumId w:val="107"/>
  </w:num>
  <w:num w:numId="23" w16cid:durableId="864976241">
    <w:abstractNumId w:val="60"/>
  </w:num>
  <w:num w:numId="24" w16cid:durableId="1561134992">
    <w:abstractNumId w:val="75"/>
  </w:num>
  <w:num w:numId="25" w16cid:durableId="54550057">
    <w:abstractNumId w:val="81"/>
  </w:num>
  <w:num w:numId="26" w16cid:durableId="1045250576">
    <w:abstractNumId w:val="120"/>
  </w:num>
  <w:num w:numId="27" w16cid:durableId="1319965376">
    <w:abstractNumId w:val="61"/>
  </w:num>
  <w:num w:numId="28" w16cid:durableId="127672210">
    <w:abstractNumId w:val="114"/>
  </w:num>
  <w:num w:numId="29" w16cid:durableId="659388805">
    <w:abstractNumId w:val="93"/>
  </w:num>
  <w:num w:numId="30" w16cid:durableId="949118505">
    <w:abstractNumId w:val="55"/>
  </w:num>
  <w:num w:numId="31" w16cid:durableId="377436465">
    <w:abstractNumId w:val="20"/>
  </w:num>
  <w:num w:numId="32" w16cid:durableId="204681153">
    <w:abstractNumId w:val="111"/>
  </w:num>
  <w:num w:numId="33" w16cid:durableId="847716301">
    <w:abstractNumId w:val="43"/>
  </w:num>
  <w:num w:numId="34" w16cid:durableId="379405895">
    <w:abstractNumId w:val="39"/>
  </w:num>
  <w:num w:numId="35" w16cid:durableId="1168710969">
    <w:abstractNumId w:val="65"/>
  </w:num>
  <w:num w:numId="36" w16cid:durableId="576480959">
    <w:abstractNumId w:val="80"/>
  </w:num>
  <w:num w:numId="37" w16cid:durableId="1694115088">
    <w:abstractNumId w:val="13"/>
  </w:num>
  <w:num w:numId="38" w16cid:durableId="51734745">
    <w:abstractNumId w:val="34"/>
  </w:num>
  <w:num w:numId="39" w16cid:durableId="271598622">
    <w:abstractNumId w:val="91"/>
  </w:num>
  <w:num w:numId="40" w16cid:durableId="578561398">
    <w:abstractNumId w:val="83"/>
  </w:num>
  <w:num w:numId="41" w16cid:durableId="935939503">
    <w:abstractNumId w:val="115"/>
  </w:num>
  <w:num w:numId="42" w16cid:durableId="973945416">
    <w:abstractNumId w:val="89"/>
  </w:num>
  <w:num w:numId="43" w16cid:durableId="1355303839">
    <w:abstractNumId w:val="40"/>
  </w:num>
  <w:num w:numId="44" w16cid:durableId="2011062443">
    <w:abstractNumId w:val="78"/>
  </w:num>
  <w:num w:numId="45" w16cid:durableId="1501312382">
    <w:abstractNumId w:val="16"/>
  </w:num>
  <w:num w:numId="46" w16cid:durableId="1260455100">
    <w:abstractNumId w:val="82"/>
  </w:num>
  <w:num w:numId="47" w16cid:durableId="1634866204">
    <w:abstractNumId w:val="70"/>
  </w:num>
  <w:num w:numId="48" w16cid:durableId="1876842187">
    <w:abstractNumId w:val="45"/>
  </w:num>
  <w:num w:numId="49" w16cid:durableId="970940888">
    <w:abstractNumId w:val="106"/>
  </w:num>
  <w:num w:numId="50" w16cid:durableId="952830936">
    <w:abstractNumId w:val="19"/>
  </w:num>
  <w:num w:numId="51" w16cid:durableId="1031539582">
    <w:abstractNumId w:val="8"/>
  </w:num>
  <w:num w:numId="52" w16cid:durableId="302469109">
    <w:abstractNumId w:val="95"/>
  </w:num>
  <w:num w:numId="53" w16cid:durableId="1188176558">
    <w:abstractNumId w:val="50"/>
  </w:num>
  <w:num w:numId="54" w16cid:durableId="1469129360">
    <w:abstractNumId w:val="53"/>
  </w:num>
  <w:num w:numId="55" w16cid:durableId="2097549531">
    <w:abstractNumId w:val="23"/>
  </w:num>
  <w:num w:numId="56" w16cid:durableId="2082092618">
    <w:abstractNumId w:val="88"/>
  </w:num>
  <w:num w:numId="57" w16cid:durableId="309409943">
    <w:abstractNumId w:val="96"/>
  </w:num>
  <w:num w:numId="58" w16cid:durableId="1506556126">
    <w:abstractNumId w:val="63"/>
  </w:num>
  <w:num w:numId="59" w16cid:durableId="2098474004">
    <w:abstractNumId w:val="85"/>
  </w:num>
  <w:num w:numId="60" w16cid:durableId="2042780476">
    <w:abstractNumId w:val="47"/>
  </w:num>
  <w:num w:numId="61" w16cid:durableId="1722248469">
    <w:abstractNumId w:val="97"/>
  </w:num>
  <w:num w:numId="62" w16cid:durableId="1252740341">
    <w:abstractNumId w:val="32"/>
  </w:num>
  <w:num w:numId="63" w16cid:durableId="1862694869">
    <w:abstractNumId w:val="11"/>
  </w:num>
  <w:num w:numId="64" w16cid:durableId="1031539135">
    <w:abstractNumId w:val="113"/>
  </w:num>
  <w:num w:numId="65" w16cid:durableId="678044544">
    <w:abstractNumId w:val="2"/>
  </w:num>
  <w:num w:numId="66" w16cid:durableId="1745755226">
    <w:abstractNumId w:val="35"/>
  </w:num>
  <w:num w:numId="67" w16cid:durableId="1061245338">
    <w:abstractNumId w:val="74"/>
  </w:num>
  <w:num w:numId="68" w16cid:durableId="144467651">
    <w:abstractNumId w:val="66"/>
  </w:num>
  <w:num w:numId="69" w16cid:durableId="1062214459">
    <w:abstractNumId w:val="31"/>
  </w:num>
  <w:num w:numId="70" w16cid:durableId="466778319">
    <w:abstractNumId w:val="103"/>
  </w:num>
  <w:num w:numId="71" w16cid:durableId="2113040268">
    <w:abstractNumId w:val="7"/>
  </w:num>
  <w:num w:numId="72" w16cid:durableId="1836261785">
    <w:abstractNumId w:val="37"/>
  </w:num>
  <w:num w:numId="73" w16cid:durableId="52588589">
    <w:abstractNumId w:val="9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4" w16cid:durableId="2138061341">
    <w:abstractNumId w:val="51"/>
  </w:num>
  <w:num w:numId="75" w16cid:durableId="507141593">
    <w:abstractNumId w:val="27"/>
  </w:num>
  <w:num w:numId="76" w16cid:durableId="437799319">
    <w:abstractNumId w:val="101"/>
  </w:num>
  <w:num w:numId="77" w16cid:durableId="804079488">
    <w:abstractNumId w:val="104"/>
  </w:num>
  <w:num w:numId="78" w16cid:durableId="1416508542">
    <w:abstractNumId w:val="110"/>
  </w:num>
  <w:num w:numId="79" w16cid:durableId="557908642">
    <w:abstractNumId w:val="76"/>
  </w:num>
  <w:num w:numId="80" w16cid:durableId="615524914">
    <w:abstractNumId w:val="0"/>
  </w:num>
  <w:num w:numId="81" w16cid:durableId="522324608">
    <w:abstractNumId w:val="14"/>
  </w:num>
  <w:num w:numId="82" w16cid:durableId="1969125056">
    <w:abstractNumId w:val="118"/>
  </w:num>
  <w:num w:numId="83" w16cid:durableId="1952930112">
    <w:abstractNumId w:val="10"/>
  </w:num>
  <w:num w:numId="84" w16cid:durableId="2090687978">
    <w:abstractNumId w:val="62"/>
  </w:num>
  <w:num w:numId="85" w16cid:durableId="1913393191">
    <w:abstractNumId w:val="21"/>
  </w:num>
  <w:num w:numId="86" w16cid:durableId="1016731017">
    <w:abstractNumId w:val="99"/>
  </w:num>
  <w:num w:numId="87" w16cid:durableId="1466853792">
    <w:abstractNumId w:val="119"/>
  </w:num>
  <w:num w:numId="88" w16cid:durableId="1553078482">
    <w:abstractNumId w:val="26"/>
  </w:num>
  <w:num w:numId="89" w16cid:durableId="204800609">
    <w:abstractNumId w:val="90"/>
  </w:num>
  <w:num w:numId="90" w16cid:durableId="776367265">
    <w:abstractNumId w:val="117"/>
  </w:num>
  <w:num w:numId="91" w16cid:durableId="950934848">
    <w:abstractNumId w:val="24"/>
  </w:num>
  <w:num w:numId="92" w16cid:durableId="545996314">
    <w:abstractNumId w:val="92"/>
  </w:num>
  <w:num w:numId="93" w16cid:durableId="1644458578">
    <w:abstractNumId w:val="58"/>
  </w:num>
  <w:num w:numId="94" w16cid:durableId="172653020">
    <w:abstractNumId w:val="17"/>
  </w:num>
  <w:num w:numId="95" w16cid:durableId="1119031800">
    <w:abstractNumId w:val="28"/>
  </w:num>
  <w:num w:numId="96" w16cid:durableId="761099131">
    <w:abstractNumId w:val="1"/>
  </w:num>
  <w:num w:numId="97" w16cid:durableId="434516275">
    <w:abstractNumId w:val="29"/>
  </w:num>
  <w:num w:numId="98" w16cid:durableId="638847332">
    <w:abstractNumId w:val="100"/>
  </w:num>
  <w:num w:numId="99" w16cid:durableId="556624754">
    <w:abstractNumId w:val="49"/>
  </w:num>
  <w:num w:numId="100" w16cid:durableId="1592006939">
    <w:abstractNumId w:val="67"/>
  </w:num>
  <w:num w:numId="101" w16cid:durableId="1749771176">
    <w:abstractNumId w:val="44"/>
  </w:num>
  <w:num w:numId="102" w16cid:durableId="1969699678">
    <w:abstractNumId w:val="54"/>
  </w:num>
  <w:num w:numId="103" w16cid:durableId="13118312">
    <w:abstractNumId w:val="38"/>
  </w:num>
  <w:num w:numId="104" w16cid:durableId="1748572047">
    <w:abstractNumId w:val="71"/>
  </w:num>
  <w:num w:numId="105" w16cid:durableId="22949902">
    <w:abstractNumId w:val="109"/>
  </w:num>
  <w:num w:numId="106" w16cid:durableId="192227921">
    <w:abstractNumId w:val="86"/>
  </w:num>
  <w:num w:numId="107" w16cid:durableId="729159654">
    <w:abstractNumId w:val="36"/>
  </w:num>
  <w:num w:numId="108" w16cid:durableId="68430717">
    <w:abstractNumId w:val="59"/>
  </w:num>
  <w:num w:numId="109" w16cid:durableId="1313102932">
    <w:abstractNumId w:val="25"/>
  </w:num>
  <w:num w:numId="110" w16cid:durableId="1150053709">
    <w:abstractNumId w:val="102"/>
  </w:num>
  <w:num w:numId="111" w16cid:durableId="1714963640">
    <w:abstractNumId w:val="84"/>
  </w:num>
  <w:num w:numId="112" w16cid:durableId="639112164">
    <w:abstractNumId w:val="77"/>
  </w:num>
  <w:num w:numId="113" w16cid:durableId="521630294">
    <w:abstractNumId w:val="9"/>
  </w:num>
  <w:num w:numId="114" w16cid:durableId="728725871">
    <w:abstractNumId w:val="87"/>
  </w:num>
  <w:num w:numId="115" w16cid:durableId="1003045011">
    <w:abstractNumId w:val="15"/>
  </w:num>
  <w:num w:numId="116" w16cid:durableId="534928176">
    <w:abstractNumId w:val="18"/>
  </w:num>
  <w:num w:numId="117" w16cid:durableId="903300537">
    <w:abstractNumId w:val="3"/>
  </w:num>
  <w:num w:numId="118" w16cid:durableId="384186487">
    <w:abstractNumId w:val="98"/>
  </w:num>
  <w:num w:numId="119" w16cid:durableId="2117628689">
    <w:abstractNumId w:val="22"/>
  </w:num>
  <w:num w:numId="120" w16cid:durableId="695152914">
    <w:abstractNumId w:val="42"/>
  </w:num>
  <w:num w:numId="121" w16cid:durableId="1708213792">
    <w:abstractNumId w:val="68"/>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1BB"/>
    <w:rsid w:val="0000157B"/>
    <w:rsid w:val="0000169C"/>
    <w:rsid w:val="00004A9A"/>
    <w:rsid w:val="00005BE5"/>
    <w:rsid w:val="000061F3"/>
    <w:rsid w:val="000079A4"/>
    <w:rsid w:val="00012437"/>
    <w:rsid w:val="0001261B"/>
    <w:rsid w:val="000129FD"/>
    <w:rsid w:val="00013F0D"/>
    <w:rsid w:val="000142CF"/>
    <w:rsid w:val="000167B9"/>
    <w:rsid w:val="000176D1"/>
    <w:rsid w:val="00017738"/>
    <w:rsid w:val="00017763"/>
    <w:rsid w:val="000201D5"/>
    <w:rsid w:val="000209B2"/>
    <w:rsid w:val="00021911"/>
    <w:rsid w:val="00024710"/>
    <w:rsid w:val="00024B7A"/>
    <w:rsid w:val="00025A50"/>
    <w:rsid w:val="000264E7"/>
    <w:rsid w:val="00027260"/>
    <w:rsid w:val="00031F3C"/>
    <w:rsid w:val="00032828"/>
    <w:rsid w:val="000331D8"/>
    <w:rsid w:val="00033F62"/>
    <w:rsid w:val="00035146"/>
    <w:rsid w:val="00036037"/>
    <w:rsid w:val="000379BA"/>
    <w:rsid w:val="00037AD6"/>
    <w:rsid w:val="00037EAF"/>
    <w:rsid w:val="000411D9"/>
    <w:rsid w:val="000413BC"/>
    <w:rsid w:val="000458BB"/>
    <w:rsid w:val="00045B3E"/>
    <w:rsid w:val="00045F9E"/>
    <w:rsid w:val="00047E8F"/>
    <w:rsid w:val="000501F8"/>
    <w:rsid w:val="0005029F"/>
    <w:rsid w:val="000503C5"/>
    <w:rsid w:val="00050BCE"/>
    <w:rsid w:val="00051E63"/>
    <w:rsid w:val="000528A3"/>
    <w:rsid w:val="00052FC6"/>
    <w:rsid w:val="00053670"/>
    <w:rsid w:val="0005482C"/>
    <w:rsid w:val="00055DBF"/>
    <w:rsid w:val="000577E0"/>
    <w:rsid w:val="00061188"/>
    <w:rsid w:val="00063D08"/>
    <w:rsid w:val="00065486"/>
    <w:rsid w:val="00067889"/>
    <w:rsid w:val="00067AB4"/>
    <w:rsid w:val="000713E8"/>
    <w:rsid w:val="00072903"/>
    <w:rsid w:val="0007374E"/>
    <w:rsid w:val="00076154"/>
    <w:rsid w:val="00076453"/>
    <w:rsid w:val="00076F31"/>
    <w:rsid w:val="000771A8"/>
    <w:rsid w:val="000772D9"/>
    <w:rsid w:val="0007758F"/>
    <w:rsid w:val="0008018E"/>
    <w:rsid w:val="00080CDA"/>
    <w:rsid w:val="0008232D"/>
    <w:rsid w:val="00082648"/>
    <w:rsid w:val="00084087"/>
    <w:rsid w:val="00084E19"/>
    <w:rsid w:val="00087B58"/>
    <w:rsid w:val="000905DB"/>
    <w:rsid w:val="00090824"/>
    <w:rsid w:val="00091193"/>
    <w:rsid w:val="0009130E"/>
    <w:rsid w:val="00091A1B"/>
    <w:rsid w:val="000931EA"/>
    <w:rsid w:val="0009354A"/>
    <w:rsid w:val="00095355"/>
    <w:rsid w:val="00097D92"/>
    <w:rsid w:val="000A1730"/>
    <w:rsid w:val="000A2795"/>
    <w:rsid w:val="000A2ED4"/>
    <w:rsid w:val="000A36CA"/>
    <w:rsid w:val="000A45C7"/>
    <w:rsid w:val="000A5AFA"/>
    <w:rsid w:val="000A6DFC"/>
    <w:rsid w:val="000B1C99"/>
    <w:rsid w:val="000B1D89"/>
    <w:rsid w:val="000B2423"/>
    <w:rsid w:val="000B339D"/>
    <w:rsid w:val="000B57EA"/>
    <w:rsid w:val="000B5A3A"/>
    <w:rsid w:val="000B5D04"/>
    <w:rsid w:val="000B6874"/>
    <w:rsid w:val="000B7AB3"/>
    <w:rsid w:val="000C0363"/>
    <w:rsid w:val="000C0636"/>
    <w:rsid w:val="000C0E19"/>
    <w:rsid w:val="000C10C4"/>
    <w:rsid w:val="000C24B3"/>
    <w:rsid w:val="000C2FE8"/>
    <w:rsid w:val="000C39ED"/>
    <w:rsid w:val="000C4585"/>
    <w:rsid w:val="000C46F0"/>
    <w:rsid w:val="000C4D3F"/>
    <w:rsid w:val="000C5AD8"/>
    <w:rsid w:val="000C5DC2"/>
    <w:rsid w:val="000C68B4"/>
    <w:rsid w:val="000C731D"/>
    <w:rsid w:val="000D0CB3"/>
    <w:rsid w:val="000D151D"/>
    <w:rsid w:val="000D1BDF"/>
    <w:rsid w:val="000D2024"/>
    <w:rsid w:val="000D2E5F"/>
    <w:rsid w:val="000D375B"/>
    <w:rsid w:val="000D494A"/>
    <w:rsid w:val="000D61DE"/>
    <w:rsid w:val="000D6EF7"/>
    <w:rsid w:val="000D6F0B"/>
    <w:rsid w:val="000D7D8C"/>
    <w:rsid w:val="000E02FF"/>
    <w:rsid w:val="000E11AE"/>
    <w:rsid w:val="000E13BB"/>
    <w:rsid w:val="000E1598"/>
    <w:rsid w:val="000E1FB9"/>
    <w:rsid w:val="000E5820"/>
    <w:rsid w:val="000E72D1"/>
    <w:rsid w:val="000E74C7"/>
    <w:rsid w:val="000F01E9"/>
    <w:rsid w:val="000F1357"/>
    <w:rsid w:val="000F17F8"/>
    <w:rsid w:val="000F44C1"/>
    <w:rsid w:val="000F5000"/>
    <w:rsid w:val="000F665C"/>
    <w:rsid w:val="000F6CF2"/>
    <w:rsid w:val="0010095D"/>
    <w:rsid w:val="00100AF8"/>
    <w:rsid w:val="001012B6"/>
    <w:rsid w:val="00103758"/>
    <w:rsid w:val="00103BE0"/>
    <w:rsid w:val="00105706"/>
    <w:rsid w:val="00106EB1"/>
    <w:rsid w:val="00110FB5"/>
    <w:rsid w:val="00110FDE"/>
    <w:rsid w:val="00111E0D"/>
    <w:rsid w:val="001124B8"/>
    <w:rsid w:val="001130D9"/>
    <w:rsid w:val="001154E4"/>
    <w:rsid w:val="00116B7E"/>
    <w:rsid w:val="0011761D"/>
    <w:rsid w:val="00117CD2"/>
    <w:rsid w:val="00117EFA"/>
    <w:rsid w:val="00120353"/>
    <w:rsid w:val="00121F6E"/>
    <w:rsid w:val="00122F49"/>
    <w:rsid w:val="00123E6E"/>
    <w:rsid w:val="0012413B"/>
    <w:rsid w:val="00124AC1"/>
    <w:rsid w:val="00125414"/>
    <w:rsid w:val="00127AA3"/>
    <w:rsid w:val="001301D2"/>
    <w:rsid w:val="00131460"/>
    <w:rsid w:val="00131FE1"/>
    <w:rsid w:val="0013211F"/>
    <w:rsid w:val="00133700"/>
    <w:rsid w:val="0013376E"/>
    <w:rsid w:val="001353E4"/>
    <w:rsid w:val="00136782"/>
    <w:rsid w:val="00137B5A"/>
    <w:rsid w:val="00137B78"/>
    <w:rsid w:val="00137DBB"/>
    <w:rsid w:val="001424C0"/>
    <w:rsid w:val="0014362B"/>
    <w:rsid w:val="00145B9F"/>
    <w:rsid w:val="00146C6F"/>
    <w:rsid w:val="00147EE8"/>
    <w:rsid w:val="00150987"/>
    <w:rsid w:val="001517D1"/>
    <w:rsid w:val="00152135"/>
    <w:rsid w:val="00153169"/>
    <w:rsid w:val="00153F2F"/>
    <w:rsid w:val="00154320"/>
    <w:rsid w:val="00155BE3"/>
    <w:rsid w:val="0016002A"/>
    <w:rsid w:val="001617B5"/>
    <w:rsid w:val="00161B19"/>
    <w:rsid w:val="00162BD5"/>
    <w:rsid w:val="001635E2"/>
    <w:rsid w:val="001635E3"/>
    <w:rsid w:val="00164C01"/>
    <w:rsid w:val="00164F94"/>
    <w:rsid w:val="00165F1B"/>
    <w:rsid w:val="00166011"/>
    <w:rsid w:val="00171C6F"/>
    <w:rsid w:val="0017272C"/>
    <w:rsid w:val="0017466F"/>
    <w:rsid w:val="001747EB"/>
    <w:rsid w:val="001761FC"/>
    <w:rsid w:val="00176DD7"/>
    <w:rsid w:val="00177251"/>
    <w:rsid w:val="00177C30"/>
    <w:rsid w:val="00177F45"/>
    <w:rsid w:val="00183278"/>
    <w:rsid w:val="00184D50"/>
    <w:rsid w:val="00186F5B"/>
    <w:rsid w:val="00191E64"/>
    <w:rsid w:val="00192382"/>
    <w:rsid w:val="0019468E"/>
    <w:rsid w:val="00194EBE"/>
    <w:rsid w:val="00195161"/>
    <w:rsid w:val="00196901"/>
    <w:rsid w:val="00197A0D"/>
    <w:rsid w:val="001A0890"/>
    <w:rsid w:val="001A5A67"/>
    <w:rsid w:val="001A5AE3"/>
    <w:rsid w:val="001A77A1"/>
    <w:rsid w:val="001A7D90"/>
    <w:rsid w:val="001A7ECB"/>
    <w:rsid w:val="001B16CA"/>
    <w:rsid w:val="001B181C"/>
    <w:rsid w:val="001B2D47"/>
    <w:rsid w:val="001B54CE"/>
    <w:rsid w:val="001B7297"/>
    <w:rsid w:val="001B7DC7"/>
    <w:rsid w:val="001C058A"/>
    <w:rsid w:val="001C0BB9"/>
    <w:rsid w:val="001C2188"/>
    <w:rsid w:val="001C4100"/>
    <w:rsid w:val="001C41A8"/>
    <w:rsid w:val="001C4764"/>
    <w:rsid w:val="001C72F4"/>
    <w:rsid w:val="001D07BB"/>
    <w:rsid w:val="001D1572"/>
    <w:rsid w:val="001D181F"/>
    <w:rsid w:val="001D2B00"/>
    <w:rsid w:val="001D2EB0"/>
    <w:rsid w:val="001D3C93"/>
    <w:rsid w:val="001D43DA"/>
    <w:rsid w:val="001D527F"/>
    <w:rsid w:val="001D6E81"/>
    <w:rsid w:val="001D701D"/>
    <w:rsid w:val="001E0C8F"/>
    <w:rsid w:val="001E1709"/>
    <w:rsid w:val="001E2903"/>
    <w:rsid w:val="001E2B98"/>
    <w:rsid w:val="001E46CE"/>
    <w:rsid w:val="001E6176"/>
    <w:rsid w:val="001E67FC"/>
    <w:rsid w:val="001E6D03"/>
    <w:rsid w:val="001E7E63"/>
    <w:rsid w:val="001F09FC"/>
    <w:rsid w:val="001F1148"/>
    <w:rsid w:val="001F15D2"/>
    <w:rsid w:val="001F1E6A"/>
    <w:rsid w:val="001F2996"/>
    <w:rsid w:val="001F3433"/>
    <w:rsid w:val="001F39B2"/>
    <w:rsid w:val="001F4749"/>
    <w:rsid w:val="001F48ED"/>
    <w:rsid w:val="001F6AA0"/>
    <w:rsid w:val="001F7322"/>
    <w:rsid w:val="001F7A8E"/>
    <w:rsid w:val="00200F5D"/>
    <w:rsid w:val="00201BAB"/>
    <w:rsid w:val="00201F81"/>
    <w:rsid w:val="002022D5"/>
    <w:rsid w:val="0020302A"/>
    <w:rsid w:val="002031B8"/>
    <w:rsid w:val="002034CC"/>
    <w:rsid w:val="00204945"/>
    <w:rsid w:val="002049FA"/>
    <w:rsid w:val="00206123"/>
    <w:rsid w:val="002072D9"/>
    <w:rsid w:val="00211798"/>
    <w:rsid w:val="00212641"/>
    <w:rsid w:val="00212FF2"/>
    <w:rsid w:val="002130A8"/>
    <w:rsid w:val="002147A2"/>
    <w:rsid w:val="00217831"/>
    <w:rsid w:val="00217D74"/>
    <w:rsid w:val="0022032B"/>
    <w:rsid w:val="002204EE"/>
    <w:rsid w:val="002230C9"/>
    <w:rsid w:val="002236D3"/>
    <w:rsid w:val="00225287"/>
    <w:rsid w:val="002257AF"/>
    <w:rsid w:val="00225B0B"/>
    <w:rsid w:val="002301C1"/>
    <w:rsid w:val="00230250"/>
    <w:rsid w:val="00231398"/>
    <w:rsid w:val="002316CB"/>
    <w:rsid w:val="002322F1"/>
    <w:rsid w:val="00233B8B"/>
    <w:rsid w:val="002402EB"/>
    <w:rsid w:val="00240F92"/>
    <w:rsid w:val="002428C4"/>
    <w:rsid w:val="002438FC"/>
    <w:rsid w:val="00243904"/>
    <w:rsid w:val="00243CA9"/>
    <w:rsid w:val="0024424F"/>
    <w:rsid w:val="002456E8"/>
    <w:rsid w:val="00246D8F"/>
    <w:rsid w:val="00246F74"/>
    <w:rsid w:val="00247107"/>
    <w:rsid w:val="00250388"/>
    <w:rsid w:val="0025068C"/>
    <w:rsid w:val="00254136"/>
    <w:rsid w:val="00254728"/>
    <w:rsid w:val="0025604B"/>
    <w:rsid w:val="002565D5"/>
    <w:rsid w:val="0026330A"/>
    <w:rsid w:val="002636FA"/>
    <w:rsid w:val="00263C5E"/>
    <w:rsid w:val="002646B0"/>
    <w:rsid w:val="00266076"/>
    <w:rsid w:val="00270EEA"/>
    <w:rsid w:val="0027215E"/>
    <w:rsid w:val="002726B9"/>
    <w:rsid w:val="002732C0"/>
    <w:rsid w:val="002743C9"/>
    <w:rsid w:val="002755D8"/>
    <w:rsid w:val="00275E4D"/>
    <w:rsid w:val="00275EC2"/>
    <w:rsid w:val="0027604B"/>
    <w:rsid w:val="00282C75"/>
    <w:rsid w:val="0028367C"/>
    <w:rsid w:val="00283D27"/>
    <w:rsid w:val="00283D49"/>
    <w:rsid w:val="00283D94"/>
    <w:rsid w:val="00283E24"/>
    <w:rsid w:val="0028457B"/>
    <w:rsid w:val="00285F4C"/>
    <w:rsid w:val="002864E4"/>
    <w:rsid w:val="002877FA"/>
    <w:rsid w:val="00293A8F"/>
    <w:rsid w:val="00295451"/>
    <w:rsid w:val="00295A13"/>
    <w:rsid w:val="00295B39"/>
    <w:rsid w:val="00296077"/>
    <w:rsid w:val="00296767"/>
    <w:rsid w:val="00297558"/>
    <w:rsid w:val="00297BB0"/>
    <w:rsid w:val="00297EDF"/>
    <w:rsid w:val="002A02A5"/>
    <w:rsid w:val="002A0432"/>
    <w:rsid w:val="002A0C1D"/>
    <w:rsid w:val="002A1056"/>
    <w:rsid w:val="002A1CC6"/>
    <w:rsid w:val="002A1F3E"/>
    <w:rsid w:val="002A2751"/>
    <w:rsid w:val="002A3031"/>
    <w:rsid w:val="002A3B72"/>
    <w:rsid w:val="002A48DA"/>
    <w:rsid w:val="002A4C1C"/>
    <w:rsid w:val="002A7C5B"/>
    <w:rsid w:val="002B2722"/>
    <w:rsid w:val="002B2C79"/>
    <w:rsid w:val="002B37D8"/>
    <w:rsid w:val="002B5F5F"/>
    <w:rsid w:val="002B647A"/>
    <w:rsid w:val="002B659C"/>
    <w:rsid w:val="002B6FA0"/>
    <w:rsid w:val="002C1557"/>
    <w:rsid w:val="002C2097"/>
    <w:rsid w:val="002C4C5E"/>
    <w:rsid w:val="002C5160"/>
    <w:rsid w:val="002C6474"/>
    <w:rsid w:val="002C6A3D"/>
    <w:rsid w:val="002C6C93"/>
    <w:rsid w:val="002D02BA"/>
    <w:rsid w:val="002D19AE"/>
    <w:rsid w:val="002D21BC"/>
    <w:rsid w:val="002D4EF8"/>
    <w:rsid w:val="002D5BAE"/>
    <w:rsid w:val="002D650C"/>
    <w:rsid w:val="002E158F"/>
    <w:rsid w:val="002E23CA"/>
    <w:rsid w:val="002E2CD0"/>
    <w:rsid w:val="002E4715"/>
    <w:rsid w:val="002E4AB4"/>
    <w:rsid w:val="002E5C0F"/>
    <w:rsid w:val="002E6BD7"/>
    <w:rsid w:val="002F146D"/>
    <w:rsid w:val="002F1825"/>
    <w:rsid w:val="002F2654"/>
    <w:rsid w:val="002F4002"/>
    <w:rsid w:val="002F4C48"/>
    <w:rsid w:val="002F5F51"/>
    <w:rsid w:val="002F655A"/>
    <w:rsid w:val="002F6BCF"/>
    <w:rsid w:val="00303559"/>
    <w:rsid w:val="00305E17"/>
    <w:rsid w:val="003070BE"/>
    <w:rsid w:val="00311F0C"/>
    <w:rsid w:val="00313770"/>
    <w:rsid w:val="00313CB8"/>
    <w:rsid w:val="00316527"/>
    <w:rsid w:val="00320459"/>
    <w:rsid w:val="00320504"/>
    <w:rsid w:val="00321F24"/>
    <w:rsid w:val="003238CA"/>
    <w:rsid w:val="00323989"/>
    <w:rsid w:val="00323AAF"/>
    <w:rsid w:val="00323C3A"/>
    <w:rsid w:val="00323EEA"/>
    <w:rsid w:val="003261BB"/>
    <w:rsid w:val="0032627C"/>
    <w:rsid w:val="00326EC9"/>
    <w:rsid w:val="00327A10"/>
    <w:rsid w:val="00330F28"/>
    <w:rsid w:val="00331772"/>
    <w:rsid w:val="00333343"/>
    <w:rsid w:val="00333949"/>
    <w:rsid w:val="00334D2C"/>
    <w:rsid w:val="00340498"/>
    <w:rsid w:val="00340D77"/>
    <w:rsid w:val="00341031"/>
    <w:rsid w:val="00343C9A"/>
    <w:rsid w:val="003442EA"/>
    <w:rsid w:val="00345BA9"/>
    <w:rsid w:val="003471B1"/>
    <w:rsid w:val="003476E1"/>
    <w:rsid w:val="00347826"/>
    <w:rsid w:val="00347BB9"/>
    <w:rsid w:val="003506BB"/>
    <w:rsid w:val="00350916"/>
    <w:rsid w:val="00351A80"/>
    <w:rsid w:val="00353F0B"/>
    <w:rsid w:val="00355FD2"/>
    <w:rsid w:val="00356275"/>
    <w:rsid w:val="00356F11"/>
    <w:rsid w:val="00360C9C"/>
    <w:rsid w:val="003617B3"/>
    <w:rsid w:val="00363874"/>
    <w:rsid w:val="003641FB"/>
    <w:rsid w:val="00366DCD"/>
    <w:rsid w:val="0037038D"/>
    <w:rsid w:val="00371F19"/>
    <w:rsid w:val="00374206"/>
    <w:rsid w:val="00374489"/>
    <w:rsid w:val="00374C1A"/>
    <w:rsid w:val="00375071"/>
    <w:rsid w:val="00375742"/>
    <w:rsid w:val="00376DD8"/>
    <w:rsid w:val="003805C7"/>
    <w:rsid w:val="00380C8C"/>
    <w:rsid w:val="0038160F"/>
    <w:rsid w:val="00381A83"/>
    <w:rsid w:val="00383CDD"/>
    <w:rsid w:val="003879F0"/>
    <w:rsid w:val="00387F09"/>
    <w:rsid w:val="0039065C"/>
    <w:rsid w:val="00392D8A"/>
    <w:rsid w:val="00393433"/>
    <w:rsid w:val="00393620"/>
    <w:rsid w:val="0039475B"/>
    <w:rsid w:val="00395172"/>
    <w:rsid w:val="00395620"/>
    <w:rsid w:val="00395B68"/>
    <w:rsid w:val="00396435"/>
    <w:rsid w:val="0039762E"/>
    <w:rsid w:val="003A0FB1"/>
    <w:rsid w:val="003A1E24"/>
    <w:rsid w:val="003A32C1"/>
    <w:rsid w:val="003A32C8"/>
    <w:rsid w:val="003A3FC6"/>
    <w:rsid w:val="003A61BB"/>
    <w:rsid w:val="003A663C"/>
    <w:rsid w:val="003A67B8"/>
    <w:rsid w:val="003A6BAA"/>
    <w:rsid w:val="003A6F10"/>
    <w:rsid w:val="003A730F"/>
    <w:rsid w:val="003A7A04"/>
    <w:rsid w:val="003B07D5"/>
    <w:rsid w:val="003B1CAE"/>
    <w:rsid w:val="003B227C"/>
    <w:rsid w:val="003B290E"/>
    <w:rsid w:val="003B2C02"/>
    <w:rsid w:val="003B2ED4"/>
    <w:rsid w:val="003B3716"/>
    <w:rsid w:val="003B4383"/>
    <w:rsid w:val="003B5626"/>
    <w:rsid w:val="003B6857"/>
    <w:rsid w:val="003B6D5F"/>
    <w:rsid w:val="003B7056"/>
    <w:rsid w:val="003B7173"/>
    <w:rsid w:val="003C2351"/>
    <w:rsid w:val="003C24B5"/>
    <w:rsid w:val="003C2ECF"/>
    <w:rsid w:val="003C3E75"/>
    <w:rsid w:val="003C41C3"/>
    <w:rsid w:val="003C46BF"/>
    <w:rsid w:val="003C4A22"/>
    <w:rsid w:val="003C4E3F"/>
    <w:rsid w:val="003C53F0"/>
    <w:rsid w:val="003C598D"/>
    <w:rsid w:val="003C70D2"/>
    <w:rsid w:val="003C7E2F"/>
    <w:rsid w:val="003C7F73"/>
    <w:rsid w:val="003D38AA"/>
    <w:rsid w:val="003D3CA7"/>
    <w:rsid w:val="003D679A"/>
    <w:rsid w:val="003E0A44"/>
    <w:rsid w:val="003E2426"/>
    <w:rsid w:val="003E2681"/>
    <w:rsid w:val="003E2CEF"/>
    <w:rsid w:val="003E500A"/>
    <w:rsid w:val="003F08C3"/>
    <w:rsid w:val="003F134E"/>
    <w:rsid w:val="003F1665"/>
    <w:rsid w:val="003F185D"/>
    <w:rsid w:val="003F2559"/>
    <w:rsid w:val="003F258A"/>
    <w:rsid w:val="003F2E9A"/>
    <w:rsid w:val="003F5675"/>
    <w:rsid w:val="00401319"/>
    <w:rsid w:val="00402DD9"/>
    <w:rsid w:val="00403D7B"/>
    <w:rsid w:val="00410E0B"/>
    <w:rsid w:val="0041380B"/>
    <w:rsid w:val="00414A63"/>
    <w:rsid w:val="00415473"/>
    <w:rsid w:val="00415B34"/>
    <w:rsid w:val="004164EF"/>
    <w:rsid w:val="00417E21"/>
    <w:rsid w:val="004206FD"/>
    <w:rsid w:val="004217F3"/>
    <w:rsid w:val="004249C3"/>
    <w:rsid w:val="004251C7"/>
    <w:rsid w:val="00425608"/>
    <w:rsid w:val="004258FA"/>
    <w:rsid w:val="004266C7"/>
    <w:rsid w:val="00426705"/>
    <w:rsid w:val="004317A5"/>
    <w:rsid w:val="00431878"/>
    <w:rsid w:val="00432045"/>
    <w:rsid w:val="00432843"/>
    <w:rsid w:val="00433497"/>
    <w:rsid w:val="004339C5"/>
    <w:rsid w:val="00433F47"/>
    <w:rsid w:val="00435944"/>
    <w:rsid w:val="00435C9B"/>
    <w:rsid w:val="0043643A"/>
    <w:rsid w:val="004366D2"/>
    <w:rsid w:val="00436F80"/>
    <w:rsid w:val="00444DED"/>
    <w:rsid w:val="00445BDD"/>
    <w:rsid w:val="00450D08"/>
    <w:rsid w:val="00451C3B"/>
    <w:rsid w:val="00452738"/>
    <w:rsid w:val="004546A0"/>
    <w:rsid w:val="004555AE"/>
    <w:rsid w:val="00460089"/>
    <w:rsid w:val="004611D2"/>
    <w:rsid w:val="00461A3F"/>
    <w:rsid w:val="00461E24"/>
    <w:rsid w:val="00463F5C"/>
    <w:rsid w:val="004640A0"/>
    <w:rsid w:val="004655EB"/>
    <w:rsid w:val="00466085"/>
    <w:rsid w:val="00466374"/>
    <w:rsid w:val="00467494"/>
    <w:rsid w:val="00467F07"/>
    <w:rsid w:val="00470EBB"/>
    <w:rsid w:val="00471725"/>
    <w:rsid w:val="00472D72"/>
    <w:rsid w:val="0047342C"/>
    <w:rsid w:val="004741E7"/>
    <w:rsid w:val="00475158"/>
    <w:rsid w:val="004760A5"/>
    <w:rsid w:val="00477F7B"/>
    <w:rsid w:val="0048001D"/>
    <w:rsid w:val="00480299"/>
    <w:rsid w:val="0048092D"/>
    <w:rsid w:val="00482567"/>
    <w:rsid w:val="00482AA4"/>
    <w:rsid w:val="0048481D"/>
    <w:rsid w:val="00484CBC"/>
    <w:rsid w:val="004853EA"/>
    <w:rsid w:val="0048569A"/>
    <w:rsid w:val="00486562"/>
    <w:rsid w:val="004869A7"/>
    <w:rsid w:val="0048747E"/>
    <w:rsid w:val="00491405"/>
    <w:rsid w:val="00491EF8"/>
    <w:rsid w:val="00495392"/>
    <w:rsid w:val="00495D9D"/>
    <w:rsid w:val="004962A1"/>
    <w:rsid w:val="00497785"/>
    <w:rsid w:val="004A1499"/>
    <w:rsid w:val="004A2519"/>
    <w:rsid w:val="004A2F5E"/>
    <w:rsid w:val="004A32A7"/>
    <w:rsid w:val="004A42AB"/>
    <w:rsid w:val="004A464B"/>
    <w:rsid w:val="004A582F"/>
    <w:rsid w:val="004A5C6A"/>
    <w:rsid w:val="004A7A90"/>
    <w:rsid w:val="004A7BC9"/>
    <w:rsid w:val="004B0435"/>
    <w:rsid w:val="004B2015"/>
    <w:rsid w:val="004B20E4"/>
    <w:rsid w:val="004B236F"/>
    <w:rsid w:val="004B2EA3"/>
    <w:rsid w:val="004B3D28"/>
    <w:rsid w:val="004B483E"/>
    <w:rsid w:val="004B4E90"/>
    <w:rsid w:val="004B5734"/>
    <w:rsid w:val="004B62D9"/>
    <w:rsid w:val="004C02EC"/>
    <w:rsid w:val="004C1417"/>
    <w:rsid w:val="004C2979"/>
    <w:rsid w:val="004C2A30"/>
    <w:rsid w:val="004C3986"/>
    <w:rsid w:val="004C419D"/>
    <w:rsid w:val="004C4523"/>
    <w:rsid w:val="004C4716"/>
    <w:rsid w:val="004C47D3"/>
    <w:rsid w:val="004C4AC9"/>
    <w:rsid w:val="004C593C"/>
    <w:rsid w:val="004C79BE"/>
    <w:rsid w:val="004C7A60"/>
    <w:rsid w:val="004D1EF8"/>
    <w:rsid w:val="004D2CA0"/>
    <w:rsid w:val="004D31FC"/>
    <w:rsid w:val="004D46E0"/>
    <w:rsid w:val="004D49B4"/>
    <w:rsid w:val="004D5563"/>
    <w:rsid w:val="004E03CE"/>
    <w:rsid w:val="004E0484"/>
    <w:rsid w:val="004E0566"/>
    <w:rsid w:val="004E0A6E"/>
    <w:rsid w:val="004E16BB"/>
    <w:rsid w:val="004E2E54"/>
    <w:rsid w:val="004E3BC3"/>
    <w:rsid w:val="004E44B9"/>
    <w:rsid w:val="004E6ADA"/>
    <w:rsid w:val="004E718B"/>
    <w:rsid w:val="004F014E"/>
    <w:rsid w:val="004F01FE"/>
    <w:rsid w:val="004F1F51"/>
    <w:rsid w:val="004F442D"/>
    <w:rsid w:val="004F5908"/>
    <w:rsid w:val="004F6667"/>
    <w:rsid w:val="004F67A3"/>
    <w:rsid w:val="004F6B01"/>
    <w:rsid w:val="004F6B21"/>
    <w:rsid w:val="004F6F04"/>
    <w:rsid w:val="004F7A58"/>
    <w:rsid w:val="00503C1B"/>
    <w:rsid w:val="005053B7"/>
    <w:rsid w:val="00506AAC"/>
    <w:rsid w:val="0050713E"/>
    <w:rsid w:val="00510856"/>
    <w:rsid w:val="00510FD7"/>
    <w:rsid w:val="00514741"/>
    <w:rsid w:val="00515745"/>
    <w:rsid w:val="00515D81"/>
    <w:rsid w:val="00515DCF"/>
    <w:rsid w:val="00515EC4"/>
    <w:rsid w:val="00516446"/>
    <w:rsid w:val="005165B9"/>
    <w:rsid w:val="00516700"/>
    <w:rsid w:val="00516981"/>
    <w:rsid w:val="00516F1F"/>
    <w:rsid w:val="00517431"/>
    <w:rsid w:val="00520630"/>
    <w:rsid w:val="00520CDE"/>
    <w:rsid w:val="00523A1D"/>
    <w:rsid w:val="00523B56"/>
    <w:rsid w:val="00523F23"/>
    <w:rsid w:val="00525027"/>
    <w:rsid w:val="00526209"/>
    <w:rsid w:val="00526593"/>
    <w:rsid w:val="00526D02"/>
    <w:rsid w:val="00527526"/>
    <w:rsid w:val="00527D9E"/>
    <w:rsid w:val="00527DC9"/>
    <w:rsid w:val="00532602"/>
    <w:rsid w:val="005331A9"/>
    <w:rsid w:val="0053402E"/>
    <w:rsid w:val="005350E3"/>
    <w:rsid w:val="00536586"/>
    <w:rsid w:val="00540912"/>
    <w:rsid w:val="00541DE0"/>
    <w:rsid w:val="00542BC1"/>
    <w:rsid w:val="00543F24"/>
    <w:rsid w:val="00545042"/>
    <w:rsid w:val="005463C9"/>
    <w:rsid w:val="00552309"/>
    <w:rsid w:val="0055378A"/>
    <w:rsid w:val="00554853"/>
    <w:rsid w:val="00554C01"/>
    <w:rsid w:val="00555235"/>
    <w:rsid w:val="00555365"/>
    <w:rsid w:val="005561AD"/>
    <w:rsid w:val="0055690E"/>
    <w:rsid w:val="00561392"/>
    <w:rsid w:val="005614AB"/>
    <w:rsid w:val="00561840"/>
    <w:rsid w:val="005623B3"/>
    <w:rsid w:val="0056272F"/>
    <w:rsid w:val="00562B2C"/>
    <w:rsid w:val="005642C2"/>
    <w:rsid w:val="00564388"/>
    <w:rsid w:val="00565B37"/>
    <w:rsid w:val="00570186"/>
    <w:rsid w:val="005704A2"/>
    <w:rsid w:val="00571442"/>
    <w:rsid w:val="00574580"/>
    <w:rsid w:val="00574759"/>
    <w:rsid w:val="00575F16"/>
    <w:rsid w:val="00576370"/>
    <w:rsid w:val="0058308B"/>
    <w:rsid w:val="00586038"/>
    <w:rsid w:val="00586275"/>
    <w:rsid w:val="00586ACB"/>
    <w:rsid w:val="0058772D"/>
    <w:rsid w:val="005917D4"/>
    <w:rsid w:val="00591CDC"/>
    <w:rsid w:val="00592751"/>
    <w:rsid w:val="00592C95"/>
    <w:rsid w:val="00593B8D"/>
    <w:rsid w:val="005943FF"/>
    <w:rsid w:val="00594DE2"/>
    <w:rsid w:val="005958BB"/>
    <w:rsid w:val="00595E06"/>
    <w:rsid w:val="0059788E"/>
    <w:rsid w:val="005978BC"/>
    <w:rsid w:val="005A0823"/>
    <w:rsid w:val="005A0E3A"/>
    <w:rsid w:val="005A2712"/>
    <w:rsid w:val="005A5118"/>
    <w:rsid w:val="005A6372"/>
    <w:rsid w:val="005A72A3"/>
    <w:rsid w:val="005B0776"/>
    <w:rsid w:val="005B2EBC"/>
    <w:rsid w:val="005B315A"/>
    <w:rsid w:val="005C1480"/>
    <w:rsid w:val="005C2E3D"/>
    <w:rsid w:val="005C7623"/>
    <w:rsid w:val="005D1D6B"/>
    <w:rsid w:val="005D297E"/>
    <w:rsid w:val="005D51C7"/>
    <w:rsid w:val="005D6C9C"/>
    <w:rsid w:val="005E0804"/>
    <w:rsid w:val="005E0EBF"/>
    <w:rsid w:val="005E2527"/>
    <w:rsid w:val="005E3C80"/>
    <w:rsid w:val="005E72C7"/>
    <w:rsid w:val="005E767C"/>
    <w:rsid w:val="005E7A8A"/>
    <w:rsid w:val="005F1033"/>
    <w:rsid w:val="005F136A"/>
    <w:rsid w:val="005F14F5"/>
    <w:rsid w:val="005F1F1C"/>
    <w:rsid w:val="005F33E1"/>
    <w:rsid w:val="005F47C9"/>
    <w:rsid w:val="005F535F"/>
    <w:rsid w:val="005F7A61"/>
    <w:rsid w:val="0060090B"/>
    <w:rsid w:val="00604496"/>
    <w:rsid w:val="00606DAB"/>
    <w:rsid w:val="00607277"/>
    <w:rsid w:val="00610014"/>
    <w:rsid w:val="0061009E"/>
    <w:rsid w:val="00610433"/>
    <w:rsid w:val="0061183E"/>
    <w:rsid w:val="0061226E"/>
    <w:rsid w:val="00613292"/>
    <w:rsid w:val="00613A4A"/>
    <w:rsid w:val="00614C21"/>
    <w:rsid w:val="00616CBF"/>
    <w:rsid w:val="00620FE3"/>
    <w:rsid w:val="00621BDF"/>
    <w:rsid w:val="00622FEF"/>
    <w:rsid w:val="00623D58"/>
    <w:rsid w:val="00624402"/>
    <w:rsid w:val="0062706A"/>
    <w:rsid w:val="00627940"/>
    <w:rsid w:val="0063185F"/>
    <w:rsid w:val="00633CB7"/>
    <w:rsid w:val="0063510C"/>
    <w:rsid w:val="00640ADF"/>
    <w:rsid w:val="00642A5B"/>
    <w:rsid w:val="00642E68"/>
    <w:rsid w:val="006447EF"/>
    <w:rsid w:val="00645AF2"/>
    <w:rsid w:val="00645CF9"/>
    <w:rsid w:val="00646E64"/>
    <w:rsid w:val="00647D9A"/>
    <w:rsid w:val="00650CFA"/>
    <w:rsid w:val="00650E32"/>
    <w:rsid w:val="006514B8"/>
    <w:rsid w:val="00651717"/>
    <w:rsid w:val="006535B8"/>
    <w:rsid w:val="006539AB"/>
    <w:rsid w:val="006541A9"/>
    <w:rsid w:val="00656F1A"/>
    <w:rsid w:val="00657EAC"/>
    <w:rsid w:val="00661660"/>
    <w:rsid w:val="00661721"/>
    <w:rsid w:val="006648CA"/>
    <w:rsid w:val="0066550B"/>
    <w:rsid w:val="0066570C"/>
    <w:rsid w:val="006657AF"/>
    <w:rsid w:val="00666CCE"/>
    <w:rsid w:val="0066710E"/>
    <w:rsid w:val="00667FA3"/>
    <w:rsid w:val="006736D7"/>
    <w:rsid w:val="00674410"/>
    <w:rsid w:val="00675420"/>
    <w:rsid w:val="00676086"/>
    <w:rsid w:val="006815BF"/>
    <w:rsid w:val="00683358"/>
    <w:rsid w:val="00684D29"/>
    <w:rsid w:val="00686587"/>
    <w:rsid w:val="00687217"/>
    <w:rsid w:val="006912F4"/>
    <w:rsid w:val="00691859"/>
    <w:rsid w:val="00692648"/>
    <w:rsid w:val="006926B1"/>
    <w:rsid w:val="006942E2"/>
    <w:rsid w:val="00694B6F"/>
    <w:rsid w:val="00696A70"/>
    <w:rsid w:val="00696AC4"/>
    <w:rsid w:val="00696F9B"/>
    <w:rsid w:val="00697714"/>
    <w:rsid w:val="00697882"/>
    <w:rsid w:val="00697EC8"/>
    <w:rsid w:val="006A1432"/>
    <w:rsid w:val="006A17D3"/>
    <w:rsid w:val="006A2F4D"/>
    <w:rsid w:val="006A4D93"/>
    <w:rsid w:val="006A5F86"/>
    <w:rsid w:val="006A778E"/>
    <w:rsid w:val="006A7FED"/>
    <w:rsid w:val="006B2A7C"/>
    <w:rsid w:val="006B310D"/>
    <w:rsid w:val="006B4FCF"/>
    <w:rsid w:val="006B6805"/>
    <w:rsid w:val="006B7B43"/>
    <w:rsid w:val="006B7F27"/>
    <w:rsid w:val="006C0FFA"/>
    <w:rsid w:val="006C1960"/>
    <w:rsid w:val="006C1AFB"/>
    <w:rsid w:val="006C3899"/>
    <w:rsid w:val="006C399B"/>
    <w:rsid w:val="006C3B41"/>
    <w:rsid w:val="006C4BC1"/>
    <w:rsid w:val="006C619C"/>
    <w:rsid w:val="006C6D95"/>
    <w:rsid w:val="006C7E30"/>
    <w:rsid w:val="006D0AF2"/>
    <w:rsid w:val="006D0F44"/>
    <w:rsid w:val="006D3748"/>
    <w:rsid w:val="006D3E23"/>
    <w:rsid w:val="006D57FC"/>
    <w:rsid w:val="006D679B"/>
    <w:rsid w:val="006D7711"/>
    <w:rsid w:val="006E0D91"/>
    <w:rsid w:val="006E257A"/>
    <w:rsid w:val="006E4888"/>
    <w:rsid w:val="006E4BB2"/>
    <w:rsid w:val="006E57E4"/>
    <w:rsid w:val="006E597D"/>
    <w:rsid w:val="006E5F07"/>
    <w:rsid w:val="006F0DE5"/>
    <w:rsid w:val="006F1D9A"/>
    <w:rsid w:val="006F390F"/>
    <w:rsid w:val="006F396C"/>
    <w:rsid w:val="006F3D68"/>
    <w:rsid w:val="006F56B1"/>
    <w:rsid w:val="006F590C"/>
    <w:rsid w:val="006F5D1A"/>
    <w:rsid w:val="006F6A2E"/>
    <w:rsid w:val="006F7643"/>
    <w:rsid w:val="006F7A0C"/>
    <w:rsid w:val="00700FA3"/>
    <w:rsid w:val="00701D22"/>
    <w:rsid w:val="00702DC9"/>
    <w:rsid w:val="0070444F"/>
    <w:rsid w:val="0070690C"/>
    <w:rsid w:val="00706F30"/>
    <w:rsid w:val="007074B5"/>
    <w:rsid w:val="007166E0"/>
    <w:rsid w:val="007173F2"/>
    <w:rsid w:val="00717F31"/>
    <w:rsid w:val="00723653"/>
    <w:rsid w:val="00726318"/>
    <w:rsid w:val="007276F2"/>
    <w:rsid w:val="00731242"/>
    <w:rsid w:val="00732AC5"/>
    <w:rsid w:val="00737B37"/>
    <w:rsid w:val="007400A5"/>
    <w:rsid w:val="00741011"/>
    <w:rsid w:val="00742F5C"/>
    <w:rsid w:val="007432A5"/>
    <w:rsid w:val="00744DDF"/>
    <w:rsid w:val="007453C8"/>
    <w:rsid w:val="00745D11"/>
    <w:rsid w:val="00746D4F"/>
    <w:rsid w:val="00747E22"/>
    <w:rsid w:val="0075106C"/>
    <w:rsid w:val="00751341"/>
    <w:rsid w:val="00751E9D"/>
    <w:rsid w:val="00752FEB"/>
    <w:rsid w:val="00753A19"/>
    <w:rsid w:val="00756279"/>
    <w:rsid w:val="00756392"/>
    <w:rsid w:val="007578B2"/>
    <w:rsid w:val="00761B0A"/>
    <w:rsid w:val="00764C07"/>
    <w:rsid w:val="00764D76"/>
    <w:rsid w:val="00766821"/>
    <w:rsid w:val="00766973"/>
    <w:rsid w:val="00766DD5"/>
    <w:rsid w:val="00767ACA"/>
    <w:rsid w:val="00770058"/>
    <w:rsid w:val="007701F0"/>
    <w:rsid w:val="007702B2"/>
    <w:rsid w:val="00770AEE"/>
    <w:rsid w:val="00771EF3"/>
    <w:rsid w:val="00773636"/>
    <w:rsid w:val="00775271"/>
    <w:rsid w:val="00775AB2"/>
    <w:rsid w:val="00776E81"/>
    <w:rsid w:val="00777EC1"/>
    <w:rsid w:val="007807E1"/>
    <w:rsid w:val="0078220F"/>
    <w:rsid w:val="00783767"/>
    <w:rsid w:val="00790866"/>
    <w:rsid w:val="00792374"/>
    <w:rsid w:val="007926CF"/>
    <w:rsid w:val="00793FE0"/>
    <w:rsid w:val="00794DCA"/>
    <w:rsid w:val="007A1848"/>
    <w:rsid w:val="007A4111"/>
    <w:rsid w:val="007A7703"/>
    <w:rsid w:val="007B0371"/>
    <w:rsid w:val="007B453C"/>
    <w:rsid w:val="007B4669"/>
    <w:rsid w:val="007B495D"/>
    <w:rsid w:val="007B564A"/>
    <w:rsid w:val="007B66FA"/>
    <w:rsid w:val="007B6C49"/>
    <w:rsid w:val="007C061C"/>
    <w:rsid w:val="007C2689"/>
    <w:rsid w:val="007C367D"/>
    <w:rsid w:val="007C4D9B"/>
    <w:rsid w:val="007C4E2E"/>
    <w:rsid w:val="007C578D"/>
    <w:rsid w:val="007C5B20"/>
    <w:rsid w:val="007C7512"/>
    <w:rsid w:val="007C7CFF"/>
    <w:rsid w:val="007C7D27"/>
    <w:rsid w:val="007D0795"/>
    <w:rsid w:val="007D1D05"/>
    <w:rsid w:val="007D1E73"/>
    <w:rsid w:val="007D384D"/>
    <w:rsid w:val="007D5E08"/>
    <w:rsid w:val="007D69E2"/>
    <w:rsid w:val="007E0CFF"/>
    <w:rsid w:val="007E1694"/>
    <w:rsid w:val="007E3323"/>
    <w:rsid w:val="007E3F9E"/>
    <w:rsid w:val="007E630D"/>
    <w:rsid w:val="007E687E"/>
    <w:rsid w:val="007E7F11"/>
    <w:rsid w:val="007F0FFB"/>
    <w:rsid w:val="007F15DD"/>
    <w:rsid w:val="007F245B"/>
    <w:rsid w:val="007F30AC"/>
    <w:rsid w:val="007F335A"/>
    <w:rsid w:val="007F500F"/>
    <w:rsid w:val="007F6886"/>
    <w:rsid w:val="00800AEA"/>
    <w:rsid w:val="008022FF"/>
    <w:rsid w:val="00802375"/>
    <w:rsid w:val="008023A3"/>
    <w:rsid w:val="00802D13"/>
    <w:rsid w:val="00803C2D"/>
    <w:rsid w:val="0080598D"/>
    <w:rsid w:val="008122B4"/>
    <w:rsid w:val="00813C5B"/>
    <w:rsid w:val="008142A9"/>
    <w:rsid w:val="008158DB"/>
    <w:rsid w:val="00817C50"/>
    <w:rsid w:val="008209CE"/>
    <w:rsid w:val="00823210"/>
    <w:rsid w:val="00823B58"/>
    <w:rsid w:val="00823B89"/>
    <w:rsid w:val="0082422B"/>
    <w:rsid w:val="0082491B"/>
    <w:rsid w:val="00825401"/>
    <w:rsid w:val="00826EFA"/>
    <w:rsid w:val="00827369"/>
    <w:rsid w:val="00827ED1"/>
    <w:rsid w:val="008300B8"/>
    <w:rsid w:val="00832B8F"/>
    <w:rsid w:val="00832E3F"/>
    <w:rsid w:val="008330BF"/>
    <w:rsid w:val="00833D29"/>
    <w:rsid w:val="0083435D"/>
    <w:rsid w:val="008364B1"/>
    <w:rsid w:val="008375B6"/>
    <w:rsid w:val="00837819"/>
    <w:rsid w:val="00837C62"/>
    <w:rsid w:val="00840E8F"/>
    <w:rsid w:val="00842691"/>
    <w:rsid w:val="008434EF"/>
    <w:rsid w:val="00843E3B"/>
    <w:rsid w:val="00844065"/>
    <w:rsid w:val="0084653E"/>
    <w:rsid w:val="00846E3F"/>
    <w:rsid w:val="00847F74"/>
    <w:rsid w:val="00851856"/>
    <w:rsid w:val="0085305B"/>
    <w:rsid w:val="00853999"/>
    <w:rsid w:val="00854934"/>
    <w:rsid w:val="00856396"/>
    <w:rsid w:val="00857352"/>
    <w:rsid w:val="008573FF"/>
    <w:rsid w:val="008607B6"/>
    <w:rsid w:val="00860A58"/>
    <w:rsid w:val="0086118B"/>
    <w:rsid w:val="00861E9A"/>
    <w:rsid w:val="008624D3"/>
    <w:rsid w:val="00862CE3"/>
    <w:rsid w:val="00862E70"/>
    <w:rsid w:val="00863F53"/>
    <w:rsid w:val="008641F9"/>
    <w:rsid w:val="00864F02"/>
    <w:rsid w:val="00866945"/>
    <w:rsid w:val="008706EC"/>
    <w:rsid w:val="00870848"/>
    <w:rsid w:val="00871BEC"/>
    <w:rsid w:val="00872847"/>
    <w:rsid w:val="0087385B"/>
    <w:rsid w:val="00873B76"/>
    <w:rsid w:val="00874896"/>
    <w:rsid w:val="00874987"/>
    <w:rsid w:val="00874B4D"/>
    <w:rsid w:val="00874C75"/>
    <w:rsid w:val="0087604D"/>
    <w:rsid w:val="008769AB"/>
    <w:rsid w:val="00877F52"/>
    <w:rsid w:val="00881D9B"/>
    <w:rsid w:val="00882043"/>
    <w:rsid w:val="00882168"/>
    <w:rsid w:val="0088223F"/>
    <w:rsid w:val="00882C64"/>
    <w:rsid w:val="00885DE9"/>
    <w:rsid w:val="008863BF"/>
    <w:rsid w:val="008865B4"/>
    <w:rsid w:val="008865FC"/>
    <w:rsid w:val="00894D8D"/>
    <w:rsid w:val="008953EE"/>
    <w:rsid w:val="0089591B"/>
    <w:rsid w:val="00895D0D"/>
    <w:rsid w:val="008969B2"/>
    <w:rsid w:val="008A0168"/>
    <w:rsid w:val="008A11D9"/>
    <w:rsid w:val="008A209B"/>
    <w:rsid w:val="008A3288"/>
    <w:rsid w:val="008A3953"/>
    <w:rsid w:val="008A3FE7"/>
    <w:rsid w:val="008A470D"/>
    <w:rsid w:val="008A4DFD"/>
    <w:rsid w:val="008A525E"/>
    <w:rsid w:val="008A5C63"/>
    <w:rsid w:val="008A64E3"/>
    <w:rsid w:val="008A6F07"/>
    <w:rsid w:val="008A7010"/>
    <w:rsid w:val="008B0A90"/>
    <w:rsid w:val="008B149D"/>
    <w:rsid w:val="008B1680"/>
    <w:rsid w:val="008B1823"/>
    <w:rsid w:val="008B2198"/>
    <w:rsid w:val="008B2298"/>
    <w:rsid w:val="008B2B3D"/>
    <w:rsid w:val="008B2E0E"/>
    <w:rsid w:val="008B301D"/>
    <w:rsid w:val="008B4000"/>
    <w:rsid w:val="008B4B42"/>
    <w:rsid w:val="008B61D2"/>
    <w:rsid w:val="008C0FED"/>
    <w:rsid w:val="008C1F93"/>
    <w:rsid w:val="008C39DA"/>
    <w:rsid w:val="008C586F"/>
    <w:rsid w:val="008C7E99"/>
    <w:rsid w:val="008D0F6A"/>
    <w:rsid w:val="008D1CF0"/>
    <w:rsid w:val="008D1DB0"/>
    <w:rsid w:val="008D2975"/>
    <w:rsid w:val="008D3A15"/>
    <w:rsid w:val="008D4D94"/>
    <w:rsid w:val="008D62A7"/>
    <w:rsid w:val="008D7046"/>
    <w:rsid w:val="008D7079"/>
    <w:rsid w:val="008E0B42"/>
    <w:rsid w:val="008E1163"/>
    <w:rsid w:val="008E192C"/>
    <w:rsid w:val="008E1BD7"/>
    <w:rsid w:val="008E3F9F"/>
    <w:rsid w:val="008E418B"/>
    <w:rsid w:val="008E49E2"/>
    <w:rsid w:val="008E61A7"/>
    <w:rsid w:val="008E75EA"/>
    <w:rsid w:val="008F018E"/>
    <w:rsid w:val="008F1786"/>
    <w:rsid w:val="008F19B4"/>
    <w:rsid w:val="008F59AD"/>
    <w:rsid w:val="008F5BF4"/>
    <w:rsid w:val="008F74F2"/>
    <w:rsid w:val="009008A3"/>
    <w:rsid w:val="009008D8"/>
    <w:rsid w:val="00900FC3"/>
    <w:rsid w:val="009030CE"/>
    <w:rsid w:val="009031D6"/>
    <w:rsid w:val="00903C04"/>
    <w:rsid w:val="00904122"/>
    <w:rsid w:val="00904256"/>
    <w:rsid w:val="009048D5"/>
    <w:rsid w:val="00904B24"/>
    <w:rsid w:val="009075BF"/>
    <w:rsid w:val="0091083E"/>
    <w:rsid w:val="00910C49"/>
    <w:rsid w:val="00911741"/>
    <w:rsid w:val="00911979"/>
    <w:rsid w:val="00913A28"/>
    <w:rsid w:val="0091433D"/>
    <w:rsid w:val="00914A52"/>
    <w:rsid w:val="00915D2B"/>
    <w:rsid w:val="0092124D"/>
    <w:rsid w:val="00923F36"/>
    <w:rsid w:val="00925B3D"/>
    <w:rsid w:val="0092751D"/>
    <w:rsid w:val="009301A3"/>
    <w:rsid w:val="00931CB5"/>
    <w:rsid w:val="00932643"/>
    <w:rsid w:val="00932A97"/>
    <w:rsid w:val="00933D77"/>
    <w:rsid w:val="009342EA"/>
    <w:rsid w:val="00934C07"/>
    <w:rsid w:val="0093595C"/>
    <w:rsid w:val="0093603D"/>
    <w:rsid w:val="009366E1"/>
    <w:rsid w:val="00936910"/>
    <w:rsid w:val="00937192"/>
    <w:rsid w:val="0093767A"/>
    <w:rsid w:val="0093773B"/>
    <w:rsid w:val="0094012F"/>
    <w:rsid w:val="0094039B"/>
    <w:rsid w:val="00942161"/>
    <w:rsid w:val="00942C11"/>
    <w:rsid w:val="0094581A"/>
    <w:rsid w:val="00947525"/>
    <w:rsid w:val="00950B62"/>
    <w:rsid w:val="009519FD"/>
    <w:rsid w:val="00951A94"/>
    <w:rsid w:val="00952A42"/>
    <w:rsid w:val="00952ECD"/>
    <w:rsid w:val="00953368"/>
    <w:rsid w:val="009546E6"/>
    <w:rsid w:val="009575E0"/>
    <w:rsid w:val="00960A2E"/>
    <w:rsid w:val="00961CFA"/>
    <w:rsid w:val="00961E4F"/>
    <w:rsid w:val="0096351E"/>
    <w:rsid w:val="00963B1D"/>
    <w:rsid w:val="00964118"/>
    <w:rsid w:val="0096775F"/>
    <w:rsid w:val="00967D2D"/>
    <w:rsid w:val="00973534"/>
    <w:rsid w:val="00974C08"/>
    <w:rsid w:val="00975650"/>
    <w:rsid w:val="009778B8"/>
    <w:rsid w:val="00980B5E"/>
    <w:rsid w:val="00980BCB"/>
    <w:rsid w:val="009813D9"/>
    <w:rsid w:val="00981754"/>
    <w:rsid w:val="00981D40"/>
    <w:rsid w:val="00983365"/>
    <w:rsid w:val="00984000"/>
    <w:rsid w:val="00986509"/>
    <w:rsid w:val="009868E8"/>
    <w:rsid w:val="0098700B"/>
    <w:rsid w:val="009905AD"/>
    <w:rsid w:val="0099243D"/>
    <w:rsid w:val="00993DC9"/>
    <w:rsid w:val="0099428F"/>
    <w:rsid w:val="00994744"/>
    <w:rsid w:val="009A334E"/>
    <w:rsid w:val="009A6511"/>
    <w:rsid w:val="009B0288"/>
    <w:rsid w:val="009B2D63"/>
    <w:rsid w:val="009B35E3"/>
    <w:rsid w:val="009C18C4"/>
    <w:rsid w:val="009C27BD"/>
    <w:rsid w:val="009C693D"/>
    <w:rsid w:val="009D3370"/>
    <w:rsid w:val="009D37BE"/>
    <w:rsid w:val="009D522C"/>
    <w:rsid w:val="009D5722"/>
    <w:rsid w:val="009E04FE"/>
    <w:rsid w:val="009E0851"/>
    <w:rsid w:val="009E2AED"/>
    <w:rsid w:val="009E677D"/>
    <w:rsid w:val="009E7A14"/>
    <w:rsid w:val="009E7F90"/>
    <w:rsid w:val="009F10B8"/>
    <w:rsid w:val="009F1E02"/>
    <w:rsid w:val="009F1F91"/>
    <w:rsid w:val="009F25E5"/>
    <w:rsid w:val="009F26BC"/>
    <w:rsid w:val="009F3847"/>
    <w:rsid w:val="009F3E35"/>
    <w:rsid w:val="009F3FCF"/>
    <w:rsid w:val="009F533D"/>
    <w:rsid w:val="009F6508"/>
    <w:rsid w:val="009F726F"/>
    <w:rsid w:val="009F7292"/>
    <w:rsid w:val="009F7347"/>
    <w:rsid w:val="009F7485"/>
    <w:rsid w:val="009F75EA"/>
    <w:rsid w:val="009F795F"/>
    <w:rsid w:val="00A00B71"/>
    <w:rsid w:val="00A00E2A"/>
    <w:rsid w:val="00A02B4E"/>
    <w:rsid w:val="00A02FDA"/>
    <w:rsid w:val="00A033EA"/>
    <w:rsid w:val="00A03720"/>
    <w:rsid w:val="00A110B3"/>
    <w:rsid w:val="00A11C7E"/>
    <w:rsid w:val="00A14359"/>
    <w:rsid w:val="00A14B0A"/>
    <w:rsid w:val="00A14C62"/>
    <w:rsid w:val="00A158D7"/>
    <w:rsid w:val="00A162E3"/>
    <w:rsid w:val="00A16C34"/>
    <w:rsid w:val="00A17169"/>
    <w:rsid w:val="00A2174B"/>
    <w:rsid w:val="00A228CC"/>
    <w:rsid w:val="00A23355"/>
    <w:rsid w:val="00A26E49"/>
    <w:rsid w:val="00A26F71"/>
    <w:rsid w:val="00A31060"/>
    <w:rsid w:val="00A3179F"/>
    <w:rsid w:val="00A31A8D"/>
    <w:rsid w:val="00A31FD7"/>
    <w:rsid w:val="00A32957"/>
    <w:rsid w:val="00A33170"/>
    <w:rsid w:val="00A34087"/>
    <w:rsid w:val="00A34A8D"/>
    <w:rsid w:val="00A37DA1"/>
    <w:rsid w:val="00A4063E"/>
    <w:rsid w:val="00A41BC3"/>
    <w:rsid w:val="00A421E9"/>
    <w:rsid w:val="00A42717"/>
    <w:rsid w:val="00A428AE"/>
    <w:rsid w:val="00A42CDA"/>
    <w:rsid w:val="00A42F6C"/>
    <w:rsid w:val="00A433BA"/>
    <w:rsid w:val="00A43EE8"/>
    <w:rsid w:val="00A451A5"/>
    <w:rsid w:val="00A45D2E"/>
    <w:rsid w:val="00A474D8"/>
    <w:rsid w:val="00A474FF"/>
    <w:rsid w:val="00A475F9"/>
    <w:rsid w:val="00A5087D"/>
    <w:rsid w:val="00A51468"/>
    <w:rsid w:val="00A54854"/>
    <w:rsid w:val="00A54DBA"/>
    <w:rsid w:val="00A5589E"/>
    <w:rsid w:val="00A55A8A"/>
    <w:rsid w:val="00A601E4"/>
    <w:rsid w:val="00A632D5"/>
    <w:rsid w:val="00A64FDC"/>
    <w:rsid w:val="00A6552B"/>
    <w:rsid w:val="00A663B7"/>
    <w:rsid w:val="00A674EC"/>
    <w:rsid w:val="00A70FB3"/>
    <w:rsid w:val="00A710EE"/>
    <w:rsid w:val="00A75B32"/>
    <w:rsid w:val="00A76FF6"/>
    <w:rsid w:val="00A77462"/>
    <w:rsid w:val="00A801C8"/>
    <w:rsid w:val="00A80F8E"/>
    <w:rsid w:val="00A8151F"/>
    <w:rsid w:val="00A815EB"/>
    <w:rsid w:val="00A830A1"/>
    <w:rsid w:val="00A859E7"/>
    <w:rsid w:val="00A876E7"/>
    <w:rsid w:val="00A90D05"/>
    <w:rsid w:val="00A90EBF"/>
    <w:rsid w:val="00A949A5"/>
    <w:rsid w:val="00A95F66"/>
    <w:rsid w:val="00A96C28"/>
    <w:rsid w:val="00A97767"/>
    <w:rsid w:val="00A978C7"/>
    <w:rsid w:val="00AA24B9"/>
    <w:rsid w:val="00AA3055"/>
    <w:rsid w:val="00AA3417"/>
    <w:rsid w:val="00AA5A3E"/>
    <w:rsid w:val="00AA5C79"/>
    <w:rsid w:val="00AB1F70"/>
    <w:rsid w:val="00AB2ABF"/>
    <w:rsid w:val="00AB2D44"/>
    <w:rsid w:val="00AB6E6B"/>
    <w:rsid w:val="00AB7318"/>
    <w:rsid w:val="00AB7E0E"/>
    <w:rsid w:val="00AC15B1"/>
    <w:rsid w:val="00AC1CAB"/>
    <w:rsid w:val="00AC2254"/>
    <w:rsid w:val="00AC2FF2"/>
    <w:rsid w:val="00AC4361"/>
    <w:rsid w:val="00AC566D"/>
    <w:rsid w:val="00AC5E0B"/>
    <w:rsid w:val="00AC7489"/>
    <w:rsid w:val="00AC7977"/>
    <w:rsid w:val="00AC7C97"/>
    <w:rsid w:val="00AD0205"/>
    <w:rsid w:val="00AD03CF"/>
    <w:rsid w:val="00AD2BC3"/>
    <w:rsid w:val="00AD2EF1"/>
    <w:rsid w:val="00AD3953"/>
    <w:rsid w:val="00AD44A4"/>
    <w:rsid w:val="00AD455D"/>
    <w:rsid w:val="00AD6657"/>
    <w:rsid w:val="00AD787B"/>
    <w:rsid w:val="00AD7D9C"/>
    <w:rsid w:val="00AE0570"/>
    <w:rsid w:val="00AE16B0"/>
    <w:rsid w:val="00AE1CD9"/>
    <w:rsid w:val="00AE259D"/>
    <w:rsid w:val="00AE2B19"/>
    <w:rsid w:val="00AE2FF0"/>
    <w:rsid w:val="00AE3107"/>
    <w:rsid w:val="00AE4299"/>
    <w:rsid w:val="00AE48C1"/>
    <w:rsid w:val="00AE57F0"/>
    <w:rsid w:val="00AE751F"/>
    <w:rsid w:val="00AF2DB4"/>
    <w:rsid w:val="00AF408F"/>
    <w:rsid w:val="00AF5C5B"/>
    <w:rsid w:val="00AF7BF2"/>
    <w:rsid w:val="00AF7D01"/>
    <w:rsid w:val="00B00058"/>
    <w:rsid w:val="00B003AC"/>
    <w:rsid w:val="00B00444"/>
    <w:rsid w:val="00B0049A"/>
    <w:rsid w:val="00B019AA"/>
    <w:rsid w:val="00B01A18"/>
    <w:rsid w:val="00B02007"/>
    <w:rsid w:val="00B025ED"/>
    <w:rsid w:val="00B03E6B"/>
    <w:rsid w:val="00B05011"/>
    <w:rsid w:val="00B077C1"/>
    <w:rsid w:val="00B07F2C"/>
    <w:rsid w:val="00B10A79"/>
    <w:rsid w:val="00B1127E"/>
    <w:rsid w:val="00B143D1"/>
    <w:rsid w:val="00B221C2"/>
    <w:rsid w:val="00B229EE"/>
    <w:rsid w:val="00B247B1"/>
    <w:rsid w:val="00B26796"/>
    <w:rsid w:val="00B2684D"/>
    <w:rsid w:val="00B26E3C"/>
    <w:rsid w:val="00B306AA"/>
    <w:rsid w:val="00B31B2C"/>
    <w:rsid w:val="00B34922"/>
    <w:rsid w:val="00B3498D"/>
    <w:rsid w:val="00B4022A"/>
    <w:rsid w:val="00B4053F"/>
    <w:rsid w:val="00B42B42"/>
    <w:rsid w:val="00B4305B"/>
    <w:rsid w:val="00B43869"/>
    <w:rsid w:val="00B43A62"/>
    <w:rsid w:val="00B43DC8"/>
    <w:rsid w:val="00B45983"/>
    <w:rsid w:val="00B46C5E"/>
    <w:rsid w:val="00B52C68"/>
    <w:rsid w:val="00B53225"/>
    <w:rsid w:val="00B53670"/>
    <w:rsid w:val="00B54D86"/>
    <w:rsid w:val="00B55031"/>
    <w:rsid w:val="00B56868"/>
    <w:rsid w:val="00B56C1A"/>
    <w:rsid w:val="00B62479"/>
    <w:rsid w:val="00B62DFB"/>
    <w:rsid w:val="00B634C1"/>
    <w:rsid w:val="00B64519"/>
    <w:rsid w:val="00B6483D"/>
    <w:rsid w:val="00B64D98"/>
    <w:rsid w:val="00B66CAE"/>
    <w:rsid w:val="00B67D35"/>
    <w:rsid w:val="00B73962"/>
    <w:rsid w:val="00B73A03"/>
    <w:rsid w:val="00B74116"/>
    <w:rsid w:val="00B74263"/>
    <w:rsid w:val="00B74D84"/>
    <w:rsid w:val="00B75534"/>
    <w:rsid w:val="00B755A0"/>
    <w:rsid w:val="00B7567B"/>
    <w:rsid w:val="00B76F81"/>
    <w:rsid w:val="00B7705A"/>
    <w:rsid w:val="00B8066E"/>
    <w:rsid w:val="00B82012"/>
    <w:rsid w:val="00B82021"/>
    <w:rsid w:val="00B8213A"/>
    <w:rsid w:val="00B8378D"/>
    <w:rsid w:val="00B83C54"/>
    <w:rsid w:val="00B84870"/>
    <w:rsid w:val="00B84B19"/>
    <w:rsid w:val="00B93BF2"/>
    <w:rsid w:val="00B95B03"/>
    <w:rsid w:val="00B95FF3"/>
    <w:rsid w:val="00B975B8"/>
    <w:rsid w:val="00BA0206"/>
    <w:rsid w:val="00BA0501"/>
    <w:rsid w:val="00BA0AD0"/>
    <w:rsid w:val="00BA0D11"/>
    <w:rsid w:val="00BA359F"/>
    <w:rsid w:val="00BA40F5"/>
    <w:rsid w:val="00BA5D4C"/>
    <w:rsid w:val="00BA69C7"/>
    <w:rsid w:val="00BB1918"/>
    <w:rsid w:val="00BB263C"/>
    <w:rsid w:val="00BB28EB"/>
    <w:rsid w:val="00BB600A"/>
    <w:rsid w:val="00BB6B0C"/>
    <w:rsid w:val="00BB6FEF"/>
    <w:rsid w:val="00BB77DB"/>
    <w:rsid w:val="00BC08A7"/>
    <w:rsid w:val="00BC1960"/>
    <w:rsid w:val="00BC19BF"/>
    <w:rsid w:val="00BD0661"/>
    <w:rsid w:val="00BD102D"/>
    <w:rsid w:val="00BD1DC3"/>
    <w:rsid w:val="00BD289F"/>
    <w:rsid w:val="00BD4ECB"/>
    <w:rsid w:val="00BD54FA"/>
    <w:rsid w:val="00BD5BD2"/>
    <w:rsid w:val="00BE0AC9"/>
    <w:rsid w:val="00BE0CC0"/>
    <w:rsid w:val="00BE248A"/>
    <w:rsid w:val="00BE30BF"/>
    <w:rsid w:val="00BE31AA"/>
    <w:rsid w:val="00BE46CB"/>
    <w:rsid w:val="00BF2818"/>
    <w:rsid w:val="00BF4ACD"/>
    <w:rsid w:val="00BF5A22"/>
    <w:rsid w:val="00BF5A5C"/>
    <w:rsid w:val="00BF62F5"/>
    <w:rsid w:val="00BF662C"/>
    <w:rsid w:val="00BF6982"/>
    <w:rsid w:val="00C02A81"/>
    <w:rsid w:val="00C02F49"/>
    <w:rsid w:val="00C03AAA"/>
    <w:rsid w:val="00C04B12"/>
    <w:rsid w:val="00C06D95"/>
    <w:rsid w:val="00C06FD7"/>
    <w:rsid w:val="00C10480"/>
    <w:rsid w:val="00C1134B"/>
    <w:rsid w:val="00C13F15"/>
    <w:rsid w:val="00C14E27"/>
    <w:rsid w:val="00C1576C"/>
    <w:rsid w:val="00C16781"/>
    <w:rsid w:val="00C17868"/>
    <w:rsid w:val="00C20067"/>
    <w:rsid w:val="00C21CA1"/>
    <w:rsid w:val="00C242DB"/>
    <w:rsid w:val="00C25196"/>
    <w:rsid w:val="00C258CF"/>
    <w:rsid w:val="00C26EB1"/>
    <w:rsid w:val="00C27E3A"/>
    <w:rsid w:val="00C27F65"/>
    <w:rsid w:val="00C31DD1"/>
    <w:rsid w:val="00C33413"/>
    <w:rsid w:val="00C33F21"/>
    <w:rsid w:val="00C34EA3"/>
    <w:rsid w:val="00C36137"/>
    <w:rsid w:val="00C36A46"/>
    <w:rsid w:val="00C37DD6"/>
    <w:rsid w:val="00C42B09"/>
    <w:rsid w:val="00C43AD0"/>
    <w:rsid w:val="00C44887"/>
    <w:rsid w:val="00C45047"/>
    <w:rsid w:val="00C45D6B"/>
    <w:rsid w:val="00C45E44"/>
    <w:rsid w:val="00C4617D"/>
    <w:rsid w:val="00C472D2"/>
    <w:rsid w:val="00C47A6A"/>
    <w:rsid w:val="00C47FD3"/>
    <w:rsid w:val="00C50431"/>
    <w:rsid w:val="00C51937"/>
    <w:rsid w:val="00C553AE"/>
    <w:rsid w:val="00C558D5"/>
    <w:rsid w:val="00C55BCC"/>
    <w:rsid w:val="00C5699B"/>
    <w:rsid w:val="00C57C38"/>
    <w:rsid w:val="00C6208D"/>
    <w:rsid w:val="00C626F2"/>
    <w:rsid w:val="00C63BDB"/>
    <w:rsid w:val="00C65A65"/>
    <w:rsid w:val="00C66B05"/>
    <w:rsid w:val="00C671AE"/>
    <w:rsid w:val="00C6725F"/>
    <w:rsid w:val="00C675A7"/>
    <w:rsid w:val="00C675EA"/>
    <w:rsid w:val="00C71D87"/>
    <w:rsid w:val="00C7402F"/>
    <w:rsid w:val="00C74A20"/>
    <w:rsid w:val="00C74CB4"/>
    <w:rsid w:val="00C760C2"/>
    <w:rsid w:val="00C768A4"/>
    <w:rsid w:val="00C8027B"/>
    <w:rsid w:val="00C80F40"/>
    <w:rsid w:val="00C87BD2"/>
    <w:rsid w:val="00C92A46"/>
    <w:rsid w:val="00CA078E"/>
    <w:rsid w:val="00CA44BE"/>
    <w:rsid w:val="00CA57D0"/>
    <w:rsid w:val="00CA642A"/>
    <w:rsid w:val="00CA6495"/>
    <w:rsid w:val="00CB16E5"/>
    <w:rsid w:val="00CB47CE"/>
    <w:rsid w:val="00CB4E31"/>
    <w:rsid w:val="00CB5B10"/>
    <w:rsid w:val="00CB5B53"/>
    <w:rsid w:val="00CB656B"/>
    <w:rsid w:val="00CB66C9"/>
    <w:rsid w:val="00CB7028"/>
    <w:rsid w:val="00CB74CF"/>
    <w:rsid w:val="00CB7558"/>
    <w:rsid w:val="00CB7C87"/>
    <w:rsid w:val="00CC0A53"/>
    <w:rsid w:val="00CC0C9C"/>
    <w:rsid w:val="00CC10BB"/>
    <w:rsid w:val="00CC2284"/>
    <w:rsid w:val="00CC2EB8"/>
    <w:rsid w:val="00CC3CA3"/>
    <w:rsid w:val="00CC4433"/>
    <w:rsid w:val="00CC4ACD"/>
    <w:rsid w:val="00CC5C25"/>
    <w:rsid w:val="00CC6FA6"/>
    <w:rsid w:val="00CC7C7E"/>
    <w:rsid w:val="00CD02AF"/>
    <w:rsid w:val="00CD037F"/>
    <w:rsid w:val="00CD25F4"/>
    <w:rsid w:val="00CD420D"/>
    <w:rsid w:val="00CD432A"/>
    <w:rsid w:val="00CD4C7A"/>
    <w:rsid w:val="00CD4E8B"/>
    <w:rsid w:val="00CD55A5"/>
    <w:rsid w:val="00CD781E"/>
    <w:rsid w:val="00CD7B86"/>
    <w:rsid w:val="00CE0421"/>
    <w:rsid w:val="00CE0C22"/>
    <w:rsid w:val="00CE3345"/>
    <w:rsid w:val="00CE3519"/>
    <w:rsid w:val="00CE5278"/>
    <w:rsid w:val="00CE69F2"/>
    <w:rsid w:val="00CF0090"/>
    <w:rsid w:val="00CF3410"/>
    <w:rsid w:val="00CF3837"/>
    <w:rsid w:val="00CF39AA"/>
    <w:rsid w:val="00CF4376"/>
    <w:rsid w:val="00CF473C"/>
    <w:rsid w:val="00CF517F"/>
    <w:rsid w:val="00CF592B"/>
    <w:rsid w:val="00CF61C1"/>
    <w:rsid w:val="00CF6BDF"/>
    <w:rsid w:val="00CF7734"/>
    <w:rsid w:val="00CF7CEE"/>
    <w:rsid w:val="00D002BE"/>
    <w:rsid w:val="00D02486"/>
    <w:rsid w:val="00D02A7D"/>
    <w:rsid w:val="00D034EF"/>
    <w:rsid w:val="00D03EE4"/>
    <w:rsid w:val="00D05168"/>
    <w:rsid w:val="00D07539"/>
    <w:rsid w:val="00D103EA"/>
    <w:rsid w:val="00D120B1"/>
    <w:rsid w:val="00D12153"/>
    <w:rsid w:val="00D1254D"/>
    <w:rsid w:val="00D12606"/>
    <w:rsid w:val="00D134A7"/>
    <w:rsid w:val="00D13536"/>
    <w:rsid w:val="00D149F8"/>
    <w:rsid w:val="00D16F0A"/>
    <w:rsid w:val="00D1705B"/>
    <w:rsid w:val="00D1749E"/>
    <w:rsid w:val="00D20402"/>
    <w:rsid w:val="00D20520"/>
    <w:rsid w:val="00D21A31"/>
    <w:rsid w:val="00D21BF5"/>
    <w:rsid w:val="00D21CB2"/>
    <w:rsid w:val="00D22104"/>
    <w:rsid w:val="00D2603E"/>
    <w:rsid w:val="00D2705C"/>
    <w:rsid w:val="00D321C6"/>
    <w:rsid w:val="00D323CB"/>
    <w:rsid w:val="00D33D9B"/>
    <w:rsid w:val="00D34BFE"/>
    <w:rsid w:val="00D353D2"/>
    <w:rsid w:val="00D369DA"/>
    <w:rsid w:val="00D37045"/>
    <w:rsid w:val="00D37B06"/>
    <w:rsid w:val="00D37E55"/>
    <w:rsid w:val="00D411B1"/>
    <w:rsid w:val="00D4139C"/>
    <w:rsid w:val="00D4189B"/>
    <w:rsid w:val="00D41ADF"/>
    <w:rsid w:val="00D42E62"/>
    <w:rsid w:val="00D46FEA"/>
    <w:rsid w:val="00D50AE3"/>
    <w:rsid w:val="00D51EBD"/>
    <w:rsid w:val="00D52B2D"/>
    <w:rsid w:val="00D53760"/>
    <w:rsid w:val="00D537D2"/>
    <w:rsid w:val="00D53A1A"/>
    <w:rsid w:val="00D54F83"/>
    <w:rsid w:val="00D60E77"/>
    <w:rsid w:val="00D62E20"/>
    <w:rsid w:val="00D62FEA"/>
    <w:rsid w:val="00D64531"/>
    <w:rsid w:val="00D67906"/>
    <w:rsid w:val="00D67CC2"/>
    <w:rsid w:val="00D70E1E"/>
    <w:rsid w:val="00D7139D"/>
    <w:rsid w:val="00D73B09"/>
    <w:rsid w:val="00D74C9A"/>
    <w:rsid w:val="00D74D44"/>
    <w:rsid w:val="00D75865"/>
    <w:rsid w:val="00D75B0A"/>
    <w:rsid w:val="00D77950"/>
    <w:rsid w:val="00D805EE"/>
    <w:rsid w:val="00D8106F"/>
    <w:rsid w:val="00D812F6"/>
    <w:rsid w:val="00D815FC"/>
    <w:rsid w:val="00D81DED"/>
    <w:rsid w:val="00D8223D"/>
    <w:rsid w:val="00D82499"/>
    <w:rsid w:val="00D8258F"/>
    <w:rsid w:val="00D8455B"/>
    <w:rsid w:val="00D862B8"/>
    <w:rsid w:val="00D87304"/>
    <w:rsid w:val="00D9077C"/>
    <w:rsid w:val="00D91DAE"/>
    <w:rsid w:val="00D91EB4"/>
    <w:rsid w:val="00D9371F"/>
    <w:rsid w:val="00D937CD"/>
    <w:rsid w:val="00D9384B"/>
    <w:rsid w:val="00D93AE6"/>
    <w:rsid w:val="00D95483"/>
    <w:rsid w:val="00D96681"/>
    <w:rsid w:val="00D971D0"/>
    <w:rsid w:val="00DA0383"/>
    <w:rsid w:val="00DA0498"/>
    <w:rsid w:val="00DA151D"/>
    <w:rsid w:val="00DA1783"/>
    <w:rsid w:val="00DA21EE"/>
    <w:rsid w:val="00DA26AB"/>
    <w:rsid w:val="00DA2865"/>
    <w:rsid w:val="00DA571D"/>
    <w:rsid w:val="00DA62EF"/>
    <w:rsid w:val="00DA6CF3"/>
    <w:rsid w:val="00DA71C7"/>
    <w:rsid w:val="00DB0220"/>
    <w:rsid w:val="00DB1180"/>
    <w:rsid w:val="00DB1CB0"/>
    <w:rsid w:val="00DB5B3E"/>
    <w:rsid w:val="00DB5CFF"/>
    <w:rsid w:val="00DB645C"/>
    <w:rsid w:val="00DB78D2"/>
    <w:rsid w:val="00DC0ED1"/>
    <w:rsid w:val="00DC0F0D"/>
    <w:rsid w:val="00DC1552"/>
    <w:rsid w:val="00DC1AA5"/>
    <w:rsid w:val="00DC3505"/>
    <w:rsid w:val="00DC5A11"/>
    <w:rsid w:val="00DD067A"/>
    <w:rsid w:val="00DD0940"/>
    <w:rsid w:val="00DD1C6F"/>
    <w:rsid w:val="00DD5874"/>
    <w:rsid w:val="00DD5E79"/>
    <w:rsid w:val="00DD6100"/>
    <w:rsid w:val="00DE0216"/>
    <w:rsid w:val="00DE0357"/>
    <w:rsid w:val="00DE0DE2"/>
    <w:rsid w:val="00DE0EEB"/>
    <w:rsid w:val="00DE1A48"/>
    <w:rsid w:val="00DE2E60"/>
    <w:rsid w:val="00DE4675"/>
    <w:rsid w:val="00DE4BAB"/>
    <w:rsid w:val="00DE5327"/>
    <w:rsid w:val="00DE533E"/>
    <w:rsid w:val="00DE6022"/>
    <w:rsid w:val="00DE6AD7"/>
    <w:rsid w:val="00DE7909"/>
    <w:rsid w:val="00DE796D"/>
    <w:rsid w:val="00DF06CF"/>
    <w:rsid w:val="00DF1B15"/>
    <w:rsid w:val="00DF36D5"/>
    <w:rsid w:val="00DF4221"/>
    <w:rsid w:val="00DF426D"/>
    <w:rsid w:val="00DF429A"/>
    <w:rsid w:val="00DF4428"/>
    <w:rsid w:val="00DF46D6"/>
    <w:rsid w:val="00DF4CB3"/>
    <w:rsid w:val="00DF5CA5"/>
    <w:rsid w:val="00DF7C65"/>
    <w:rsid w:val="00E000FE"/>
    <w:rsid w:val="00E00B33"/>
    <w:rsid w:val="00E014FF"/>
    <w:rsid w:val="00E01882"/>
    <w:rsid w:val="00E01D02"/>
    <w:rsid w:val="00E020DB"/>
    <w:rsid w:val="00E023E0"/>
    <w:rsid w:val="00E02A32"/>
    <w:rsid w:val="00E02BAF"/>
    <w:rsid w:val="00E03E5E"/>
    <w:rsid w:val="00E054FE"/>
    <w:rsid w:val="00E056E3"/>
    <w:rsid w:val="00E06B8D"/>
    <w:rsid w:val="00E072DB"/>
    <w:rsid w:val="00E0769C"/>
    <w:rsid w:val="00E1012F"/>
    <w:rsid w:val="00E1141C"/>
    <w:rsid w:val="00E12EA7"/>
    <w:rsid w:val="00E14F82"/>
    <w:rsid w:val="00E15735"/>
    <w:rsid w:val="00E1593F"/>
    <w:rsid w:val="00E169B6"/>
    <w:rsid w:val="00E172AE"/>
    <w:rsid w:val="00E20C8D"/>
    <w:rsid w:val="00E231D8"/>
    <w:rsid w:val="00E2370F"/>
    <w:rsid w:val="00E23830"/>
    <w:rsid w:val="00E23B12"/>
    <w:rsid w:val="00E244D8"/>
    <w:rsid w:val="00E2694A"/>
    <w:rsid w:val="00E27E45"/>
    <w:rsid w:val="00E30AE7"/>
    <w:rsid w:val="00E310CD"/>
    <w:rsid w:val="00E31BF3"/>
    <w:rsid w:val="00E343A3"/>
    <w:rsid w:val="00E34C25"/>
    <w:rsid w:val="00E3677C"/>
    <w:rsid w:val="00E36783"/>
    <w:rsid w:val="00E41D0E"/>
    <w:rsid w:val="00E424F0"/>
    <w:rsid w:val="00E444F6"/>
    <w:rsid w:val="00E46030"/>
    <w:rsid w:val="00E462BE"/>
    <w:rsid w:val="00E4771C"/>
    <w:rsid w:val="00E51B60"/>
    <w:rsid w:val="00E52696"/>
    <w:rsid w:val="00E5542C"/>
    <w:rsid w:val="00E558FA"/>
    <w:rsid w:val="00E559D4"/>
    <w:rsid w:val="00E60F48"/>
    <w:rsid w:val="00E61EC5"/>
    <w:rsid w:val="00E6255F"/>
    <w:rsid w:val="00E62580"/>
    <w:rsid w:val="00E62BC0"/>
    <w:rsid w:val="00E62E7E"/>
    <w:rsid w:val="00E6405F"/>
    <w:rsid w:val="00E64908"/>
    <w:rsid w:val="00E64D58"/>
    <w:rsid w:val="00E655F2"/>
    <w:rsid w:val="00E67F17"/>
    <w:rsid w:val="00E67FB4"/>
    <w:rsid w:val="00E71CE3"/>
    <w:rsid w:val="00E71EA3"/>
    <w:rsid w:val="00E737CD"/>
    <w:rsid w:val="00E74D93"/>
    <w:rsid w:val="00E750D8"/>
    <w:rsid w:val="00E75F2A"/>
    <w:rsid w:val="00E7615C"/>
    <w:rsid w:val="00E76C2C"/>
    <w:rsid w:val="00E76C85"/>
    <w:rsid w:val="00E8194C"/>
    <w:rsid w:val="00E8336B"/>
    <w:rsid w:val="00E84586"/>
    <w:rsid w:val="00E848CF"/>
    <w:rsid w:val="00E909DE"/>
    <w:rsid w:val="00E90BA6"/>
    <w:rsid w:val="00E92F67"/>
    <w:rsid w:val="00E93B7F"/>
    <w:rsid w:val="00E93FE9"/>
    <w:rsid w:val="00E9541F"/>
    <w:rsid w:val="00E9576A"/>
    <w:rsid w:val="00E95F02"/>
    <w:rsid w:val="00E97B6A"/>
    <w:rsid w:val="00E97D1D"/>
    <w:rsid w:val="00EA2851"/>
    <w:rsid w:val="00EA49DE"/>
    <w:rsid w:val="00EA615F"/>
    <w:rsid w:val="00EA64BB"/>
    <w:rsid w:val="00EA6848"/>
    <w:rsid w:val="00EA7B8F"/>
    <w:rsid w:val="00EB09E9"/>
    <w:rsid w:val="00EB2429"/>
    <w:rsid w:val="00EB2686"/>
    <w:rsid w:val="00EB27C1"/>
    <w:rsid w:val="00EB27F6"/>
    <w:rsid w:val="00EB4491"/>
    <w:rsid w:val="00EB4D64"/>
    <w:rsid w:val="00EB535E"/>
    <w:rsid w:val="00EB5D77"/>
    <w:rsid w:val="00EB61B7"/>
    <w:rsid w:val="00EB7DBC"/>
    <w:rsid w:val="00EC08B6"/>
    <w:rsid w:val="00EC18F1"/>
    <w:rsid w:val="00EC3C09"/>
    <w:rsid w:val="00EC4BA9"/>
    <w:rsid w:val="00EC54D4"/>
    <w:rsid w:val="00EC7DDF"/>
    <w:rsid w:val="00EC7E32"/>
    <w:rsid w:val="00ED0A3B"/>
    <w:rsid w:val="00ED168D"/>
    <w:rsid w:val="00ED19F9"/>
    <w:rsid w:val="00ED2A47"/>
    <w:rsid w:val="00ED42B5"/>
    <w:rsid w:val="00ED6A34"/>
    <w:rsid w:val="00ED728E"/>
    <w:rsid w:val="00EE482A"/>
    <w:rsid w:val="00EE6148"/>
    <w:rsid w:val="00EE616E"/>
    <w:rsid w:val="00EF17F9"/>
    <w:rsid w:val="00EF1E0A"/>
    <w:rsid w:val="00EF298E"/>
    <w:rsid w:val="00EF5941"/>
    <w:rsid w:val="00F00F20"/>
    <w:rsid w:val="00F014FC"/>
    <w:rsid w:val="00F03238"/>
    <w:rsid w:val="00F04D8A"/>
    <w:rsid w:val="00F04F4A"/>
    <w:rsid w:val="00F05834"/>
    <w:rsid w:val="00F05DA7"/>
    <w:rsid w:val="00F07F4B"/>
    <w:rsid w:val="00F10C38"/>
    <w:rsid w:val="00F11031"/>
    <w:rsid w:val="00F12FED"/>
    <w:rsid w:val="00F13938"/>
    <w:rsid w:val="00F13E6C"/>
    <w:rsid w:val="00F14452"/>
    <w:rsid w:val="00F17692"/>
    <w:rsid w:val="00F2004A"/>
    <w:rsid w:val="00F21CC2"/>
    <w:rsid w:val="00F226F3"/>
    <w:rsid w:val="00F23716"/>
    <w:rsid w:val="00F2403D"/>
    <w:rsid w:val="00F2449D"/>
    <w:rsid w:val="00F24809"/>
    <w:rsid w:val="00F25C8D"/>
    <w:rsid w:val="00F25ED0"/>
    <w:rsid w:val="00F2698D"/>
    <w:rsid w:val="00F30F7A"/>
    <w:rsid w:val="00F3236B"/>
    <w:rsid w:val="00F325E9"/>
    <w:rsid w:val="00F32767"/>
    <w:rsid w:val="00F32FC2"/>
    <w:rsid w:val="00F33504"/>
    <w:rsid w:val="00F34F53"/>
    <w:rsid w:val="00F35588"/>
    <w:rsid w:val="00F35823"/>
    <w:rsid w:val="00F36439"/>
    <w:rsid w:val="00F37019"/>
    <w:rsid w:val="00F37E6F"/>
    <w:rsid w:val="00F40333"/>
    <w:rsid w:val="00F41A49"/>
    <w:rsid w:val="00F42DF0"/>
    <w:rsid w:val="00F443BE"/>
    <w:rsid w:val="00F454F3"/>
    <w:rsid w:val="00F4738A"/>
    <w:rsid w:val="00F502F7"/>
    <w:rsid w:val="00F50675"/>
    <w:rsid w:val="00F51BC7"/>
    <w:rsid w:val="00F5228D"/>
    <w:rsid w:val="00F52663"/>
    <w:rsid w:val="00F53B2E"/>
    <w:rsid w:val="00F54209"/>
    <w:rsid w:val="00F545D9"/>
    <w:rsid w:val="00F554E0"/>
    <w:rsid w:val="00F557C3"/>
    <w:rsid w:val="00F56E3A"/>
    <w:rsid w:val="00F611F1"/>
    <w:rsid w:val="00F6333D"/>
    <w:rsid w:val="00F6736C"/>
    <w:rsid w:val="00F6742C"/>
    <w:rsid w:val="00F6781F"/>
    <w:rsid w:val="00F7099F"/>
    <w:rsid w:val="00F70A1D"/>
    <w:rsid w:val="00F71238"/>
    <w:rsid w:val="00F71526"/>
    <w:rsid w:val="00F718D4"/>
    <w:rsid w:val="00F72103"/>
    <w:rsid w:val="00F72E6E"/>
    <w:rsid w:val="00F73FF4"/>
    <w:rsid w:val="00F74F79"/>
    <w:rsid w:val="00F76E52"/>
    <w:rsid w:val="00F803E3"/>
    <w:rsid w:val="00F80697"/>
    <w:rsid w:val="00F8188F"/>
    <w:rsid w:val="00F84784"/>
    <w:rsid w:val="00F849A1"/>
    <w:rsid w:val="00F875B4"/>
    <w:rsid w:val="00F93AE4"/>
    <w:rsid w:val="00F9539B"/>
    <w:rsid w:val="00F95C85"/>
    <w:rsid w:val="00F96345"/>
    <w:rsid w:val="00F96920"/>
    <w:rsid w:val="00F97676"/>
    <w:rsid w:val="00F97CB3"/>
    <w:rsid w:val="00FA0111"/>
    <w:rsid w:val="00FA15B0"/>
    <w:rsid w:val="00FA43F4"/>
    <w:rsid w:val="00FA45AC"/>
    <w:rsid w:val="00FA5368"/>
    <w:rsid w:val="00FA5668"/>
    <w:rsid w:val="00FA6670"/>
    <w:rsid w:val="00FA7BFA"/>
    <w:rsid w:val="00FB30E9"/>
    <w:rsid w:val="00FB6F75"/>
    <w:rsid w:val="00FB7708"/>
    <w:rsid w:val="00FC2415"/>
    <w:rsid w:val="00FC2822"/>
    <w:rsid w:val="00FC2ACE"/>
    <w:rsid w:val="00FC4570"/>
    <w:rsid w:val="00FC5483"/>
    <w:rsid w:val="00FC6009"/>
    <w:rsid w:val="00FC7209"/>
    <w:rsid w:val="00FD0C91"/>
    <w:rsid w:val="00FD2DE6"/>
    <w:rsid w:val="00FD4694"/>
    <w:rsid w:val="00FD64B7"/>
    <w:rsid w:val="00FD6F6A"/>
    <w:rsid w:val="00FE017D"/>
    <w:rsid w:val="00FE0867"/>
    <w:rsid w:val="00FE08B3"/>
    <w:rsid w:val="00FE1400"/>
    <w:rsid w:val="00FE2513"/>
    <w:rsid w:val="00FE2B85"/>
    <w:rsid w:val="00FE3B6C"/>
    <w:rsid w:val="00FE5363"/>
    <w:rsid w:val="00FE5D38"/>
    <w:rsid w:val="00FF0987"/>
    <w:rsid w:val="00FF34C4"/>
    <w:rsid w:val="00FF3D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8722BF"/>
  <w15:chartTrackingRefBased/>
  <w15:docId w15:val="{EF373D30-AE1B-48FC-8D2D-932FC9C6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1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61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61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61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61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6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6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6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6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1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61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61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61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61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6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6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6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61BB"/>
    <w:rPr>
      <w:rFonts w:eastAsiaTheme="majorEastAsia" w:cstheme="majorBidi"/>
      <w:color w:val="272727" w:themeColor="text1" w:themeTint="D8"/>
    </w:rPr>
  </w:style>
  <w:style w:type="paragraph" w:styleId="Title">
    <w:name w:val="Title"/>
    <w:basedOn w:val="Normal"/>
    <w:next w:val="Normal"/>
    <w:link w:val="TitleChar"/>
    <w:uiPriority w:val="10"/>
    <w:qFormat/>
    <w:rsid w:val="003A6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6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6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61BB"/>
    <w:pPr>
      <w:spacing w:before="160"/>
      <w:jc w:val="center"/>
    </w:pPr>
    <w:rPr>
      <w:i/>
      <w:iCs/>
      <w:color w:val="404040" w:themeColor="text1" w:themeTint="BF"/>
    </w:rPr>
  </w:style>
  <w:style w:type="character" w:customStyle="1" w:styleId="QuoteChar">
    <w:name w:val="Quote Char"/>
    <w:basedOn w:val="DefaultParagraphFont"/>
    <w:link w:val="Quote"/>
    <w:uiPriority w:val="29"/>
    <w:rsid w:val="003A61BB"/>
    <w:rPr>
      <w:i/>
      <w:iCs/>
      <w:color w:val="404040" w:themeColor="text1" w:themeTint="BF"/>
    </w:rPr>
  </w:style>
  <w:style w:type="paragraph" w:styleId="ListParagraph">
    <w:name w:val="List Paragraph"/>
    <w:basedOn w:val="Normal"/>
    <w:uiPriority w:val="34"/>
    <w:qFormat/>
    <w:rsid w:val="003A61BB"/>
    <w:pPr>
      <w:ind w:left="720"/>
      <w:contextualSpacing/>
    </w:pPr>
  </w:style>
  <w:style w:type="character" w:styleId="IntenseEmphasis">
    <w:name w:val="Intense Emphasis"/>
    <w:basedOn w:val="DefaultParagraphFont"/>
    <w:uiPriority w:val="21"/>
    <w:qFormat/>
    <w:rsid w:val="003A61BB"/>
    <w:rPr>
      <w:i/>
      <w:iCs/>
      <w:color w:val="0F4761" w:themeColor="accent1" w:themeShade="BF"/>
    </w:rPr>
  </w:style>
  <w:style w:type="paragraph" w:styleId="IntenseQuote">
    <w:name w:val="Intense Quote"/>
    <w:basedOn w:val="Normal"/>
    <w:next w:val="Normal"/>
    <w:link w:val="IntenseQuoteChar"/>
    <w:uiPriority w:val="30"/>
    <w:qFormat/>
    <w:rsid w:val="003A61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61BB"/>
    <w:rPr>
      <w:i/>
      <w:iCs/>
      <w:color w:val="0F4761" w:themeColor="accent1" w:themeShade="BF"/>
    </w:rPr>
  </w:style>
  <w:style w:type="character" w:styleId="IntenseReference">
    <w:name w:val="Intense Reference"/>
    <w:basedOn w:val="DefaultParagraphFont"/>
    <w:uiPriority w:val="32"/>
    <w:qFormat/>
    <w:rsid w:val="003A61BB"/>
    <w:rPr>
      <w:b/>
      <w:bCs/>
      <w:smallCaps/>
      <w:color w:val="0F4761" w:themeColor="accent1" w:themeShade="BF"/>
      <w:spacing w:val="5"/>
    </w:rPr>
  </w:style>
  <w:style w:type="paragraph" w:styleId="Header">
    <w:name w:val="header"/>
    <w:basedOn w:val="Normal"/>
    <w:link w:val="HeaderChar"/>
    <w:uiPriority w:val="99"/>
    <w:unhideWhenUsed/>
    <w:rsid w:val="00E444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44F6"/>
  </w:style>
  <w:style w:type="paragraph" w:styleId="Footer">
    <w:name w:val="footer"/>
    <w:basedOn w:val="Normal"/>
    <w:link w:val="FooterChar"/>
    <w:uiPriority w:val="99"/>
    <w:unhideWhenUsed/>
    <w:rsid w:val="00E444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44F6"/>
  </w:style>
  <w:style w:type="character" w:styleId="Hyperlink">
    <w:name w:val="Hyperlink"/>
    <w:basedOn w:val="DefaultParagraphFont"/>
    <w:uiPriority w:val="99"/>
    <w:unhideWhenUsed/>
    <w:rsid w:val="00CF7CEE"/>
    <w:rPr>
      <w:color w:val="467886" w:themeColor="hyperlink"/>
      <w:u w:val="single"/>
    </w:rPr>
  </w:style>
  <w:style w:type="character" w:styleId="UnresolvedMention">
    <w:name w:val="Unresolved Mention"/>
    <w:basedOn w:val="DefaultParagraphFont"/>
    <w:uiPriority w:val="99"/>
    <w:semiHidden/>
    <w:unhideWhenUsed/>
    <w:rsid w:val="00DF426D"/>
    <w:rPr>
      <w:color w:val="605E5C"/>
      <w:shd w:val="clear" w:color="auto" w:fill="E1DFDD"/>
    </w:rPr>
  </w:style>
  <w:style w:type="paragraph" w:styleId="TOCHeading">
    <w:name w:val="TOC Heading"/>
    <w:basedOn w:val="Heading1"/>
    <w:next w:val="Normal"/>
    <w:uiPriority w:val="39"/>
    <w:unhideWhenUsed/>
    <w:qFormat/>
    <w:rsid w:val="007701F0"/>
    <w:pPr>
      <w:spacing w:before="240" w:after="0"/>
      <w:outlineLvl w:val="9"/>
    </w:pPr>
    <w:rPr>
      <w:kern w:val="0"/>
      <w:sz w:val="32"/>
      <w:szCs w:val="32"/>
      <w14:ligatures w14:val="none"/>
    </w:rPr>
  </w:style>
  <w:style w:type="paragraph" w:styleId="TOC2">
    <w:name w:val="toc 2"/>
    <w:basedOn w:val="Normal"/>
    <w:next w:val="Normal"/>
    <w:autoRedefine/>
    <w:uiPriority w:val="39"/>
    <w:unhideWhenUsed/>
    <w:rsid w:val="007701F0"/>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7701F0"/>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7701F0"/>
    <w:pPr>
      <w:spacing w:after="100"/>
      <w:ind w:left="440"/>
    </w:pPr>
    <w:rPr>
      <w:rFonts w:eastAsiaTheme="minorEastAsia" w:cs="Times New Roman"/>
      <w:kern w:val="0"/>
      <w14:ligatures w14:val="none"/>
    </w:rPr>
  </w:style>
  <w:style w:type="table" w:customStyle="1" w:styleId="GridTable4-Accent11">
    <w:name w:val="Grid Table 4 - Accent 11"/>
    <w:basedOn w:val="TableNormal"/>
    <w:next w:val="GridTable4-Accent1"/>
    <w:uiPriority w:val="49"/>
    <w:rsid w:val="00A41BC3"/>
    <w:pPr>
      <w:spacing w:after="0" w:line="240" w:lineRule="auto"/>
      <w:ind w:hanging="576"/>
      <w:jc w:val="both"/>
    </w:p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4-Accent1">
    <w:name w:val="Grid Table 4 Accent 1"/>
    <w:basedOn w:val="TableNormal"/>
    <w:uiPriority w:val="49"/>
    <w:rsid w:val="00A41BC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TableGrid">
    <w:name w:val="Table Grid"/>
    <w:basedOn w:val="TableNormal"/>
    <w:uiPriority w:val="39"/>
    <w:rsid w:val="001D52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702B2"/>
    <w:rPr>
      <w:rFonts w:ascii="Times New Roman" w:hAnsi="Times New Roman" w:cs="Times New Roman"/>
      <w:sz w:val="24"/>
      <w:szCs w:val="24"/>
    </w:rPr>
  </w:style>
  <w:style w:type="paragraph" w:styleId="Caption">
    <w:name w:val="caption"/>
    <w:basedOn w:val="Normal"/>
    <w:next w:val="Normal"/>
    <w:uiPriority w:val="35"/>
    <w:unhideWhenUsed/>
    <w:qFormat/>
    <w:rsid w:val="00666CCE"/>
    <w:pPr>
      <w:spacing w:after="200" w:line="240" w:lineRule="auto"/>
    </w:pPr>
    <w:rPr>
      <w:i/>
      <w:iCs/>
      <w:color w:val="0E2841" w:themeColor="text2"/>
      <w:sz w:val="18"/>
      <w:szCs w:val="18"/>
    </w:rPr>
  </w:style>
  <w:style w:type="character" w:styleId="Strong">
    <w:name w:val="Strong"/>
    <w:basedOn w:val="DefaultParagraphFont"/>
    <w:uiPriority w:val="22"/>
    <w:qFormat/>
    <w:rsid w:val="00DF7C65"/>
    <w:rPr>
      <w:b/>
      <w:bCs/>
    </w:rPr>
  </w:style>
  <w:style w:type="numbering" w:customStyle="1" w:styleId="CurrentList1">
    <w:name w:val="Current List1"/>
    <w:uiPriority w:val="99"/>
    <w:rsid w:val="002F4002"/>
    <w:pPr>
      <w:numPr>
        <w:numId w:val="9"/>
      </w:numPr>
    </w:pPr>
  </w:style>
  <w:style w:type="character" w:styleId="Emphasis">
    <w:name w:val="Emphasis"/>
    <w:basedOn w:val="DefaultParagraphFont"/>
    <w:uiPriority w:val="20"/>
    <w:qFormat/>
    <w:rsid w:val="00D91DA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187">
      <w:bodyDiv w:val="1"/>
      <w:marLeft w:val="0"/>
      <w:marRight w:val="0"/>
      <w:marTop w:val="0"/>
      <w:marBottom w:val="0"/>
      <w:divBdr>
        <w:top w:val="none" w:sz="0" w:space="0" w:color="auto"/>
        <w:left w:val="none" w:sz="0" w:space="0" w:color="auto"/>
        <w:bottom w:val="none" w:sz="0" w:space="0" w:color="auto"/>
        <w:right w:val="none" w:sz="0" w:space="0" w:color="auto"/>
      </w:divBdr>
    </w:div>
    <w:div w:id="3360692">
      <w:bodyDiv w:val="1"/>
      <w:marLeft w:val="0"/>
      <w:marRight w:val="0"/>
      <w:marTop w:val="0"/>
      <w:marBottom w:val="0"/>
      <w:divBdr>
        <w:top w:val="none" w:sz="0" w:space="0" w:color="auto"/>
        <w:left w:val="none" w:sz="0" w:space="0" w:color="auto"/>
        <w:bottom w:val="none" w:sz="0" w:space="0" w:color="auto"/>
        <w:right w:val="none" w:sz="0" w:space="0" w:color="auto"/>
      </w:divBdr>
    </w:div>
    <w:div w:id="16586918">
      <w:bodyDiv w:val="1"/>
      <w:marLeft w:val="0"/>
      <w:marRight w:val="0"/>
      <w:marTop w:val="0"/>
      <w:marBottom w:val="0"/>
      <w:divBdr>
        <w:top w:val="none" w:sz="0" w:space="0" w:color="auto"/>
        <w:left w:val="none" w:sz="0" w:space="0" w:color="auto"/>
        <w:bottom w:val="none" w:sz="0" w:space="0" w:color="auto"/>
        <w:right w:val="none" w:sz="0" w:space="0" w:color="auto"/>
      </w:divBdr>
    </w:div>
    <w:div w:id="40598513">
      <w:bodyDiv w:val="1"/>
      <w:marLeft w:val="0"/>
      <w:marRight w:val="0"/>
      <w:marTop w:val="0"/>
      <w:marBottom w:val="0"/>
      <w:divBdr>
        <w:top w:val="none" w:sz="0" w:space="0" w:color="auto"/>
        <w:left w:val="none" w:sz="0" w:space="0" w:color="auto"/>
        <w:bottom w:val="none" w:sz="0" w:space="0" w:color="auto"/>
        <w:right w:val="none" w:sz="0" w:space="0" w:color="auto"/>
      </w:divBdr>
    </w:div>
    <w:div w:id="59444981">
      <w:bodyDiv w:val="1"/>
      <w:marLeft w:val="0"/>
      <w:marRight w:val="0"/>
      <w:marTop w:val="0"/>
      <w:marBottom w:val="0"/>
      <w:divBdr>
        <w:top w:val="none" w:sz="0" w:space="0" w:color="auto"/>
        <w:left w:val="none" w:sz="0" w:space="0" w:color="auto"/>
        <w:bottom w:val="none" w:sz="0" w:space="0" w:color="auto"/>
        <w:right w:val="none" w:sz="0" w:space="0" w:color="auto"/>
      </w:divBdr>
      <w:divsChild>
        <w:div w:id="509830291">
          <w:marLeft w:val="0"/>
          <w:marRight w:val="0"/>
          <w:marTop w:val="0"/>
          <w:marBottom w:val="0"/>
          <w:divBdr>
            <w:top w:val="none" w:sz="0" w:space="0" w:color="auto"/>
            <w:left w:val="none" w:sz="0" w:space="0" w:color="auto"/>
            <w:bottom w:val="none" w:sz="0" w:space="0" w:color="auto"/>
            <w:right w:val="none" w:sz="0" w:space="0" w:color="auto"/>
          </w:divBdr>
        </w:div>
      </w:divsChild>
    </w:div>
    <w:div w:id="100927014">
      <w:bodyDiv w:val="1"/>
      <w:marLeft w:val="0"/>
      <w:marRight w:val="0"/>
      <w:marTop w:val="0"/>
      <w:marBottom w:val="0"/>
      <w:divBdr>
        <w:top w:val="none" w:sz="0" w:space="0" w:color="auto"/>
        <w:left w:val="none" w:sz="0" w:space="0" w:color="auto"/>
        <w:bottom w:val="none" w:sz="0" w:space="0" w:color="auto"/>
        <w:right w:val="none" w:sz="0" w:space="0" w:color="auto"/>
      </w:divBdr>
    </w:div>
    <w:div w:id="130708159">
      <w:bodyDiv w:val="1"/>
      <w:marLeft w:val="0"/>
      <w:marRight w:val="0"/>
      <w:marTop w:val="0"/>
      <w:marBottom w:val="0"/>
      <w:divBdr>
        <w:top w:val="none" w:sz="0" w:space="0" w:color="auto"/>
        <w:left w:val="none" w:sz="0" w:space="0" w:color="auto"/>
        <w:bottom w:val="none" w:sz="0" w:space="0" w:color="auto"/>
        <w:right w:val="none" w:sz="0" w:space="0" w:color="auto"/>
      </w:divBdr>
      <w:divsChild>
        <w:div w:id="1627201548">
          <w:marLeft w:val="0"/>
          <w:marRight w:val="0"/>
          <w:marTop w:val="0"/>
          <w:marBottom w:val="0"/>
          <w:divBdr>
            <w:top w:val="none" w:sz="0" w:space="0" w:color="auto"/>
            <w:left w:val="none" w:sz="0" w:space="0" w:color="auto"/>
            <w:bottom w:val="none" w:sz="0" w:space="0" w:color="auto"/>
            <w:right w:val="none" w:sz="0" w:space="0" w:color="auto"/>
          </w:divBdr>
        </w:div>
      </w:divsChild>
    </w:div>
    <w:div w:id="139461340">
      <w:bodyDiv w:val="1"/>
      <w:marLeft w:val="0"/>
      <w:marRight w:val="0"/>
      <w:marTop w:val="0"/>
      <w:marBottom w:val="0"/>
      <w:divBdr>
        <w:top w:val="none" w:sz="0" w:space="0" w:color="auto"/>
        <w:left w:val="none" w:sz="0" w:space="0" w:color="auto"/>
        <w:bottom w:val="none" w:sz="0" w:space="0" w:color="auto"/>
        <w:right w:val="none" w:sz="0" w:space="0" w:color="auto"/>
      </w:divBdr>
    </w:div>
    <w:div w:id="142695964">
      <w:bodyDiv w:val="1"/>
      <w:marLeft w:val="0"/>
      <w:marRight w:val="0"/>
      <w:marTop w:val="0"/>
      <w:marBottom w:val="0"/>
      <w:divBdr>
        <w:top w:val="none" w:sz="0" w:space="0" w:color="auto"/>
        <w:left w:val="none" w:sz="0" w:space="0" w:color="auto"/>
        <w:bottom w:val="none" w:sz="0" w:space="0" w:color="auto"/>
        <w:right w:val="none" w:sz="0" w:space="0" w:color="auto"/>
      </w:divBdr>
    </w:div>
    <w:div w:id="144055467">
      <w:bodyDiv w:val="1"/>
      <w:marLeft w:val="0"/>
      <w:marRight w:val="0"/>
      <w:marTop w:val="0"/>
      <w:marBottom w:val="0"/>
      <w:divBdr>
        <w:top w:val="none" w:sz="0" w:space="0" w:color="auto"/>
        <w:left w:val="none" w:sz="0" w:space="0" w:color="auto"/>
        <w:bottom w:val="none" w:sz="0" w:space="0" w:color="auto"/>
        <w:right w:val="none" w:sz="0" w:space="0" w:color="auto"/>
      </w:divBdr>
    </w:div>
    <w:div w:id="145555686">
      <w:bodyDiv w:val="1"/>
      <w:marLeft w:val="0"/>
      <w:marRight w:val="0"/>
      <w:marTop w:val="0"/>
      <w:marBottom w:val="0"/>
      <w:divBdr>
        <w:top w:val="none" w:sz="0" w:space="0" w:color="auto"/>
        <w:left w:val="none" w:sz="0" w:space="0" w:color="auto"/>
        <w:bottom w:val="none" w:sz="0" w:space="0" w:color="auto"/>
        <w:right w:val="none" w:sz="0" w:space="0" w:color="auto"/>
      </w:divBdr>
      <w:divsChild>
        <w:div w:id="422186769">
          <w:marLeft w:val="0"/>
          <w:marRight w:val="0"/>
          <w:marTop w:val="0"/>
          <w:marBottom w:val="0"/>
          <w:divBdr>
            <w:top w:val="none" w:sz="0" w:space="0" w:color="auto"/>
            <w:left w:val="none" w:sz="0" w:space="0" w:color="auto"/>
            <w:bottom w:val="none" w:sz="0" w:space="0" w:color="auto"/>
            <w:right w:val="none" w:sz="0" w:space="0" w:color="auto"/>
          </w:divBdr>
        </w:div>
      </w:divsChild>
    </w:div>
    <w:div w:id="154688458">
      <w:bodyDiv w:val="1"/>
      <w:marLeft w:val="0"/>
      <w:marRight w:val="0"/>
      <w:marTop w:val="0"/>
      <w:marBottom w:val="0"/>
      <w:divBdr>
        <w:top w:val="none" w:sz="0" w:space="0" w:color="auto"/>
        <w:left w:val="none" w:sz="0" w:space="0" w:color="auto"/>
        <w:bottom w:val="none" w:sz="0" w:space="0" w:color="auto"/>
        <w:right w:val="none" w:sz="0" w:space="0" w:color="auto"/>
      </w:divBdr>
      <w:divsChild>
        <w:div w:id="513690920">
          <w:marLeft w:val="0"/>
          <w:marRight w:val="0"/>
          <w:marTop w:val="0"/>
          <w:marBottom w:val="0"/>
          <w:divBdr>
            <w:top w:val="none" w:sz="0" w:space="0" w:color="auto"/>
            <w:left w:val="none" w:sz="0" w:space="0" w:color="auto"/>
            <w:bottom w:val="none" w:sz="0" w:space="0" w:color="auto"/>
            <w:right w:val="none" w:sz="0" w:space="0" w:color="auto"/>
          </w:divBdr>
        </w:div>
      </w:divsChild>
    </w:div>
    <w:div w:id="199249531">
      <w:bodyDiv w:val="1"/>
      <w:marLeft w:val="0"/>
      <w:marRight w:val="0"/>
      <w:marTop w:val="0"/>
      <w:marBottom w:val="0"/>
      <w:divBdr>
        <w:top w:val="none" w:sz="0" w:space="0" w:color="auto"/>
        <w:left w:val="none" w:sz="0" w:space="0" w:color="auto"/>
        <w:bottom w:val="none" w:sz="0" w:space="0" w:color="auto"/>
        <w:right w:val="none" w:sz="0" w:space="0" w:color="auto"/>
      </w:divBdr>
    </w:div>
    <w:div w:id="200213047">
      <w:bodyDiv w:val="1"/>
      <w:marLeft w:val="0"/>
      <w:marRight w:val="0"/>
      <w:marTop w:val="0"/>
      <w:marBottom w:val="0"/>
      <w:divBdr>
        <w:top w:val="none" w:sz="0" w:space="0" w:color="auto"/>
        <w:left w:val="none" w:sz="0" w:space="0" w:color="auto"/>
        <w:bottom w:val="none" w:sz="0" w:space="0" w:color="auto"/>
        <w:right w:val="none" w:sz="0" w:space="0" w:color="auto"/>
      </w:divBdr>
    </w:div>
    <w:div w:id="225461074">
      <w:bodyDiv w:val="1"/>
      <w:marLeft w:val="0"/>
      <w:marRight w:val="0"/>
      <w:marTop w:val="0"/>
      <w:marBottom w:val="0"/>
      <w:divBdr>
        <w:top w:val="none" w:sz="0" w:space="0" w:color="auto"/>
        <w:left w:val="none" w:sz="0" w:space="0" w:color="auto"/>
        <w:bottom w:val="none" w:sz="0" w:space="0" w:color="auto"/>
        <w:right w:val="none" w:sz="0" w:space="0" w:color="auto"/>
      </w:divBdr>
    </w:div>
    <w:div w:id="234824381">
      <w:bodyDiv w:val="1"/>
      <w:marLeft w:val="0"/>
      <w:marRight w:val="0"/>
      <w:marTop w:val="0"/>
      <w:marBottom w:val="0"/>
      <w:divBdr>
        <w:top w:val="none" w:sz="0" w:space="0" w:color="auto"/>
        <w:left w:val="none" w:sz="0" w:space="0" w:color="auto"/>
        <w:bottom w:val="none" w:sz="0" w:space="0" w:color="auto"/>
        <w:right w:val="none" w:sz="0" w:space="0" w:color="auto"/>
      </w:divBdr>
    </w:div>
    <w:div w:id="262148048">
      <w:bodyDiv w:val="1"/>
      <w:marLeft w:val="0"/>
      <w:marRight w:val="0"/>
      <w:marTop w:val="0"/>
      <w:marBottom w:val="0"/>
      <w:divBdr>
        <w:top w:val="none" w:sz="0" w:space="0" w:color="auto"/>
        <w:left w:val="none" w:sz="0" w:space="0" w:color="auto"/>
        <w:bottom w:val="none" w:sz="0" w:space="0" w:color="auto"/>
        <w:right w:val="none" w:sz="0" w:space="0" w:color="auto"/>
      </w:divBdr>
    </w:div>
    <w:div w:id="293023365">
      <w:bodyDiv w:val="1"/>
      <w:marLeft w:val="0"/>
      <w:marRight w:val="0"/>
      <w:marTop w:val="0"/>
      <w:marBottom w:val="0"/>
      <w:divBdr>
        <w:top w:val="none" w:sz="0" w:space="0" w:color="auto"/>
        <w:left w:val="none" w:sz="0" w:space="0" w:color="auto"/>
        <w:bottom w:val="none" w:sz="0" w:space="0" w:color="auto"/>
        <w:right w:val="none" w:sz="0" w:space="0" w:color="auto"/>
      </w:divBdr>
      <w:divsChild>
        <w:div w:id="2113931545">
          <w:marLeft w:val="0"/>
          <w:marRight w:val="0"/>
          <w:marTop w:val="0"/>
          <w:marBottom w:val="0"/>
          <w:divBdr>
            <w:top w:val="none" w:sz="0" w:space="0" w:color="auto"/>
            <w:left w:val="none" w:sz="0" w:space="0" w:color="auto"/>
            <w:bottom w:val="none" w:sz="0" w:space="0" w:color="auto"/>
            <w:right w:val="none" w:sz="0" w:space="0" w:color="auto"/>
          </w:divBdr>
        </w:div>
      </w:divsChild>
    </w:div>
    <w:div w:id="305014474">
      <w:bodyDiv w:val="1"/>
      <w:marLeft w:val="0"/>
      <w:marRight w:val="0"/>
      <w:marTop w:val="0"/>
      <w:marBottom w:val="0"/>
      <w:divBdr>
        <w:top w:val="none" w:sz="0" w:space="0" w:color="auto"/>
        <w:left w:val="none" w:sz="0" w:space="0" w:color="auto"/>
        <w:bottom w:val="none" w:sz="0" w:space="0" w:color="auto"/>
        <w:right w:val="none" w:sz="0" w:space="0" w:color="auto"/>
      </w:divBdr>
    </w:div>
    <w:div w:id="346297896">
      <w:bodyDiv w:val="1"/>
      <w:marLeft w:val="0"/>
      <w:marRight w:val="0"/>
      <w:marTop w:val="0"/>
      <w:marBottom w:val="0"/>
      <w:divBdr>
        <w:top w:val="none" w:sz="0" w:space="0" w:color="auto"/>
        <w:left w:val="none" w:sz="0" w:space="0" w:color="auto"/>
        <w:bottom w:val="none" w:sz="0" w:space="0" w:color="auto"/>
        <w:right w:val="none" w:sz="0" w:space="0" w:color="auto"/>
      </w:divBdr>
      <w:divsChild>
        <w:div w:id="567302341">
          <w:marLeft w:val="0"/>
          <w:marRight w:val="0"/>
          <w:marTop w:val="0"/>
          <w:marBottom w:val="0"/>
          <w:divBdr>
            <w:top w:val="none" w:sz="0" w:space="0" w:color="auto"/>
            <w:left w:val="none" w:sz="0" w:space="0" w:color="auto"/>
            <w:bottom w:val="none" w:sz="0" w:space="0" w:color="auto"/>
            <w:right w:val="none" w:sz="0" w:space="0" w:color="auto"/>
          </w:divBdr>
        </w:div>
      </w:divsChild>
    </w:div>
    <w:div w:id="408308316">
      <w:bodyDiv w:val="1"/>
      <w:marLeft w:val="0"/>
      <w:marRight w:val="0"/>
      <w:marTop w:val="0"/>
      <w:marBottom w:val="0"/>
      <w:divBdr>
        <w:top w:val="none" w:sz="0" w:space="0" w:color="auto"/>
        <w:left w:val="none" w:sz="0" w:space="0" w:color="auto"/>
        <w:bottom w:val="none" w:sz="0" w:space="0" w:color="auto"/>
        <w:right w:val="none" w:sz="0" w:space="0" w:color="auto"/>
      </w:divBdr>
    </w:div>
    <w:div w:id="436368324">
      <w:bodyDiv w:val="1"/>
      <w:marLeft w:val="0"/>
      <w:marRight w:val="0"/>
      <w:marTop w:val="0"/>
      <w:marBottom w:val="0"/>
      <w:divBdr>
        <w:top w:val="none" w:sz="0" w:space="0" w:color="auto"/>
        <w:left w:val="none" w:sz="0" w:space="0" w:color="auto"/>
        <w:bottom w:val="none" w:sz="0" w:space="0" w:color="auto"/>
        <w:right w:val="none" w:sz="0" w:space="0" w:color="auto"/>
      </w:divBdr>
    </w:div>
    <w:div w:id="469401032">
      <w:bodyDiv w:val="1"/>
      <w:marLeft w:val="0"/>
      <w:marRight w:val="0"/>
      <w:marTop w:val="0"/>
      <w:marBottom w:val="0"/>
      <w:divBdr>
        <w:top w:val="none" w:sz="0" w:space="0" w:color="auto"/>
        <w:left w:val="none" w:sz="0" w:space="0" w:color="auto"/>
        <w:bottom w:val="none" w:sz="0" w:space="0" w:color="auto"/>
        <w:right w:val="none" w:sz="0" w:space="0" w:color="auto"/>
      </w:divBdr>
      <w:divsChild>
        <w:div w:id="43264304">
          <w:marLeft w:val="0"/>
          <w:marRight w:val="0"/>
          <w:marTop w:val="0"/>
          <w:marBottom w:val="0"/>
          <w:divBdr>
            <w:top w:val="none" w:sz="0" w:space="0" w:color="auto"/>
            <w:left w:val="none" w:sz="0" w:space="0" w:color="auto"/>
            <w:bottom w:val="none" w:sz="0" w:space="0" w:color="auto"/>
            <w:right w:val="none" w:sz="0" w:space="0" w:color="auto"/>
          </w:divBdr>
        </w:div>
      </w:divsChild>
    </w:div>
    <w:div w:id="575558939">
      <w:bodyDiv w:val="1"/>
      <w:marLeft w:val="0"/>
      <w:marRight w:val="0"/>
      <w:marTop w:val="0"/>
      <w:marBottom w:val="0"/>
      <w:divBdr>
        <w:top w:val="none" w:sz="0" w:space="0" w:color="auto"/>
        <w:left w:val="none" w:sz="0" w:space="0" w:color="auto"/>
        <w:bottom w:val="none" w:sz="0" w:space="0" w:color="auto"/>
        <w:right w:val="none" w:sz="0" w:space="0" w:color="auto"/>
      </w:divBdr>
      <w:divsChild>
        <w:div w:id="64888324">
          <w:marLeft w:val="0"/>
          <w:marRight w:val="0"/>
          <w:marTop w:val="0"/>
          <w:marBottom w:val="0"/>
          <w:divBdr>
            <w:top w:val="none" w:sz="0" w:space="0" w:color="auto"/>
            <w:left w:val="none" w:sz="0" w:space="0" w:color="auto"/>
            <w:bottom w:val="none" w:sz="0" w:space="0" w:color="auto"/>
            <w:right w:val="none" w:sz="0" w:space="0" w:color="auto"/>
          </w:divBdr>
        </w:div>
      </w:divsChild>
    </w:div>
    <w:div w:id="596711554">
      <w:bodyDiv w:val="1"/>
      <w:marLeft w:val="0"/>
      <w:marRight w:val="0"/>
      <w:marTop w:val="0"/>
      <w:marBottom w:val="0"/>
      <w:divBdr>
        <w:top w:val="none" w:sz="0" w:space="0" w:color="auto"/>
        <w:left w:val="none" w:sz="0" w:space="0" w:color="auto"/>
        <w:bottom w:val="none" w:sz="0" w:space="0" w:color="auto"/>
        <w:right w:val="none" w:sz="0" w:space="0" w:color="auto"/>
      </w:divBdr>
      <w:divsChild>
        <w:div w:id="644284644">
          <w:marLeft w:val="0"/>
          <w:marRight w:val="0"/>
          <w:marTop w:val="0"/>
          <w:marBottom w:val="0"/>
          <w:divBdr>
            <w:top w:val="none" w:sz="0" w:space="0" w:color="auto"/>
            <w:left w:val="none" w:sz="0" w:space="0" w:color="auto"/>
            <w:bottom w:val="none" w:sz="0" w:space="0" w:color="auto"/>
            <w:right w:val="none" w:sz="0" w:space="0" w:color="auto"/>
          </w:divBdr>
        </w:div>
      </w:divsChild>
    </w:div>
    <w:div w:id="605190067">
      <w:bodyDiv w:val="1"/>
      <w:marLeft w:val="0"/>
      <w:marRight w:val="0"/>
      <w:marTop w:val="0"/>
      <w:marBottom w:val="0"/>
      <w:divBdr>
        <w:top w:val="none" w:sz="0" w:space="0" w:color="auto"/>
        <w:left w:val="none" w:sz="0" w:space="0" w:color="auto"/>
        <w:bottom w:val="none" w:sz="0" w:space="0" w:color="auto"/>
        <w:right w:val="none" w:sz="0" w:space="0" w:color="auto"/>
      </w:divBdr>
    </w:div>
    <w:div w:id="613899969">
      <w:bodyDiv w:val="1"/>
      <w:marLeft w:val="0"/>
      <w:marRight w:val="0"/>
      <w:marTop w:val="0"/>
      <w:marBottom w:val="0"/>
      <w:divBdr>
        <w:top w:val="none" w:sz="0" w:space="0" w:color="auto"/>
        <w:left w:val="none" w:sz="0" w:space="0" w:color="auto"/>
        <w:bottom w:val="none" w:sz="0" w:space="0" w:color="auto"/>
        <w:right w:val="none" w:sz="0" w:space="0" w:color="auto"/>
      </w:divBdr>
    </w:div>
    <w:div w:id="617293752">
      <w:bodyDiv w:val="1"/>
      <w:marLeft w:val="0"/>
      <w:marRight w:val="0"/>
      <w:marTop w:val="0"/>
      <w:marBottom w:val="0"/>
      <w:divBdr>
        <w:top w:val="none" w:sz="0" w:space="0" w:color="auto"/>
        <w:left w:val="none" w:sz="0" w:space="0" w:color="auto"/>
        <w:bottom w:val="none" w:sz="0" w:space="0" w:color="auto"/>
        <w:right w:val="none" w:sz="0" w:space="0" w:color="auto"/>
      </w:divBdr>
      <w:divsChild>
        <w:div w:id="733746672">
          <w:marLeft w:val="0"/>
          <w:marRight w:val="0"/>
          <w:marTop w:val="0"/>
          <w:marBottom w:val="0"/>
          <w:divBdr>
            <w:top w:val="none" w:sz="0" w:space="0" w:color="auto"/>
            <w:left w:val="none" w:sz="0" w:space="0" w:color="auto"/>
            <w:bottom w:val="none" w:sz="0" w:space="0" w:color="auto"/>
            <w:right w:val="none" w:sz="0" w:space="0" w:color="auto"/>
          </w:divBdr>
        </w:div>
      </w:divsChild>
    </w:div>
    <w:div w:id="628169459">
      <w:bodyDiv w:val="1"/>
      <w:marLeft w:val="0"/>
      <w:marRight w:val="0"/>
      <w:marTop w:val="0"/>
      <w:marBottom w:val="0"/>
      <w:divBdr>
        <w:top w:val="none" w:sz="0" w:space="0" w:color="auto"/>
        <w:left w:val="none" w:sz="0" w:space="0" w:color="auto"/>
        <w:bottom w:val="none" w:sz="0" w:space="0" w:color="auto"/>
        <w:right w:val="none" w:sz="0" w:space="0" w:color="auto"/>
      </w:divBdr>
    </w:div>
    <w:div w:id="654770891">
      <w:bodyDiv w:val="1"/>
      <w:marLeft w:val="0"/>
      <w:marRight w:val="0"/>
      <w:marTop w:val="0"/>
      <w:marBottom w:val="0"/>
      <w:divBdr>
        <w:top w:val="none" w:sz="0" w:space="0" w:color="auto"/>
        <w:left w:val="none" w:sz="0" w:space="0" w:color="auto"/>
        <w:bottom w:val="none" w:sz="0" w:space="0" w:color="auto"/>
        <w:right w:val="none" w:sz="0" w:space="0" w:color="auto"/>
      </w:divBdr>
      <w:divsChild>
        <w:div w:id="345060500">
          <w:marLeft w:val="0"/>
          <w:marRight w:val="0"/>
          <w:marTop w:val="0"/>
          <w:marBottom w:val="0"/>
          <w:divBdr>
            <w:top w:val="none" w:sz="0" w:space="0" w:color="auto"/>
            <w:left w:val="none" w:sz="0" w:space="0" w:color="auto"/>
            <w:bottom w:val="none" w:sz="0" w:space="0" w:color="auto"/>
            <w:right w:val="none" w:sz="0" w:space="0" w:color="auto"/>
          </w:divBdr>
        </w:div>
      </w:divsChild>
    </w:div>
    <w:div w:id="664631510">
      <w:bodyDiv w:val="1"/>
      <w:marLeft w:val="0"/>
      <w:marRight w:val="0"/>
      <w:marTop w:val="0"/>
      <w:marBottom w:val="0"/>
      <w:divBdr>
        <w:top w:val="none" w:sz="0" w:space="0" w:color="auto"/>
        <w:left w:val="none" w:sz="0" w:space="0" w:color="auto"/>
        <w:bottom w:val="none" w:sz="0" w:space="0" w:color="auto"/>
        <w:right w:val="none" w:sz="0" w:space="0" w:color="auto"/>
      </w:divBdr>
    </w:div>
    <w:div w:id="701705075">
      <w:bodyDiv w:val="1"/>
      <w:marLeft w:val="0"/>
      <w:marRight w:val="0"/>
      <w:marTop w:val="0"/>
      <w:marBottom w:val="0"/>
      <w:divBdr>
        <w:top w:val="none" w:sz="0" w:space="0" w:color="auto"/>
        <w:left w:val="none" w:sz="0" w:space="0" w:color="auto"/>
        <w:bottom w:val="none" w:sz="0" w:space="0" w:color="auto"/>
        <w:right w:val="none" w:sz="0" w:space="0" w:color="auto"/>
      </w:divBdr>
    </w:div>
    <w:div w:id="735859237">
      <w:bodyDiv w:val="1"/>
      <w:marLeft w:val="0"/>
      <w:marRight w:val="0"/>
      <w:marTop w:val="0"/>
      <w:marBottom w:val="0"/>
      <w:divBdr>
        <w:top w:val="none" w:sz="0" w:space="0" w:color="auto"/>
        <w:left w:val="none" w:sz="0" w:space="0" w:color="auto"/>
        <w:bottom w:val="none" w:sz="0" w:space="0" w:color="auto"/>
        <w:right w:val="none" w:sz="0" w:space="0" w:color="auto"/>
      </w:divBdr>
      <w:divsChild>
        <w:div w:id="867181635">
          <w:marLeft w:val="0"/>
          <w:marRight w:val="0"/>
          <w:marTop w:val="0"/>
          <w:marBottom w:val="0"/>
          <w:divBdr>
            <w:top w:val="none" w:sz="0" w:space="0" w:color="auto"/>
            <w:left w:val="none" w:sz="0" w:space="0" w:color="auto"/>
            <w:bottom w:val="none" w:sz="0" w:space="0" w:color="auto"/>
            <w:right w:val="none" w:sz="0" w:space="0" w:color="auto"/>
          </w:divBdr>
        </w:div>
      </w:divsChild>
    </w:div>
    <w:div w:id="756513243">
      <w:bodyDiv w:val="1"/>
      <w:marLeft w:val="0"/>
      <w:marRight w:val="0"/>
      <w:marTop w:val="0"/>
      <w:marBottom w:val="0"/>
      <w:divBdr>
        <w:top w:val="none" w:sz="0" w:space="0" w:color="auto"/>
        <w:left w:val="none" w:sz="0" w:space="0" w:color="auto"/>
        <w:bottom w:val="none" w:sz="0" w:space="0" w:color="auto"/>
        <w:right w:val="none" w:sz="0" w:space="0" w:color="auto"/>
      </w:divBdr>
    </w:div>
    <w:div w:id="762065471">
      <w:bodyDiv w:val="1"/>
      <w:marLeft w:val="0"/>
      <w:marRight w:val="0"/>
      <w:marTop w:val="0"/>
      <w:marBottom w:val="0"/>
      <w:divBdr>
        <w:top w:val="none" w:sz="0" w:space="0" w:color="auto"/>
        <w:left w:val="none" w:sz="0" w:space="0" w:color="auto"/>
        <w:bottom w:val="none" w:sz="0" w:space="0" w:color="auto"/>
        <w:right w:val="none" w:sz="0" w:space="0" w:color="auto"/>
      </w:divBdr>
      <w:divsChild>
        <w:div w:id="2033416965">
          <w:marLeft w:val="0"/>
          <w:marRight w:val="0"/>
          <w:marTop w:val="0"/>
          <w:marBottom w:val="0"/>
          <w:divBdr>
            <w:top w:val="none" w:sz="0" w:space="0" w:color="auto"/>
            <w:left w:val="none" w:sz="0" w:space="0" w:color="auto"/>
            <w:bottom w:val="none" w:sz="0" w:space="0" w:color="auto"/>
            <w:right w:val="none" w:sz="0" w:space="0" w:color="auto"/>
          </w:divBdr>
        </w:div>
      </w:divsChild>
    </w:div>
    <w:div w:id="788163258">
      <w:bodyDiv w:val="1"/>
      <w:marLeft w:val="0"/>
      <w:marRight w:val="0"/>
      <w:marTop w:val="0"/>
      <w:marBottom w:val="0"/>
      <w:divBdr>
        <w:top w:val="none" w:sz="0" w:space="0" w:color="auto"/>
        <w:left w:val="none" w:sz="0" w:space="0" w:color="auto"/>
        <w:bottom w:val="none" w:sz="0" w:space="0" w:color="auto"/>
        <w:right w:val="none" w:sz="0" w:space="0" w:color="auto"/>
      </w:divBdr>
      <w:divsChild>
        <w:div w:id="282539787">
          <w:marLeft w:val="0"/>
          <w:marRight w:val="0"/>
          <w:marTop w:val="0"/>
          <w:marBottom w:val="0"/>
          <w:divBdr>
            <w:top w:val="none" w:sz="0" w:space="0" w:color="auto"/>
            <w:left w:val="none" w:sz="0" w:space="0" w:color="auto"/>
            <w:bottom w:val="none" w:sz="0" w:space="0" w:color="auto"/>
            <w:right w:val="none" w:sz="0" w:space="0" w:color="auto"/>
          </w:divBdr>
        </w:div>
      </w:divsChild>
    </w:div>
    <w:div w:id="789938126">
      <w:bodyDiv w:val="1"/>
      <w:marLeft w:val="0"/>
      <w:marRight w:val="0"/>
      <w:marTop w:val="0"/>
      <w:marBottom w:val="0"/>
      <w:divBdr>
        <w:top w:val="none" w:sz="0" w:space="0" w:color="auto"/>
        <w:left w:val="none" w:sz="0" w:space="0" w:color="auto"/>
        <w:bottom w:val="none" w:sz="0" w:space="0" w:color="auto"/>
        <w:right w:val="none" w:sz="0" w:space="0" w:color="auto"/>
      </w:divBdr>
      <w:divsChild>
        <w:div w:id="727412898">
          <w:marLeft w:val="0"/>
          <w:marRight w:val="0"/>
          <w:marTop w:val="0"/>
          <w:marBottom w:val="0"/>
          <w:divBdr>
            <w:top w:val="none" w:sz="0" w:space="0" w:color="auto"/>
            <w:left w:val="none" w:sz="0" w:space="0" w:color="auto"/>
            <w:bottom w:val="none" w:sz="0" w:space="0" w:color="auto"/>
            <w:right w:val="none" w:sz="0" w:space="0" w:color="auto"/>
          </w:divBdr>
        </w:div>
      </w:divsChild>
    </w:div>
    <w:div w:id="801191458">
      <w:bodyDiv w:val="1"/>
      <w:marLeft w:val="0"/>
      <w:marRight w:val="0"/>
      <w:marTop w:val="0"/>
      <w:marBottom w:val="0"/>
      <w:divBdr>
        <w:top w:val="none" w:sz="0" w:space="0" w:color="auto"/>
        <w:left w:val="none" w:sz="0" w:space="0" w:color="auto"/>
        <w:bottom w:val="none" w:sz="0" w:space="0" w:color="auto"/>
        <w:right w:val="none" w:sz="0" w:space="0" w:color="auto"/>
      </w:divBdr>
      <w:divsChild>
        <w:div w:id="1611741469">
          <w:marLeft w:val="0"/>
          <w:marRight w:val="0"/>
          <w:marTop w:val="0"/>
          <w:marBottom w:val="0"/>
          <w:divBdr>
            <w:top w:val="none" w:sz="0" w:space="0" w:color="auto"/>
            <w:left w:val="none" w:sz="0" w:space="0" w:color="auto"/>
            <w:bottom w:val="none" w:sz="0" w:space="0" w:color="auto"/>
            <w:right w:val="none" w:sz="0" w:space="0" w:color="auto"/>
          </w:divBdr>
        </w:div>
      </w:divsChild>
    </w:div>
    <w:div w:id="811093163">
      <w:bodyDiv w:val="1"/>
      <w:marLeft w:val="0"/>
      <w:marRight w:val="0"/>
      <w:marTop w:val="0"/>
      <w:marBottom w:val="0"/>
      <w:divBdr>
        <w:top w:val="none" w:sz="0" w:space="0" w:color="auto"/>
        <w:left w:val="none" w:sz="0" w:space="0" w:color="auto"/>
        <w:bottom w:val="none" w:sz="0" w:space="0" w:color="auto"/>
        <w:right w:val="none" w:sz="0" w:space="0" w:color="auto"/>
      </w:divBdr>
    </w:div>
    <w:div w:id="863517637">
      <w:bodyDiv w:val="1"/>
      <w:marLeft w:val="0"/>
      <w:marRight w:val="0"/>
      <w:marTop w:val="0"/>
      <w:marBottom w:val="0"/>
      <w:divBdr>
        <w:top w:val="none" w:sz="0" w:space="0" w:color="auto"/>
        <w:left w:val="none" w:sz="0" w:space="0" w:color="auto"/>
        <w:bottom w:val="none" w:sz="0" w:space="0" w:color="auto"/>
        <w:right w:val="none" w:sz="0" w:space="0" w:color="auto"/>
      </w:divBdr>
    </w:div>
    <w:div w:id="881021778">
      <w:bodyDiv w:val="1"/>
      <w:marLeft w:val="0"/>
      <w:marRight w:val="0"/>
      <w:marTop w:val="0"/>
      <w:marBottom w:val="0"/>
      <w:divBdr>
        <w:top w:val="none" w:sz="0" w:space="0" w:color="auto"/>
        <w:left w:val="none" w:sz="0" w:space="0" w:color="auto"/>
        <w:bottom w:val="none" w:sz="0" w:space="0" w:color="auto"/>
        <w:right w:val="none" w:sz="0" w:space="0" w:color="auto"/>
      </w:divBdr>
      <w:divsChild>
        <w:div w:id="1926840966">
          <w:marLeft w:val="0"/>
          <w:marRight w:val="0"/>
          <w:marTop w:val="0"/>
          <w:marBottom w:val="0"/>
          <w:divBdr>
            <w:top w:val="none" w:sz="0" w:space="0" w:color="auto"/>
            <w:left w:val="none" w:sz="0" w:space="0" w:color="auto"/>
            <w:bottom w:val="none" w:sz="0" w:space="0" w:color="auto"/>
            <w:right w:val="none" w:sz="0" w:space="0" w:color="auto"/>
          </w:divBdr>
        </w:div>
      </w:divsChild>
    </w:div>
    <w:div w:id="888028852">
      <w:bodyDiv w:val="1"/>
      <w:marLeft w:val="0"/>
      <w:marRight w:val="0"/>
      <w:marTop w:val="0"/>
      <w:marBottom w:val="0"/>
      <w:divBdr>
        <w:top w:val="none" w:sz="0" w:space="0" w:color="auto"/>
        <w:left w:val="none" w:sz="0" w:space="0" w:color="auto"/>
        <w:bottom w:val="none" w:sz="0" w:space="0" w:color="auto"/>
        <w:right w:val="none" w:sz="0" w:space="0" w:color="auto"/>
      </w:divBdr>
    </w:div>
    <w:div w:id="898324819">
      <w:bodyDiv w:val="1"/>
      <w:marLeft w:val="0"/>
      <w:marRight w:val="0"/>
      <w:marTop w:val="0"/>
      <w:marBottom w:val="0"/>
      <w:divBdr>
        <w:top w:val="none" w:sz="0" w:space="0" w:color="auto"/>
        <w:left w:val="none" w:sz="0" w:space="0" w:color="auto"/>
        <w:bottom w:val="none" w:sz="0" w:space="0" w:color="auto"/>
        <w:right w:val="none" w:sz="0" w:space="0" w:color="auto"/>
      </w:divBdr>
    </w:div>
    <w:div w:id="926304763">
      <w:bodyDiv w:val="1"/>
      <w:marLeft w:val="0"/>
      <w:marRight w:val="0"/>
      <w:marTop w:val="0"/>
      <w:marBottom w:val="0"/>
      <w:divBdr>
        <w:top w:val="none" w:sz="0" w:space="0" w:color="auto"/>
        <w:left w:val="none" w:sz="0" w:space="0" w:color="auto"/>
        <w:bottom w:val="none" w:sz="0" w:space="0" w:color="auto"/>
        <w:right w:val="none" w:sz="0" w:space="0" w:color="auto"/>
      </w:divBdr>
    </w:div>
    <w:div w:id="939948086">
      <w:bodyDiv w:val="1"/>
      <w:marLeft w:val="0"/>
      <w:marRight w:val="0"/>
      <w:marTop w:val="0"/>
      <w:marBottom w:val="0"/>
      <w:divBdr>
        <w:top w:val="none" w:sz="0" w:space="0" w:color="auto"/>
        <w:left w:val="none" w:sz="0" w:space="0" w:color="auto"/>
        <w:bottom w:val="none" w:sz="0" w:space="0" w:color="auto"/>
        <w:right w:val="none" w:sz="0" w:space="0" w:color="auto"/>
      </w:divBdr>
    </w:div>
    <w:div w:id="1011227372">
      <w:bodyDiv w:val="1"/>
      <w:marLeft w:val="0"/>
      <w:marRight w:val="0"/>
      <w:marTop w:val="0"/>
      <w:marBottom w:val="0"/>
      <w:divBdr>
        <w:top w:val="none" w:sz="0" w:space="0" w:color="auto"/>
        <w:left w:val="none" w:sz="0" w:space="0" w:color="auto"/>
        <w:bottom w:val="none" w:sz="0" w:space="0" w:color="auto"/>
        <w:right w:val="none" w:sz="0" w:space="0" w:color="auto"/>
      </w:divBdr>
    </w:div>
    <w:div w:id="1068309812">
      <w:bodyDiv w:val="1"/>
      <w:marLeft w:val="0"/>
      <w:marRight w:val="0"/>
      <w:marTop w:val="0"/>
      <w:marBottom w:val="0"/>
      <w:divBdr>
        <w:top w:val="none" w:sz="0" w:space="0" w:color="auto"/>
        <w:left w:val="none" w:sz="0" w:space="0" w:color="auto"/>
        <w:bottom w:val="none" w:sz="0" w:space="0" w:color="auto"/>
        <w:right w:val="none" w:sz="0" w:space="0" w:color="auto"/>
      </w:divBdr>
      <w:divsChild>
        <w:div w:id="453644841">
          <w:marLeft w:val="0"/>
          <w:marRight w:val="0"/>
          <w:marTop w:val="0"/>
          <w:marBottom w:val="0"/>
          <w:divBdr>
            <w:top w:val="none" w:sz="0" w:space="0" w:color="auto"/>
            <w:left w:val="none" w:sz="0" w:space="0" w:color="auto"/>
            <w:bottom w:val="none" w:sz="0" w:space="0" w:color="auto"/>
            <w:right w:val="none" w:sz="0" w:space="0" w:color="auto"/>
          </w:divBdr>
        </w:div>
      </w:divsChild>
    </w:div>
    <w:div w:id="1080172238">
      <w:bodyDiv w:val="1"/>
      <w:marLeft w:val="0"/>
      <w:marRight w:val="0"/>
      <w:marTop w:val="0"/>
      <w:marBottom w:val="0"/>
      <w:divBdr>
        <w:top w:val="none" w:sz="0" w:space="0" w:color="auto"/>
        <w:left w:val="none" w:sz="0" w:space="0" w:color="auto"/>
        <w:bottom w:val="none" w:sz="0" w:space="0" w:color="auto"/>
        <w:right w:val="none" w:sz="0" w:space="0" w:color="auto"/>
      </w:divBdr>
      <w:divsChild>
        <w:div w:id="1961448849">
          <w:marLeft w:val="0"/>
          <w:marRight w:val="0"/>
          <w:marTop w:val="0"/>
          <w:marBottom w:val="0"/>
          <w:divBdr>
            <w:top w:val="none" w:sz="0" w:space="0" w:color="auto"/>
            <w:left w:val="none" w:sz="0" w:space="0" w:color="auto"/>
            <w:bottom w:val="none" w:sz="0" w:space="0" w:color="auto"/>
            <w:right w:val="none" w:sz="0" w:space="0" w:color="auto"/>
          </w:divBdr>
        </w:div>
      </w:divsChild>
    </w:div>
    <w:div w:id="1085494178">
      <w:bodyDiv w:val="1"/>
      <w:marLeft w:val="0"/>
      <w:marRight w:val="0"/>
      <w:marTop w:val="0"/>
      <w:marBottom w:val="0"/>
      <w:divBdr>
        <w:top w:val="none" w:sz="0" w:space="0" w:color="auto"/>
        <w:left w:val="none" w:sz="0" w:space="0" w:color="auto"/>
        <w:bottom w:val="none" w:sz="0" w:space="0" w:color="auto"/>
        <w:right w:val="none" w:sz="0" w:space="0" w:color="auto"/>
      </w:divBdr>
      <w:divsChild>
        <w:div w:id="343560980">
          <w:marLeft w:val="0"/>
          <w:marRight w:val="0"/>
          <w:marTop w:val="0"/>
          <w:marBottom w:val="0"/>
          <w:divBdr>
            <w:top w:val="none" w:sz="0" w:space="0" w:color="auto"/>
            <w:left w:val="none" w:sz="0" w:space="0" w:color="auto"/>
            <w:bottom w:val="none" w:sz="0" w:space="0" w:color="auto"/>
            <w:right w:val="none" w:sz="0" w:space="0" w:color="auto"/>
          </w:divBdr>
        </w:div>
      </w:divsChild>
    </w:div>
    <w:div w:id="1195078366">
      <w:bodyDiv w:val="1"/>
      <w:marLeft w:val="0"/>
      <w:marRight w:val="0"/>
      <w:marTop w:val="0"/>
      <w:marBottom w:val="0"/>
      <w:divBdr>
        <w:top w:val="none" w:sz="0" w:space="0" w:color="auto"/>
        <w:left w:val="none" w:sz="0" w:space="0" w:color="auto"/>
        <w:bottom w:val="none" w:sz="0" w:space="0" w:color="auto"/>
        <w:right w:val="none" w:sz="0" w:space="0" w:color="auto"/>
      </w:divBdr>
      <w:divsChild>
        <w:div w:id="1851094319">
          <w:marLeft w:val="0"/>
          <w:marRight w:val="0"/>
          <w:marTop w:val="0"/>
          <w:marBottom w:val="0"/>
          <w:divBdr>
            <w:top w:val="none" w:sz="0" w:space="0" w:color="auto"/>
            <w:left w:val="none" w:sz="0" w:space="0" w:color="auto"/>
            <w:bottom w:val="none" w:sz="0" w:space="0" w:color="auto"/>
            <w:right w:val="none" w:sz="0" w:space="0" w:color="auto"/>
          </w:divBdr>
        </w:div>
      </w:divsChild>
    </w:div>
    <w:div w:id="1213273406">
      <w:bodyDiv w:val="1"/>
      <w:marLeft w:val="0"/>
      <w:marRight w:val="0"/>
      <w:marTop w:val="0"/>
      <w:marBottom w:val="0"/>
      <w:divBdr>
        <w:top w:val="none" w:sz="0" w:space="0" w:color="auto"/>
        <w:left w:val="none" w:sz="0" w:space="0" w:color="auto"/>
        <w:bottom w:val="none" w:sz="0" w:space="0" w:color="auto"/>
        <w:right w:val="none" w:sz="0" w:space="0" w:color="auto"/>
      </w:divBdr>
      <w:divsChild>
        <w:div w:id="1547764087">
          <w:marLeft w:val="0"/>
          <w:marRight w:val="0"/>
          <w:marTop w:val="0"/>
          <w:marBottom w:val="0"/>
          <w:divBdr>
            <w:top w:val="none" w:sz="0" w:space="0" w:color="auto"/>
            <w:left w:val="none" w:sz="0" w:space="0" w:color="auto"/>
            <w:bottom w:val="none" w:sz="0" w:space="0" w:color="auto"/>
            <w:right w:val="none" w:sz="0" w:space="0" w:color="auto"/>
          </w:divBdr>
        </w:div>
      </w:divsChild>
    </w:div>
    <w:div w:id="1266422827">
      <w:bodyDiv w:val="1"/>
      <w:marLeft w:val="0"/>
      <w:marRight w:val="0"/>
      <w:marTop w:val="0"/>
      <w:marBottom w:val="0"/>
      <w:divBdr>
        <w:top w:val="none" w:sz="0" w:space="0" w:color="auto"/>
        <w:left w:val="none" w:sz="0" w:space="0" w:color="auto"/>
        <w:bottom w:val="none" w:sz="0" w:space="0" w:color="auto"/>
        <w:right w:val="none" w:sz="0" w:space="0" w:color="auto"/>
      </w:divBdr>
    </w:div>
    <w:div w:id="1285229385">
      <w:bodyDiv w:val="1"/>
      <w:marLeft w:val="0"/>
      <w:marRight w:val="0"/>
      <w:marTop w:val="0"/>
      <w:marBottom w:val="0"/>
      <w:divBdr>
        <w:top w:val="none" w:sz="0" w:space="0" w:color="auto"/>
        <w:left w:val="none" w:sz="0" w:space="0" w:color="auto"/>
        <w:bottom w:val="none" w:sz="0" w:space="0" w:color="auto"/>
        <w:right w:val="none" w:sz="0" w:space="0" w:color="auto"/>
      </w:divBdr>
    </w:div>
    <w:div w:id="1305162788">
      <w:bodyDiv w:val="1"/>
      <w:marLeft w:val="0"/>
      <w:marRight w:val="0"/>
      <w:marTop w:val="0"/>
      <w:marBottom w:val="0"/>
      <w:divBdr>
        <w:top w:val="none" w:sz="0" w:space="0" w:color="auto"/>
        <w:left w:val="none" w:sz="0" w:space="0" w:color="auto"/>
        <w:bottom w:val="none" w:sz="0" w:space="0" w:color="auto"/>
        <w:right w:val="none" w:sz="0" w:space="0" w:color="auto"/>
      </w:divBdr>
    </w:div>
    <w:div w:id="1324046983">
      <w:bodyDiv w:val="1"/>
      <w:marLeft w:val="0"/>
      <w:marRight w:val="0"/>
      <w:marTop w:val="0"/>
      <w:marBottom w:val="0"/>
      <w:divBdr>
        <w:top w:val="none" w:sz="0" w:space="0" w:color="auto"/>
        <w:left w:val="none" w:sz="0" w:space="0" w:color="auto"/>
        <w:bottom w:val="none" w:sz="0" w:space="0" w:color="auto"/>
        <w:right w:val="none" w:sz="0" w:space="0" w:color="auto"/>
      </w:divBdr>
    </w:div>
    <w:div w:id="1345788341">
      <w:bodyDiv w:val="1"/>
      <w:marLeft w:val="0"/>
      <w:marRight w:val="0"/>
      <w:marTop w:val="0"/>
      <w:marBottom w:val="0"/>
      <w:divBdr>
        <w:top w:val="none" w:sz="0" w:space="0" w:color="auto"/>
        <w:left w:val="none" w:sz="0" w:space="0" w:color="auto"/>
        <w:bottom w:val="none" w:sz="0" w:space="0" w:color="auto"/>
        <w:right w:val="none" w:sz="0" w:space="0" w:color="auto"/>
      </w:divBdr>
      <w:divsChild>
        <w:div w:id="2144347761">
          <w:marLeft w:val="0"/>
          <w:marRight w:val="0"/>
          <w:marTop w:val="0"/>
          <w:marBottom w:val="0"/>
          <w:divBdr>
            <w:top w:val="none" w:sz="0" w:space="0" w:color="auto"/>
            <w:left w:val="none" w:sz="0" w:space="0" w:color="auto"/>
            <w:bottom w:val="none" w:sz="0" w:space="0" w:color="auto"/>
            <w:right w:val="none" w:sz="0" w:space="0" w:color="auto"/>
          </w:divBdr>
        </w:div>
      </w:divsChild>
    </w:div>
    <w:div w:id="1436442268">
      <w:bodyDiv w:val="1"/>
      <w:marLeft w:val="0"/>
      <w:marRight w:val="0"/>
      <w:marTop w:val="0"/>
      <w:marBottom w:val="0"/>
      <w:divBdr>
        <w:top w:val="none" w:sz="0" w:space="0" w:color="auto"/>
        <w:left w:val="none" w:sz="0" w:space="0" w:color="auto"/>
        <w:bottom w:val="none" w:sz="0" w:space="0" w:color="auto"/>
        <w:right w:val="none" w:sz="0" w:space="0" w:color="auto"/>
      </w:divBdr>
      <w:divsChild>
        <w:div w:id="1233540354">
          <w:marLeft w:val="0"/>
          <w:marRight w:val="0"/>
          <w:marTop w:val="0"/>
          <w:marBottom w:val="0"/>
          <w:divBdr>
            <w:top w:val="none" w:sz="0" w:space="0" w:color="auto"/>
            <w:left w:val="none" w:sz="0" w:space="0" w:color="auto"/>
            <w:bottom w:val="none" w:sz="0" w:space="0" w:color="auto"/>
            <w:right w:val="none" w:sz="0" w:space="0" w:color="auto"/>
          </w:divBdr>
        </w:div>
      </w:divsChild>
    </w:div>
    <w:div w:id="1443066298">
      <w:bodyDiv w:val="1"/>
      <w:marLeft w:val="0"/>
      <w:marRight w:val="0"/>
      <w:marTop w:val="0"/>
      <w:marBottom w:val="0"/>
      <w:divBdr>
        <w:top w:val="none" w:sz="0" w:space="0" w:color="auto"/>
        <w:left w:val="none" w:sz="0" w:space="0" w:color="auto"/>
        <w:bottom w:val="none" w:sz="0" w:space="0" w:color="auto"/>
        <w:right w:val="none" w:sz="0" w:space="0" w:color="auto"/>
      </w:divBdr>
      <w:divsChild>
        <w:div w:id="1986624373">
          <w:marLeft w:val="0"/>
          <w:marRight w:val="0"/>
          <w:marTop w:val="0"/>
          <w:marBottom w:val="0"/>
          <w:divBdr>
            <w:top w:val="none" w:sz="0" w:space="0" w:color="auto"/>
            <w:left w:val="none" w:sz="0" w:space="0" w:color="auto"/>
            <w:bottom w:val="none" w:sz="0" w:space="0" w:color="auto"/>
            <w:right w:val="none" w:sz="0" w:space="0" w:color="auto"/>
          </w:divBdr>
        </w:div>
      </w:divsChild>
    </w:div>
    <w:div w:id="1455055584">
      <w:bodyDiv w:val="1"/>
      <w:marLeft w:val="0"/>
      <w:marRight w:val="0"/>
      <w:marTop w:val="0"/>
      <w:marBottom w:val="0"/>
      <w:divBdr>
        <w:top w:val="none" w:sz="0" w:space="0" w:color="auto"/>
        <w:left w:val="none" w:sz="0" w:space="0" w:color="auto"/>
        <w:bottom w:val="none" w:sz="0" w:space="0" w:color="auto"/>
        <w:right w:val="none" w:sz="0" w:space="0" w:color="auto"/>
      </w:divBdr>
      <w:divsChild>
        <w:div w:id="1379159234">
          <w:marLeft w:val="0"/>
          <w:marRight w:val="0"/>
          <w:marTop w:val="0"/>
          <w:marBottom w:val="0"/>
          <w:divBdr>
            <w:top w:val="none" w:sz="0" w:space="0" w:color="auto"/>
            <w:left w:val="none" w:sz="0" w:space="0" w:color="auto"/>
            <w:bottom w:val="none" w:sz="0" w:space="0" w:color="auto"/>
            <w:right w:val="none" w:sz="0" w:space="0" w:color="auto"/>
          </w:divBdr>
        </w:div>
      </w:divsChild>
    </w:div>
    <w:div w:id="1575968402">
      <w:bodyDiv w:val="1"/>
      <w:marLeft w:val="0"/>
      <w:marRight w:val="0"/>
      <w:marTop w:val="0"/>
      <w:marBottom w:val="0"/>
      <w:divBdr>
        <w:top w:val="none" w:sz="0" w:space="0" w:color="auto"/>
        <w:left w:val="none" w:sz="0" w:space="0" w:color="auto"/>
        <w:bottom w:val="none" w:sz="0" w:space="0" w:color="auto"/>
        <w:right w:val="none" w:sz="0" w:space="0" w:color="auto"/>
      </w:divBdr>
      <w:divsChild>
        <w:div w:id="911088698">
          <w:marLeft w:val="0"/>
          <w:marRight w:val="0"/>
          <w:marTop w:val="0"/>
          <w:marBottom w:val="0"/>
          <w:divBdr>
            <w:top w:val="none" w:sz="0" w:space="0" w:color="auto"/>
            <w:left w:val="none" w:sz="0" w:space="0" w:color="auto"/>
            <w:bottom w:val="none" w:sz="0" w:space="0" w:color="auto"/>
            <w:right w:val="none" w:sz="0" w:space="0" w:color="auto"/>
          </w:divBdr>
        </w:div>
      </w:divsChild>
    </w:div>
    <w:div w:id="1588466843">
      <w:bodyDiv w:val="1"/>
      <w:marLeft w:val="0"/>
      <w:marRight w:val="0"/>
      <w:marTop w:val="0"/>
      <w:marBottom w:val="0"/>
      <w:divBdr>
        <w:top w:val="none" w:sz="0" w:space="0" w:color="auto"/>
        <w:left w:val="none" w:sz="0" w:space="0" w:color="auto"/>
        <w:bottom w:val="none" w:sz="0" w:space="0" w:color="auto"/>
        <w:right w:val="none" w:sz="0" w:space="0" w:color="auto"/>
      </w:divBdr>
    </w:div>
    <w:div w:id="1596865565">
      <w:bodyDiv w:val="1"/>
      <w:marLeft w:val="0"/>
      <w:marRight w:val="0"/>
      <w:marTop w:val="0"/>
      <w:marBottom w:val="0"/>
      <w:divBdr>
        <w:top w:val="none" w:sz="0" w:space="0" w:color="auto"/>
        <w:left w:val="none" w:sz="0" w:space="0" w:color="auto"/>
        <w:bottom w:val="none" w:sz="0" w:space="0" w:color="auto"/>
        <w:right w:val="none" w:sz="0" w:space="0" w:color="auto"/>
      </w:divBdr>
    </w:div>
    <w:div w:id="1708673851">
      <w:bodyDiv w:val="1"/>
      <w:marLeft w:val="0"/>
      <w:marRight w:val="0"/>
      <w:marTop w:val="0"/>
      <w:marBottom w:val="0"/>
      <w:divBdr>
        <w:top w:val="none" w:sz="0" w:space="0" w:color="auto"/>
        <w:left w:val="none" w:sz="0" w:space="0" w:color="auto"/>
        <w:bottom w:val="none" w:sz="0" w:space="0" w:color="auto"/>
        <w:right w:val="none" w:sz="0" w:space="0" w:color="auto"/>
      </w:divBdr>
    </w:div>
    <w:div w:id="1718620928">
      <w:bodyDiv w:val="1"/>
      <w:marLeft w:val="0"/>
      <w:marRight w:val="0"/>
      <w:marTop w:val="0"/>
      <w:marBottom w:val="0"/>
      <w:divBdr>
        <w:top w:val="none" w:sz="0" w:space="0" w:color="auto"/>
        <w:left w:val="none" w:sz="0" w:space="0" w:color="auto"/>
        <w:bottom w:val="none" w:sz="0" w:space="0" w:color="auto"/>
        <w:right w:val="none" w:sz="0" w:space="0" w:color="auto"/>
      </w:divBdr>
    </w:div>
    <w:div w:id="1750885559">
      <w:bodyDiv w:val="1"/>
      <w:marLeft w:val="0"/>
      <w:marRight w:val="0"/>
      <w:marTop w:val="0"/>
      <w:marBottom w:val="0"/>
      <w:divBdr>
        <w:top w:val="none" w:sz="0" w:space="0" w:color="auto"/>
        <w:left w:val="none" w:sz="0" w:space="0" w:color="auto"/>
        <w:bottom w:val="none" w:sz="0" w:space="0" w:color="auto"/>
        <w:right w:val="none" w:sz="0" w:space="0" w:color="auto"/>
      </w:divBdr>
    </w:div>
    <w:div w:id="1768769874">
      <w:bodyDiv w:val="1"/>
      <w:marLeft w:val="0"/>
      <w:marRight w:val="0"/>
      <w:marTop w:val="0"/>
      <w:marBottom w:val="0"/>
      <w:divBdr>
        <w:top w:val="none" w:sz="0" w:space="0" w:color="auto"/>
        <w:left w:val="none" w:sz="0" w:space="0" w:color="auto"/>
        <w:bottom w:val="none" w:sz="0" w:space="0" w:color="auto"/>
        <w:right w:val="none" w:sz="0" w:space="0" w:color="auto"/>
      </w:divBdr>
      <w:divsChild>
        <w:div w:id="1786725680">
          <w:marLeft w:val="0"/>
          <w:marRight w:val="0"/>
          <w:marTop w:val="0"/>
          <w:marBottom w:val="0"/>
          <w:divBdr>
            <w:top w:val="none" w:sz="0" w:space="0" w:color="auto"/>
            <w:left w:val="none" w:sz="0" w:space="0" w:color="auto"/>
            <w:bottom w:val="none" w:sz="0" w:space="0" w:color="auto"/>
            <w:right w:val="none" w:sz="0" w:space="0" w:color="auto"/>
          </w:divBdr>
        </w:div>
      </w:divsChild>
    </w:div>
    <w:div w:id="1782600896">
      <w:bodyDiv w:val="1"/>
      <w:marLeft w:val="0"/>
      <w:marRight w:val="0"/>
      <w:marTop w:val="0"/>
      <w:marBottom w:val="0"/>
      <w:divBdr>
        <w:top w:val="none" w:sz="0" w:space="0" w:color="auto"/>
        <w:left w:val="none" w:sz="0" w:space="0" w:color="auto"/>
        <w:bottom w:val="none" w:sz="0" w:space="0" w:color="auto"/>
        <w:right w:val="none" w:sz="0" w:space="0" w:color="auto"/>
      </w:divBdr>
      <w:divsChild>
        <w:div w:id="626085005">
          <w:marLeft w:val="0"/>
          <w:marRight w:val="0"/>
          <w:marTop w:val="0"/>
          <w:marBottom w:val="0"/>
          <w:divBdr>
            <w:top w:val="none" w:sz="0" w:space="0" w:color="auto"/>
            <w:left w:val="none" w:sz="0" w:space="0" w:color="auto"/>
            <w:bottom w:val="none" w:sz="0" w:space="0" w:color="auto"/>
            <w:right w:val="none" w:sz="0" w:space="0" w:color="auto"/>
          </w:divBdr>
        </w:div>
      </w:divsChild>
    </w:div>
    <w:div w:id="1783644937">
      <w:bodyDiv w:val="1"/>
      <w:marLeft w:val="0"/>
      <w:marRight w:val="0"/>
      <w:marTop w:val="0"/>
      <w:marBottom w:val="0"/>
      <w:divBdr>
        <w:top w:val="none" w:sz="0" w:space="0" w:color="auto"/>
        <w:left w:val="none" w:sz="0" w:space="0" w:color="auto"/>
        <w:bottom w:val="none" w:sz="0" w:space="0" w:color="auto"/>
        <w:right w:val="none" w:sz="0" w:space="0" w:color="auto"/>
      </w:divBdr>
    </w:div>
    <w:div w:id="1791823701">
      <w:bodyDiv w:val="1"/>
      <w:marLeft w:val="0"/>
      <w:marRight w:val="0"/>
      <w:marTop w:val="0"/>
      <w:marBottom w:val="0"/>
      <w:divBdr>
        <w:top w:val="none" w:sz="0" w:space="0" w:color="auto"/>
        <w:left w:val="none" w:sz="0" w:space="0" w:color="auto"/>
        <w:bottom w:val="none" w:sz="0" w:space="0" w:color="auto"/>
        <w:right w:val="none" w:sz="0" w:space="0" w:color="auto"/>
      </w:divBdr>
    </w:div>
    <w:div w:id="1797332826">
      <w:bodyDiv w:val="1"/>
      <w:marLeft w:val="0"/>
      <w:marRight w:val="0"/>
      <w:marTop w:val="0"/>
      <w:marBottom w:val="0"/>
      <w:divBdr>
        <w:top w:val="none" w:sz="0" w:space="0" w:color="auto"/>
        <w:left w:val="none" w:sz="0" w:space="0" w:color="auto"/>
        <w:bottom w:val="none" w:sz="0" w:space="0" w:color="auto"/>
        <w:right w:val="none" w:sz="0" w:space="0" w:color="auto"/>
      </w:divBdr>
    </w:div>
    <w:div w:id="1822697588">
      <w:bodyDiv w:val="1"/>
      <w:marLeft w:val="0"/>
      <w:marRight w:val="0"/>
      <w:marTop w:val="0"/>
      <w:marBottom w:val="0"/>
      <w:divBdr>
        <w:top w:val="none" w:sz="0" w:space="0" w:color="auto"/>
        <w:left w:val="none" w:sz="0" w:space="0" w:color="auto"/>
        <w:bottom w:val="none" w:sz="0" w:space="0" w:color="auto"/>
        <w:right w:val="none" w:sz="0" w:space="0" w:color="auto"/>
      </w:divBdr>
      <w:divsChild>
        <w:div w:id="399210050">
          <w:marLeft w:val="0"/>
          <w:marRight w:val="0"/>
          <w:marTop w:val="0"/>
          <w:marBottom w:val="0"/>
          <w:divBdr>
            <w:top w:val="none" w:sz="0" w:space="0" w:color="auto"/>
            <w:left w:val="none" w:sz="0" w:space="0" w:color="auto"/>
            <w:bottom w:val="none" w:sz="0" w:space="0" w:color="auto"/>
            <w:right w:val="none" w:sz="0" w:space="0" w:color="auto"/>
          </w:divBdr>
        </w:div>
      </w:divsChild>
    </w:div>
    <w:div w:id="1881937593">
      <w:bodyDiv w:val="1"/>
      <w:marLeft w:val="0"/>
      <w:marRight w:val="0"/>
      <w:marTop w:val="0"/>
      <w:marBottom w:val="0"/>
      <w:divBdr>
        <w:top w:val="none" w:sz="0" w:space="0" w:color="auto"/>
        <w:left w:val="none" w:sz="0" w:space="0" w:color="auto"/>
        <w:bottom w:val="none" w:sz="0" w:space="0" w:color="auto"/>
        <w:right w:val="none" w:sz="0" w:space="0" w:color="auto"/>
      </w:divBdr>
    </w:div>
    <w:div w:id="1902447220">
      <w:bodyDiv w:val="1"/>
      <w:marLeft w:val="0"/>
      <w:marRight w:val="0"/>
      <w:marTop w:val="0"/>
      <w:marBottom w:val="0"/>
      <w:divBdr>
        <w:top w:val="none" w:sz="0" w:space="0" w:color="auto"/>
        <w:left w:val="none" w:sz="0" w:space="0" w:color="auto"/>
        <w:bottom w:val="none" w:sz="0" w:space="0" w:color="auto"/>
        <w:right w:val="none" w:sz="0" w:space="0" w:color="auto"/>
      </w:divBdr>
      <w:divsChild>
        <w:div w:id="1061172354">
          <w:marLeft w:val="0"/>
          <w:marRight w:val="0"/>
          <w:marTop w:val="0"/>
          <w:marBottom w:val="0"/>
          <w:divBdr>
            <w:top w:val="none" w:sz="0" w:space="0" w:color="auto"/>
            <w:left w:val="none" w:sz="0" w:space="0" w:color="auto"/>
            <w:bottom w:val="none" w:sz="0" w:space="0" w:color="auto"/>
            <w:right w:val="none" w:sz="0" w:space="0" w:color="auto"/>
          </w:divBdr>
        </w:div>
      </w:divsChild>
    </w:div>
    <w:div w:id="1911236003">
      <w:bodyDiv w:val="1"/>
      <w:marLeft w:val="0"/>
      <w:marRight w:val="0"/>
      <w:marTop w:val="0"/>
      <w:marBottom w:val="0"/>
      <w:divBdr>
        <w:top w:val="none" w:sz="0" w:space="0" w:color="auto"/>
        <w:left w:val="none" w:sz="0" w:space="0" w:color="auto"/>
        <w:bottom w:val="none" w:sz="0" w:space="0" w:color="auto"/>
        <w:right w:val="none" w:sz="0" w:space="0" w:color="auto"/>
      </w:divBdr>
    </w:div>
    <w:div w:id="1911380135">
      <w:bodyDiv w:val="1"/>
      <w:marLeft w:val="0"/>
      <w:marRight w:val="0"/>
      <w:marTop w:val="0"/>
      <w:marBottom w:val="0"/>
      <w:divBdr>
        <w:top w:val="none" w:sz="0" w:space="0" w:color="auto"/>
        <w:left w:val="none" w:sz="0" w:space="0" w:color="auto"/>
        <w:bottom w:val="none" w:sz="0" w:space="0" w:color="auto"/>
        <w:right w:val="none" w:sz="0" w:space="0" w:color="auto"/>
      </w:divBdr>
      <w:divsChild>
        <w:div w:id="1090807251">
          <w:marLeft w:val="0"/>
          <w:marRight w:val="0"/>
          <w:marTop w:val="0"/>
          <w:marBottom w:val="0"/>
          <w:divBdr>
            <w:top w:val="none" w:sz="0" w:space="0" w:color="auto"/>
            <w:left w:val="none" w:sz="0" w:space="0" w:color="auto"/>
            <w:bottom w:val="none" w:sz="0" w:space="0" w:color="auto"/>
            <w:right w:val="none" w:sz="0" w:space="0" w:color="auto"/>
          </w:divBdr>
        </w:div>
      </w:divsChild>
    </w:div>
    <w:div w:id="1944992205">
      <w:bodyDiv w:val="1"/>
      <w:marLeft w:val="0"/>
      <w:marRight w:val="0"/>
      <w:marTop w:val="0"/>
      <w:marBottom w:val="0"/>
      <w:divBdr>
        <w:top w:val="none" w:sz="0" w:space="0" w:color="auto"/>
        <w:left w:val="none" w:sz="0" w:space="0" w:color="auto"/>
        <w:bottom w:val="none" w:sz="0" w:space="0" w:color="auto"/>
        <w:right w:val="none" w:sz="0" w:space="0" w:color="auto"/>
      </w:divBdr>
    </w:div>
    <w:div w:id="1946963963">
      <w:bodyDiv w:val="1"/>
      <w:marLeft w:val="0"/>
      <w:marRight w:val="0"/>
      <w:marTop w:val="0"/>
      <w:marBottom w:val="0"/>
      <w:divBdr>
        <w:top w:val="none" w:sz="0" w:space="0" w:color="auto"/>
        <w:left w:val="none" w:sz="0" w:space="0" w:color="auto"/>
        <w:bottom w:val="none" w:sz="0" w:space="0" w:color="auto"/>
        <w:right w:val="none" w:sz="0" w:space="0" w:color="auto"/>
      </w:divBdr>
    </w:div>
    <w:div w:id="1972437481">
      <w:bodyDiv w:val="1"/>
      <w:marLeft w:val="0"/>
      <w:marRight w:val="0"/>
      <w:marTop w:val="0"/>
      <w:marBottom w:val="0"/>
      <w:divBdr>
        <w:top w:val="none" w:sz="0" w:space="0" w:color="auto"/>
        <w:left w:val="none" w:sz="0" w:space="0" w:color="auto"/>
        <w:bottom w:val="none" w:sz="0" w:space="0" w:color="auto"/>
        <w:right w:val="none" w:sz="0" w:space="0" w:color="auto"/>
      </w:divBdr>
      <w:divsChild>
        <w:div w:id="1804888234">
          <w:marLeft w:val="0"/>
          <w:marRight w:val="0"/>
          <w:marTop w:val="0"/>
          <w:marBottom w:val="0"/>
          <w:divBdr>
            <w:top w:val="none" w:sz="0" w:space="0" w:color="auto"/>
            <w:left w:val="none" w:sz="0" w:space="0" w:color="auto"/>
            <w:bottom w:val="none" w:sz="0" w:space="0" w:color="auto"/>
            <w:right w:val="none" w:sz="0" w:space="0" w:color="auto"/>
          </w:divBdr>
        </w:div>
      </w:divsChild>
    </w:div>
    <w:div w:id="1989167554">
      <w:bodyDiv w:val="1"/>
      <w:marLeft w:val="0"/>
      <w:marRight w:val="0"/>
      <w:marTop w:val="0"/>
      <w:marBottom w:val="0"/>
      <w:divBdr>
        <w:top w:val="none" w:sz="0" w:space="0" w:color="auto"/>
        <w:left w:val="none" w:sz="0" w:space="0" w:color="auto"/>
        <w:bottom w:val="none" w:sz="0" w:space="0" w:color="auto"/>
        <w:right w:val="none" w:sz="0" w:space="0" w:color="auto"/>
      </w:divBdr>
      <w:divsChild>
        <w:div w:id="1707293743">
          <w:marLeft w:val="0"/>
          <w:marRight w:val="0"/>
          <w:marTop w:val="0"/>
          <w:marBottom w:val="0"/>
          <w:divBdr>
            <w:top w:val="none" w:sz="0" w:space="0" w:color="auto"/>
            <w:left w:val="none" w:sz="0" w:space="0" w:color="auto"/>
            <w:bottom w:val="none" w:sz="0" w:space="0" w:color="auto"/>
            <w:right w:val="none" w:sz="0" w:space="0" w:color="auto"/>
          </w:divBdr>
        </w:div>
      </w:divsChild>
    </w:div>
    <w:div w:id="2040202274">
      <w:bodyDiv w:val="1"/>
      <w:marLeft w:val="0"/>
      <w:marRight w:val="0"/>
      <w:marTop w:val="0"/>
      <w:marBottom w:val="0"/>
      <w:divBdr>
        <w:top w:val="none" w:sz="0" w:space="0" w:color="auto"/>
        <w:left w:val="none" w:sz="0" w:space="0" w:color="auto"/>
        <w:bottom w:val="none" w:sz="0" w:space="0" w:color="auto"/>
        <w:right w:val="none" w:sz="0" w:space="0" w:color="auto"/>
      </w:divBdr>
    </w:div>
    <w:div w:id="2076928639">
      <w:bodyDiv w:val="1"/>
      <w:marLeft w:val="0"/>
      <w:marRight w:val="0"/>
      <w:marTop w:val="0"/>
      <w:marBottom w:val="0"/>
      <w:divBdr>
        <w:top w:val="none" w:sz="0" w:space="0" w:color="auto"/>
        <w:left w:val="none" w:sz="0" w:space="0" w:color="auto"/>
        <w:bottom w:val="none" w:sz="0" w:space="0" w:color="auto"/>
        <w:right w:val="none" w:sz="0" w:space="0" w:color="auto"/>
      </w:divBdr>
    </w:div>
    <w:div w:id="2089034330">
      <w:bodyDiv w:val="1"/>
      <w:marLeft w:val="0"/>
      <w:marRight w:val="0"/>
      <w:marTop w:val="0"/>
      <w:marBottom w:val="0"/>
      <w:divBdr>
        <w:top w:val="none" w:sz="0" w:space="0" w:color="auto"/>
        <w:left w:val="none" w:sz="0" w:space="0" w:color="auto"/>
        <w:bottom w:val="none" w:sz="0" w:space="0" w:color="auto"/>
        <w:right w:val="none" w:sz="0" w:space="0" w:color="auto"/>
      </w:divBdr>
      <w:divsChild>
        <w:div w:id="349836436">
          <w:marLeft w:val="0"/>
          <w:marRight w:val="0"/>
          <w:marTop w:val="0"/>
          <w:marBottom w:val="0"/>
          <w:divBdr>
            <w:top w:val="none" w:sz="0" w:space="0" w:color="auto"/>
            <w:left w:val="none" w:sz="0" w:space="0" w:color="auto"/>
            <w:bottom w:val="none" w:sz="0" w:space="0" w:color="auto"/>
            <w:right w:val="none" w:sz="0" w:space="0" w:color="auto"/>
          </w:divBdr>
        </w:div>
      </w:divsChild>
    </w:div>
    <w:div w:id="2092308356">
      <w:bodyDiv w:val="1"/>
      <w:marLeft w:val="0"/>
      <w:marRight w:val="0"/>
      <w:marTop w:val="0"/>
      <w:marBottom w:val="0"/>
      <w:divBdr>
        <w:top w:val="none" w:sz="0" w:space="0" w:color="auto"/>
        <w:left w:val="none" w:sz="0" w:space="0" w:color="auto"/>
        <w:bottom w:val="none" w:sz="0" w:space="0" w:color="auto"/>
        <w:right w:val="none" w:sz="0" w:space="0" w:color="auto"/>
      </w:divBdr>
    </w:div>
    <w:div w:id="2124688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uffieldtrust.org.uk/resource/digital-health-care-across-the-uk-where-are-we-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Ram212</b:Tag>
    <b:SourceType>JournalArticle</b:SourceType>
    <b:Guid>{B282D024-BF24-4604-86C6-BBADAD417B3A}</b:Guid>
    <b:Author>
      <b:Author>
        <b:NameList>
          <b:Person>
            <b:Last>Ramírez-Montoya</b:Last>
            <b:First>María</b:First>
            <b:Middle>Soledad</b:Middle>
          </b:Person>
          <b:Person>
            <b:Last>Andrade-Vargas</b:Last>
            <b:First>Lucy</b:First>
          </b:Person>
          <b:Person>
            <b:Last>Rivera-Rogel</b:Last>
            <b:First>Diana</b:First>
          </b:Person>
          <b:Person>
            <b:Last>Portuguez-Castro</b:Last>
            <b:First>May</b:First>
          </b:Person>
        </b:NameList>
      </b:Author>
    </b:Author>
    <b:Title>Trends for the future of education programs for professional development</b:Title>
    <b:JournalName>Sustainability </b:JournalName>
    <b:Year>2021</b:Year>
    <b:Pages>7244</b:Pages>
    <b:Volume>13</b:Volume>
    <b:Issue>13</b:Issue>
    <b:RefOrder>4</b:RefOrder>
  </b:Source>
</b:Sources>
</file>

<file path=customXml/itemProps1.xml><?xml version="1.0" encoding="utf-8"?>
<ds:datastoreItem xmlns:ds="http://schemas.openxmlformats.org/officeDocument/2006/customXml" ds:itemID="{BC9C5AB9-0EA5-4354-9578-9DD575F4B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3232</TotalTime>
  <Pages>15</Pages>
  <Words>4503</Words>
  <Characters>25672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jabeen</dc:creator>
  <cp:keywords/>
  <dc:description/>
  <cp:lastModifiedBy>Sofia Jabeen (2309199)</cp:lastModifiedBy>
  <cp:revision>1844</cp:revision>
  <cp:lastPrinted>2025-06-19T16:31:00Z</cp:lastPrinted>
  <dcterms:created xsi:type="dcterms:W3CDTF">2024-07-02T18:24:00Z</dcterms:created>
  <dcterms:modified xsi:type="dcterms:W3CDTF">2026-03-27T15:17:00Z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8d4aa017-b4a2-4386-ad9c-7d6cf354f697</vt:lpwstr>
  </property>
</Properties>
</file>