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50F898" w14:textId="77777777" w:rsidR="00543EC5" w:rsidRDefault="00543EC5" w:rsidP="00543EC5">
      <w:pPr>
        <w:rPr>
          <w:rFonts w:ascii="Arial" w:hAnsi="Arial" w:cs="Arial"/>
        </w:rPr>
      </w:pPr>
      <w:bookmarkStart w:id="0" w:name="_Hlk211585800"/>
      <w:bookmarkEnd w:id="0"/>
    </w:p>
    <w:p w14:paraId="404BC6D8" w14:textId="77777777" w:rsidR="00543EC5" w:rsidRDefault="00543EC5" w:rsidP="00543EC5">
      <w:pPr>
        <w:rPr>
          <w:rFonts w:ascii="Arial" w:hAnsi="Arial" w:cs="Arial"/>
        </w:rPr>
      </w:pPr>
    </w:p>
    <w:p w14:paraId="58EF85F2" w14:textId="77777777" w:rsidR="00543EC5" w:rsidRDefault="00543EC5" w:rsidP="00543EC5">
      <w:pPr>
        <w:rPr>
          <w:rFonts w:ascii="Arial" w:hAnsi="Arial" w:cs="Arial"/>
        </w:rPr>
      </w:pPr>
    </w:p>
    <w:p w14:paraId="2C8C7CE5" w14:textId="77777777" w:rsidR="00543EC5" w:rsidRDefault="00543EC5" w:rsidP="00543EC5">
      <w:pPr>
        <w:rPr>
          <w:rFonts w:ascii="Arial" w:hAnsi="Arial" w:cs="Arial"/>
        </w:rPr>
      </w:pPr>
    </w:p>
    <w:p w14:paraId="31498122" w14:textId="77777777" w:rsidR="00543EC5" w:rsidRDefault="00543EC5" w:rsidP="00543EC5">
      <w:pPr>
        <w:rPr>
          <w:rFonts w:ascii="Arial" w:hAnsi="Arial" w:cs="Arial"/>
        </w:rPr>
      </w:pPr>
    </w:p>
    <w:p w14:paraId="4A2FF54F" w14:textId="77777777" w:rsidR="00BB7DFF" w:rsidRDefault="00BB7DFF" w:rsidP="00543EC5">
      <w:pPr>
        <w:rPr>
          <w:rFonts w:ascii="Arial" w:hAnsi="Arial" w:cs="Arial"/>
        </w:rPr>
      </w:pPr>
    </w:p>
    <w:p w14:paraId="4C4499CC" w14:textId="77777777" w:rsidR="00BB7DFF" w:rsidRDefault="00BB7DFF" w:rsidP="00543EC5">
      <w:pPr>
        <w:rPr>
          <w:rFonts w:ascii="Arial" w:hAnsi="Arial" w:cs="Arial"/>
        </w:rPr>
        <w:sectPr w:rsidR="00BB7DFF" w:rsidSect="00340EEC">
          <w:footerReference w:type="default" r:id="rId10"/>
          <w:pgSz w:w="11906" w:h="16838" w:code="9"/>
          <w:pgMar w:top="720" w:right="720" w:bottom="720" w:left="720" w:header="708" w:footer="708" w:gutter="0"/>
          <w:cols w:num="2" w:space="708"/>
          <w:docGrid w:linePitch="360"/>
        </w:sectPr>
      </w:pPr>
    </w:p>
    <w:p w14:paraId="662BF940" w14:textId="527714F8" w:rsidR="00543EC5" w:rsidRPr="00543EC5" w:rsidRDefault="00543EC5" w:rsidP="00543EC5">
      <w:pPr>
        <w:rPr>
          <w:rFonts w:ascii="Arial" w:hAnsi="Arial" w:cs="Arial"/>
        </w:rPr>
      </w:pPr>
      <w:r w:rsidRPr="00543EC5">
        <w:rPr>
          <w:rFonts w:ascii="Arial" w:hAnsi="Arial" w:cs="Arial"/>
        </w:rPr>
        <w:t>Student Name:</w:t>
      </w:r>
      <w:r w:rsidRPr="00543EC5">
        <w:rPr>
          <w:rFonts w:ascii="Arial" w:hAnsi="Arial" w:cs="Arial"/>
        </w:rPr>
        <w:tab/>
        <w:t xml:space="preserve">   Razia Begum</w:t>
      </w:r>
    </w:p>
    <w:p w14:paraId="6E540F35" w14:textId="4F8BB2FA" w:rsidR="00543EC5" w:rsidRPr="00543EC5" w:rsidRDefault="00543EC5" w:rsidP="00543EC5">
      <w:pPr>
        <w:rPr>
          <w:rFonts w:ascii="Arial" w:hAnsi="Arial" w:cs="Arial"/>
        </w:rPr>
      </w:pPr>
      <w:r w:rsidRPr="00543EC5">
        <w:rPr>
          <w:rFonts w:ascii="Arial" w:hAnsi="Arial" w:cs="Arial"/>
        </w:rPr>
        <w:t xml:space="preserve">Student Number: </w:t>
      </w:r>
      <w:r>
        <w:rPr>
          <w:rFonts w:ascii="Arial" w:hAnsi="Arial" w:cs="Arial"/>
        </w:rPr>
        <w:t xml:space="preserve">         </w:t>
      </w:r>
      <w:r w:rsidRPr="00543EC5">
        <w:rPr>
          <w:rFonts w:ascii="Arial" w:hAnsi="Arial" w:cs="Arial"/>
        </w:rPr>
        <w:t xml:space="preserve"> 2217307</w:t>
      </w:r>
    </w:p>
    <w:p w14:paraId="29D85BFE" w14:textId="3810FB1B" w:rsidR="00543EC5" w:rsidRPr="00543EC5" w:rsidRDefault="00543EC5" w:rsidP="00543EC5">
      <w:pPr>
        <w:rPr>
          <w:rFonts w:ascii="Arial" w:hAnsi="Arial" w:cs="Arial"/>
        </w:rPr>
      </w:pPr>
      <w:r w:rsidRPr="00543EC5">
        <w:rPr>
          <w:rFonts w:ascii="Arial" w:hAnsi="Arial" w:cs="Arial"/>
        </w:rPr>
        <w:t>Programme:</w:t>
      </w:r>
      <w:r w:rsidRPr="00543EC5">
        <w:rPr>
          <w:rFonts w:ascii="Arial" w:hAnsi="Arial" w:cs="Arial"/>
        </w:rPr>
        <w:tab/>
      </w:r>
      <w:r>
        <w:rPr>
          <w:rFonts w:ascii="Arial" w:hAnsi="Arial" w:cs="Arial"/>
        </w:rPr>
        <w:t xml:space="preserve">              </w:t>
      </w:r>
      <w:r w:rsidRPr="00543EC5">
        <w:rPr>
          <w:rFonts w:ascii="Arial" w:hAnsi="Arial" w:cs="Arial"/>
        </w:rPr>
        <w:t>MSc Public Health and Social Care in Practice</w:t>
      </w:r>
    </w:p>
    <w:p w14:paraId="6C4DDCF0" w14:textId="5C3F4804" w:rsidR="00543EC5" w:rsidRPr="00543EC5" w:rsidRDefault="00543EC5" w:rsidP="00543EC5">
      <w:pPr>
        <w:rPr>
          <w:rFonts w:ascii="Arial" w:hAnsi="Arial" w:cs="Arial"/>
        </w:rPr>
      </w:pPr>
      <w:r w:rsidRPr="00543EC5">
        <w:rPr>
          <w:rFonts w:ascii="Arial" w:hAnsi="Arial" w:cs="Arial"/>
        </w:rPr>
        <w:t>Module:</w:t>
      </w:r>
      <w:r w:rsidRPr="00543EC5">
        <w:rPr>
          <w:rFonts w:ascii="Arial" w:hAnsi="Arial" w:cs="Arial"/>
        </w:rPr>
        <w:tab/>
      </w:r>
      <w:r>
        <w:rPr>
          <w:rFonts w:ascii="Arial" w:hAnsi="Arial" w:cs="Arial"/>
        </w:rPr>
        <w:t xml:space="preserve">              </w:t>
      </w:r>
      <w:r w:rsidRPr="00543EC5">
        <w:rPr>
          <w:rFonts w:ascii="Arial" w:hAnsi="Arial" w:cs="Arial"/>
        </w:rPr>
        <w:t xml:space="preserve">Community Care and Management of Longer-term Conditions  </w:t>
      </w:r>
    </w:p>
    <w:p w14:paraId="0221CFD6" w14:textId="5369B47F" w:rsidR="00543EC5" w:rsidRPr="00543EC5" w:rsidRDefault="00543EC5" w:rsidP="00543EC5">
      <w:pPr>
        <w:rPr>
          <w:rFonts w:ascii="Arial" w:hAnsi="Arial" w:cs="Arial"/>
        </w:rPr>
      </w:pPr>
      <w:r w:rsidRPr="00543EC5">
        <w:rPr>
          <w:rFonts w:ascii="Arial" w:hAnsi="Arial" w:cs="Arial"/>
        </w:rPr>
        <w:t>Module code:</w:t>
      </w:r>
      <w:r w:rsidRPr="00543EC5">
        <w:rPr>
          <w:rFonts w:ascii="Arial" w:hAnsi="Arial" w:cs="Arial"/>
        </w:rPr>
        <w:tab/>
      </w:r>
      <w:r>
        <w:rPr>
          <w:rFonts w:ascii="Arial" w:hAnsi="Arial" w:cs="Arial"/>
        </w:rPr>
        <w:t xml:space="preserve">               </w:t>
      </w:r>
      <w:r w:rsidRPr="00543EC5">
        <w:rPr>
          <w:rFonts w:ascii="Arial" w:hAnsi="Arial" w:cs="Arial"/>
        </w:rPr>
        <w:t>LCHS7003</w:t>
      </w:r>
    </w:p>
    <w:p w14:paraId="662F06E7" w14:textId="026EA763" w:rsidR="00543EC5" w:rsidRPr="00543EC5" w:rsidRDefault="00543EC5" w:rsidP="00543EC5">
      <w:pPr>
        <w:rPr>
          <w:rFonts w:ascii="Arial" w:hAnsi="Arial" w:cs="Arial"/>
        </w:rPr>
      </w:pPr>
      <w:r w:rsidRPr="00543EC5">
        <w:rPr>
          <w:rFonts w:ascii="Arial" w:hAnsi="Arial" w:cs="Arial"/>
        </w:rPr>
        <w:t>Lecturer:</w:t>
      </w:r>
      <w:r w:rsidRPr="00543EC5">
        <w:rPr>
          <w:rFonts w:ascii="Arial" w:hAnsi="Arial" w:cs="Arial"/>
        </w:rPr>
        <w:tab/>
      </w:r>
      <w:r>
        <w:rPr>
          <w:rFonts w:ascii="Arial" w:hAnsi="Arial" w:cs="Arial"/>
        </w:rPr>
        <w:t xml:space="preserve">               </w:t>
      </w:r>
      <w:r w:rsidRPr="00543EC5">
        <w:rPr>
          <w:rFonts w:ascii="Arial" w:hAnsi="Arial" w:cs="Arial"/>
        </w:rPr>
        <w:t>Dr Aishat Bakre</w:t>
      </w:r>
    </w:p>
    <w:p w14:paraId="3528B4AC" w14:textId="392C8AEC" w:rsidR="00543EC5" w:rsidRPr="00543EC5" w:rsidRDefault="00543EC5" w:rsidP="00543EC5">
      <w:pPr>
        <w:rPr>
          <w:rFonts w:ascii="Arial" w:hAnsi="Arial" w:cs="Arial"/>
        </w:rPr>
      </w:pPr>
      <w:r w:rsidRPr="00543EC5">
        <w:rPr>
          <w:rFonts w:ascii="Arial" w:hAnsi="Arial" w:cs="Arial"/>
        </w:rPr>
        <w:t>Assignment Title:</w:t>
      </w:r>
      <w:r w:rsidRPr="00543EC5">
        <w:rPr>
          <w:rFonts w:ascii="Arial" w:hAnsi="Arial" w:cs="Arial"/>
        </w:rPr>
        <w:tab/>
      </w:r>
      <w:r>
        <w:rPr>
          <w:rFonts w:ascii="Arial" w:hAnsi="Arial" w:cs="Arial"/>
        </w:rPr>
        <w:t xml:space="preserve">  </w:t>
      </w:r>
      <w:r w:rsidRPr="00543EC5">
        <w:rPr>
          <w:rFonts w:ascii="Arial" w:hAnsi="Arial" w:cs="Arial"/>
        </w:rPr>
        <w:t xml:space="preserve">Component 1  </w:t>
      </w:r>
      <w:r w:rsidR="00B57384">
        <w:rPr>
          <w:rFonts w:ascii="Arial" w:hAnsi="Arial" w:cs="Arial"/>
        </w:rPr>
        <w:t>Hypertensio</w:t>
      </w:r>
      <w:r w:rsidR="00556819">
        <w:rPr>
          <w:rFonts w:ascii="Arial" w:hAnsi="Arial" w:cs="Arial"/>
        </w:rPr>
        <w:t>n (High Blood Pressu</w:t>
      </w:r>
      <w:r w:rsidR="000917C7">
        <w:rPr>
          <w:rFonts w:ascii="Arial" w:hAnsi="Arial" w:cs="Arial"/>
        </w:rPr>
        <w:t>re)</w:t>
      </w:r>
    </w:p>
    <w:p w14:paraId="5B055DF7" w14:textId="10740E18" w:rsidR="008977D6" w:rsidRDefault="00543EC5" w:rsidP="008A1A0B">
      <w:pPr>
        <w:pStyle w:val="NormalWeb"/>
        <w:spacing w:after="0"/>
        <w:rPr>
          <w:rFonts w:ascii="Arial" w:hAnsi="Arial" w:cs="Arial"/>
        </w:rPr>
      </w:pPr>
      <w:r>
        <w:rPr>
          <w:rFonts w:ascii="Arial" w:hAnsi="Arial" w:cs="Arial"/>
        </w:rPr>
        <w:t xml:space="preserve">    </w:t>
      </w:r>
      <w:r w:rsidR="008A1A0B">
        <w:rPr>
          <w:rFonts w:ascii="Arial" w:hAnsi="Arial" w:cs="Arial"/>
        </w:rPr>
        <w:t xml:space="preserve">                               </w:t>
      </w:r>
      <w:r>
        <w:rPr>
          <w:rFonts w:ascii="Arial" w:hAnsi="Arial" w:cs="Arial"/>
        </w:rPr>
        <w:t xml:space="preserve"> </w:t>
      </w:r>
      <w:r w:rsidRPr="00543EC5">
        <w:rPr>
          <w:rFonts w:ascii="Arial" w:hAnsi="Arial" w:cs="Arial"/>
        </w:rPr>
        <w:t xml:space="preserve">Information Booklet of Long- term Condition Management  </w:t>
      </w:r>
    </w:p>
    <w:p w14:paraId="67AE5EF8" w14:textId="77777777" w:rsidR="00F44955" w:rsidRDefault="00F44955" w:rsidP="008A1A0B">
      <w:pPr>
        <w:pStyle w:val="NormalWeb"/>
        <w:spacing w:after="0"/>
        <w:rPr>
          <w:rFonts w:ascii="Arial" w:hAnsi="Arial" w:cs="Arial"/>
        </w:rPr>
      </w:pPr>
    </w:p>
    <w:p w14:paraId="33A7879C" w14:textId="77777777" w:rsidR="00F44955" w:rsidRDefault="00F44955" w:rsidP="008A1A0B">
      <w:pPr>
        <w:pStyle w:val="NormalWeb"/>
        <w:spacing w:after="0"/>
        <w:rPr>
          <w:rFonts w:ascii="Arial" w:hAnsi="Arial" w:cs="Arial"/>
        </w:rPr>
      </w:pPr>
    </w:p>
    <w:p w14:paraId="691E2DBD" w14:textId="77777777" w:rsidR="000718D8" w:rsidRDefault="000718D8" w:rsidP="008A1A0B">
      <w:pPr>
        <w:pStyle w:val="NormalWeb"/>
        <w:spacing w:after="0"/>
        <w:rPr>
          <w:rFonts w:ascii="Arial" w:hAnsi="Arial" w:cs="Arial"/>
        </w:rPr>
      </w:pPr>
    </w:p>
    <w:p w14:paraId="7E978B55" w14:textId="77777777" w:rsidR="000718D8" w:rsidRDefault="000718D8" w:rsidP="008A1A0B">
      <w:pPr>
        <w:pStyle w:val="NormalWeb"/>
        <w:spacing w:after="0"/>
        <w:rPr>
          <w:rFonts w:ascii="Arial" w:hAnsi="Arial" w:cs="Arial"/>
        </w:rPr>
      </w:pPr>
    </w:p>
    <w:p w14:paraId="4DA6896F" w14:textId="25301AE5" w:rsidR="00F44955" w:rsidRDefault="00055436" w:rsidP="008A1A0B">
      <w:pPr>
        <w:pStyle w:val="NormalWeb"/>
        <w:spacing w:after="0"/>
        <w:rPr>
          <w:rFonts w:ascii="Arial" w:hAnsi="Arial" w:cs="Arial"/>
        </w:rPr>
      </w:pPr>
      <w:r>
        <w:rPr>
          <w:rFonts w:ascii="Arial" w:hAnsi="Arial" w:cs="Arial"/>
          <w:b/>
          <w:bCs/>
          <w:noProof/>
          <w:sz w:val="28"/>
          <w:szCs w:val="28"/>
        </w:rPr>
        <w:drawing>
          <wp:inline distT="0" distB="0" distL="0" distR="0" wp14:anchorId="41849610" wp14:editId="2FA674F7">
            <wp:extent cx="6527494" cy="3810000"/>
            <wp:effectExtent l="0" t="0" r="6985" b="0"/>
            <wp:docPr id="1275674177" name="Picture 1" descr="A person standing next to a heart with a stethosco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214408" name="Picture 1" descr="A person standing next to a heart with a stethoscope&#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536983" cy="3815539"/>
                    </a:xfrm>
                    <a:prstGeom prst="rect">
                      <a:avLst/>
                    </a:prstGeom>
                    <a:noFill/>
                  </pic:spPr>
                </pic:pic>
              </a:graphicData>
            </a:graphic>
          </wp:inline>
        </w:drawing>
      </w:r>
    </w:p>
    <w:p w14:paraId="78BB670C" w14:textId="77777777" w:rsidR="00F44955" w:rsidRDefault="00F44955" w:rsidP="008A1A0B">
      <w:pPr>
        <w:pStyle w:val="NormalWeb"/>
        <w:spacing w:after="0"/>
        <w:rPr>
          <w:rFonts w:ascii="Arial" w:hAnsi="Arial" w:cs="Arial"/>
        </w:rPr>
      </w:pPr>
    </w:p>
    <w:p w14:paraId="1CFA0F1A" w14:textId="77777777" w:rsidR="00F44955" w:rsidRDefault="00F44955" w:rsidP="008A1A0B">
      <w:pPr>
        <w:pStyle w:val="NormalWeb"/>
        <w:spacing w:after="0"/>
        <w:rPr>
          <w:rFonts w:ascii="Arial" w:hAnsi="Arial" w:cs="Arial"/>
        </w:rPr>
      </w:pPr>
    </w:p>
    <w:p w14:paraId="230D5B89" w14:textId="4287AE62" w:rsidR="00055436" w:rsidRPr="000718D8" w:rsidRDefault="000718D8" w:rsidP="00055436">
      <w:pPr>
        <w:pStyle w:val="NormalWeb"/>
        <w:spacing w:after="0"/>
        <w:jc w:val="both"/>
        <w:rPr>
          <w:rFonts w:ascii="Arial" w:hAnsi="Arial" w:cs="Arial"/>
          <w:b/>
          <w:bCs/>
          <w:color w:val="0070C0"/>
          <w:sz w:val="28"/>
          <w:szCs w:val="28"/>
        </w:rPr>
      </w:pPr>
      <w:r w:rsidRPr="00896FB6">
        <w:rPr>
          <w:rFonts w:ascii="Arial" w:hAnsi="Arial" w:cs="Arial"/>
          <w:b/>
          <w:bCs/>
          <w:color w:val="0070C0"/>
          <w:sz w:val="28"/>
          <w:szCs w:val="28"/>
        </w:rPr>
        <w:t>Hypertension in Adults aged 40+: A Guide for Health</w:t>
      </w:r>
      <w:r w:rsidRPr="000718D8">
        <w:rPr>
          <w:rFonts w:ascii="Arial" w:hAnsi="Arial" w:cs="Arial"/>
          <w:b/>
          <w:bCs/>
          <w:color w:val="0070C0"/>
          <w:sz w:val="28"/>
          <w:szCs w:val="28"/>
        </w:rPr>
        <w:t xml:space="preserve"> and care Service Users</w:t>
      </w:r>
    </w:p>
    <w:p w14:paraId="778EB31E" w14:textId="4CB7A8A9" w:rsidR="00F44955" w:rsidRDefault="00F44955" w:rsidP="008A1A0B">
      <w:pPr>
        <w:pStyle w:val="NormalWeb"/>
        <w:spacing w:after="0"/>
        <w:rPr>
          <w:rFonts w:ascii="Arial" w:hAnsi="Arial" w:cs="Arial"/>
        </w:rPr>
      </w:pPr>
    </w:p>
    <w:p w14:paraId="4B91F1FE" w14:textId="77777777" w:rsidR="00F44955" w:rsidRDefault="00F44955" w:rsidP="008A1A0B">
      <w:pPr>
        <w:pStyle w:val="NormalWeb"/>
        <w:spacing w:after="0"/>
        <w:rPr>
          <w:rFonts w:ascii="Arial" w:hAnsi="Arial" w:cs="Arial"/>
        </w:rPr>
      </w:pPr>
    </w:p>
    <w:p w14:paraId="705373BF" w14:textId="77777777" w:rsidR="00F44955" w:rsidRDefault="00F44955" w:rsidP="008A1A0B">
      <w:pPr>
        <w:pStyle w:val="NormalWeb"/>
        <w:spacing w:after="0"/>
        <w:rPr>
          <w:rFonts w:ascii="Arial" w:hAnsi="Arial" w:cs="Arial"/>
        </w:rPr>
      </w:pPr>
    </w:p>
    <w:p w14:paraId="3E54828A" w14:textId="77777777" w:rsidR="00F44955" w:rsidRDefault="00F44955" w:rsidP="008A1A0B">
      <w:pPr>
        <w:pStyle w:val="NormalWeb"/>
        <w:spacing w:after="0"/>
        <w:rPr>
          <w:rFonts w:ascii="Arial" w:hAnsi="Arial" w:cs="Arial"/>
        </w:rPr>
      </w:pPr>
    </w:p>
    <w:p w14:paraId="441FCF39" w14:textId="77777777" w:rsidR="00F44955" w:rsidRDefault="00F44955" w:rsidP="008A1A0B">
      <w:pPr>
        <w:pStyle w:val="NormalWeb"/>
        <w:spacing w:after="0"/>
        <w:rPr>
          <w:rFonts w:ascii="Arial" w:hAnsi="Arial" w:cs="Arial"/>
        </w:rPr>
      </w:pPr>
    </w:p>
    <w:p w14:paraId="07411668" w14:textId="77777777" w:rsidR="00F44955" w:rsidRDefault="00F44955" w:rsidP="008A1A0B">
      <w:pPr>
        <w:pStyle w:val="NormalWeb"/>
        <w:spacing w:after="0"/>
        <w:rPr>
          <w:rFonts w:ascii="Arial" w:hAnsi="Arial" w:cs="Arial"/>
        </w:rPr>
      </w:pPr>
    </w:p>
    <w:p w14:paraId="52828A04" w14:textId="77777777" w:rsidR="00F44955" w:rsidRDefault="00F44955" w:rsidP="008A1A0B">
      <w:pPr>
        <w:pStyle w:val="NormalWeb"/>
        <w:spacing w:after="0"/>
        <w:rPr>
          <w:rFonts w:ascii="Arial" w:hAnsi="Arial" w:cs="Arial"/>
        </w:rPr>
      </w:pPr>
    </w:p>
    <w:p w14:paraId="0D840360" w14:textId="77777777" w:rsidR="00F44955" w:rsidRDefault="00F44955" w:rsidP="008A1A0B">
      <w:pPr>
        <w:pStyle w:val="NormalWeb"/>
        <w:spacing w:after="0"/>
        <w:rPr>
          <w:rFonts w:ascii="Arial" w:hAnsi="Arial" w:cs="Arial"/>
        </w:rPr>
      </w:pPr>
    </w:p>
    <w:p w14:paraId="4C5A019B" w14:textId="77777777" w:rsidR="00F44955" w:rsidRDefault="00F44955" w:rsidP="008A1A0B">
      <w:pPr>
        <w:pStyle w:val="NormalWeb"/>
        <w:spacing w:after="0"/>
        <w:rPr>
          <w:rFonts w:ascii="Arial" w:hAnsi="Arial" w:cs="Arial"/>
        </w:rPr>
      </w:pPr>
    </w:p>
    <w:p w14:paraId="32C99DBE" w14:textId="6F125BFB" w:rsidR="00F44955" w:rsidRDefault="00F44955" w:rsidP="008A1A0B">
      <w:pPr>
        <w:pStyle w:val="NormalWeb"/>
        <w:spacing w:after="0"/>
        <w:rPr>
          <w:rFonts w:ascii="Arial" w:hAnsi="Arial" w:cs="Arial"/>
          <w:b/>
          <w:bCs/>
          <w:sz w:val="28"/>
          <w:szCs w:val="28"/>
        </w:rPr>
      </w:pPr>
      <w:r w:rsidRPr="00F44955">
        <w:rPr>
          <w:rFonts w:ascii="Arial" w:hAnsi="Arial" w:cs="Arial"/>
          <w:b/>
          <w:bCs/>
          <w:sz w:val="28"/>
          <w:szCs w:val="28"/>
        </w:rPr>
        <w:t>Content Page</w:t>
      </w:r>
    </w:p>
    <w:p w14:paraId="3285BA8C" w14:textId="77777777" w:rsidR="00D92055" w:rsidRDefault="00D92055" w:rsidP="008A1A0B">
      <w:pPr>
        <w:pStyle w:val="NormalWeb"/>
        <w:spacing w:after="0"/>
        <w:rPr>
          <w:rFonts w:ascii="Arial" w:hAnsi="Arial" w:cs="Arial"/>
          <w:b/>
          <w:bCs/>
          <w:sz w:val="28"/>
          <w:szCs w:val="28"/>
        </w:rPr>
      </w:pPr>
    </w:p>
    <w:p w14:paraId="26B678A6" w14:textId="77777777" w:rsidR="00D92055" w:rsidRPr="001678D5" w:rsidRDefault="00D92055" w:rsidP="008A1A0B">
      <w:pPr>
        <w:pStyle w:val="NormalWeb"/>
        <w:spacing w:after="0"/>
        <w:rPr>
          <w:rFonts w:ascii="Arial" w:hAnsi="Arial" w:cs="Arial"/>
          <w:b/>
          <w:bCs/>
          <w:sz w:val="22"/>
          <w:szCs w:val="22"/>
        </w:rPr>
      </w:pPr>
    </w:p>
    <w:p w14:paraId="50E578DC" w14:textId="251E7290" w:rsidR="00D92055" w:rsidRPr="00D92055" w:rsidRDefault="00D92055" w:rsidP="001678D5">
      <w:pPr>
        <w:pStyle w:val="NormalWeb"/>
        <w:spacing w:after="0" w:line="360" w:lineRule="auto"/>
        <w:jc w:val="both"/>
        <w:rPr>
          <w:rFonts w:ascii="Arial" w:hAnsi="Arial" w:cs="Arial"/>
          <w:sz w:val="22"/>
          <w:szCs w:val="22"/>
        </w:rPr>
      </w:pPr>
      <w:r w:rsidRPr="00D92055">
        <w:rPr>
          <w:rFonts w:ascii="Arial" w:hAnsi="Arial" w:cs="Arial"/>
          <w:sz w:val="22"/>
          <w:szCs w:val="22"/>
        </w:rPr>
        <w:t>Definition</w:t>
      </w:r>
      <w:r w:rsidR="00867027" w:rsidRPr="001678D5">
        <w:rPr>
          <w:rFonts w:ascii="Arial" w:hAnsi="Arial" w:cs="Arial"/>
          <w:sz w:val="22"/>
          <w:szCs w:val="22"/>
        </w:rPr>
        <w:t>…………………………………………………………………………………………………</w:t>
      </w:r>
      <w:r w:rsidR="00E6650C" w:rsidRPr="001678D5">
        <w:rPr>
          <w:rFonts w:ascii="Arial" w:hAnsi="Arial" w:cs="Arial"/>
          <w:sz w:val="22"/>
          <w:szCs w:val="22"/>
        </w:rPr>
        <w:t>3</w:t>
      </w:r>
      <w:r w:rsidR="00A57A7E" w:rsidRPr="001678D5">
        <w:rPr>
          <w:rFonts w:ascii="Arial" w:hAnsi="Arial" w:cs="Arial"/>
          <w:sz w:val="22"/>
          <w:szCs w:val="22"/>
        </w:rPr>
        <w:t>.</w:t>
      </w:r>
    </w:p>
    <w:p w14:paraId="78D84B9D" w14:textId="77777777" w:rsidR="00F5319F" w:rsidRPr="001678D5" w:rsidRDefault="00F5319F" w:rsidP="001678D5">
      <w:pPr>
        <w:pStyle w:val="NormalWeb"/>
        <w:spacing w:after="0" w:line="360" w:lineRule="auto"/>
        <w:jc w:val="both"/>
        <w:rPr>
          <w:rFonts w:ascii="Arial" w:hAnsi="Arial" w:cs="Arial"/>
          <w:sz w:val="22"/>
          <w:szCs w:val="22"/>
        </w:rPr>
      </w:pPr>
    </w:p>
    <w:p w14:paraId="7466AD11" w14:textId="47626737" w:rsidR="00D92055" w:rsidRPr="00D92055" w:rsidRDefault="00D92055" w:rsidP="001678D5">
      <w:pPr>
        <w:pStyle w:val="NormalWeb"/>
        <w:spacing w:after="0" w:line="360" w:lineRule="auto"/>
        <w:jc w:val="both"/>
        <w:rPr>
          <w:rFonts w:ascii="Arial" w:hAnsi="Arial" w:cs="Arial"/>
          <w:sz w:val="22"/>
          <w:szCs w:val="22"/>
        </w:rPr>
      </w:pPr>
      <w:r w:rsidRPr="00D92055">
        <w:rPr>
          <w:rFonts w:ascii="Arial" w:hAnsi="Arial" w:cs="Arial"/>
          <w:sz w:val="22"/>
          <w:szCs w:val="22"/>
        </w:rPr>
        <w:t>Global Burden and Prevalence</w:t>
      </w:r>
      <w:r w:rsidR="00867027" w:rsidRPr="001678D5">
        <w:rPr>
          <w:rFonts w:ascii="Arial" w:hAnsi="Arial" w:cs="Arial"/>
          <w:sz w:val="22"/>
          <w:szCs w:val="22"/>
        </w:rPr>
        <w:t>………………………………………………………………………</w:t>
      </w:r>
      <w:r w:rsidR="00E43DBE" w:rsidRPr="001678D5">
        <w:rPr>
          <w:rFonts w:ascii="Arial" w:hAnsi="Arial" w:cs="Arial"/>
          <w:sz w:val="22"/>
          <w:szCs w:val="22"/>
        </w:rPr>
        <w:t>..3</w:t>
      </w:r>
      <w:r w:rsidR="00A57A7E" w:rsidRPr="001678D5">
        <w:rPr>
          <w:rFonts w:ascii="Arial" w:hAnsi="Arial" w:cs="Arial"/>
          <w:sz w:val="22"/>
          <w:szCs w:val="22"/>
        </w:rPr>
        <w:t>.</w:t>
      </w:r>
    </w:p>
    <w:p w14:paraId="2D8256BB" w14:textId="77777777" w:rsidR="00F44955" w:rsidRPr="001678D5" w:rsidRDefault="00F44955" w:rsidP="001678D5">
      <w:pPr>
        <w:pStyle w:val="NormalWeb"/>
        <w:spacing w:after="0" w:line="360" w:lineRule="auto"/>
        <w:jc w:val="both"/>
        <w:rPr>
          <w:rFonts w:ascii="Arial" w:hAnsi="Arial" w:cs="Arial"/>
          <w:sz w:val="22"/>
          <w:szCs w:val="22"/>
        </w:rPr>
      </w:pPr>
    </w:p>
    <w:p w14:paraId="192ECB82" w14:textId="570E247C" w:rsidR="00D92055" w:rsidRPr="00D92055" w:rsidRDefault="00D92055" w:rsidP="001678D5">
      <w:pPr>
        <w:pStyle w:val="NormalWeb"/>
        <w:spacing w:after="0" w:line="360" w:lineRule="auto"/>
        <w:jc w:val="both"/>
        <w:rPr>
          <w:rFonts w:ascii="Arial" w:hAnsi="Arial" w:cs="Arial"/>
          <w:sz w:val="22"/>
          <w:szCs w:val="22"/>
        </w:rPr>
      </w:pPr>
      <w:r w:rsidRPr="00D92055">
        <w:rPr>
          <w:rFonts w:ascii="Arial" w:hAnsi="Arial" w:cs="Arial"/>
          <w:sz w:val="22"/>
          <w:szCs w:val="22"/>
        </w:rPr>
        <w:t>Hypertension in the UK</w:t>
      </w:r>
      <w:r w:rsidR="00E11C0D" w:rsidRPr="001678D5">
        <w:rPr>
          <w:rFonts w:ascii="Arial" w:hAnsi="Arial" w:cs="Arial"/>
          <w:sz w:val="22"/>
          <w:szCs w:val="22"/>
        </w:rPr>
        <w:t>………………………………………………………………………………</w:t>
      </w:r>
      <w:r w:rsidR="00E43DBE" w:rsidRPr="001678D5">
        <w:rPr>
          <w:rFonts w:ascii="Arial" w:hAnsi="Arial" w:cs="Arial"/>
          <w:sz w:val="22"/>
          <w:szCs w:val="22"/>
        </w:rPr>
        <w:t>3-5</w:t>
      </w:r>
      <w:r w:rsidR="00A57A7E" w:rsidRPr="001678D5">
        <w:rPr>
          <w:rFonts w:ascii="Arial" w:hAnsi="Arial" w:cs="Arial"/>
          <w:sz w:val="22"/>
          <w:szCs w:val="22"/>
        </w:rPr>
        <w:t>.</w:t>
      </w:r>
    </w:p>
    <w:p w14:paraId="0C40F5A3" w14:textId="77777777" w:rsidR="00D92055" w:rsidRPr="001678D5" w:rsidRDefault="00D92055" w:rsidP="001678D5">
      <w:pPr>
        <w:pStyle w:val="NormalWeb"/>
        <w:spacing w:after="0" w:line="360" w:lineRule="auto"/>
        <w:jc w:val="both"/>
        <w:rPr>
          <w:rFonts w:ascii="Arial" w:hAnsi="Arial" w:cs="Arial"/>
          <w:sz w:val="22"/>
          <w:szCs w:val="22"/>
        </w:rPr>
      </w:pPr>
    </w:p>
    <w:p w14:paraId="7599CF3A" w14:textId="549A880E" w:rsidR="00D92055" w:rsidRPr="00D92055" w:rsidRDefault="00D92055" w:rsidP="001678D5">
      <w:pPr>
        <w:pStyle w:val="NormalWeb"/>
        <w:spacing w:after="0" w:line="360" w:lineRule="auto"/>
        <w:jc w:val="both"/>
        <w:rPr>
          <w:rFonts w:ascii="Arial" w:hAnsi="Arial" w:cs="Arial"/>
          <w:sz w:val="22"/>
          <w:szCs w:val="22"/>
        </w:rPr>
      </w:pPr>
      <w:r w:rsidRPr="00D92055">
        <w:rPr>
          <w:rFonts w:ascii="Arial" w:hAnsi="Arial" w:cs="Arial"/>
          <w:sz w:val="22"/>
          <w:szCs w:val="22"/>
        </w:rPr>
        <w:t>Aetiology and Risk Factors</w:t>
      </w:r>
      <w:r w:rsidR="00E11C0D" w:rsidRPr="001678D5">
        <w:rPr>
          <w:rFonts w:ascii="Arial" w:hAnsi="Arial" w:cs="Arial"/>
          <w:sz w:val="22"/>
          <w:szCs w:val="22"/>
        </w:rPr>
        <w:t>…………………………………………………………………………</w:t>
      </w:r>
      <w:r w:rsidR="001C7668" w:rsidRPr="001678D5">
        <w:rPr>
          <w:rFonts w:ascii="Arial" w:hAnsi="Arial" w:cs="Arial"/>
          <w:sz w:val="22"/>
          <w:szCs w:val="22"/>
        </w:rPr>
        <w:t>.</w:t>
      </w:r>
      <w:r w:rsidR="00A57A7E" w:rsidRPr="001678D5">
        <w:rPr>
          <w:rFonts w:ascii="Arial" w:hAnsi="Arial" w:cs="Arial"/>
          <w:sz w:val="22"/>
          <w:szCs w:val="22"/>
        </w:rPr>
        <w:t>4-5.</w:t>
      </w:r>
    </w:p>
    <w:p w14:paraId="259E2CE2" w14:textId="77777777" w:rsidR="00F44955" w:rsidRPr="001678D5" w:rsidRDefault="00F44955" w:rsidP="001678D5">
      <w:pPr>
        <w:pStyle w:val="NormalWeb"/>
        <w:spacing w:after="0" w:line="360" w:lineRule="auto"/>
        <w:jc w:val="both"/>
        <w:rPr>
          <w:rFonts w:ascii="Arial" w:hAnsi="Arial" w:cs="Arial"/>
          <w:sz w:val="22"/>
          <w:szCs w:val="22"/>
        </w:rPr>
      </w:pPr>
    </w:p>
    <w:p w14:paraId="4F22C738" w14:textId="77777777" w:rsidR="00F5319F" w:rsidRPr="001678D5" w:rsidRDefault="00D92055" w:rsidP="001678D5">
      <w:pPr>
        <w:pStyle w:val="NormalWeb"/>
        <w:spacing w:after="0" w:line="360" w:lineRule="auto"/>
        <w:jc w:val="both"/>
        <w:rPr>
          <w:rFonts w:ascii="Arial" w:hAnsi="Arial" w:cs="Arial"/>
          <w:sz w:val="22"/>
          <w:szCs w:val="22"/>
        </w:rPr>
      </w:pPr>
      <w:r w:rsidRPr="00D92055">
        <w:rPr>
          <w:rFonts w:ascii="Arial" w:hAnsi="Arial" w:cs="Arial"/>
          <w:sz w:val="22"/>
          <w:szCs w:val="22"/>
        </w:rPr>
        <w:t xml:space="preserve">Implications of Hypertension and Evidence-Based Treatments: </w:t>
      </w:r>
    </w:p>
    <w:p w14:paraId="30AA52DB" w14:textId="2BD88843" w:rsidR="00D92055" w:rsidRPr="001678D5" w:rsidRDefault="00D92055" w:rsidP="001678D5">
      <w:pPr>
        <w:pStyle w:val="NormalWeb"/>
        <w:spacing w:after="0" w:line="360" w:lineRule="auto"/>
        <w:jc w:val="both"/>
        <w:rPr>
          <w:rFonts w:ascii="Arial" w:hAnsi="Arial" w:cs="Arial"/>
          <w:sz w:val="22"/>
          <w:szCs w:val="22"/>
        </w:rPr>
      </w:pPr>
      <w:r w:rsidRPr="00D92055">
        <w:rPr>
          <w:rFonts w:ascii="Arial" w:hAnsi="Arial" w:cs="Arial"/>
          <w:sz w:val="22"/>
          <w:szCs w:val="22"/>
        </w:rPr>
        <w:t>Physical, Psychological, Social, and Family Impact</w:t>
      </w:r>
      <w:r w:rsidR="00E11C0D" w:rsidRPr="001678D5">
        <w:rPr>
          <w:rFonts w:ascii="Arial" w:hAnsi="Arial" w:cs="Arial"/>
          <w:sz w:val="22"/>
          <w:szCs w:val="22"/>
        </w:rPr>
        <w:t>…………………………………………</w:t>
      </w:r>
      <w:r w:rsidR="00D75164" w:rsidRPr="001678D5">
        <w:rPr>
          <w:rFonts w:ascii="Arial" w:hAnsi="Arial" w:cs="Arial"/>
          <w:sz w:val="22"/>
          <w:szCs w:val="22"/>
        </w:rPr>
        <w:t>…...</w:t>
      </w:r>
      <w:r w:rsidR="00A57A7E" w:rsidRPr="001678D5">
        <w:rPr>
          <w:rFonts w:ascii="Arial" w:hAnsi="Arial" w:cs="Arial"/>
          <w:sz w:val="22"/>
          <w:szCs w:val="22"/>
        </w:rPr>
        <w:t>5-6-7.</w:t>
      </w:r>
    </w:p>
    <w:p w14:paraId="45547661" w14:textId="77777777" w:rsidR="00361CAD" w:rsidRPr="001678D5" w:rsidRDefault="00361CAD" w:rsidP="001678D5">
      <w:pPr>
        <w:pStyle w:val="NormalWeb"/>
        <w:spacing w:after="0" w:line="360" w:lineRule="auto"/>
        <w:jc w:val="both"/>
        <w:rPr>
          <w:rFonts w:ascii="Arial" w:hAnsi="Arial" w:cs="Arial"/>
          <w:sz w:val="22"/>
          <w:szCs w:val="22"/>
        </w:rPr>
      </w:pPr>
    </w:p>
    <w:p w14:paraId="068E7BE4" w14:textId="63963E61" w:rsidR="00D92055" w:rsidRPr="00D92055" w:rsidRDefault="00D92055" w:rsidP="001678D5">
      <w:pPr>
        <w:pStyle w:val="NormalWeb"/>
        <w:spacing w:line="360" w:lineRule="auto"/>
        <w:jc w:val="both"/>
        <w:rPr>
          <w:rFonts w:ascii="Arial" w:hAnsi="Arial" w:cs="Arial"/>
          <w:sz w:val="22"/>
          <w:szCs w:val="22"/>
        </w:rPr>
      </w:pPr>
      <w:r w:rsidRPr="00D92055">
        <w:rPr>
          <w:rFonts w:ascii="Arial" w:hAnsi="Arial" w:cs="Arial"/>
          <w:sz w:val="22"/>
          <w:szCs w:val="22"/>
        </w:rPr>
        <w:t>Models and Frameworks</w:t>
      </w:r>
      <w:r w:rsidR="00BC62D9" w:rsidRPr="001678D5">
        <w:rPr>
          <w:rFonts w:ascii="Arial" w:hAnsi="Arial" w:cs="Arial"/>
          <w:sz w:val="22"/>
          <w:szCs w:val="22"/>
        </w:rPr>
        <w:t>………………………………………………………………………………</w:t>
      </w:r>
      <w:r w:rsidR="00EB352F" w:rsidRPr="001678D5">
        <w:rPr>
          <w:rFonts w:ascii="Arial" w:hAnsi="Arial" w:cs="Arial"/>
          <w:sz w:val="22"/>
          <w:szCs w:val="22"/>
        </w:rPr>
        <w:t>7-8-9.</w:t>
      </w:r>
      <w:r w:rsidRPr="00D92055">
        <w:rPr>
          <w:rFonts w:ascii="Arial" w:hAnsi="Arial" w:cs="Arial"/>
          <w:sz w:val="22"/>
          <w:szCs w:val="22"/>
        </w:rPr>
        <w:t xml:space="preserve"> </w:t>
      </w:r>
    </w:p>
    <w:p w14:paraId="6C2E1EA4" w14:textId="0339669A" w:rsidR="00D92055" w:rsidRPr="00D92055" w:rsidRDefault="00D92055" w:rsidP="001678D5">
      <w:pPr>
        <w:pStyle w:val="NormalWeb"/>
        <w:spacing w:line="360" w:lineRule="auto"/>
        <w:jc w:val="both"/>
        <w:rPr>
          <w:rFonts w:ascii="Arial" w:hAnsi="Arial" w:cs="Arial"/>
          <w:sz w:val="22"/>
          <w:szCs w:val="22"/>
        </w:rPr>
      </w:pPr>
      <w:r w:rsidRPr="00D92055">
        <w:rPr>
          <w:rFonts w:ascii="Arial" w:hAnsi="Arial" w:cs="Arial"/>
          <w:sz w:val="22"/>
          <w:szCs w:val="22"/>
        </w:rPr>
        <w:t>National Health and Social Care Agendas in the UK and Local Implementation</w:t>
      </w:r>
      <w:r w:rsidR="00BC62D9" w:rsidRPr="001678D5">
        <w:rPr>
          <w:rFonts w:ascii="Arial" w:hAnsi="Arial" w:cs="Arial"/>
          <w:sz w:val="22"/>
          <w:szCs w:val="22"/>
        </w:rPr>
        <w:t>………………</w:t>
      </w:r>
      <w:r w:rsidR="00DF2F71" w:rsidRPr="001678D5">
        <w:rPr>
          <w:rFonts w:ascii="Arial" w:hAnsi="Arial" w:cs="Arial"/>
          <w:sz w:val="22"/>
          <w:szCs w:val="22"/>
        </w:rPr>
        <w:t>.</w:t>
      </w:r>
      <w:r w:rsidR="00380347" w:rsidRPr="001678D5">
        <w:rPr>
          <w:rFonts w:ascii="Arial" w:hAnsi="Arial" w:cs="Arial"/>
          <w:sz w:val="22"/>
          <w:szCs w:val="22"/>
        </w:rPr>
        <w:t>9-10.</w:t>
      </w:r>
    </w:p>
    <w:p w14:paraId="0781FF91" w14:textId="17AAE7FE" w:rsidR="007A7DF9" w:rsidRPr="007A7DF9" w:rsidRDefault="007A7DF9" w:rsidP="001678D5">
      <w:pPr>
        <w:pStyle w:val="NormalWeb"/>
        <w:spacing w:line="360" w:lineRule="auto"/>
        <w:jc w:val="both"/>
        <w:rPr>
          <w:rFonts w:ascii="Arial" w:hAnsi="Arial" w:cs="Arial"/>
          <w:sz w:val="22"/>
          <w:szCs w:val="22"/>
        </w:rPr>
      </w:pPr>
      <w:r w:rsidRPr="007A7DF9">
        <w:rPr>
          <w:rFonts w:ascii="Arial" w:hAnsi="Arial" w:cs="Arial"/>
          <w:sz w:val="22"/>
          <w:szCs w:val="22"/>
        </w:rPr>
        <w:t>Recommendations</w:t>
      </w:r>
      <w:r w:rsidR="00BC62D9" w:rsidRPr="001678D5">
        <w:rPr>
          <w:rFonts w:ascii="Arial" w:hAnsi="Arial" w:cs="Arial"/>
          <w:sz w:val="22"/>
          <w:szCs w:val="22"/>
        </w:rPr>
        <w:t>………………………………………………………………………………………</w:t>
      </w:r>
      <w:r w:rsidR="00650F57" w:rsidRPr="001678D5">
        <w:rPr>
          <w:rFonts w:ascii="Arial" w:hAnsi="Arial" w:cs="Arial"/>
          <w:sz w:val="22"/>
          <w:szCs w:val="22"/>
        </w:rPr>
        <w:t>.</w:t>
      </w:r>
      <w:r w:rsidR="00380347" w:rsidRPr="001678D5">
        <w:rPr>
          <w:rFonts w:ascii="Arial" w:hAnsi="Arial" w:cs="Arial"/>
          <w:sz w:val="22"/>
          <w:szCs w:val="22"/>
        </w:rPr>
        <w:t>10-11.</w:t>
      </w:r>
    </w:p>
    <w:p w14:paraId="02EE5AF7" w14:textId="35B263C9" w:rsidR="00D92055" w:rsidRPr="001678D5" w:rsidRDefault="007A7DF9" w:rsidP="001678D5">
      <w:pPr>
        <w:pStyle w:val="NormalWeb"/>
        <w:spacing w:after="0" w:line="360" w:lineRule="auto"/>
        <w:jc w:val="both"/>
        <w:rPr>
          <w:rFonts w:ascii="Arial" w:hAnsi="Arial" w:cs="Arial"/>
          <w:sz w:val="22"/>
          <w:szCs w:val="22"/>
        </w:rPr>
      </w:pPr>
      <w:r w:rsidRPr="001678D5">
        <w:rPr>
          <w:rFonts w:ascii="Arial" w:hAnsi="Arial" w:cs="Arial"/>
          <w:sz w:val="22"/>
          <w:szCs w:val="22"/>
        </w:rPr>
        <w:t>Conclusion</w:t>
      </w:r>
      <w:r w:rsidR="00BC62D9" w:rsidRPr="001678D5">
        <w:rPr>
          <w:rFonts w:ascii="Arial" w:hAnsi="Arial" w:cs="Arial"/>
          <w:sz w:val="22"/>
          <w:szCs w:val="22"/>
        </w:rPr>
        <w:t>………………………………………………………………………………………………</w:t>
      </w:r>
      <w:r w:rsidR="006A470A" w:rsidRPr="001678D5">
        <w:rPr>
          <w:rFonts w:ascii="Arial" w:hAnsi="Arial" w:cs="Arial"/>
          <w:sz w:val="22"/>
          <w:szCs w:val="22"/>
        </w:rPr>
        <w:t>.</w:t>
      </w:r>
      <w:r w:rsidR="00380347" w:rsidRPr="001678D5">
        <w:rPr>
          <w:rFonts w:ascii="Arial" w:hAnsi="Arial" w:cs="Arial"/>
          <w:sz w:val="22"/>
          <w:szCs w:val="22"/>
        </w:rPr>
        <w:t>11.</w:t>
      </w:r>
    </w:p>
    <w:p w14:paraId="3C2E8150" w14:textId="77777777" w:rsidR="00650F57" w:rsidRPr="00D92055" w:rsidRDefault="00650F57" w:rsidP="001678D5">
      <w:pPr>
        <w:pStyle w:val="NormalWeb"/>
        <w:spacing w:after="0" w:line="360" w:lineRule="auto"/>
        <w:jc w:val="both"/>
        <w:rPr>
          <w:rFonts w:ascii="Arial" w:hAnsi="Arial" w:cs="Arial"/>
          <w:sz w:val="22"/>
          <w:szCs w:val="22"/>
        </w:rPr>
      </w:pPr>
    </w:p>
    <w:p w14:paraId="60EF3AA5" w14:textId="29320566" w:rsidR="00F5319F" w:rsidRPr="00F5319F" w:rsidRDefault="00F5319F" w:rsidP="001678D5">
      <w:pPr>
        <w:pStyle w:val="NormalWeb"/>
        <w:spacing w:line="360" w:lineRule="auto"/>
        <w:jc w:val="both"/>
        <w:rPr>
          <w:rFonts w:ascii="Arial" w:hAnsi="Arial" w:cs="Arial"/>
          <w:sz w:val="22"/>
          <w:szCs w:val="22"/>
        </w:rPr>
      </w:pPr>
      <w:r w:rsidRPr="00F5319F">
        <w:rPr>
          <w:rFonts w:ascii="Arial" w:hAnsi="Arial" w:cs="Arial"/>
          <w:sz w:val="22"/>
          <w:szCs w:val="22"/>
        </w:rPr>
        <w:t>Reference list</w:t>
      </w:r>
      <w:r w:rsidR="00361CAD" w:rsidRPr="001678D5">
        <w:rPr>
          <w:rFonts w:ascii="Arial" w:hAnsi="Arial" w:cs="Arial"/>
          <w:sz w:val="22"/>
          <w:szCs w:val="22"/>
        </w:rPr>
        <w:t>………………………………………………………………………</w:t>
      </w:r>
      <w:r w:rsidR="001678D5" w:rsidRPr="001678D5">
        <w:rPr>
          <w:rFonts w:ascii="Arial" w:hAnsi="Arial" w:cs="Arial"/>
          <w:sz w:val="22"/>
          <w:szCs w:val="22"/>
        </w:rPr>
        <w:t>…</w:t>
      </w:r>
      <w:r w:rsidR="00361CAD" w:rsidRPr="001678D5">
        <w:rPr>
          <w:rFonts w:ascii="Arial" w:hAnsi="Arial" w:cs="Arial"/>
          <w:sz w:val="22"/>
          <w:szCs w:val="22"/>
        </w:rPr>
        <w:t>………</w:t>
      </w:r>
      <w:r w:rsidR="001678D5" w:rsidRPr="001678D5">
        <w:rPr>
          <w:rFonts w:ascii="Arial" w:hAnsi="Arial" w:cs="Arial"/>
          <w:sz w:val="22"/>
          <w:szCs w:val="22"/>
        </w:rPr>
        <w:t>12-</w:t>
      </w:r>
      <w:r w:rsidR="00843094" w:rsidRPr="001678D5">
        <w:rPr>
          <w:rFonts w:ascii="Arial" w:hAnsi="Arial" w:cs="Arial"/>
          <w:sz w:val="22"/>
          <w:szCs w:val="22"/>
        </w:rPr>
        <w:t>13</w:t>
      </w:r>
      <w:r w:rsidR="00180755" w:rsidRPr="001678D5">
        <w:rPr>
          <w:rFonts w:ascii="Arial" w:hAnsi="Arial" w:cs="Arial"/>
          <w:sz w:val="22"/>
          <w:szCs w:val="22"/>
        </w:rPr>
        <w:t>-14-15-16</w:t>
      </w:r>
      <w:r w:rsidR="001678D5" w:rsidRPr="001678D5">
        <w:rPr>
          <w:rFonts w:ascii="Arial" w:hAnsi="Arial" w:cs="Arial"/>
          <w:sz w:val="22"/>
          <w:szCs w:val="22"/>
        </w:rPr>
        <w:t>.</w:t>
      </w:r>
    </w:p>
    <w:p w14:paraId="3B123169" w14:textId="77777777" w:rsidR="00F44955" w:rsidRDefault="00F44955" w:rsidP="001678D5">
      <w:pPr>
        <w:pStyle w:val="NormalWeb"/>
        <w:spacing w:after="0" w:line="360" w:lineRule="auto"/>
        <w:jc w:val="both"/>
        <w:rPr>
          <w:rFonts w:ascii="Arial" w:hAnsi="Arial" w:cs="Arial"/>
          <w:b/>
          <w:bCs/>
          <w:sz w:val="28"/>
          <w:szCs w:val="28"/>
        </w:rPr>
      </w:pPr>
    </w:p>
    <w:p w14:paraId="0E8D4D3A" w14:textId="77777777" w:rsidR="00F44955" w:rsidRDefault="00F44955" w:rsidP="008A1A0B">
      <w:pPr>
        <w:pStyle w:val="NormalWeb"/>
        <w:spacing w:after="0"/>
        <w:rPr>
          <w:rFonts w:ascii="Arial" w:hAnsi="Arial" w:cs="Arial"/>
          <w:b/>
          <w:bCs/>
          <w:sz w:val="28"/>
          <w:szCs w:val="28"/>
        </w:rPr>
      </w:pPr>
    </w:p>
    <w:p w14:paraId="50055B7B" w14:textId="77777777" w:rsidR="00F44955" w:rsidRDefault="00F44955" w:rsidP="008A1A0B">
      <w:pPr>
        <w:pStyle w:val="NormalWeb"/>
        <w:spacing w:after="0"/>
        <w:rPr>
          <w:rFonts w:ascii="Arial" w:hAnsi="Arial" w:cs="Arial"/>
          <w:b/>
          <w:bCs/>
          <w:sz w:val="28"/>
          <w:szCs w:val="28"/>
        </w:rPr>
      </w:pPr>
    </w:p>
    <w:p w14:paraId="472A0602" w14:textId="77777777" w:rsidR="00F44955" w:rsidRDefault="00F44955" w:rsidP="008A1A0B">
      <w:pPr>
        <w:pStyle w:val="NormalWeb"/>
        <w:spacing w:after="0"/>
        <w:rPr>
          <w:rFonts w:ascii="Arial" w:hAnsi="Arial" w:cs="Arial"/>
          <w:b/>
          <w:bCs/>
          <w:sz w:val="28"/>
          <w:szCs w:val="28"/>
        </w:rPr>
      </w:pPr>
    </w:p>
    <w:p w14:paraId="422B19A9" w14:textId="77777777" w:rsidR="00F44955" w:rsidRDefault="00F44955" w:rsidP="008A1A0B">
      <w:pPr>
        <w:pStyle w:val="NormalWeb"/>
        <w:spacing w:after="0"/>
        <w:rPr>
          <w:rFonts w:ascii="Arial" w:hAnsi="Arial" w:cs="Arial"/>
          <w:b/>
          <w:bCs/>
          <w:sz w:val="28"/>
          <w:szCs w:val="28"/>
        </w:rPr>
      </w:pPr>
    </w:p>
    <w:p w14:paraId="0D559BD6" w14:textId="77777777" w:rsidR="00F44955" w:rsidRDefault="00F44955" w:rsidP="008A1A0B">
      <w:pPr>
        <w:pStyle w:val="NormalWeb"/>
        <w:spacing w:after="0"/>
        <w:rPr>
          <w:rFonts w:ascii="Arial" w:hAnsi="Arial" w:cs="Arial"/>
          <w:b/>
          <w:bCs/>
          <w:sz w:val="28"/>
          <w:szCs w:val="28"/>
        </w:rPr>
      </w:pPr>
    </w:p>
    <w:p w14:paraId="71A0E9FA" w14:textId="77777777" w:rsidR="00F44955" w:rsidRDefault="00F44955" w:rsidP="008A1A0B">
      <w:pPr>
        <w:pStyle w:val="NormalWeb"/>
        <w:spacing w:after="0"/>
        <w:rPr>
          <w:rFonts w:ascii="Arial" w:hAnsi="Arial" w:cs="Arial"/>
          <w:b/>
          <w:bCs/>
          <w:sz w:val="28"/>
          <w:szCs w:val="28"/>
        </w:rPr>
      </w:pPr>
    </w:p>
    <w:p w14:paraId="528039E9" w14:textId="77777777" w:rsidR="00F44955" w:rsidRDefault="00F44955" w:rsidP="008A1A0B">
      <w:pPr>
        <w:pStyle w:val="NormalWeb"/>
        <w:spacing w:after="0"/>
        <w:rPr>
          <w:rFonts w:ascii="Arial" w:hAnsi="Arial" w:cs="Arial"/>
          <w:b/>
          <w:bCs/>
          <w:sz w:val="28"/>
          <w:szCs w:val="28"/>
        </w:rPr>
      </w:pPr>
    </w:p>
    <w:p w14:paraId="0CCE9F24" w14:textId="77777777" w:rsidR="00F44955" w:rsidRDefault="00F44955" w:rsidP="008A1A0B">
      <w:pPr>
        <w:pStyle w:val="NormalWeb"/>
        <w:spacing w:after="0"/>
        <w:rPr>
          <w:rFonts w:ascii="Arial" w:hAnsi="Arial" w:cs="Arial"/>
          <w:b/>
          <w:bCs/>
          <w:sz w:val="28"/>
          <w:szCs w:val="28"/>
        </w:rPr>
      </w:pPr>
    </w:p>
    <w:p w14:paraId="5C4FB7D5" w14:textId="77777777" w:rsidR="00F44955" w:rsidRDefault="00F44955" w:rsidP="008A1A0B">
      <w:pPr>
        <w:pStyle w:val="NormalWeb"/>
        <w:spacing w:after="0"/>
        <w:rPr>
          <w:rFonts w:ascii="Arial" w:hAnsi="Arial" w:cs="Arial"/>
          <w:b/>
          <w:bCs/>
          <w:sz w:val="28"/>
          <w:szCs w:val="28"/>
        </w:rPr>
      </w:pPr>
    </w:p>
    <w:p w14:paraId="7F481EFE" w14:textId="77777777" w:rsidR="00F44955" w:rsidRDefault="00F44955" w:rsidP="008A1A0B">
      <w:pPr>
        <w:pStyle w:val="NormalWeb"/>
        <w:spacing w:after="0"/>
        <w:rPr>
          <w:rFonts w:ascii="Arial" w:hAnsi="Arial" w:cs="Arial"/>
          <w:b/>
          <w:bCs/>
          <w:sz w:val="28"/>
          <w:szCs w:val="28"/>
        </w:rPr>
      </w:pPr>
    </w:p>
    <w:p w14:paraId="200E00DD" w14:textId="77777777" w:rsidR="00F44955" w:rsidRDefault="00F44955" w:rsidP="008A1A0B">
      <w:pPr>
        <w:pStyle w:val="NormalWeb"/>
        <w:spacing w:after="0"/>
        <w:rPr>
          <w:rFonts w:ascii="Arial" w:hAnsi="Arial" w:cs="Arial"/>
          <w:b/>
          <w:bCs/>
          <w:sz w:val="28"/>
          <w:szCs w:val="28"/>
        </w:rPr>
      </w:pPr>
    </w:p>
    <w:p w14:paraId="4B8D7816" w14:textId="77777777" w:rsidR="00F44955" w:rsidRDefault="00F44955" w:rsidP="008A1A0B">
      <w:pPr>
        <w:pStyle w:val="NormalWeb"/>
        <w:spacing w:after="0"/>
        <w:rPr>
          <w:rFonts w:ascii="Arial" w:hAnsi="Arial" w:cs="Arial"/>
          <w:b/>
          <w:bCs/>
          <w:sz w:val="28"/>
          <w:szCs w:val="28"/>
        </w:rPr>
      </w:pPr>
    </w:p>
    <w:p w14:paraId="2089CDAF" w14:textId="77777777" w:rsidR="00F44955" w:rsidRDefault="00F44955" w:rsidP="008A1A0B">
      <w:pPr>
        <w:pStyle w:val="NormalWeb"/>
        <w:spacing w:after="0"/>
        <w:rPr>
          <w:rFonts w:ascii="Arial" w:hAnsi="Arial" w:cs="Arial"/>
          <w:b/>
          <w:bCs/>
          <w:sz w:val="28"/>
          <w:szCs w:val="28"/>
        </w:rPr>
      </w:pPr>
    </w:p>
    <w:p w14:paraId="3095D92B" w14:textId="77777777" w:rsidR="00BB7DFF" w:rsidRDefault="00BB7DFF" w:rsidP="00896FB6">
      <w:pPr>
        <w:pStyle w:val="NormalWeb"/>
        <w:spacing w:after="0" w:line="360" w:lineRule="auto"/>
        <w:jc w:val="both"/>
        <w:rPr>
          <w:rFonts w:ascii="Arial" w:hAnsi="Arial" w:cs="Arial"/>
          <w:b/>
          <w:bCs/>
          <w:sz w:val="28"/>
          <w:szCs w:val="28"/>
        </w:rPr>
      </w:pPr>
    </w:p>
    <w:p w14:paraId="795EE038" w14:textId="77777777" w:rsidR="00EF1269" w:rsidRDefault="00EF1269" w:rsidP="00896FB6">
      <w:pPr>
        <w:pStyle w:val="NormalWeb"/>
        <w:spacing w:after="0" w:line="360" w:lineRule="auto"/>
        <w:jc w:val="both"/>
        <w:rPr>
          <w:rFonts w:ascii="Arial" w:hAnsi="Arial" w:cs="Arial"/>
          <w:b/>
          <w:bCs/>
          <w:sz w:val="28"/>
          <w:szCs w:val="28"/>
        </w:rPr>
      </w:pPr>
    </w:p>
    <w:p w14:paraId="7ECCF22F" w14:textId="77777777" w:rsidR="00EF1269" w:rsidRDefault="00EF1269" w:rsidP="00896FB6">
      <w:pPr>
        <w:pStyle w:val="NormalWeb"/>
        <w:spacing w:after="0" w:line="360" w:lineRule="auto"/>
        <w:jc w:val="both"/>
        <w:rPr>
          <w:rFonts w:ascii="Arial" w:hAnsi="Arial" w:cs="Arial"/>
          <w:b/>
          <w:bCs/>
        </w:rPr>
        <w:sectPr w:rsidR="00EF1269" w:rsidSect="00BB7DFF">
          <w:type w:val="continuous"/>
          <w:pgSz w:w="11906" w:h="16838" w:code="9"/>
          <w:pgMar w:top="720" w:right="720" w:bottom="720" w:left="720" w:header="708" w:footer="708" w:gutter="0"/>
          <w:cols w:space="708"/>
          <w:docGrid w:linePitch="360"/>
        </w:sectPr>
      </w:pPr>
    </w:p>
    <w:p w14:paraId="2E626B92" w14:textId="77777777" w:rsidR="000555B2" w:rsidRDefault="000555B2" w:rsidP="00FF0CA3">
      <w:pPr>
        <w:pStyle w:val="NormalWeb"/>
        <w:spacing w:after="0" w:line="360" w:lineRule="auto"/>
        <w:jc w:val="both"/>
        <w:rPr>
          <w:rFonts w:ascii="Arial" w:hAnsi="Arial" w:cs="Arial"/>
          <w:b/>
          <w:bCs/>
          <w:color w:val="0070C0"/>
        </w:rPr>
        <w:sectPr w:rsidR="000555B2" w:rsidSect="005E0FB5">
          <w:type w:val="continuous"/>
          <w:pgSz w:w="11906" w:h="16838" w:code="9"/>
          <w:pgMar w:top="720" w:right="720" w:bottom="720" w:left="720" w:header="708" w:footer="708" w:gutter="0"/>
          <w:cols w:space="708"/>
          <w:docGrid w:linePitch="360"/>
        </w:sectPr>
      </w:pPr>
    </w:p>
    <w:p w14:paraId="747A4BF1" w14:textId="0322FE3A" w:rsidR="00024B72" w:rsidRPr="00024B72" w:rsidRDefault="00024B72" w:rsidP="00024B72">
      <w:pPr>
        <w:pStyle w:val="NormalWeb"/>
        <w:spacing w:line="360" w:lineRule="auto"/>
        <w:jc w:val="both"/>
        <w:rPr>
          <w:rFonts w:ascii="Arial" w:hAnsi="Arial" w:cs="Arial"/>
          <w:color w:val="215E99" w:themeColor="text2" w:themeTint="BF"/>
        </w:rPr>
      </w:pPr>
      <w:r w:rsidRPr="00024B72">
        <w:rPr>
          <w:rFonts w:ascii="Arial" w:hAnsi="Arial" w:cs="Arial"/>
          <w:b/>
          <w:bCs/>
          <w:color w:val="215E99" w:themeColor="text2" w:themeTint="BF"/>
        </w:rPr>
        <w:lastRenderedPageBreak/>
        <w:t>Definition</w:t>
      </w:r>
    </w:p>
    <w:p w14:paraId="12C05BC8" w14:textId="46099856" w:rsidR="00024B72" w:rsidRPr="00024B72" w:rsidRDefault="00024B72" w:rsidP="00024B72">
      <w:pPr>
        <w:pStyle w:val="NormalWeb"/>
        <w:spacing w:line="360" w:lineRule="auto"/>
        <w:jc w:val="both"/>
        <w:rPr>
          <w:rFonts w:ascii="Arial" w:hAnsi="Arial" w:cs="Arial"/>
          <w:sz w:val="22"/>
          <w:szCs w:val="22"/>
        </w:rPr>
      </w:pPr>
      <w:r w:rsidRPr="00024B72">
        <w:rPr>
          <w:rFonts w:ascii="Arial" w:hAnsi="Arial" w:cs="Arial"/>
          <w:sz w:val="22"/>
          <w:szCs w:val="22"/>
        </w:rPr>
        <w:t>Hypertension, commonly known as high blood pressure, is a major long-term health condition that disproportionately affects individuals aged 40 years and above. Hypertension is defined as a long-term increase in the pressure of blood against the walls of the arteries. The National Institute for Health and Care Excellence (NICE) diagnoses hypertension when repeated clinic readings exceed 140/90 mmHg. It can also be diagnosed based on a single elevated reading if there are accompanying symptoms or risk factors, such as diabetes or chronic kidney disease (NICE, 2023). The condition is classified into three stages based on severity: Stage 1 (140/90 to 159/99 mmHg), Stage 2 (160/100 to 179/109 mmHg), and Stage 3 (≥180/110 mmHg), with increasing risk of complications at each level (N</w:t>
      </w:r>
      <w:r w:rsidR="00DF0510">
        <w:rPr>
          <w:rFonts w:ascii="Arial" w:hAnsi="Arial" w:cs="Arial"/>
          <w:sz w:val="22"/>
          <w:szCs w:val="22"/>
        </w:rPr>
        <w:t>ational</w:t>
      </w:r>
      <w:r w:rsidR="006359F2">
        <w:rPr>
          <w:rFonts w:ascii="Arial" w:hAnsi="Arial" w:cs="Arial"/>
          <w:sz w:val="22"/>
          <w:szCs w:val="22"/>
        </w:rPr>
        <w:t xml:space="preserve"> Health Service</w:t>
      </w:r>
      <w:r w:rsidRPr="00024B72">
        <w:rPr>
          <w:rFonts w:ascii="Arial" w:hAnsi="Arial" w:cs="Arial"/>
          <w:sz w:val="22"/>
          <w:szCs w:val="22"/>
        </w:rPr>
        <w:t xml:space="preserve"> England, 2023).</w:t>
      </w:r>
    </w:p>
    <w:p w14:paraId="788DCB9D" w14:textId="77777777" w:rsidR="00024B72" w:rsidRPr="00024B72" w:rsidRDefault="00024B72" w:rsidP="00024B72">
      <w:pPr>
        <w:pStyle w:val="NormalWeb"/>
        <w:spacing w:line="360" w:lineRule="auto"/>
        <w:jc w:val="both"/>
        <w:rPr>
          <w:rFonts w:ascii="Arial" w:hAnsi="Arial" w:cs="Arial"/>
          <w:sz w:val="22"/>
          <w:szCs w:val="22"/>
        </w:rPr>
      </w:pPr>
      <w:r w:rsidRPr="00024B72">
        <w:rPr>
          <w:rFonts w:ascii="Arial" w:hAnsi="Arial" w:cs="Arial"/>
          <w:sz w:val="22"/>
          <w:szCs w:val="22"/>
        </w:rPr>
        <w:t>Often referred to as the “silent killer,” hypertension typically presents no symptoms until significant damage has occurred to the cardiovascular system or other vital organs (World Health Organization, 2025). This damage can include increased risk of heart disease, heart attack, stroke, and kidney damage. When symptoms do appear, they may include persistent headaches, blurred or double vision, chest pain, shortness of breath, dizziness, and palpitations (WHO, 2023). These signs may indicate a hypertensive crisis a medical emergency requiring immediate intervention to prevent serious outcomes such as stroke, heart failure, or renal damage (Jolly et al., 2023).</w:t>
      </w:r>
    </w:p>
    <w:p w14:paraId="72C93C92" w14:textId="77777777" w:rsidR="00024B72" w:rsidRPr="00024B72" w:rsidRDefault="00024B72" w:rsidP="00024B72">
      <w:pPr>
        <w:pStyle w:val="NormalWeb"/>
        <w:spacing w:line="360" w:lineRule="auto"/>
        <w:jc w:val="both"/>
        <w:rPr>
          <w:rFonts w:ascii="Arial" w:hAnsi="Arial" w:cs="Arial"/>
          <w:sz w:val="22"/>
          <w:szCs w:val="22"/>
        </w:rPr>
      </w:pPr>
      <w:r w:rsidRPr="00024B72">
        <w:rPr>
          <w:rFonts w:ascii="Arial" w:hAnsi="Arial" w:cs="Arial"/>
          <w:sz w:val="22"/>
          <w:szCs w:val="22"/>
        </w:rPr>
        <w:t xml:space="preserve">As people age, physiological changes such as arterial stiffening and reduced renal function make blood pressure regulation more difficult. This booklet provides a comprehensive overview of </w:t>
      </w:r>
      <w:r w:rsidRPr="00024B72">
        <w:rPr>
          <w:rFonts w:ascii="Arial" w:hAnsi="Arial" w:cs="Arial"/>
          <w:sz w:val="22"/>
          <w:szCs w:val="22"/>
        </w:rPr>
        <w:t>hypertension, its impact, management strategies, and the policy frameworks that guide care delivery in the UK. It is designed for health and care service users and professionals seeking to improve outcomes for individuals affected by this condition.</w:t>
      </w:r>
    </w:p>
    <w:p w14:paraId="2D2594AB" w14:textId="77777777" w:rsidR="00024B72" w:rsidRPr="00024B72" w:rsidRDefault="00024B72" w:rsidP="00024B72">
      <w:pPr>
        <w:pStyle w:val="NormalWeb"/>
        <w:spacing w:line="360" w:lineRule="auto"/>
        <w:jc w:val="both"/>
        <w:rPr>
          <w:rFonts w:ascii="Arial" w:hAnsi="Arial" w:cs="Arial"/>
          <w:color w:val="215E99" w:themeColor="text2" w:themeTint="BF"/>
        </w:rPr>
      </w:pPr>
      <w:r w:rsidRPr="00024B72">
        <w:rPr>
          <w:rFonts w:ascii="Arial" w:hAnsi="Arial" w:cs="Arial"/>
          <w:b/>
          <w:bCs/>
          <w:color w:val="215E99" w:themeColor="text2" w:themeTint="BF"/>
        </w:rPr>
        <w:t>Global Burden and Prevalence</w:t>
      </w:r>
    </w:p>
    <w:p w14:paraId="15C51FB1" w14:textId="35202F2D" w:rsidR="00024B72" w:rsidRPr="00024B72" w:rsidRDefault="00024B72" w:rsidP="00024B72">
      <w:pPr>
        <w:pStyle w:val="NormalWeb"/>
        <w:spacing w:line="360" w:lineRule="auto"/>
        <w:jc w:val="both"/>
        <w:rPr>
          <w:rFonts w:ascii="Arial" w:hAnsi="Arial" w:cs="Arial"/>
          <w:sz w:val="22"/>
          <w:szCs w:val="22"/>
        </w:rPr>
      </w:pPr>
      <w:r w:rsidRPr="00024B72">
        <w:rPr>
          <w:rFonts w:ascii="Arial" w:hAnsi="Arial" w:cs="Arial"/>
          <w:sz w:val="22"/>
          <w:szCs w:val="22"/>
        </w:rPr>
        <w:t>Hypertension is one of the most widespread chronic health conditions globally and remains a leading contributor to cardiovascular morbidity and mortality. According to the W</w:t>
      </w:r>
      <w:r w:rsidR="006359F2">
        <w:rPr>
          <w:rFonts w:ascii="Arial" w:hAnsi="Arial" w:cs="Arial"/>
          <w:sz w:val="22"/>
          <w:szCs w:val="22"/>
        </w:rPr>
        <w:t>HO</w:t>
      </w:r>
      <w:r w:rsidRPr="00024B72">
        <w:rPr>
          <w:rFonts w:ascii="Arial" w:hAnsi="Arial" w:cs="Arial"/>
          <w:sz w:val="22"/>
          <w:szCs w:val="22"/>
        </w:rPr>
        <w:t xml:space="preserve"> (2025), an estimated 1.4 billion people aged 30 to 79 years are affected by hypertension worldwide. Data from the Non-Communicable Diseases Risk Factor Collaboration (2021) revealed that the global prevalence of hypertension was approximately 32% among women and 34% among men, with rates rising particularly in low- and middle-income countries. A systematic review by Mills et al. (2021) reported an age-standardized global prevalence of 31.1%, highlighting significant variation across regions and income levels. Despite advancements in diagnosis and treatment, fewer than half of individuals with hypertension have their blood pressure adequately controlled, especially in resource-limited settings, underscoring the urgent need for improved access to care and public health interventions.</w:t>
      </w:r>
    </w:p>
    <w:p w14:paraId="465D8C49" w14:textId="77777777" w:rsidR="00024B72" w:rsidRPr="00024B72" w:rsidRDefault="00024B72" w:rsidP="00024B72">
      <w:pPr>
        <w:pStyle w:val="NormalWeb"/>
        <w:spacing w:line="360" w:lineRule="auto"/>
        <w:jc w:val="both"/>
        <w:rPr>
          <w:rFonts w:ascii="Arial" w:hAnsi="Arial" w:cs="Arial"/>
          <w:color w:val="215E99" w:themeColor="text2" w:themeTint="BF"/>
        </w:rPr>
      </w:pPr>
      <w:bookmarkStart w:id="1" w:name="_Hlk211879042"/>
      <w:r w:rsidRPr="00024B72">
        <w:rPr>
          <w:rFonts w:ascii="Arial" w:hAnsi="Arial" w:cs="Arial"/>
          <w:b/>
          <w:bCs/>
          <w:color w:val="215E99" w:themeColor="text2" w:themeTint="BF"/>
        </w:rPr>
        <w:t>Hypertension in the UK</w:t>
      </w:r>
    </w:p>
    <w:bookmarkEnd w:id="1"/>
    <w:p w14:paraId="0DDBB533" w14:textId="5882A383" w:rsidR="00024B72" w:rsidRPr="00024B72" w:rsidRDefault="00024B72" w:rsidP="00024B72">
      <w:pPr>
        <w:pStyle w:val="NormalWeb"/>
        <w:spacing w:line="360" w:lineRule="auto"/>
        <w:jc w:val="both"/>
        <w:rPr>
          <w:rFonts w:ascii="Arial" w:hAnsi="Arial" w:cs="Arial"/>
          <w:sz w:val="22"/>
          <w:szCs w:val="22"/>
        </w:rPr>
      </w:pPr>
      <w:r w:rsidRPr="00024B72">
        <w:rPr>
          <w:rFonts w:ascii="Arial" w:hAnsi="Arial" w:cs="Arial"/>
          <w:sz w:val="22"/>
          <w:szCs w:val="22"/>
        </w:rPr>
        <w:t>In the United Kingdom, hypertension continues to pose a significant public health challenge. It is both highly prevalent and frequently underdiagnosed, particularly among older adults. According to the Health Survey for England (2022), approximately 30% of adults have hypertension, with 34% of men and 27% of women affected (N</w:t>
      </w:r>
      <w:r w:rsidR="00047385">
        <w:rPr>
          <w:rFonts w:ascii="Arial" w:hAnsi="Arial" w:cs="Arial"/>
          <w:sz w:val="22"/>
          <w:szCs w:val="22"/>
        </w:rPr>
        <w:t>ational Health Service</w:t>
      </w:r>
      <w:r w:rsidRPr="00024B72">
        <w:rPr>
          <w:rFonts w:ascii="Arial" w:hAnsi="Arial" w:cs="Arial"/>
          <w:sz w:val="22"/>
          <w:szCs w:val="22"/>
        </w:rPr>
        <w:t xml:space="preserve"> Digital, 2024). Alarmingly, 13% of adults have untreated hypertension, with higher rates </w:t>
      </w:r>
      <w:r w:rsidRPr="00024B72">
        <w:rPr>
          <w:rFonts w:ascii="Arial" w:hAnsi="Arial" w:cs="Arial"/>
          <w:sz w:val="22"/>
          <w:szCs w:val="22"/>
        </w:rPr>
        <w:lastRenderedPageBreak/>
        <w:t>observed in individuals over the age of 40. A broader estimate from Public Health England (2015) suggested that 12.5 million people in England alone were living with hypertension, many of whom were unaware of their condition.</w:t>
      </w:r>
    </w:p>
    <w:p w14:paraId="40C30F7D" w14:textId="77777777" w:rsidR="00024B72" w:rsidRPr="00024B72" w:rsidRDefault="00024B72" w:rsidP="00024B72">
      <w:pPr>
        <w:pStyle w:val="NormalWeb"/>
        <w:spacing w:line="360" w:lineRule="auto"/>
        <w:jc w:val="both"/>
        <w:rPr>
          <w:rFonts w:ascii="Arial" w:hAnsi="Arial" w:cs="Arial"/>
          <w:sz w:val="22"/>
          <w:szCs w:val="22"/>
        </w:rPr>
      </w:pPr>
      <w:r w:rsidRPr="00024B72">
        <w:rPr>
          <w:rFonts w:ascii="Arial" w:hAnsi="Arial" w:cs="Arial"/>
          <w:sz w:val="22"/>
          <w:szCs w:val="22"/>
        </w:rPr>
        <w:t>Despite the availability of NHS Health Checks, a study by Quaife et al. (2016) found that 5% of adults aged 40–74 had undiagnosed and untreated hypertension. Even among those receiving treatment, blood pressure control remains inadequate. A UK cohort study by Tapela et al. (2021) revealed that only 38.1% of patients on antihypertensive medication achieved the recommended target of &lt;140/90 mmHg.</w:t>
      </w:r>
    </w:p>
    <w:p w14:paraId="1635FD76" w14:textId="77777777" w:rsidR="00024B72" w:rsidRPr="00024B72" w:rsidRDefault="00024B72" w:rsidP="00024B72">
      <w:pPr>
        <w:pStyle w:val="NormalWeb"/>
        <w:spacing w:line="360" w:lineRule="auto"/>
        <w:jc w:val="both"/>
        <w:rPr>
          <w:rFonts w:ascii="Arial" w:hAnsi="Arial" w:cs="Arial"/>
          <w:sz w:val="22"/>
          <w:szCs w:val="22"/>
        </w:rPr>
      </w:pPr>
      <w:r w:rsidRPr="00024B72">
        <w:rPr>
          <w:rFonts w:ascii="Arial" w:hAnsi="Arial" w:cs="Arial"/>
          <w:sz w:val="22"/>
          <w:szCs w:val="22"/>
        </w:rPr>
        <w:t>When compared to global data, the UK’s control rate falls below the estimated global average of under 50%, despite having similar prevalence levels. This disparity underscores the need for improved screening, patient education, and treatment adherence strategies.</w:t>
      </w:r>
    </w:p>
    <w:p w14:paraId="3049638C" w14:textId="77777777" w:rsidR="00024B72" w:rsidRPr="00024B72" w:rsidRDefault="00024B72" w:rsidP="00024B72">
      <w:pPr>
        <w:pStyle w:val="NormalWeb"/>
        <w:spacing w:line="360" w:lineRule="auto"/>
        <w:jc w:val="both"/>
        <w:rPr>
          <w:rFonts w:ascii="Arial" w:hAnsi="Arial" w:cs="Arial"/>
          <w:color w:val="215E99" w:themeColor="text2" w:themeTint="BF"/>
        </w:rPr>
      </w:pPr>
      <w:r w:rsidRPr="00024B72">
        <w:rPr>
          <w:rFonts w:ascii="Arial" w:hAnsi="Arial" w:cs="Arial"/>
          <w:b/>
          <w:bCs/>
          <w:color w:val="215E99" w:themeColor="text2" w:themeTint="BF"/>
        </w:rPr>
        <w:t>Aetiology and Risk Factors</w:t>
      </w:r>
    </w:p>
    <w:p w14:paraId="0A7CB6DF" w14:textId="77777777" w:rsidR="00024B72" w:rsidRPr="00024B72" w:rsidRDefault="00024B72" w:rsidP="00024B72">
      <w:pPr>
        <w:pStyle w:val="NormalWeb"/>
        <w:spacing w:line="360" w:lineRule="auto"/>
        <w:jc w:val="both"/>
        <w:rPr>
          <w:rFonts w:ascii="Arial" w:hAnsi="Arial" w:cs="Arial"/>
          <w:sz w:val="22"/>
          <w:szCs w:val="22"/>
        </w:rPr>
      </w:pPr>
      <w:r w:rsidRPr="00024B72">
        <w:rPr>
          <w:rFonts w:ascii="Arial" w:hAnsi="Arial" w:cs="Arial"/>
          <w:sz w:val="22"/>
          <w:szCs w:val="22"/>
        </w:rPr>
        <w:t>Hypertension develops through a complex interplay of genetic, biological, behavioural, and environmental factors. Genetic predisposition, which accounts for 30–50% of blood pressure variation, is a key factor that can guide early intervention. Genome-wide association studies have identified multiple loci linked to susceptibility, and rare monogenic forms such as Liddle’s syndrome and primary aldosteronism can cause early-onset or resistant hypertension. Understanding and acting on these genetic factors can help identify high-risk individuals and intervene early, underscoring the importance of proactive healthcare in managing hypertension.</w:t>
      </w:r>
    </w:p>
    <w:p w14:paraId="6D8047A6" w14:textId="77777777" w:rsidR="00024B72" w:rsidRPr="00024B72" w:rsidRDefault="00024B72" w:rsidP="00024B72">
      <w:pPr>
        <w:pStyle w:val="NormalWeb"/>
        <w:spacing w:line="360" w:lineRule="auto"/>
        <w:jc w:val="both"/>
        <w:rPr>
          <w:rFonts w:ascii="Arial" w:hAnsi="Arial" w:cs="Arial"/>
          <w:sz w:val="22"/>
          <w:szCs w:val="22"/>
        </w:rPr>
      </w:pPr>
      <w:r w:rsidRPr="00024B72">
        <w:rPr>
          <w:rFonts w:ascii="Arial" w:hAnsi="Arial" w:cs="Arial"/>
          <w:sz w:val="22"/>
          <w:szCs w:val="22"/>
        </w:rPr>
        <w:t xml:space="preserve">Age is another key non-modifiable risk factor. As people age, arterial stiffening and reduced </w:t>
      </w:r>
      <w:r w:rsidRPr="00024B72">
        <w:rPr>
          <w:rFonts w:ascii="Arial" w:hAnsi="Arial" w:cs="Arial"/>
          <w:sz w:val="22"/>
          <w:szCs w:val="22"/>
        </w:rPr>
        <w:t>vascular elasticity elevate systolic blood pressure, complicating regulation (Liu et al., 2025). Hypertension prevalence rises sharply after 40, often alongside comorbidities like diabetes and chronic kidney disease. Sex and ethnicity also influence risk: men are more likely to develop hypertension before 65, while postmenopausal women face increased risk due to hormonal changes. Individuals of Black African and South Asian descent experience higher prevalence and poorer outcomes, driven by genetic and social determinants (WHO, 2025). Family history remains a strong predictor, especially among first-degree relatives (Patel et al., 2017).</w:t>
      </w:r>
    </w:p>
    <w:p w14:paraId="6D49A5CF" w14:textId="77777777" w:rsidR="00024B72" w:rsidRPr="00024B72" w:rsidRDefault="00024B72" w:rsidP="00024B72">
      <w:pPr>
        <w:pStyle w:val="NormalWeb"/>
        <w:spacing w:line="360" w:lineRule="auto"/>
        <w:jc w:val="both"/>
        <w:rPr>
          <w:rFonts w:ascii="Arial" w:hAnsi="Arial" w:cs="Arial"/>
          <w:sz w:val="22"/>
          <w:szCs w:val="22"/>
        </w:rPr>
      </w:pPr>
      <w:r w:rsidRPr="00024B72">
        <w:rPr>
          <w:rFonts w:ascii="Arial" w:hAnsi="Arial" w:cs="Arial"/>
          <w:sz w:val="22"/>
          <w:szCs w:val="22"/>
        </w:rPr>
        <w:t>Modifiable lifestyle factors are central to hypertension development and progression. Obesity increases cardiac output and activates the renin-angiotensin-aldosterone system (RAAS), a hormone system that regulates blood pressure and fluid balance, sustaining elevated blood pressure (Zhao et al., 2020). Excessive alcohol intake, physical inactivity, and high dietary salt consumption further exacerbate risk (Cheema et al., 2014; JCM, 2025). Sleep disturbances, such as insomnia, impair nocturnal blood pressure regulation through heightened sympathetic activity and cortisol secretion.</w:t>
      </w:r>
    </w:p>
    <w:p w14:paraId="3D6AF5CD" w14:textId="4D8F02CD" w:rsidR="00024B72" w:rsidRDefault="00024B72" w:rsidP="00024B72">
      <w:pPr>
        <w:pStyle w:val="NormalWeb"/>
        <w:spacing w:line="360" w:lineRule="auto"/>
        <w:jc w:val="both"/>
        <w:rPr>
          <w:rFonts w:ascii="Arial" w:hAnsi="Arial" w:cs="Arial"/>
          <w:sz w:val="22"/>
          <w:szCs w:val="22"/>
        </w:rPr>
      </w:pPr>
      <w:r w:rsidRPr="00024B72">
        <w:rPr>
          <w:rFonts w:ascii="Arial" w:hAnsi="Arial" w:cs="Arial"/>
          <w:sz w:val="22"/>
          <w:szCs w:val="22"/>
        </w:rPr>
        <w:t>Environmental influences, such as stress, socioeconomic status, and healthcare access, also play a significant role in shaping hypertension outcomes. Chronic stress, for instance, can elevate cortisol and adrenaline, promoting vascular constriction. Lower-income individuals often face barriers to healthy living and preventive care, which can contribute to higher rates of hypertension. Recognizing and addressing these disparities in healthcare access is crucial for</w:t>
      </w:r>
      <w:r w:rsidR="00F50BD8">
        <w:rPr>
          <w:rFonts w:ascii="Arial" w:hAnsi="Arial" w:cs="Arial"/>
          <w:sz w:val="22"/>
          <w:szCs w:val="22"/>
        </w:rPr>
        <w:t xml:space="preserve"> </w:t>
      </w:r>
      <w:r w:rsidRPr="00024B72">
        <w:rPr>
          <w:rFonts w:ascii="Arial" w:hAnsi="Arial" w:cs="Arial"/>
          <w:sz w:val="22"/>
          <w:szCs w:val="22"/>
        </w:rPr>
        <w:lastRenderedPageBreak/>
        <w:t>improving hypertension outcomes and promoting health equity.</w:t>
      </w:r>
    </w:p>
    <w:p w14:paraId="22AF84CA" w14:textId="644C3113" w:rsidR="001A606B" w:rsidRPr="00024B72" w:rsidRDefault="001A606B" w:rsidP="00024B72">
      <w:pPr>
        <w:pStyle w:val="NormalWeb"/>
        <w:spacing w:line="360" w:lineRule="auto"/>
        <w:jc w:val="both"/>
        <w:rPr>
          <w:rFonts w:ascii="Arial" w:hAnsi="Arial" w:cs="Arial"/>
          <w:b/>
          <w:bCs/>
          <w:color w:val="215E99" w:themeColor="text2" w:themeTint="BF"/>
        </w:rPr>
      </w:pPr>
      <w:r w:rsidRPr="001A606B">
        <w:rPr>
          <w:rFonts w:ascii="Arial" w:hAnsi="Arial" w:cs="Arial"/>
          <w:b/>
          <w:bCs/>
          <w:color w:val="215E99" w:themeColor="text2" w:themeTint="BF"/>
        </w:rPr>
        <w:t>Implications of Hypertension and Evidence-Based Treatments: Physical, Psychological, Social, and Family Impact</w:t>
      </w:r>
      <w:r w:rsidR="00D92055">
        <w:rPr>
          <w:rFonts w:ascii="Arial" w:hAnsi="Arial" w:cs="Arial"/>
          <w:b/>
          <w:bCs/>
          <w:color w:val="215E99" w:themeColor="text2" w:themeTint="BF"/>
        </w:rPr>
        <w:t>:</w:t>
      </w:r>
    </w:p>
    <w:p w14:paraId="4B64A033" w14:textId="4D3A9853" w:rsidR="00024B72" w:rsidRPr="00024B72" w:rsidRDefault="00024B72" w:rsidP="00024B72">
      <w:pPr>
        <w:pStyle w:val="NormalWeb"/>
        <w:spacing w:line="360" w:lineRule="auto"/>
        <w:jc w:val="both"/>
        <w:rPr>
          <w:rFonts w:ascii="Arial" w:hAnsi="Arial" w:cs="Arial"/>
          <w:b/>
          <w:bCs/>
          <w:sz w:val="22"/>
          <w:szCs w:val="22"/>
        </w:rPr>
      </w:pPr>
      <w:r w:rsidRPr="00024B72">
        <w:rPr>
          <w:rFonts w:ascii="Arial" w:hAnsi="Arial" w:cs="Arial"/>
          <w:b/>
          <w:bCs/>
          <w:sz w:val="22"/>
          <w:szCs w:val="22"/>
        </w:rPr>
        <w:t>Physical Imp</w:t>
      </w:r>
      <w:r w:rsidR="00361031">
        <w:rPr>
          <w:rFonts w:ascii="Arial" w:hAnsi="Arial" w:cs="Arial"/>
          <w:b/>
          <w:bCs/>
          <w:sz w:val="22"/>
          <w:szCs w:val="22"/>
        </w:rPr>
        <w:t>lications</w:t>
      </w:r>
      <w:r w:rsidRPr="00024B72">
        <w:rPr>
          <w:rFonts w:ascii="Arial" w:hAnsi="Arial" w:cs="Arial"/>
          <w:b/>
          <w:bCs/>
          <w:sz w:val="22"/>
          <w:szCs w:val="22"/>
        </w:rPr>
        <w:t xml:space="preserve"> </w:t>
      </w:r>
    </w:p>
    <w:p w14:paraId="6E629F7D" w14:textId="77777777" w:rsidR="00024B72" w:rsidRPr="00024B72" w:rsidRDefault="00024B72" w:rsidP="00024B72">
      <w:pPr>
        <w:pStyle w:val="NormalWeb"/>
        <w:spacing w:line="360" w:lineRule="auto"/>
        <w:jc w:val="both"/>
        <w:rPr>
          <w:rFonts w:ascii="Arial" w:hAnsi="Arial" w:cs="Arial"/>
          <w:sz w:val="22"/>
          <w:szCs w:val="22"/>
        </w:rPr>
      </w:pPr>
      <w:r w:rsidRPr="00024B72">
        <w:rPr>
          <w:rFonts w:ascii="Arial" w:hAnsi="Arial" w:cs="Arial"/>
          <w:sz w:val="22"/>
          <w:szCs w:val="22"/>
        </w:rPr>
        <w:t>Hypertension, often called the “silent killer,” typically presents no symptoms until significant organ damage has occurred (Graham et al., 2024). Persistently elevated blood pressure places strain on the cardiovascular system, leading to complications such as left ventricular hypertrophy, heart failure, and ischemic heart disease (Sanusi, 2025). It also increases the risk of strokes and transient ischaemic attacks, while renal involvement may result in chronic kidney disease and reduced kidney function (Liu et al., 2025). Additionally, hypertension affects microcirculation in the brain and eyes, contributing to vascular cognitive impairment and retinopathy (Canavan &amp; O'Donnell, 2022; Gottesman et al., 2025).</w:t>
      </w:r>
    </w:p>
    <w:p w14:paraId="588D6BE1" w14:textId="77777777" w:rsidR="00024B72" w:rsidRPr="00024B72" w:rsidRDefault="00024B72" w:rsidP="00024B72">
      <w:pPr>
        <w:pStyle w:val="NormalWeb"/>
        <w:spacing w:line="360" w:lineRule="auto"/>
        <w:jc w:val="both"/>
        <w:rPr>
          <w:rFonts w:ascii="Arial" w:hAnsi="Arial" w:cs="Arial"/>
          <w:sz w:val="22"/>
          <w:szCs w:val="22"/>
        </w:rPr>
      </w:pPr>
      <w:r w:rsidRPr="00024B72">
        <w:rPr>
          <w:rFonts w:ascii="Arial" w:hAnsi="Arial" w:cs="Arial"/>
          <w:sz w:val="22"/>
          <w:szCs w:val="22"/>
        </w:rPr>
        <w:t>For individuals, these complications can lead to reduced physical capacity, fatigue, and increased dependence on medication and healthcare services. The condition often requires lifelong management, which can impact daily routines, employment, and overall quality of life. In the UK, hypertension is responsible for one in four deaths and is a leading cause of hospital admissions, particularly among adults over 40, whose age-related vascular changes heighten vulnerability (Subburayan, 2023). Comorbidities such as diabetes and kidney disease further complicate treatment and increase the risk of adverse outcomes.</w:t>
      </w:r>
    </w:p>
    <w:p w14:paraId="7458DBFD" w14:textId="77777777" w:rsidR="001F3393" w:rsidRDefault="001F3393" w:rsidP="00024B72">
      <w:pPr>
        <w:pStyle w:val="NormalWeb"/>
        <w:spacing w:line="360" w:lineRule="auto"/>
        <w:jc w:val="both"/>
        <w:rPr>
          <w:rFonts w:ascii="Arial" w:hAnsi="Arial" w:cs="Arial"/>
          <w:b/>
          <w:bCs/>
          <w:sz w:val="22"/>
          <w:szCs w:val="22"/>
        </w:rPr>
      </w:pPr>
    </w:p>
    <w:p w14:paraId="44707F1D" w14:textId="3EC706B3" w:rsidR="00024B72" w:rsidRPr="00024B72" w:rsidRDefault="00024B72" w:rsidP="00024B72">
      <w:pPr>
        <w:pStyle w:val="NormalWeb"/>
        <w:spacing w:line="360" w:lineRule="auto"/>
        <w:jc w:val="both"/>
        <w:rPr>
          <w:rFonts w:ascii="Arial" w:hAnsi="Arial" w:cs="Arial"/>
          <w:sz w:val="22"/>
          <w:szCs w:val="22"/>
        </w:rPr>
      </w:pPr>
      <w:r w:rsidRPr="00024B72">
        <w:rPr>
          <w:rFonts w:ascii="Arial" w:hAnsi="Arial" w:cs="Arial"/>
          <w:b/>
          <w:bCs/>
          <w:sz w:val="22"/>
          <w:szCs w:val="22"/>
        </w:rPr>
        <w:t xml:space="preserve">Psychological Implications </w:t>
      </w:r>
    </w:p>
    <w:p w14:paraId="2AC9565A" w14:textId="77777777" w:rsidR="00024B72" w:rsidRPr="00024B72" w:rsidRDefault="00024B72" w:rsidP="00024B72">
      <w:pPr>
        <w:pStyle w:val="NormalWeb"/>
        <w:spacing w:line="360" w:lineRule="auto"/>
        <w:jc w:val="both"/>
        <w:rPr>
          <w:rFonts w:ascii="Arial" w:hAnsi="Arial" w:cs="Arial"/>
          <w:sz w:val="22"/>
          <w:szCs w:val="22"/>
        </w:rPr>
      </w:pPr>
      <w:r w:rsidRPr="00024B72">
        <w:rPr>
          <w:rFonts w:ascii="Arial" w:hAnsi="Arial" w:cs="Arial"/>
          <w:sz w:val="22"/>
          <w:szCs w:val="22"/>
        </w:rPr>
        <w:t>For many individuals, especially those over 40, receiving a hypertension diagnosis can trigger a cascade of emotional and psychological challenges. Take, for example, someone like David, a 52-year-old warehouse manager recently diagnosed with high blood pressure. Although he feels physically fine, the news unsettles him. He begins to worry about long-term health risks like stroke or heart failure and feels anxious about the side effects of medication and the pressure to overhaul his lifestyle.</w:t>
      </w:r>
    </w:p>
    <w:p w14:paraId="090273DF" w14:textId="77777777" w:rsidR="00024B72" w:rsidRPr="00024B72" w:rsidRDefault="00024B72" w:rsidP="00024B72">
      <w:pPr>
        <w:pStyle w:val="NormalWeb"/>
        <w:spacing w:line="360" w:lineRule="auto"/>
        <w:jc w:val="both"/>
        <w:rPr>
          <w:rFonts w:ascii="Arial" w:hAnsi="Arial" w:cs="Arial"/>
          <w:sz w:val="22"/>
          <w:szCs w:val="22"/>
        </w:rPr>
      </w:pPr>
      <w:r w:rsidRPr="00024B72">
        <w:rPr>
          <w:rFonts w:ascii="Arial" w:hAnsi="Arial" w:cs="Arial"/>
          <w:sz w:val="22"/>
          <w:szCs w:val="22"/>
        </w:rPr>
        <w:t>David’s experience reflects an everyday reality: the psychological burden of hypertension often stems not from symptoms, but from the demands of managing a chronic condition. Frequent blood pressure monitoring, dietary restrictions, and the need for regular exercise can feel overwhelming. This “treatment burden” can lead to emotional fatigue, reduced motivation, and even disengagement from care routines factors that directly affect adherence and outcomes (Rison et al., 2023; Das et al., 2025).</w:t>
      </w:r>
    </w:p>
    <w:p w14:paraId="3E23D5D4" w14:textId="77777777" w:rsidR="00024B72" w:rsidRPr="00024B72" w:rsidRDefault="00024B72" w:rsidP="00024B72">
      <w:pPr>
        <w:pStyle w:val="NormalWeb"/>
        <w:spacing w:line="360" w:lineRule="auto"/>
        <w:jc w:val="both"/>
        <w:rPr>
          <w:rFonts w:ascii="Arial" w:hAnsi="Arial" w:cs="Arial"/>
          <w:sz w:val="22"/>
          <w:szCs w:val="22"/>
        </w:rPr>
      </w:pPr>
      <w:r w:rsidRPr="00024B72">
        <w:rPr>
          <w:rFonts w:ascii="Arial" w:hAnsi="Arial" w:cs="Arial"/>
          <w:sz w:val="22"/>
          <w:szCs w:val="22"/>
        </w:rPr>
        <w:t>Moreover, David notices that his stress levels have increased, especially at work, and he sometimes feels low or irritable. Research shows that psychological distress including anxiety and depression can worsen blood pressure control, creating a vicious cycle of poor health and emotional strain (Abbas et al., 2025). On the other hand, individuals who develop psychological resilience such as confidence in managing their condition and a sense of control—are more likely to stick with treatment and adopt healthier behaviours (Ma et al., 2024).</w:t>
      </w:r>
    </w:p>
    <w:p w14:paraId="7FCEF91C" w14:textId="77777777" w:rsidR="00024B72" w:rsidRPr="00024B72" w:rsidRDefault="00024B72" w:rsidP="00024B72">
      <w:pPr>
        <w:pStyle w:val="NormalWeb"/>
        <w:spacing w:line="360" w:lineRule="auto"/>
        <w:jc w:val="both"/>
        <w:rPr>
          <w:rFonts w:ascii="Arial" w:hAnsi="Arial" w:cs="Arial"/>
          <w:sz w:val="22"/>
          <w:szCs w:val="22"/>
        </w:rPr>
      </w:pPr>
      <w:r w:rsidRPr="00024B72">
        <w:rPr>
          <w:rFonts w:ascii="Arial" w:hAnsi="Arial" w:cs="Arial"/>
          <w:sz w:val="22"/>
          <w:szCs w:val="22"/>
        </w:rPr>
        <w:t xml:space="preserve">David’s story highlights the importance of integrating mental health support into hypertension </w:t>
      </w:r>
      <w:r w:rsidRPr="00024B72">
        <w:rPr>
          <w:rFonts w:ascii="Arial" w:hAnsi="Arial" w:cs="Arial"/>
          <w:sz w:val="22"/>
          <w:szCs w:val="22"/>
        </w:rPr>
        <w:lastRenderedPageBreak/>
        <w:t>care. Counselling, peer support, and behavioural coaching can help individuals like him feel empowered, reduce anxiety, and improve both mental and physical health outcomes.</w:t>
      </w:r>
    </w:p>
    <w:p w14:paraId="423791DF" w14:textId="77777777" w:rsidR="00024B72" w:rsidRPr="00024B72" w:rsidRDefault="00024B72" w:rsidP="00024B72">
      <w:pPr>
        <w:pStyle w:val="NormalWeb"/>
        <w:spacing w:line="360" w:lineRule="auto"/>
        <w:jc w:val="both"/>
        <w:rPr>
          <w:rFonts w:ascii="Arial" w:hAnsi="Arial" w:cs="Arial"/>
          <w:sz w:val="22"/>
          <w:szCs w:val="22"/>
        </w:rPr>
      </w:pPr>
      <w:r w:rsidRPr="00024B72">
        <w:rPr>
          <w:rFonts w:ascii="Arial" w:hAnsi="Arial" w:cs="Arial"/>
          <w:b/>
          <w:bCs/>
          <w:sz w:val="22"/>
          <w:szCs w:val="22"/>
        </w:rPr>
        <w:t xml:space="preserve">Social Implications </w:t>
      </w:r>
    </w:p>
    <w:p w14:paraId="68E3E4A9" w14:textId="77777777" w:rsidR="00024B72" w:rsidRPr="00024B72" w:rsidRDefault="00024B72" w:rsidP="00024B72">
      <w:pPr>
        <w:pStyle w:val="NormalWeb"/>
        <w:spacing w:line="360" w:lineRule="auto"/>
        <w:jc w:val="both"/>
        <w:rPr>
          <w:rFonts w:ascii="Arial" w:hAnsi="Arial" w:cs="Arial"/>
          <w:sz w:val="22"/>
          <w:szCs w:val="22"/>
        </w:rPr>
      </w:pPr>
      <w:r w:rsidRPr="00024B72">
        <w:rPr>
          <w:rFonts w:ascii="Arial" w:hAnsi="Arial" w:cs="Arial"/>
          <w:sz w:val="22"/>
          <w:szCs w:val="22"/>
        </w:rPr>
        <w:t>Hypertension can significantly affect an individual’s social life and sense of independence, particularly in adults over 40 who may already be managing other health conditions. The need for regular monitoring, medication adherence, and lifestyle changes such as dietary restrictions and increased physical activity can disrupt daily routines and limit participation in social activities. Individuals may feel isolated or stigmatized, especially if their condition interferes with work, travel, or social engagements (Abbas et al., 2025). Moreover, the psychological burden of managing a chronic condition can reduce motivation to engage with peers or seek support, further compounding feelings of loneliness. Studies show that strong social support networks improve self-management and physical literacy, helping patients maintain treatment adherence and emotional resilience (Ma et al., 2024).</w:t>
      </w:r>
    </w:p>
    <w:p w14:paraId="09C820A2" w14:textId="77777777" w:rsidR="00024B72" w:rsidRPr="00024B72" w:rsidRDefault="00024B72" w:rsidP="00024B72">
      <w:pPr>
        <w:pStyle w:val="NormalWeb"/>
        <w:spacing w:line="360" w:lineRule="auto"/>
        <w:jc w:val="both"/>
        <w:rPr>
          <w:rFonts w:ascii="Arial" w:hAnsi="Arial" w:cs="Arial"/>
          <w:sz w:val="22"/>
          <w:szCs w:val="22"/>
        </w:rPr>
      </w:pPr>
      <w:r w:rsidRPr="00024B72">
        <w:rPr>
          <w:rFonts w:ascii="Arial" w:hAnsi="Arial" w:cs="Arial"/>
          <w:b/>
          <w:bCs/>
          <w:sz w:val="22"/>
          <w:szCs w:val="22"/>
        </w:rPr>
        <w:t>Broader Implications on Families Involved in Care Provision</w:t>
      </w:r>
    </w:p>
    <w:p w14:paraId="5D989648" w14:textId="77777777" w:rsidR="00024B72" w:rsidRPr="00024B72" w:rsidRDefault="00024B72" w:rsidP="00024B72">
      <w:pPr>
        <w:pStyle w:val="NormalWeb"/>
        <w:spacing w:line="360" w:lineRule="auto"/>
        <w:jc w:val="both"/>
        <w:rPr>
          <w:rFonts w:ascii="Arial" w:hAnsi="Arial" w:cs="Arial"/>
          <w:sz w:val="22"/>
          <w:szCs w:val="22"/>
        </w:rPr>
      </w:pPr>
      <w:r w:rsidRPr="00024B72">
        <w:rPr>
          <w:rFonts w:ascii="Arial" w:hAnsi="Arial" w:cs="Arial"/>
          <w:sz w:val="22"/>
          <w:szCs w:val="22"/>
        </w:rPr>
        <w:t xml:space="preserve">The impact of hypertension extends beyond the individual, often placing considerable strain on family members who assume caregiving roles. This is particularly evident in older adults who may rely on spouses, children, or other relatives for assistance with medication, appointment scheduling, and lifestyle adjustments. Caregivers may experience emotional stress, financial strain, and disruptions to their own routines and responsibilities (Kretchy et al., 2015). The unpredictability of hypertension-related </w:t>
      </w:r>
      <w:r w:rsidRPr="00024B72">
        <w:rPr>
          <w:rFonts w:ascii="Arial" w:hAnsi="Arial" w:cs="Arial"/>
          <w:sz w:val="22"/>
          <w:szCs w:val="22"/>
        </w:rPr>
        <w:t>complications such as stroke or hospitalization can heighten anxiety and require sudden changes in family dynamics. Research highlights that caregiver involvement is crucial for successful disease management but also emphasizes the need for community-based education and support programmes to reduce caregiver burden and empower families in their role (Ma et al., 2024).</w:t>
      </w:r>
    </w:p>
    <w:p w14:paraId="41CA212C" w14:textId="77777777" w:rsidR="00024B72" w:rsidRPr="00024B72" w:rsidRDefault="00024B72" w:rsidP="00024B72">
      <w:pPr>
        <w:pStyle w:val="NormalWeb"/>
        <w:spacing w:line="360" w:lineRule="auto"/>
        <w:jc w:val="both"/>
        <w:rPr>
          <w:rFonts w:ascii="Arial" w:hAnsi="Arial" w:cs="Arial"/>
          <w:sz w:val="22"/>
          <w:szCs w:val="22"/>
        </w:rPr>
      </w:pPr>
      <w:r w:rsidRPr="00024B72">
        <w:rPr>
          <w:rFonts w:ascii="Arial" w:hAnsi="Arial" w:cs="Arial"/>
          <w:b/>
          <w:bCs/>
          <w:sz w:val="22"/>
          <w:szCs w:val="22"/>
        </w:rPr>
        <w:t>Evidence-Based Management in the UK / NHS Context</w:t>
      </w:r>
    </w:p>
    <w:p w14:paraId="026766BC" w14:textId="77777777" w:rsidR="00024B72" w:rsidRPr="00024B72" w:rsidRDefault="00024B72" w:rsidP="00024B72">
      <w:pPr>
        <w:pStyle w:val="NormalWeb"/>
        <w:spacing w:line="360" w:lineRule="auto"/>
        <w:jc w:val="both"/>
        <w:rPr>
          <w:rFonts w:ascii="Arial" w:hAnsi="Arial" w:cs="Arial"/>
          <w:sz w:val="22"/>
          <w:szCs w:val="22"/>
        </w:rPr>
      </w:pPr>
      <w:r w:rsidRPr="00024B72">
        <w:rPr>
          <w:rFonts w:ascii="Arial" w:hAnsi="Arial" w:cs="Arial"/>
          <w:sz w:val="22"/>
          <w:szCs w:val="22"/>
        </w:rPr>
        <w:t>In the UK, hypertension management for adults over 40 follows a comprehensive, evidence-based approach guided by the NICE NG136 guideline (Nice,2019). Care begins with lifestyle modifications, which form the foundation of treatment. These include reducing salt intake, eating more fruits, vegetables, and whole grains, maintaining a healthy weight, engaging in at least 150 minutes of moderate aerobic activity weekly, limiting alcohol, quitting smoking, managing stress, and improving sleep hygiene (Cheema et al., 2014). These strategies are tailored to suit older adults, accounting for physical limitations and co-existing health conditions (Grant et al., 2019). When lifestyle changes alone are insufficient, pharmacological therapy is introduced. Common first-line medications include ACE inhibitors, angiotensin receptor blockers (ARBs), calcium channel blockers (CCBs), and thiazide diuretics. For older patients, CCBs and diuretics are often preferred due to age-related vascular changes. If blood pressure remains uncontrolled, combination therapy or specialist evaluation for resistant hypertension may be required (British and Irish Hypertension Society, 2023).</w:t>
      </w:r>
    </w:p>
    <w:p w14:paraId="53DCF44A" w14:textId="77777777" w:rsidR="00024B72" w:rsidRPr="00024B72" w:rsidRDefault="00024B72" w:rsidP="00024B72">
      <w:pPr>
        <w:pStyle w:val="NormalWeb"/>
        <w:spacing w:line="360" w:lineRule="auto"/>
        <w:jc w:val="both"/>
        <w:rPr>
          <w:rFonts w:ascii="Arial" w:hAnsi="Arial" w:cs="Arial"/>
          <w:sz w:val="22"/>
          <w:szCs w:val="22"/>
        </w:rPr>
      </w:pPr>
      <w:r w:rsidRPr="00024B72">
        <w:rPr>
          <w:rFonts w:ascii="Arial" w:hAnsi="Arial" w:cs="Arial"/>
          <w:sz w:val="22"/>
          <w:szCs w:val="22"/>
        </w:rPr>
        <w:t xml:space="preserve">Monitoring is essential for accurate diagnosis and ongoing care. Home and ambulatory blood pressure monitoring (HBPM and ABPM) are </w:t>
      </w:r>
      <w:r w:rsidRPr="00024B72">
        <w:rPr>
          <w:rFonts w:ascii="Arial" w:hAnsi="Arial" w:cs="Arial"/>
          <w:sz w:val="22"/>
          <w:szCs w:val="22"/>
        </w:rPr>
        <w:lastRenderedPageBreak/>
        <w:t>recommended to avoid misleading clinic readings and improve precision (Grant et al., 2019). Regular follow-ups help assess treatment effectiveness, monitor kidney function, and detect organ damage. Innovative tools like the Hypertension-Plus digital platform have shown promise in improving patient engagement and responsiveness (Smith et al., 2024). Within the NHS, hypertension care is primarily delivered through GPs and practice nurses, supported by the NHS Health Check programme for individuals aged 40–74, community pharmacy services, and specialist referrals. The Quality and Outcomes Framework (QOF) incentivize practices to maintain high standards of care. Educational programmes have also proven effective in improving blood pressure control and patient understanding (Ukoha-Kalu et al., 2023; Subburayan, 2023). NHS England’s CVDPREVENT initiative aims to raise national blood pressure control rates to 80% by 2029 through targeted interventions and system-wide coordination.</w:t>
      </w:r>
    </w:p>
    <w:p w14:paraId="32ECC012" w14:textId="5D14EE81" w:rsidR="00583F1C" w:rsidRPr="00AF2C87" w:rsidRDefault="00C36219" w:rsidP="0041189C">
      <w:pPr>
        <w:pStyle w:val="NormalWeb"/>
        <w:spacing w:after="0" w:line="360" w:lineRule="auto"/>
        <w:jc w:val="both"/>
        <w:rPr>
          <w:rFonts w:ascii="Arial" w:hAnsi="Arial" w:cs="Arial"/>
          <w:b/>
          <w:bCs/>
          <w:color w:val="215E99" w:themeColor="text2" w:themeTint="BF"/>
        </w:rPr>
      </w:pPr>
      <w:r w:rsidRPr="00C36219">
        <w:rPr>
          <w:rFonts w:ascii="Arial" w:hAnsi="Arial" w:cs="Arial"/>
          <w:b/>
          <w:bCs/>
          <w:color w:val="215E99" w:themeColor="text2" w:themeTint="BF"/>
        </w:rPr>
        <w:t xml:space="preserve">Models and Frameworks: </w:t>
      </w:r>
      <w:r w:rsidR="001B18DE" w:rsidRPr="00AF2C87">
        <w:rPr>
          <w:rFonts w:ascii="Arial" w:hAnsi="Arial" w:cs="Arial"/>
          <w:b/>
          <w:bCs/>
          <w:color w:val="215E99" w:themeColor="text2" w:themeTint="BF"/>
        </w:rPr>
        <w:t xml:space="preserve"> </w:t>
      </w:r>
    </w:p>
    <w:p w14:paraId="27C3CBDB" w14:textId="725145B9" w:rsidR="005435C1" w:rsidRPr="00AF2C87" w:rsidRDefault="00FC366C" w:rsidP="00FC366C">
      <w:pPr>
        <w:pStyle w:val="NormalWeb"/>
        <w:spacing w:after="0"/>
        <w:rPr>
          <w:rFonts w:ascii="Arial" w:hAnsi="Arial" w:cs="Arial"/>
          <w:b/>
          <w:bCs/>
          <w:sz w:val="22"/>
          <w:szCs w:val="22"/>
        </w:rPr>
      </w:pPr>
      <w:r w:rsidRPr="00AF2C87">
        <w:rPr>
          <w:rFonts w:ascii="Arial" w:hAnsi="Arial" w:cs="Arial"/>
          <w:b/>
          <w:bCs/>
          <w:sz w:val="22"/>
          <w:szCs w:val="22"/>
        </w:rPr>
        <w:t>The House of Care</w:t>
      </w:r>
    </w:p>
    <w:p w14:paraId="61B74A34" w14:textId="5AE53F8C" w:rsidR="00FC366C" w:rsidRPr="005435C1" w:rsidRDefault="00FC366C" w:rsidP="00FC366C">
      <w:pPr>
        <w:pStyle w:val="NormalWeb"/>
        <w:spacing w:after="0"/>
        <w:rPr>
          <w:rFonts w:ascii="Arial" w:hAnsi="Arial" w:cs="Arial"/>
          <w:b/>
          <w:bCs/>
          <w:color w:val="0070C0"/>
        </w:rPr>
      </w:pPr>
      <w:r w:rsidRPr="005435C1">
        <w:rPr>
          <w:rFonts w:ascii="Arial" w:hAnsi="Arial" w:cs="Arial"/>
          <w:b/>
          <w:bCs/>
          <w:color w:val="0070C0"/>
        </w:rPr>
        <w:t xml:space="preserve"> </w:t>
      </w:r>
    </w:p>
    <w:p w14:paraId="752F5EF1" w14:textId="77777777" w:rsidR="00381272" w:rsidRDefault="00FC366C" w:rsidP="00FC366C">
      <w:pPr>
        <w:pStyle w:val="NormalWeb"/>
        <w:spacing w:after="0"/>
        <w:rPr>
          <w:rFonts w:ascii="Arial" w:hAnsi="Arial" w:cs="Arial"/>
          <w:b/>
          <w:bCs/>
          <w:color w:val="00B0F0"/>
        </w:rPr>
      </w:pPr>
      <w:r w:rsidRPr="00FC366C">
        <w:rPr>
          <w:rFonts w:ascii="Arial" w:hAnsi="Arial" w:cs="Arial"/>
          <w:b/>
          <w:bCs/>
          <w:color w:val="00B0F0"/>
        </w:rPr>
        <w:t xml:space="preserve"> </w:t>
      </w:r>
      <w:r w:rsidRPr="00FC366C">
        <w:rPr>
          <w:rFonts w:ascii="Arial" w:hAnsi="Arial" w:cs="Arial"/>
          <w:b/>
          <w:bCs/>
          <w:color w:val="00B0F0"/>
        </w:rPr>
        <w:drawing>
          <wp:inline distT="0" distB="0" distL="0" distR="0" wp14:anchorId="4FE0B521" wp14:editId="1D77B1B5">
            <wp:extent cx="2972404" cy="2798993"/>
            <wp:effectExtent l="0" t="0" r="0" b="1905"/>
            <wp:docPr id="1280402958" name="Picture 1" descr="A diagram of a care and support convers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562053" name="Picture 1" descr="A diagram of a care and support conversation&#10;&#10;AI-generated content may be incorrect."/>
                    <pic:cNvPicPr/>
                  </pic:nvPicPr>
                  <pic:blipFill rotWithShape="1">
                    <a:blip r:embed="rId12"/>
                    <a:srcRect r="277"/>
                    <a:stretch>
                      <a:fillRect/>
                    </a:stretch>
                  </pic:blipFill>
                  <pic:spPr bwMode="auto">
                    <a:xfrm>
                      <a:off x="0" y="0"/>
                      <a:ext cx="3063685" cy="2884948"/>
                    </a:xfrm>
                    <a:prstGeom prst="rect">
                      <a:avLst/>
                    </a:prstGeom>
                    <a:ln>
                      <a:noFill/>
                    </a:ln>
                    <a:extLst>
                      <a:ext uri="{53640926-AAD7-44D8-BBD7-CCE9431645EC}">
                        <a14:shadowObscured xmlns:a14="http://schemas.microsoft.com/office/drawing/2010/main"/>
                      </a:ext>
                    </a:extLst>
                  </pic:spPr>
                </pic:pic>
              </a:graphicData>
            </a:graphic>
          </wp:inline>
        </w:drawing>
      </w:r>
      <w:r w:rsidRPr="00FC366C">
        <w:rPr>
          <w:rFonts w:ascii="Arial" w:hAnsi="Arial" w:cs="Arial"/>
          <w:b/>
          <w:bCs/>
          <w:color w:val="00B0F0"/>
        </w:rPr>
        <w:t xml:space="preserve">  </w:t>
      </w:r>
      <w:r w:rsidR="00381272">
        <w:rPr>
          <w:rFonts w:ascii="Arial" w:hAnsi="Arial" w:cs="Arial"/>
          <w:b/>
          <w:bCs/>
          <w:color w:val="00B0F0"/>
        </w:rPr>
        <w:t xml:space="preserve">   </w:t>
      </w:r>
    </w:p>
    <w:p w14:paraId="4FA6938B" w14:textId="1A19138D" w:rsidR="00FC366C" w:rsidRPr="00FC366C" w:rsidRDefault="00FC366C" w:rsidP="00FC366C">
      <w:pPr>
        <w:pStyle w:val="NormalWeb"/>
        <w:spacing w:after="0"/>
        <w:rPr>
          <w:rFonts w:ascii="Arial" w:hAnsi="Arial" w:cs="Arial"/>
          <w:b/>
          <w:bCs/>
          <w:color w:val="00B0F0"/>
        </w:rPr>
      </w:pPr>
      <w:r w:rsidRPr="00FC366C">
        <w:rPr>
          <w:rFonts w:ascii="Arial" w:hAnsi="Arial" w:cs="Arial"/>
          <w:sz w:val="22"/>
          <w:szCs w:val="22"/>
        </w:rPr>
        <w:t>(Health and Social Care Alliance Scotland, 2023)</w:t>
      </w:r>
    </w:p>
    <w:p w14:paraId="4F631332" w14:textId="77777777" w:rsidR="00D0718C" w:rsidRDefault="00D0718C" w:rsidP="00D0718C">
      <w:pPr>
        <w:pStyle w:val="NormalWeb"/>
        <w:spacing w:after="0"/>
        <w:jc w:val="both"/>
        <w:rPr>
          <w:rFonts w:ascii="Arial" w:hAnsi="Arial" w:cs="Arial"/>
          <w:color w:val="00B0F0"/>
          <w:sz w:val="22"/>
          <w:szCs w:val="22"/>
        </w:rPr>
      </w:pPr>
    </w:p>
    <w:p w14:paraId="1C9F4F8C" w14:textId="73FD16DD" w:rsidR="00D0718C" w:rsidRPr="00262A8B" w:rsidRDefault="00D0718C" w:rsidP="00262A8B">
      <w:pPr>
        <w:pStyle w:val="NormalWeb"/>
        <w:spacing w:after="0" w:line="360" w:lineRule="auto"/>
        <w:jc w:val="both"/>
        <w:rPr>
          <w:rFonts w:ascii="Arial" w:hAnsi="Arial" w:cs="Arial"/>
          <w:sz w:val="22"/>
          <w:szCs w:val="22"/>
        </w:rPr>
      </w:pPr>
      <w:r w:rsidRPr="00262A8B">
        <w:rPr>
          <w:rFonts w:ascii="Arial" w:hAnsi="Arial" w:cs="Arial"/>
          <w:sz w:val="22"/>
          <w:szCs w:val="22"/>
        </w:rPr>
        <w:t>The House of Care Model, developed by the NHS and Year of Care Partnerships, provides a holistic framework for delivering person-centred care to individuals with long-term conditions such as hypertension. Using the metaphor of a house, it illustrates the interconnected components of effective care: the foundation represents engaged, informed patients; the roof symbolises committed healthcare professionals; and the walls stand for robust organisational systems and collaborative care planning. At the centre lies care and support planning a structured conversation between patient and clinician that replaces the traditional “tell and do” approach with shared decision-making and personalised goal setting (Coulter et al., 2016).</w:t>
      </w:r>
    </w:p>
    <w:p w14:paraId="26BB750B" w14:textId="77777777" w:rsidR="00D0718C" w:rsidRPr="00262A8B" w:rsidRDefault="00D0718C" w:rsidP="00262A8B">
      <w:pPr>
        <w:pStyle w:val="NormalWeb"/>
        <w:spacing w:after="0" w:line="360" w:lineRule="auto"/>
        <w:jc w:val="both"/>
        <w:rPr>
          <w:rFonts w:ascii="Arial" w:hAnsi="Arial" w:cs="Arial"/>
          <w:sz w:val="22"/>
          <w:szCs w:val="22"/>
        </w:rPr>
      </w:pPr>
      <w:r w:rsidRPr="00262A8B">
        <w:rPr>
          <w:rFonts w:ascii="Arial" w:hAnsi="Arial" w:cs="Arial"/>
          <w:sz w:val="22"/>
          <w:szCs w:val="22"/>
        </w:rPr>
        <w:t>For someone like Sarah, a 58-year-old woman recently diagnosed with hypertension during her NHS Health Check, the House of Care model transforms her experience from passive recipient to active participant. Sarah is supported in understanding her condition and its risks, guided by health coaches and nurses who help her build confidence and engage with her care. The health coach assists Sarah in setting and achieving her health goals, while the nurse provides medical support and advice. Her GP and practice nurse provide consistent, empathetic support, helping her navigate treatment decisions such as medication options and home blood pressure monitoring (HBPM), which empowers her to track her readings and make informed lifestyle adjustments (NHS England, 2019; BHF, 2023).</w:t>
      </w:r>
    </w:p>
    <w:p w14:paraId="0E6C8617" w14:textId="2E4EB2C4" w:rsidR="00382C45" w:rsidRPr="00382C45" w:rsidRDefault="00D0718C" w:rsidP="00382C45">
      <w:pPr>
        <w:pStyle w:val="NormalWeb"/>
        <w:spacing w:after="0" w:line="360" w:lineRule="auto"/>
        <w:jc w:val="both"/>
        <w:rPr>
          <w:rFonts w:ascii="Arial" w:hAnsi="Arial" w:cs="Arial"/>
          <w:sz w:val="22"/>
          <w:szCs w:val="22"/>
        </w:rPr>
      </w:pPr>
      <w:r w:rsidRPr="00262A8B">
        <w:rPr>
          <w:rFonts w:ascii="Arial" w:hAnsi="Arial" w:cs="Arial"/>
          <w:sz w:val="22"/>
          <w:szCs w:val="22"/>
        </w:rPr>
        <w:t xml:space="preserve">Organisational systems represented by the walls of the house ensure continuity and coordination in Sarah’s care. Electronic health records, appointment scheduling, and referral pathways to dietitians or exercise programmes reduce fragmentation and support integrated care (YCP, </w:t>
      </w:r>
      <w:r w:rsidRPr="00262A8B">
        <w:rPr>
          <w:rFonts w:ascii="Arial" w:hAnsi="Arial" w:cs="Arial"/>
          <w:sz w:val="22"/>
          <w:szCs w:val="22"/>
        </w:rPr>
        <w:lastRenderedPageBreak/>
        <w:t>2024). At the heart of the model, care and support planning enables Sarah to co-create a personalised plan that reflects her values and goals, such as reducing salt intake and managing stress. This collaborative approach, involving both Sarah and her care team, reduces treatment burden, enhances motivation, and fosters a sense of partnership between patients and providers (Coulter et al., 2016).</w:t>
      </w:r>
    </w:p>
    <w:p w14:paraId="3D8763FD" w14:textId="3AEACBEF" w:rsidR="00A67415" w:rsidRPr="00FC366C" w:rsidRDefault="00674B66" w:rsidP="00262A8B">
      <w:pPr>
        <w:pStyle w:val="NormalWeb"/>
        <w:spacing w:after="0" w:line="360" w:lineRule="auto"/>
        <w:rPr>
          <w:rFonts w:ascii="Arial" w:hAnsi="Arial" w:cs="Arial"/>
          <w:b/>
          <w:bCs/>
          <w:sz w:val="22"/>
          <w:szCs w:val="22"/>
        </w:rPr>
      </w:pPr>
      <w:r w:rsidRPr="00AF2C87">
        <w:rPr>
          <w:rFonts w:ascii="Arial" w:hAnsi="Arial" w:cs="Arial"/>
          <w:b/>
          <w:bCs/>
          <w:sz w:val="22"/>
          <w:szCs w:val="22"/>
        </w:rPr>
        <w:t>The Chronic Care Model</w:t>
      </w:r>
    </w:p>
    <w:p w14:paraId="78158E1D" w14:textId="51CD6677" w:rsidR="00C36219" w:rsidRDefault="00C36219" w:rsidP="00C36219">
      <w:pPr>
        <w:pStyle w:val="NormalWeb"/>
        <w:spacing w:after="0" w:line="360" w:lineRule="auto"/>
        <w:jc w:val="both"/>
        <w:rPr>
          <w:rFonts w:ascii="Arial" w:hAnsi="Arial" w:cs="Arial"/>
          <w:b/>
          <w:bCs/>
          <w:color w:val="00B0F0"/>
          <w:sz w:val="22"/>
          <w:szCs w:val="22"/>
        </w:rPr>
      </w:pPr>
    </w:p>
    <w:p w14:paraId="32E47731" w14:textId="1213247E" w:rsidR="00FC366C" w:rsidRPr="00C36219" w:rsidRDefault="005855C1" w:rsidP="00C36219">
      <w:pPr>
        <w:pStyle w:val="NormalWeb"/>
        <w:spacing w:after="0" w:line="360" w:lineRule="auto"/>
        <w:jc w:val="both"/>
        <w:rPr>
          <w:rFonts w:ascii="Arial" w:hAnsi="Arial" w:cs="Arial"/>
          <w:b/>
          <w:bCs/>
          <w:color w:val="00B0F0"/>
          <w:sz w:val="22"/>
          <w:szCs w:val="22"/>
        </w:rPr>
      </w:pPr>
      <w:r w:rsidRPr="004E6170">
        <w:rPr>
          <w:rFonts w:ascii="Arial" w:hAnsi="Arial" w:cs="Arial"/>
          <w:sz w:val="22"/>
          <w:szCs w:val="22"/>
        </w:rPr>
        <w:drawing>
          <wp:inline distT="0" distB="0" distL="0" distR="0" wp14:anchorId="036BA895" wp14:editId="42C2AE4B">
            <wp:extent cx="2952520" cy="2760390"/>
            <wp:effectExtent l="0" t="0" r="635" b="1905"/>
            <wp:docPr id="399076857" name="Picture 1" descr="A diagram of health syste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076857" name="Picture 1" descr="A diagram of health systems&#10;&#10;AI-generated content may be incorrect."/>
                    <pic:cNvPicPr/>
                  </pic:nvPicPr>
                  <pic:blipFill rotWithShape="1">
                    <a:blip r:embed="rId13"/>
                    <a:srcRect t="2156" r="845"/>
                    <a:stretch>
                      <a:fillRect/>
                    </a:stretch>
                  </pic:blipFill>
                  <pic:spPr bwMode="auto">
                    <a:xfrm>
                      <a:off x="0" y="0"/>
                      <a:ext cx="2997184" cy="2802148"/>
                    </a:xfrm>
                    <a:prstGeom prst="rect">
                      <a:avLst/>
                    </a:prstGeom>
                    <a:ln>
                      <a:noFill/>
                    </a:ln>
                    <a:extLst>
                      <a:ext uri="{53640926-AAD7-44D8-BBD7-CCE9431645EC}">
                        <a14:shadowObscured xmlns:a14="http://schemas.microsoft.com/office/drawing/2010/main"/>
                      </a:ext>
                    </a:extLst>
                  </pic:spPr>
                </pic:pic>
              </a:graphicData>
            </a:graphic>
          </wp:inline>
        </w:drawing>
      </w:r>
    </w:p>
    <w:p w14:paraId="01947C03" w14:textId="11875A95" w:rsidR="0085591B" w:rsidRDefault="0085591B" w:rsidP="005B6AD8">
      <w:pPr>
        <w:pStyle w:val="NormalWeb"/>
        <w:spacing w:after="0" w:line="360" w:lineRule="auto"/>
        <w:jc w:val="both"/>
        <w:rPr>
          <w:rFonts w:ascii="Arial" w:hAnsi="Arial" w:cs="Arial"/>
          <w:sz w:val="22"/>
          <w:szCs w:val="22"/>
        </w:rPr>
      </w:pPr>
      <w:r w:rsidRPr="005855C1">
        <w:rPr>
          <w:rFonts w:ascii="Arial" w:hAnsi="Arial" w:cs="Arial"/>
          <w:sz w:val="22"/>
          <w:szCs w:val="22"/>
        </w:rPr>
        <w:t xml:space="preserve">     </w:t>
      </w:r>
      <w:r w:rsidR="005855C1" w:rsidRPr="005855C1">
        <w:rPr>
          <w:rFonts w:ascii="Arial" w:hAnsi="Arial" w:cs="Arial"/>
          <w:sz w:val="22"/>
          <w:szCs w:val="22"/>
        </w:rPr>
        <w:t xml:space="preserve">                                          </w:t>
      </w:r>
      <w:r w:rsidR="008B2542" w:rsidRPr="005855C1">
        <w:rPr>
          <w:rFonts w:ascii="Arial" w:hAnsi="Arial" w:cs="Arial"/>
          <w:sz w:val="22"/>
          <w:szCs w:val="22"/>
        </w:rPr>
        <w:t>(Pomey et al., 2024</w:t>
      </w:r>
      <w:r w:rsidR="008B2542" w:rsidRPr="005855C1">
        <w:rPr>
          <w:rFonts w:ascii="Arial" w:hAnsi="Arial" w:cs="Arial"/>
          <w:sz w:val="22"/>
          <w:szCs w:val="22"/>
        </w:rPr>
        <w:t>)</w:t>
      </w:r>
    </w:p>
    <w:p w14:paraId="6D49D989" w14:textId="77777777" w:rsidR="00A20893" w:rsidRPr="00A20893" w:rsidRDefault="00A20893" w:rsidP="00A20893">
      <w:pPr>
        <w:pStyle w:val="NormalWeb"/>
        <w:spacing w:after="0" w:line="360" w:lineRule="auto"/>
        <w:jc w:val="both"/>
        <w:rPr>
          <w:rFonts w:ascii="Arial" w:hAnsi="Arial" w:cs="Arial"/>
          <w:sz w:val="22"/>
          <w:szCs w:val="22"/>
        </w:rPr>
      </w:pPr>
      <w:r w:rsidRPr="00A20893">
        <w:rPr>
          <w:rFonts w:ascii="Arial" w:hAnsi="Arial" w:cs="Arial"/>
          <w:sz w:val="22"/>
          <w:szCs w:val="22"/>
        </w:rPr>
        <w:t>The Chronic Care Model (CCM), developed by Wagner et al. (2001), is a globally recognised framework for managing long-term conditions. It comprises six interrelated components: health system organisation, community resources, self-management support, delivery system design, decision support, and clinical information systems. The model emphasises that improved outcomes occur when informed, activated patients engage with proactive, well-prepared care teams (Wagner et al., 2001; Pomey et al., 2024).</w:t>
      </w:r>
    </w:p>
    <w:p w14:paraId="452B4B5D" w14:textId="77777777" w:rsidR="00A20893" w:rsidRPr="00A20893" w:rsidRDefault="00A20893" w:rsidP="00A20893">
      <w:pPr>
        <w:pStyle w:val="NormalWeb"/>
        <w:spacing w:after="0" w:line="360" w:lineRule="auto"/>
        <w:jc w:val="both"/>
        <w:rPr>
          <w:rFonts w:ascii="Arial" w:hAnsi="Arial" w:cs="Arial"/>
          <w:sz w:val="22"/>
          <w:szCs w:val="22"/>
        </w:rPr>
      </w:pPr>
      <w:r w:rsidRPr="00A20893">
        <w:rPr>
          <w:rFonts w:ascii="Arial" w:hAnsi="Arial" w:cs="Arial"/>
          <w:sz w:val="22"/>
          <w:szCs w:val="22"/>
        </w:rPr>
        <w:t xml:space="preserve">For James, a 62-year-old man recently diagnosed with hypertension, each CCM component contributes to better health outcomes. Health system organisation ensures care is delivered </w:t>
      </w:r>
      <w:r w:rsidRPr="00A20893">
        <w:rPr>
          <w:rFonts w:ascii="Arial" w:hAnsi="Arial" w:cs="Arial"/>
          <w:sz w:val="22"/>
          <w:szCs w:val="22"/>
        </w:rPr>
        <w:t>within a supportive infrastructure prioritising chronic disease management, including regular follow-ups and multidisciplinary input. The community resources, such as walking groups, dietary workshops, and peer support, play a significant role in keeping James motivated and socially connected, highlighting the importance of community involvement in patient care.</w:t>
      </w:r>
    </w:p>
    <w:p w14:paraId="28F70C86" w14:textId="77777777" w:rsidR="00A20893" w:rsidRPr="00A20893" w:rsidRDefault="00A20893" w:rsidP="00A20893">
      <w:pPr>
        <w:pStyle w:val="NormalWeb"/>
        <w:spacing w:after="0" w:line="360" w:lineRule="auto"/>
        <w:jc w:val="both"/>
        <w:rPr>
          <w:rFonts w:ascii="Arial" w:hAnsi="Arial" w:cs="Arial"/>
          <w:sz w:val="22"/>
          <w:szCs w:val="22"/>
        </w:rPr>
      </w:pPr>
      <w:r w:rsidRPr="00A20893">
        <w:rPr>
          <w:rFonts w:ascii="Arial" w:hAnsi="Arial" w:cs="Arial"/>
          <w:sz w:val="22"/>
          <w:szCs w:val="22"/>
        </w:rPr>
        <w:t>Self-management support is central to James’s care. He receives structured education and training in home blood pressure monitoring (HBPM), enabling him to track readings and set goals for diet, exercise, and stress reduction (Bosworth et al., 2011). Delivery system design ensures coordinated care among his GP, nurse, and pharmacist, who collaborate to adjust medications and offer counselling, particularly for resistant hypertension (Clyne et al., 2016).</w:t>
      </w:r>
    </w:p>
    <w:p w14:paraId="28A82D13" w14:textId="30179228" w:rsidR="00A20893" w:rsidRPr="00A20893" w:rsidRDefault="00A20893" w:rsidP="00A20893">
      <w:pPr>
        <w:pStyle w:val="NormalWeb"/>
        <w:spacing w:after="0" w:line="360" w:lineRule="auto"/>
        <w:jc w:val="both"/>
        <w:rPr>
          <w:rFonts w:ascii="Arial" w:hAnsi="Arial" w:cs="Arial"/>
          <w:sz w:val="22"/>
          <w:szCs w:val="22"/>
        </w:rPr>
      </w:pPr>
      <w:r w:rsidRPr="00A20893">
        <w:rPr>
          <w:rFonts w:ascii="Arial" w:hAnsi="Arial" w:cs="Arial"/>
          <w:sz w:val="22"/>
          <w:szCs w:val="22"/>
        </w:rPr>
        <w:t>Decision support tools integrate NICE guidelines into clinical workflows, helping James’s care team make evidence-based decisions tailored to his needs. Clinical information systems securely track and share his health data, including blood pressure trends and medication history, and enable telehealth consultations</w:t>
      </w:r>
      <w:r w:rsidR="00FE55E9">
        <w:rPr>
          <w:rFonts w:ascii="Arial" w:hAnsi="Arial" w:cs="Arial"/>
          <w:sz w:val="22"/>
          <w:szCs w:val="22"/>
        </w:rPr>
        <w:t xml:space="preserve"> </w:t>
      </w:r>
      <w:r w:rsidRPr="00A20893">
        <w:rPr>
          <w:rFonts w:ascii="Arial" w:hAnsi="Arial" w:cs="Arial"/>
          <w:sz w:val="22"/>
          <w:szCs w:val="22"/>
        </w:rPr>
        <w:t>especially beneficial for older adults facing mobility challenges.</w:t>
      </w:r>
    </w:p>
    <w:p w14:paraId="7E91233D" w14:textId="56D5F4D0" w:rsidR="002122D9" w:rsidRDefault="00A20893" w:rsidP="00A20893">
      <w:pPr>
        <w:pStyle w:val="NormalWeb"/>
        <w:spacing w:after="0" w:line="360" w:lineRule="auto"/>
        <w:jc w:val="both"/>
        <w:rPr>
          <w:rFonts w:ascii="Arial" w:hAnsi="Arial" w:cs="Arial"/>
          <w:sz w:val="22"/>
          <w:szCs w:val="22"/>
        </w:rPr>
      </w:pPr>
      <w:r w:rsidRPr="00A20893">
        <w:rPr>
          <w:rFonts w:ascii="Arial" w:hAnsi="Arial" w:cs="Arial"/>
          <w:sz w:val="22"/>
          <w:szCs w:val="22"/>
        </w:rPr>
        <w:t xml:space="preserve">Compared to the House of Care Model, which centres on personalised care through structured conversations and shared decision-making, CCM offers a broader, internationally recognised framework focused on system-level transformation. While both models prioritise patient engagement, CCM provides stronger technological integration, which can enhance efficiency and accuracy in patient care. The House of Care, on the other hand, is more adaptable to NHS commissioning. Together, they offer complementary strategies for equitable, person-centred hypertension management, with CCM </w:t>
      </w:r>
      <w:r w:rsidRPr="00A20893">
        <w:rPr>
          <w:rFonts w:ascii="Arial" w:hAnsi="Arial" w:cs="Arial"/>
          <w:sz w:val="22"/>
          <w:szCs w:val="22"/>
        </w:rPr>
        <w:lastRenderedPageBreak/>
        <w:t>providing a more comprehensive and system-wide approach.</w:t>
      </w:r>
    </w:p>
    <w:p w14:paraId="4CCFAAF4" w14:textId="77777777" w:rsidR="00AF2C87" w:rsidRDefault="00AF2C87" w:rsidP="00A20893">
      <w:pPr>
        <w:pStyle w:val="NormalWeb"/>
        <w:spacing w:after="0" w:line="360" w:lineRule="auto"/>
        <w:jc w:val="both"/>
        <w:rPr>
          <w:rFonts w:ascii="Arial" w:hAnsi="Arial" w:cs="Arial"/>
          <w:sz w:val="22"/>
          <w:szCs w:val="22"/>
        </w:rPr>
      </w:pPr>
    </w:p>
    <w:p w14:paraId="059A50CD" w14:textId="6A10D357" w:rsidR="00D24277" w:rsidRPr="00AF2C87" w:rsidRDefault="00593921" w:rsidP="00593921">
      <w:pPr>
        <w:pStyle w:val="NormalWeb"/>
        <w:spacing w:after="0"/>
        <w:rPr>
          <w:rFonts w:ascii="Arial" w:hAnsi="Arial" w:cs="Arial"/>
          <w:b/>
          <w:bCs/>
          <w:color w:val="215E99" w:themeColor="text2" w:themeTint="BF"/>
        </w:rPr>
      </w:pPr>
      <w:r w:rsidRPr="00593921">
        <w:rPr>
          <w:rFonts w:ascii="Arial" w:hAnsi="Arial" w:cs="Arial"/>
          <w:b/>
          <w:bCs/>
          <w:color w:val="215E99" w:themeColor="text2" w:themeTint="BF"/>
        </w:rPr>
        <w:t>National Health and Social Care Agendas in the UK and Local Implementation</w:t>
      </w:r>
      <w:r w:rsidR="00FD40F1" w:rsidRPr="00AF2C87">
        <w:rPr>
          <w:rFonts w:ascii="Arial" w:hAnsi="Arial" w:cs="Arial"/>
          <w:b/>
          <w:bCs/>
          <w:color w:val="215E99" w:themeColor="text2" w:themeTint="BF"/>
        </w:rPr>
        <w:t>:</w:t>
      </w:r>
    </w:p>
    <w:p w14:paraId="6013AD7A" w14:textId="77777777" w:rsidR="00F12436" w:rsidRDefault="00F12436" w:rsidP="00593921">
      <w:pPr>
        <w:pStyle w:val="NormalWeb"/>
        <w:spacing w:after="0"/>
        <w:rPr>
          <w:rFonts w:ascii="Arial" w:hAnsi="Arial" w:cs="Arial"/>
          <w:b/>
          <w:bCs/>
        </w:rPr>
      </w:pPr>
    </w:p>
    <w:p w14:paraId="23BF9589" w14:textId="0A22AE6E" w:rsidR="00F12436" w:rsidRDefault="0080352F" w:rsidP="00AF2C87">
      <w:pPr>
        <w:pStyle w:val="NormalWeb"/>
        <w:spacing w:after="0"/>
        <w:rPr>
          <w:rFonts w:ascii="Arial" w:hAnsi="Arial" w:cs="Arial"/>
          <w:b/>
          <w:bCs/>
          <w:sz w:val="22"/>
          <w:szCs w:val="22"/>
        </w:rPr>
      </w:pPr>
      <w:r w:rsidRPr="00F12436">
        <w:rPr>
          <w:rFonts w:ascii="Arial" w:hAnsi="Arial" w:cs="Arial"/>
          <w:b/>
          <w:bCs/>
          <w:sz w:val="22"/>
          <w:szCs w:val="22"/>
        </w:rPr>
        <w:t>National Level</w:t>
      </w:r>
    </w:p>
    <w:p w14:paraId="2D64D436" w14:textId="77777777" w:rsidR="00AF2C87" w:rsidRPr="00AF2C87" w:rsidRDefault="00AF2C87" w:rsidP="00AF2C87">
      <w:pPr>
        <w:pStyle w:val="NormalWeb"/>
        <w:spacing w:after="0"/>
        <w:rPr>
          <w:rFonts w:ascii="Arial" w:hAnsi="Arial" w:cs="Arial"/>
          <w:b/>
          <w:bCs/>
          <w:sz w:val="22"/>
          <w:szCs w:val="22"/>
        </w:rPr>
      </w:pPr>
    </w:p>
    <w:p w14:paraId="131CA79A" w14:textId="5D6FC403" w:rsidR="00E857D1" w:rsidRPr="00E857D1" w:rsidRDefault="00E857D1" w:rsidP="00E857D1">
      <w:pPr>
        <w:pStyle w:val="NormalWeb"/>
        <w:spacing w:line="360" w:lineRule="auto"/>
        <w:jc w:val="both"/>
        <w:rPr>
          <w:rFonts w:ascii="Arial" w:hAnsi="Arial" w:cs="Arial"/>
          <w:sz w:val="22"/>
          <w:szCs w:val="22"/>
        </w:rPr>
      </w:pPr>
      <w:r w:rsidRPr="00E857D1">
        <w:rPr>
          <w:rFonts w:ascii="Arial" w:hAnsi="Arial" w:cs="Arial"/>
          <w:sz w:val="22"/>
          <w:szCs w:val="22"/>
        </w:rPr>
        <w:t xml:space="preserve">Hypertension management is a central focus of UK health and social care agendas due to its major contribution to cardiovascular disease (CVD) burden. The </w:t>
      </w:r>
      <w:r w:rsidRPr="00E857D1">
        <w:rPr>
          <w:rFonts w:ascii="Arial" w:hAnsi="Arial" w:cs="Arial"/>
          <w:i/>
          <w:iCs/>
          <w:sz w:val="22"/>
          <w:szCs w:val="22"/>
        </w:rPr>
        <w:t>NHS Long Term Plan identifies</w:t>
      </w:r>
      <w:r w:rsidRPr="00E857D1">
        <w:rPr>
          <w:rFonts w:ascii="Arial" w:hAnsi="Arial" w:cs="Arial"/>
          <w:sz w:val="22"/>
          <w:szCs w:val="22"/>
        </w:rPr>
        <w:t xml:space="preserve"> CVD as the leading cause of preventable death and prioritises hypertension for earlier detection, lifestyle modification, and digital innovation (NHS England, 2025). The CVDPREVENT programme audits primary care data to identify gaps in diagnosis and treatment, aiming to raise blood pressure control rates to 80% by 2029 (NHS England, 2025).</w:t>
      </w:r>
    </w:p>
    <w:p w14:paraId="4D567139" w14:textId="3D8CF464" w:rsidR="00E857D1" w:rsidRPr="00E857D1" w:rsidRDefault="00E857D1" w:rsidP="00E857D1">
      <w:pPr>
        <w:pStyle w:val="NormalWeb"/>
        <w:spacing w:line="360" w:lineRule="auto"/>
        <w:jc w:val="both"/>
        <w:rPr>
          <w:rFonts w:ascii="Arial" w:hAnsi="Arial" w:cs="Arial"/>
          <w:sz w:val="22"/>
          <w:szCs w:val="22"/>
        </w:rPr>
      </w:pPr>
      <w:r w:rsidRPr="00E857D1">
        <w:rPr>
          <w:rFonts w:ascii="Arial" w:hAnsi="Arial" w:cs="Arial"/>
          <w:sz w:val="22"/>
          <w:szCs w:val="22"/>
        </w:rPr>
        <w:t>Public Health England guidance, Health Matters: Combating High Blood Pressure, supports commissioners and providers in reducing population-level blood pressure through prevention, detection, and management strategies (PHE, 2017). These efforts are underpinned by NICE guideline NG136, which provides evidence-based recommendations for diagnosis, treatment initiation, monitoring, and follow-up. It also emphasises personalised care and addresses inequalities affecting Black, South Asian, and socioeconomically deprived populations (NICE, 2023).</w:t>
      </w:r>
    </w:p>
    <w:p w14:paraId="08426CFB" w14:textId="77777777" w:rsidR="00E857D1" w:rsidRPr="00E857D1" w:rsidRDefault="00E857D1" w:rsidP="00E857D1">
      <w:pPr>
        <w:pStyle w:val="NormalWeb"/>
        <w:spacing w:line="360" w:lineRule="auto"/>
        <w:jc w:val="both"/>
        <w:rPr>
          <w:rFonts w:ascii="Arial" w:hAnsi="Arial" w:cs="Arial"/>
          <w:sz w:val="22"/>
          <w:szCs w:val="22"/>
        </w:rPr>
      </w:pPr>
      <w:r w:rsidRPr="00E857D1">
        <w:rPr>
          <w:rFonts w:ascii="Arial" w:hAnsi="Arial" w:cs="Arial"/>
          <w:b/>
          <w:bCs/>
          <w:sz w:val="22"/>
          <w:szCs w:val="22"/>
        </w:rPr>
        <w:t>Local Implementation and Developmental Initiatives</w:t>
      </w:r>
    </w:p>
    <w:p w14:paraId="775B816B" w14:textId="77777777" w:rsidR="00E857D1" w:rsidRPr="00E857D1" w:rsidRDefault="00E857D1" w:rsidP="00E857D1">
      <w:pPr>
        <w:pStyle w:val="NormalWeb"/>
        <w:spacing w:line="360" w:lineRule="auto"/>
        <w:jc w:val="both"/>
        <w:rPr>
          <w:rFonts w:ascii="Arial" w:hAnsi="Arial" w:cs="Arial"/>
          <w:sz w:val="22"/>
          <w:szCs w:val="22"/>
        </w:rPr>
      </w:pPr>
      <w:r w:rsidRPr="00E857D1">
        <w:rPr>
          <w:rFonts w:ascii="Arial" w:hAnsi="Arial" w:cs="Arial"/>
          <w:sz w:val="22"/>
          <w:szCs w:val="22"/>
        </w:rPr>
        <w:t xml:space="preserve">Local implementation is delivered through Integrated Care Systems (ICSs) and Primary Care Networks (PCNs), which tailor national strategies to community needs. The NHS Health Check </w:t>
      </w:r>
      <w:r w:rsidRPr="00E857D1">
        <w:rPr>
          <w:rFonts w:ascii="Arial" w:hAnsi="Arial" w:cs="Arial"/>
          <w:sz w:val="22"/>
          <w:szCs w:val="22"/>
        </w:rPr>
        <w:t>programme invites adults aged 40–74 for cardiovascular risk screening, including blood pressure assessment, to facilitate early detection (PHE, 2020). General practices are incentivised via the Quality and Outcomes Framework (QOF) to maintain hypertension registers, conduct reviews, and meet blood pressure targets, embedding care into routine practice (NHS England, 2022).</w:t>
      </w:r>
    </w:p>
    <w:p w14:paraId="0C80D478" w14:textId="77777777" w:rsidR="00E857D1" w:rsidRPr="00E857D1" w:rsidRDefault="00E857D1" w:rsidP="00E857D1">
      <w:pPr>
        <w:pStyle w:val="NormalWeb"/>
        <w:spacing w:line="360" w:lineRule="auto"/>
        <w:jc w:val="both"/>
        <w:rPr>
          <w:rFonts w:ascii="Arial" w:hAnsi="Arial" w:cs="Arial"/>
          <w:sz w:val="22"/>
          <w:szCs w:val="22"/>
        </w:rPr>
      </w:pPr>
      <w:r w:rsidRPr="00E857D1">
        <w:rPr>
          <w:rFonts w:ascii="Arial" w:hAnsi="Arial" w:cs="Arial"/>
          <w:sz w:val="22"/>
          <w:szCs w:val="22"/>
        </w:rPr>
        <w:t>Community pharmacies increasingly offer blood pressure monitoring and education, while GP-led clinics and PCN collaborations aim to reduce care fragmentation and improve continuity, particularly for high-risk groups such as ethnic minorities and individuals with obesity (Rison et al., 2023). These local efforts strengthen prevention and management through accessible, community-based care.</w:t>
      </w:r>
    </w:p>
    <w:p w14:paraId="4563B6F7" w14:textId="77777777" w:rsidR="00E857D1" w:rsidRPr="00E857D1" w:rsidRDefault="00E857D1" w:rsidP="00E857D1">
      <w:pPr>
        <w:pStyle w:val="NormalWeb"/>
        <w:spacing w:line="360" w:lineRule="auto"/>
        <w:jc w:val="both"/>
        <w:rPr>
          <w:rFonts w:ascii="Arial" w:hAnsi="Arial" w:cs="Arial"/>
          <w:sz w:val="22"/>
          <w:szCs w:val="22"/>
        </w:rPr>
      </w:pPr>
      <w:r w:rsidRPr="00E857D1">
        <w:rPr>
          <w:rFonts w:ascii="Arial" w:hAnsi="Arial" w:cs="Arial"/>
          <w:b/>
          <w:bCs/>
          <w:sz w:val="22"/>
          <w:szCs w:val="22"/>
        </w:rPr>
        <w:t>Innovation, Equity, and Public Health Integration</w:t>
      </w:r>
    </w:p>
    <w:p w14:paraId="1D6F047D" w14:textId="77777777" w:rsidR="00E857D1" w:rsidRPr="00E857D1" w:rsidRDefault="00E857D1" w:rsidP="00E857D1">
      <w:pPr>
        <w:pStyle w:val="NormalWeb"/>
        <w:spacing w:line="360" w:lineRule="auto"/>
        <w:jc w:val="both"/>
        <w:rPr>
          <w:rFonts w:ascii="Arial" w:hAnsi="Arial" w:cs="Arial"/>
          <w:sz w:val="22"/>
          <w:szCs w:val="22"/>
        </w:rPr>
      </w:pPr>
      <w:r w:rsidRPr="00E857D1">
        <w:rPr>
          <w:rFonts w:ascii="Arial" w:hAnsi="Arial" w:cs="Arial"/>
          <w:sz w:val="22"/>
          <w:szCs w:val="22"/>
        </w:rPr>
        <w:t>Digital health innovations, including telemonitoring platforms like Hypertension-Plus and clinical decision support systems (CDSSs), are being adopted to enhance guideline adherence and patient engagement, especially among older adults and those with mobility challenges (Ng et al., 2024; Smith et al., 2024). However, regional disparities in funding, workforce capacity, and digital infrastructure hinder equitable implementation.</w:t>
      </w:r>
    </w:p>
    <w:p w14:paraId="5734AF5D" w14:textId="5ADE5221" w:rsidR="006E577B" w:rsidRDefault="00E857D1" w:rsidP="0080352F">
      <w:pPr>
        <w:pStyle w:val="NormalWeb"/>
        <w:spacing w:line="360" w:lineRule="auto"/>
        <w:jc w:val="both"/>
        <w:rPr>
          <w:rFonts w:ascii="Arial" w:hAnsi="Arial" w:cs="Arial"/>
          <w:sz w:val="22"/>
          <w:szCs w:val="22"/>
        </w:rPr>
      </w:pPr>
      <w:r w:rsidRPr="00E857D1">
        <w:rPr>
          <w:rFonts w:ascii="Arial" w:hAnsi="Arial" w:cs="Arial"/>
          <w:sz w:val="22"/>
          <w:szCs w:val="22"/>
        </w:rPr>
        <w:t xml:space="preserve">Public health policies also support hypertension prevention. Initiatives include salt reduction in processed foods, promotion of physical activity through urban planning, and national campaigns to improve health literacy (PHE, 2017; Action on Salt, 2022). Social care services assist older patients with medication management, transport, and </w:t>
      </w:r>
      <w:r w:rsidRPr="00E857D1">
        <w:rPr>
          <w:rFonts w:ascii="Arial" w:hAnsi="Arial" w:cs="Arial"/>
          <w:sz w:val="22"/>
          <w:szCs w:val="22"/>
        </w:rPr>
        <w:lastRenderedPageBreak/>
        <w:t>coordination across health and care settings</w:t>
      </w:r>
      <w:r w:rsidR="003956F2">
        <w:rPr>
          <w:rFonts w:ascii="Arial" w:hAnsi="Arial" w:cs="Arial"/>
          <w:sz w:val="22"/>
          <w:szCs w:val="22"/>
        </w:rPr>
        <w:t xml:space="preserve"> </w:t>
      </w:r>
      <w:r w:rsidRPr="00E857D1">
        <w:rPr>
          <w:rFonts w:ascii="Arial" w:hAnsi="Arial" w:cs="Arial"/>
          <w:sz w:val="22"/>
          <w:szCs w:val="22"/>
        </w:rPr>
        <w:t>critical for managing multimorbidity and reducing inequalities. Together, these national and local agendas form a robust framework integrating clinical care, public health, and social suppor</w:t>
      </w:r>
      <w:r w:rsidR="0080352F">
        <w:rPr>
          <w:rFonts w:ascii="Arial" w:hAnsi="Arial" w:cs="Arial"/>
          <w:sz w:val="22"/>
          <w:szCs w:val="22"/>
        </w:rPr>
        <w:t>t.</w:t>
      </w:r>
    </w:p>
    <w:p w14:paraId="0F4C90AB" w14:textId="374D3E2A" w:rsidR="00593921" w:rsidRPr="00593921" w:rsidRDefault="00593921" w:rsidP="00317500">
      <w:pPr>
        <w:pStyle w:val="NormalWeb"/>
        <w:spacing w:after="0" w:line="360" w:lineRule="auto"/>
        <w:jc w:val="both"/>
        <w:rPr>
          <w:rFonts w:ascii="Arial" w:hAnsi="Arial" w:cs="Arial"/>
          <w:sz w:val="22"/>
          <w:szCs w:val="22"/>
        </w:rPr>
      </w:pPr>
      <w:r w:rsidRPr="00593921">
        <w:rPr>
          <w:rFonts w:ascii="Arial" w:hAnsi="Arial" w:cs="Arial"/>
          <w:sz w:val="22"/>
          <w:szCs w:val="22"/>
        </w:rPr>
        <w:t>The diagram below illustrates an Integrating Digital Health Innovations to Achieve Universal Health Coverage.</w:t>
      </w:r>
    </w:p>
    <w:p w14:paraId="07569EBB" w14:textId="77777777" w:rsidR="00593921" w:rsidRPr="00593921" w:rsidRDefault="00593921" w:rsidP="00593921">
      <w:pPr>
        <w:pStyle w:val="NormalWeb"/>
        <w:spacing w:after="0"/>
        <w:rPr>
          <w:rFonts w:ascii="Arial" w:hAnsi="Arial" w:cs="Arial"/>
        </w:rPr>
      </w:pPr>
      <w:r w:rsidRPr="00593921">
        <w:rPr>
          <w:rFonts w:ascii="Arial" w:hAnsi="Arial" w:cs="Arial"/>
        </w:rPr>
        <w:t xml:space="preserve"> </w:t>
      </w:r>
    </w:p>
    <w:p w14:paraId="21141EAA" w14:textId="72D40A3B" w:rsidR="00593921" w:rsidRPr="00593921" w:rsidRDefault="00593921" w:rsidP="00593921">
      <w:pPr>
        <w:pStyle w:val="NormalWeb"/>
        <w:spacing w:after="0"/>
        <w:rPr>
          <w:rFonts w:ascii="Arial" w:hAnsi="Arial" w:cs="Arial"/>
          <w:b/>
          <w:bCs/>
        </w:rPr>
      </w:pPr>
      <w:r w:rsidRPr="00593921">
        <w:rPr>
          <w:rFonts w:ascii="Arial" w:hAnsi="Arial" w:cs="Arial"/>
        </w:rPr>
        <w:drawing>
          <wp:inline distT="0" distB="0" distL="0" distR="0" wp14:anchorId="4B997DC2" wp14:editId="195D7833">
            <wp:extent cx="3098046" cy="2715657"/>
            <wp:effectExtent l="0" t="0" r="7620" b="8890"/>
            <wp:docPr id="916205444" name="Picture 2" descr="Integrating Digital Health Innovations to Achieve Universal Health  Coverage: Promoting Health Outcomes and Quality Through Global Public  Health Equ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tegrating Digital Health Innovations to Achieve Universal Health  Coverage: Promoting Health Outcomes and Quality Through Global Public  Health Equit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10350" cy="2726442"/>
                    </a:xfrm>
                    <a:prstGeom prst="rect">
                      <a:avLst/>
                    </a:prstGeom>
                    <a:noFill/>
                    <a:ln>
                      <a:noFill/>
                    </a:ln>
                  </pic:spPr>
                </pic:pic>
              </a:graphicData>
            </a:graphic>
          </wp:inline>
        </w:drawing>
      </w:r>
    </w:p>
    <w:p w14:paraId="1BE9121D" w14:textId="77777777" w:rsidR="00593921" w:rsidRPr="00593921" w:rsidRDefault="00593921" w:rsidP="00593921">
      <w:pPr>
        <w:pStyle w:val="NormalWeb"/>
        <w:spacing w:after="0"/>
        <w:rPr>
          <w:rFonts w:ascii="Arial" w:hAnsi="Arial" w:cs="Arial"/>
        </w:rPr>
      </w:pPr>
    </w:p>
    <w:p w14:paraId="02871F5A" w14:textId="77777777" w:rsidR="00445942" w:rsidRDefault="008C2A26" w:rsidP="00A323AD">
      <w:pPr>
        <w:pStyle w:val="NormalWeb"/>
        <w:spacing w:after="0" w:line="360" w:lineRule="auto"/>
        <w:jc w:val="both"/>
        <w:rPr>
          <w:rFonts w:ascii="Arial" w:hAnsi="Arial" w:cs="Arial"/>
          <w:sz w:val="22"/>
          <w:szCs w:val="22"/>
        </w:rPr>
      </w:pPr>
      <w:r>
        <w:rPr>
          <w:rFonts w:ascii="Arial" w:hAnsi="Arial" w:cs="Arial"/>
          <w:sz w:val="22"/>
          <w:szCs w:val="22"/>
        </w:rPr>
        <w:t xml:space="preserve">                                                   </w:t>
      </w:r>
      <w:r w:rsidR="00445942">
        <w:rPr>
          <w:rFonts w:ascii="Arial" w:hAnsi="Arial" w:cs="Arial"/>
          <w:sz w:val="22"/>
          <w:szCs w:val="22"/>
        </w:rPr>
        <w:t xml:space="preserve"> (Ahmed,2025)</w:t>
      </w:r>
    </w:p>
    <w:p w14:paraId="370FE0E2" w14:textId="77777777" w:rsidR="00445942" w:rsidRDefault="00445942" w:rsidP="00A323AD">
      <w:pPr>
        <w:pStyle w:val="NormalWeb"/>
        <w:spacing w:after="0" w:line="360" w:lineRule="auto"/>
        <w:jc w:val="both"/>
        <w:rPr>
          <w:rFonts w:ascii="Arial" w:hAnsi="Arial" w:cs="Arial"/>
          <w:sz w:val="22"/>
          <w:szCs w:val="22"/>
        </w:rPr>
      </w:pPr>
    </w:p>
    <w:p w14:paraId="74CF7452" w14:textId="161BA228" w:rsidR="00731275" w:rsidRPr="00445942" w:rsidRDefault="00074BBB" w:rsidP="00A323AD">
      <w:pPr>
        <w:pStyle w:val="NormalWeb"/>
        <w:spacing w:after="0" w:line="360" w:lineRule="auto"/>
        <w:jc w:val="both"/>
        <w:rPr>
          <w:rFonts w:ascii="Arial" w:hAnsi="Arial" w:cs="Arial"/>
          <w:sz w:val="22"/>
          <w:szCs w:val="22"/>
        </w:rPr>
      </w:pPr>
      <w:r w:rsidRPr="00095D16">
        <w:rPr>
          <w:rFonts w:ascii="Arial" w:hAnsi="Arial" w:cs="Arial"/>
          <w:b/>
          <w:bCs/>
          <w:color w:val="215E99" w:themeColor="text2" w:themeTint="BF"/>
        </w:rPr>
        <w:t>Recommendations</w:t>
      </w:r>
      <w:r w:rsidR="007A7DF9">
        <w:rPr>
          <w:rFonts w:ascii="Arial" w:hAnsi="Arial" w:cs="Arial"/>
          <w:b/>
          <w:bCs/>
          <w:color w:val="215E99" w:themeColor="text2" w:themeTint="BF"/>
        </w:rPr>
        <w:t>:</w:t>
      </w:r>
    </w:p>
    <w:p w14:paraId="0264BF65" w14:textId="77777777" w:rsidR="000000F8" w:rsidRPr="000000F8" w:rsidRDefault="000000F8" w:rsidP="000000F8">
      <w:pPr>
        <w:pStyle w:val="NormalWeb"/>
        <w:spacing w:line="360" w:lineRule="auto"/>
        <w:jc w:val="both"/>
        <w:rPr>
          <w:rFonts w:ascii="Arial" w:hAnsi="Arial" w:cs="Arial"/>
          <w:b/>
          <w:bCs/>
          <w:sz w:val="22"/>
          <w:szCs w:val="22"/>
        </w:rPr>
      </w:pPr>
      <w:r w:rsidRPr="000000F8">
        <w:rPr>
          <w:rFonts w:ascii="Arial" w:hAnsi="Arial" w:cs="Arial"/>
          <w:b/>
          <w:bCs/>
          <w:sz w:val="22"/>
          <w:szCs w:val="22"/>
        </w:rPr>
        <w:t>Person-Centred Care</w:t>
      </w:r>
    </w:p>
    <w:p w14:paraId="6E0F2888" w14:textId="76559457" w:rsidR="000000F8" w:rsidRPr="000000F8" w:rsidRDefault="000000F8" w:rsidP="000000F8">
      <w:pPr>
        <w:pStyle w:val="NormalWeb"/>
        <w:spacing w:line="360" w:lineRule="auto"/>
        <w:jc w:val="both"/>
        <w:rPr>
          <w:rFonts w:ascii="Arial" w:hAnsi="Arial" w:cs="Arial"/>
          <w:sz w:val="22"/>
          <w:szCs w:val="22"/>
        </w:rPr>
      </w:pPr>
      <w:r w:rsidRPr="000000F8">
        <w:rPr>
          <w:rFonts w:ascii="Arial" w:hAnsi="Arial" w:cs="Arial"/>
          <w:sz w:val="22"/>
          <w:szCs w:val="22"/>
        </w:rPr>
        <w:t>Person-centred care is increasingly recognised as essential in hypertension management, particularly for older adults. It involves shared decision-making, where clinicians and patients collaboratively discuss treatment risks, benefits, preferences, and lifestyle factors. Evidence shows that individualising blood pressure targets—especially in frail older adults or those at risk of falls and polypharmacy</w:t>
      </w:r>
      <w:r w:rsidR="009656BA">
        <w:rPr>
          <w:rFonts w:ascii="Arial" w:hAnsi="Arial" w:cs="Arial"/>
          <w:sz w:val="22"/>
          <w:szCs w:val="22"/>
        </w:rPr>
        <w:t xml:space="preserve"> </w:t>
      </w:r>
      <w:r w:rsidRPr="000000F8">
        <w:rPr>
          <w:rFonts w:ascii="Arial" w:hAnsi="Arial" w:cs="Arial"/>
          <w:sz w:val="22"/>
          <w:szCs w:val="22"/>
        </w:rPr>
        <w:t>can reduce harm and improve quality of life (Nkhoma et al., 2022). However, implementation remains inconsistent, often constrained by time, training, and system pressures.</w:t>
      </w:r>
    </w:p>
    <w:p w14:paraId="5692D501" w14:textId="64935E5B" w:rsidR="000000F8" w:rsidRPr="000000F8" w:rsidRDefault="000000F8" w:rsidP="000000F8">
      <w:pPr>
        <w:pStyle w:val="NormalWeb"/>
        <w:spacing w:line="360" w:lineRule="auto"/>
        <w:jc w:val="both"/>
        <w:rPr>
          <w:rFonts w:ascii="Arial" w:hAnsi="Arial" w:cs="Arial"/>
          <w:b/>
          <w:bCs/>
          <w:sz w:val="22"/>
          <w:szCs w:val="22"/>
        </w:rPr>
      </w:pPr>
      <w:r w:rsidRPr="000000F8">
        <w:rPr>
          <w:rFonts w:ascii="Arial" w:hAnsi="Arial" w:cs="Arial"/>
          <w:b/>
          <w:bCs/>
          <w:sz w:val="22"/>
          <w:szCs w:val="22"/>
        </w:rPr>
        <w:t>Self-Management</w:t>
      </w:r>
    </w:p>
    <w:p w14:paraId="5A0271FC" w14:textId="70BAAF4C" w:rsidR="000000F8" w:rsidRPr="000000F8" w:rsidRDefault="000000F8" w:rsidP="000000F8">
      <w:pPr>
        <w:pStyle w:val="NormalWeb"/>
        <w:spacing w:line="360" w:lineRule="auto"/>
        <w:jc w:val="both"/>
        <w:rPr>
          <w:rFonts w:ascii="Arial" w:hAnsi="Arial" w:cs="Arial"/>
          <w:sz w:val="22"/>
          <w:szCs w:val="22"/>
        </w:rPr>
      </w:pPr>
      <w:r w:rsidRPr="000000F8">
        <w:rPr>
          <w:rFonts w:ascii="Arial" w:hAnsi="Arial" w:cs="Arial"/>
          <w:sz w:val="22"/>
          <w:szCs w:val="22"/>
        </w:rPr>
        <w:t>Self-management is a cornerstone of effective hypertension control. Training patients in home blood pressure monitoring (HBPM</w:t>
      </w:r>
      <w:r w:rsidRPr="000000F8">
        <w:rPr>
          <w:rFonts w:ascii="Arial" w:hAnsi="Arial" w:cs="Arial"/>
          <w:i/>
          <w:iCs/>
          <w:sz w:val="22"/>
          <w:szCs w:val="22"/>
        </w:rPr>
        <w:t>)</w:t>
      </w:r>
      <w:r w:rsidRPr="000000F8">
        <w:rPr>
          <w:rFonts w:ascii="Arial" w:hAnsi="Arial" w:cs="Arial"/>
          <w:sz w:val="22"/>
          <w:szCs w:val="22"/>
        </w:rPr>
        <w:t xml:space="preserve"> using validated devices improves adherence and outcomes (Shahaj et al., 2018). Structured programmes with goal setting, reminders, feedback, and peer support enhance engagement.</w:t>
      </w:r>
      <w:r w:rsidR="009656BA">
        <w:rPr>
          <w:rFonts w:ascii="Arial" w:hAnsi="Arial" w:cs="Arial"/>
          <w:sz w:val="22"/>
          <w:szCs w:val="22"/>
        </w:rPr>
        <w:t xml:space="preserve"> However</w:t>
      </w:r>
      <w:r w:rsidRPr="000000F8">
        <w:rPr>
          <w:rFonts w:ascii="Arial" w:hAnsi="Arial" w:cs="Arial"/>
          <w:sz w:val="22"/>
          <w:szCs w:val="22"/>
        </w:rPr>
        <w:t xml:space="preserve"> barriers such as cost, side effects, forgetfulness, low health literacy, and digital exclusion persist (Yang et al., 2024). Tailored interventions must reflect patients’ emotional, cognitive, and resource-related challenges.</w:t>
      </w:r>
    </w:p>
    <w:p w14:paraId="2ADBBC98" w14:textId="77777777" w:rsidR="000000F8" w:rsidRPr="000000F8" w:rsidRDefault="000000F8" w:rsidP="000000F8">
      <w:pPr>
        <w:pStyle w:val="NormalWeb"/>
        <w:spacing w:line="360" w:lineRule="auto"/>
        <w:jc w:val="both"/>
        <w:rPr>
          <w:rFonts w:ascii="Arial" w:hAnsi="Arial" w:cs="Arial"/>
          <w:b/>
          <w:bCs/>
          <w:sz w:val="22"/>
          <w:szCs w:val="22"/>
        </w:rPr>
      </w:pPr>
      <w:r w:rsidRPr="000000F8">
        <w:rPr>
          <w:rFonts w:ascii="Arial" w:hAnsi="Arial" w:cs="Arial"/>
          <w:b/>
          <w:bCs/>
          <w:sz w:val="22"/>
          <w:szCs w:val="22"/>
        </w:rPr>
        <w:t>Frailty and End-of-Life Care</w:t>
      </w:r>
    </w:p>
    <w:p w14:paraId="4ADEEA36" w14:textId="77777777" w:rsidR="000000F8" w:rsidRPr="000000F8" w:rsidRDefault="000000F8" w:rsidP="000000F8">
      <w:pPr>
        <w:pStyle w:val="NormalWeb"/>
        <w:spacing w:line="360" w:lineRule="auto"/>
        <w:jc w:val="both"/>
        <w:rPr>
          <w:rFonts w:ascii="Arial" w:hAnsi="Arial" w:cs="Arial"/>
          <w:sz w:val="22"/>
          <w:szCs w:val="22"/>
        </w:rPr>
      </w:pPr>
      <w:r w:rsidRPr="000000F8">
        <w:rPr>
          <w:rFonts w:ascii="Arial" w:hAnsi="Arial" w:cs="Arial"/>
          <w:sz w:val="22"/>
          <w:szCs w:val="22"/>
        </w:rPr>
        <w:t>In cases of advanced frailty or end-of-life care, a shift toward de-escalation may be appropriate. This includes reassessing treatment goals, relaxing blood pressure targets when risks outweigh benefits, simplifying medication regimens, and prioritising comfort and dignity. Decisions should be made collaboratively with patients and families, ideally involving palliative care teams. Research indicates hypertension is often overlooked in end-of-life planning, revealing a gap in holistic care integration (Nkhoma et al., 2022).</w:t>
      </w:r>
    </w:p>
    <w:p w14:paraId="64CBEF09" w14:textId="77777777" w:rsidR="000000F8" w:rsidRPr="000000F8" w:rsidRDefault="000000F8" w:rsidP="000000F8">
      <w:pPr>
        <w:pStyle w:val="NormalWeb"/>
        <w:spacing w:line="360" w:lineRule="auto"/>
        <w:jc w:val="both"/>
        <w:rPr>
          <w:rFonts w:ascii="Arial" w:hAnsi="Arial" w:cs="Arial"/>
          <w:b/>
          <w:bCs/>
          <w:sz w:val="22"/>
          <w:szCs w:val="22"/>
        </w:rPr>
      </w:pPr>
      <w:r w:rsidRPr="000000F8">
        <w:rPr>
          <w:rFonts w:ascii="Arial" w:hAnsi="Arial" w:cs="Arial"/>
          <w:b/>
          <w:bCs/>
          <w:sz w:val="22"/>
          <w:szCs w:val="22"/>
        </w:rPr>
        <w:t>System-Level Recommendations</w:t>
      </w:r>
    </w:p>
    <w:p w14:paraId="7E9E08CD" w14:textId="77777777" w:rsidR="000000F8" w:rsidRPr="000000F8" w:rsidRDefault="000000F8" w:rsidP="000000F8">
      <w:pPr>
        <w:pStyle w:val="NormalWeb"/>
        <w:spacing w:line="360" w:lineRule="auto"/>
        <w:jc w:val="both"/>
        <w:rPr>
          <w:rFonts w:ascii="Arial" w:hAnsi="Arial" w:cs="Arial"/>
          <w:color w:val="215E99" w:themeColor="text2" w:themeTint="BF"/>
        </w:rPr>
      </w:pPr>
      <w:r w:rsidRPr="000000F8">
        <w:rPr>
          <w:rFonts w:ascii="Arial" w:hAnsi="Arial" w:cs="Arial"/>
          <w:sz w:val="22"/>
          <w:szCs w:val="22"/>
        </w:rPr>
        <w:t xml:space="preserve">System-level improvements include better detection and coding of hypertension in primary care, addressing ethnic and socioeconomic disparities, expanding the role of community pharmacies, and investing in digital health infrastructure. Co-designing services with patients ensures relevance and sustainability. However, these efforts must be critically evaluated for equity and accessibility, particularly for marginalised groups who may face greater barriers to </w:t>
      </w:r>
      <w:r w:rsidRPr="000000F8">
        <w:rPr>
          <w:rFonts w:ascii="Arial" w:hAnsi="Arial" w:cs="Arial"/>
          <w:sz w:val="22"/>
          <w:szCs w:val="22"/>
        </w:rPr>
        <w:lastRenderedPageBreak/>
        <w:t>engagement and benefit less from standardised approaches</w:t>
      </w:r>
      <w:r w:rsidRPr="000000F8">
        <w:rPr>
          <w:rFonts w:ascii="Arial" w:hAnsi="Arial" w:cs="Arial"/>
          <w:color w:val="215E99" w:themeColor="text2" w:themeTint="BF"/>
        </w:rPr>
        <w:t>.</w:t>
      </w:r>
    </w:p>
    <w:p w14:paraId="5F91978F" w14:textId="2D1AABC8" w:rsidR="00644F2C" w:rsidRPr="00445942" w:rsidRDefault="00644F2C" w:rsidP="009F22F8">
      <w:pPr>
        <w:pStyle w:val="NormalWeb"/>
        <w:spacing w:after="0" w:line="360" w:lineRule="auto"/>
        <w:jc w:val="both"/>
        <w:rPr>
          <w:rFonts w:ascii="Arial" w:hAnsi="Arial" w:cs="Arial"/>
          <w:b/>
          <w:bCs/>
          <w:color w:val="215E99" w:themeColor="text2" w:themeTint="BF"/>
        </w:rPr>
      </w:pPr>
      <w:r w:rsidRPr="00445942">
        <w:rPr>
          <w:rFonts w:ascii="Arial" w:hAnsi="Arial" w:cs="Arial"/>
          <w:b/>
          <w:bCs/>
          <w:color w:val="215E99" w:themeColor="text2" w:themeTint="BF"/>
        </w:rPr>
        <w:t>Conclusio</w:t>
      </w:r>
      <w:r w:rsidR="00136B99" w:rsidRPr="00445942">
        <w:rPr>
          <w:rFonts w:ascii="Arial" w:hAnsi="Arial" w:cs="Arial"/>
          <w:b/>
          <w:bCs/>
          <w:color w:val="215E99" w:themeColor="text2" w:themeTint="BF"/>
        </w:rPr>
        <w:t>n</w:t>
      </w:r>
      <w:r w:rsidR="007A7DF9">
        <w:rPr>
          <w:rFonts w:ascii="Arial" w:hAnsi="Arial" w:cs="Arial"/>
          <w:b/>
          <w:bCs/>
          <w:color w:val="215E99" w:themeColor="text2" w:themeTint="BF"/>
        </w:rPr>
        <w:t>:</w:t>
      </w:r>
    </w:p>
    <w:p w14:paraId="3700339B" w14:textId="77777777" w:rsidR="006E577B" w:rsidRPr="00813D1C" w:rsidRDefault="006E577B" w:rsidP="006E577B">
      <w:pPr>
        <w:pStyle w:val="NormalWeb"/>
        <w:spacing w:after="0" w:line="360" w:lineRule="auto"/>
        <w:jc w:val="both"/>
        <w:rPr>
          <w:rFonts w:ascii="Arial" w:hAnsi="Arial" w:cs="Arial"/>
          <w:sz w:val="22"/>
          <w:szCs w:val="22"/>
        </w:rPr>
      </w:pPr>
      <w:r w:rsidRPr="00813D1C">
        <w:rPr>
          <w:rFonts w:ascii="Arial" w:hAnsi="Arial" w:cs="Arial"/>
          <w:sz w:val="22"/>
          <w:szCs w:val="22"/>
        </w:rPr>
        <w:t>Hypertension in adults aged 40 and over remains a major public health concern, contributing significantly to cardiovascular morbidity and mortality (NICE, 2019; Rison et al., 2023). Despite progress in prevention and treatment, disparities persist across ethnic, socioeconomic, and age groups, often worsened by multimorbidity, frailty, and limited access to support services.</w:t>
      </w:r>
    </w:p>
    <w:p w14:paraId="1DC8820D" w14:textId="070C32D3" w:rsidR="006E577B" w:rsidRPr="00813D1C" w:rsidRDefault="006E577B" w:rsidP="006E577B">
      <w:pPr>
        <w:pStyle w:val="NormalWeb"/>
        <w:spacing w:after="0" w:line="360" w:lineRule="auto"/>
        <w:jc w:val="both"/>
        <w:rPr>
          <w:rFonts w:ascii="Arial" w:hAnsi="Arial" w:cs="Arial"/>
          <w:sz w:val="22"/>
          <w:szCs w:val="22"/>
        </w:rPr>
      </w:pPr>
      <w:r w:rsidRPr="00813D1C">
        <w:rPr>
          <w:rFonts w:ascii="Arial" w:hAnsi="Arial" w:cs="Arial"/>
          <w:sz w:val="22"/>
          <w:szCs w:val="22"/>
        </w:rPr>
        <w:t xml:space="preserve">Improving outcomes requires structured care guided by national frameworks like NICE NG136 and supported by models such as the Chronic Care Model (CCM) and the House of Care. These </w:t>
      </w:r>
      <w:r w:rsidRPr="00813D1C">
        <w:rPr>
          <w:rFonts w:ascii="Arial" w:hAnsi="Arial" w:cs="Arial"/>
          <w:sz w:val="22"/>
          <w:szCs w:val="22"/>
        </w:rPr>
        <w:t>promote coordinated, proactive care and empower individuals to manage their condition (Wagner et al., 2001; Coulter et al., 2016). Person-centred approaches</w:t>
      </w:r>
      <w:r w:rsidR="00BE2414">
        <w:rPr>
          <w:rFonts w:ascii="Arial" w:hAnsi="Arial" w:cs="Arial"/>
          <w:sz w:val="22"/>
          <w:szCs w:val="22"/>
        </w:rPr>
        <w:t xml:space="preserve"> </w:t>
      </w:r>
      <w:r w:rsidRPr="00813D1C">
        <w:rPr>
          <w:rFonts w:ascii="Arial" w:hAnsi="Arial" w:cs="Arial"/>
          <w:sz w:val="22"/>
          <w:szCs w:val="22"/>
        </w:rPr>
        <w:t>such as shared decision-making, home blood pressure monitoring (HBPM), and structured education enhance self-management and confidence (Shahaj et al., 2018).</w:t>
      </w:r>
    </w:p>
    <w:p w14:paraId="6DBDCA12" w14:textId="3031DDCD" w:rsidR="006E577B" w:rsidRPr="00813D1C" w:rsidRDefault="006E577B" w:rsidP="006E577B">
      <w:pPr>
        <w:pStyle w:val="NormalWeb"/>
        <w:spacing w:after="0" w:line="360" w:lineRule="auto"/>
        <w:jc w:val="both"/>
        <w:rPr>
          <w:rFonts w:ascii="Arial" w:hAnsi="Arial" w:cs="Arial"/>
          <w:color w:val="0070C0"/>
        </w:rPr>
      </w:pPr>
      <w:r w:rsidRPr="00813D1C">
        <w:rPr>
          <w:rFonts w:ascii="Arial" w:hAnsi="Arial" w:cs="Arial"/>
          <w:sz w:val="22"/>
          <w:szCs w:val="22"/>
        </w:rPr>
        <w:t>For older adults, care must be tailored to physical and social needs. In cases of frailty or end-of-life, simplified regimens and compassionate conversations guided by palliative principles ensure care remains humane and responsive (Nkhoma et al., 2022).</w:t>
      </w:r>
    </w:p>
    <w:p w14:paraId="29A3CBE8" w14:textId="77777777" w:rsidR="006E577B" w:rsidRDefault="006E577B" w:rsidP="009F22F8">
      <w:pPr>
        <w:pStyle w:val="NormalWeb"/>
        <w:spacing w:after="0" w:line="360" w:lineRule="auto"/>
        <w:jc w:val="both"/>
        <w:rPr>
          <w:rFonts w:ascii="Arial" w:hAnsi="Arial" w:cs="Arial"/>
          <w:b/>
          <w:bCs/>
          <w:color w:val="0070C0"/>
        </w:rPr>
      </w:pPr>
    </w:p>
    <w:p w14:paraId="20903CD5" w14:textId="77777777" w:rsidR="006E577B" w:rsidRDefault="006E577B" w:rsidP="009F22F8">
      <w:pPr>
        <w:pStyle w:val="NormalWeb"/>
        <w:spacing w:after="0" w:line="360" w:lineRule="auto"/>
        <w:jc w:val="both"/>
        <w:rPr>
          <w:rFonts w:ascii="Arial" w:hAnsi="Arial" w:cs="Arial"/>
          <w:b/>
          <w:bCs/>
          <w:color w:val="0070C0"/>
        </w:rPr>
      </w:pPr>
    </w:p>
    <w:p w14:paraId="10C57EFB" w14:textId="77777777" w:rsidR="000555B2" w:rsidRDefault="000555B2" w:rsidP="00136B99">
      <w:pPr>
        <w:pStyle w:val="NormalWeb"/>
        <w:spacing w:after="0" w:line="360" w:lineRule="auto"/>
        <w:jc w:val="both"/>
        <w:rPr>
          <w:rFonts w:ascii="Arial" w:hAnsi="Arial" w:cs="Arial"/>
          <w:sz w:val="22"/>
          <w:szCs w:val="22"/>
        </w:rPr>
        <w:sectPr w:rsidR="000555B2" w:rsidSect="000555B2">
          <w:type w:val="continuous"/>
          <w:pgSz w:w="11906" w:h="16838" w:code="9"/>
          <w:pgMar w:top="720" w:right="720" w:bottom="720" w:left="720" w:header="708" w:footer="708" w:gutter="0"/>
          <w:cols w:num="2" w:space="708"/>
          <w:docGrid w:linePitch="360"/>
        </w:sectPr>
      </w:pPr>
    </w:p>
    <w:p w14:paraId="037B9AC9" w14:textId="77777777" w:rsidR="00CE3C50" w:rsidRDefault="00CE3C50" w:rsidP="00136B99">
      <w:pPr>
        <w:pStyle w:val="NormalWeb"/>
        <w:spacing w:after="0" w:line="360" w:lineRule="auto"/>
        <w:jc w:val="both"/>
        <w:rPr>
          <w:rFonts w:ascii="Arial" w:hAnsi="Arial" w:cs="Arial"/>
          <w:sz w:val="22"/>
          <w:szCs w:val="22"/>
        </w:rPr>
      </w:pPr>
    </w:p>
    <w:p w14:paraId="375E9065" w14:textId="77777777" w:rsidR="00CE3C50" w:rsidRDefault="00CE3C50" w:rsidP="00136B99">
      <w:pPr>
        <w:pStyle w:val="NormalWeb"/>
        <w:spacing w:after="0" w:line="360" w:lineRule="auto"/>
        <w:jc w:val="both"/>
        <w:rPr>
          <w:rFonts w:ascii="Arial" w:hAnsi="Arial" w:cs="Arial"/>
          <w:sz w:val="22"/>
          <w:szCs w:val="22"/>
        </w:rPr>
      </w:pPr>
    </w:p>
    <w:p w14:paraId="560C0606" w14:textId="77777777" w:rsidR="00CE3C50" w:rsidRDefault="00CE3C50" w:rsidP="00136B99">
      <w:pPr>
        <w:pStyle w:val="NormalWeb"/>
        <w:spacing w:after="0" w:line="360" w:lineRule="auto"/>
        <w:jc w:val="both"/>
        <w:rPr>
          <w:rFonts w:ascii="Arial" w:hAnsi="Arial" w:cs="Arial"/>
          <w:sz w:val="22"/>
          <w:szCs w:val="22"/>
        </w:rPr>
      </w:pPr>
    </w:p>
    <w:p w14:paraId="661CE873" w14:textId="77777777" w:rsidR="00CE3C50" w:rsidRDefault="00CE3C50" w:rsidP="00136B99">
      <w:pPr>
        <w:pStyle w:val="NormalWeb"/>
        <w:spacing w:after="0" w:line="360" w:lineRule="auto"/>
        <w:jc w:val="both"/>
        <w:rPr>
          <w:rFonts w:ascii="Arial" w:hAnsi="Arial" w:cs="Arial"/>
          <w:sz w:val="22"/>
          <w:szCs w:val="22"/>
        </w:rPr>
      </w:pPr>
    </w:p>
    <w:p w14:paraId="095AFA5E" w14:textId="77777777" w:rsidR="00CE3C50" w:rsidRDefault="00CE3C50" w:rsidP="00136B99">
      <w:pPr>
        <w:pStyle w:val="NormalWeb"/>
        <w:spacing w:after="0" w:line="360" w:lineRule="auto"/>
        <w:jc w:val="both"/>
        <w:rPr>
          <w:rFonts w:ascii="Arial" w:hAnsi="Arial" w:cs="Arial"/>
          <w:sz w:val="22"/>
          <w:szCs w:val="22"/>
        </w:rPr>
      </w:pPr>
    </w:p>
    <w:p w14:paraId="746BB52D" w14:textId="77777777" w:rsidR="00CE3C50" w:rsidRDefault="00CE3C50" w:rsidP="00136B99">
      <w:pPr>
        <w:pStyle w:val="NormalWeb"/>
        <w:spacing w:after="0" w:line="360" w:lineRule="auto"/>
        <w:jc w:val="both"/>
        <w:rPr>
          <w:rFonts w:ascii="Arial" w:hAnsi="Arial" w:cs="Arial"/>
          <w:sz w:val="22"/>
          <w:szCs w:val="22"/>
        </w:rPr>
      </w:pPr>
    </w:p>
    <w:p w14:paraId="5724735D" w14:textId="77777777" w:rsidR="00CE3C50" w:rsidRDefault="00CE3C50" w:rsidP="00136B99">
      <w:pPr>
        <w:pStyle w:val="NormalWeb"/>
        <w:spacing w:after="0" w:line="360" w:lineRule="auto"/>
        <w:jc w:val="both"/>
        <w:rPr>
          <w:rFonts w:ascii="Arial" w:hAnsi="Arial" w:cs="Arial"/>
          <w:sz w:val="22"/>
          <w:szCs w:val="22"/>
        </w:rPr>
      </w:pPr>
    </w:p>
    <w:p w14:paraId="0FF033A7" w14:textId="77777777" w:rsidR="00CE3C50" w:rsidRDefault="00CE3C50" w:rsidP="00136B99">
      <w:pPr>
        <w:pStyle w:val="NormalWeb"/>
        <w:spacing w:after="0" w:line="360" w:lineRule="auto"/>
        <w:jc w:val="both"/>
        <w:rPr>
          <w:rFonts w:ascii="Arial" w:hAnsi="Arial" w:cs="Arial"/>
          <w:sz w:val="22"/>
          <w:szCs w:val="22"/>
        </w:rPr>
      </w:pPr>
    </w:p>
    <w:p w14:paraId="78E6CB7F" w14:textId="77777777" w:rsidR="00CE3C50" w:rsidRDefault="00CE3C50" w:rsidP="00136B99">
      <w:pPr>
        <w:pStyle w:val="NormalWeb"/>
        <w:spacing w:after="0" w:line="360" w:lineRule="auto"/>
        <w:jc w:val="both"/>
        <w:rPr>
          <w:rFonts w:ascii="Arial" w:hAnsi="Arial" w:cs="Arial"/>
          <w:sz w:val="22"/>
          <w:szCs w:val="22"/>
        </w:rPr>
      </w:pPr>
    </w:p>
    <w:p w14:paraId="7C23D062" w14:textId="77777777" w:rsidR="00CE3C50" w:rsidRDefault="00CE3C50" w:rsidP="00136B99">
      <w:pPr>
        <w:pStyle w:val="NormalWeb"/>
        <w:spacing w:after="0" w:line="360" w:lineRule="auto"/>
        <w:jc w:val="both"/>
        <w:rPr>
          <w:rFonts w:ascii="Arial" w:hAnsi="Arial" w:cs="Arial"/>
          <w:sz w:val="22"/>
          <w:szCs w:val="22"/>
        </w:rPr>
      </w:pPr>
    </w:p>
    <w:p w14:paraId="26B7CC9F" w14:textId="77777777" w:rsidR="00CE3C50" w:rsidRDefault="00CE3C50" w:rsidP="00136B99">
      <w:pPr>
        <w:pStyle w:val="NormalWeb"/>
        <w:spacing w:after="0" w:line="360" w:lineRule="auto"/>
        <w:jc w:val="both"/>
        <w:rPr>
          <w:rFonts w:ascii="Arial" w:hAnsi="Arial" w:cs="Arial"/>
          <w:sz w:val="22"/>
          <w:szCs w:val="22"/>
        </w:rPr>
      </w:pPr>
    </w:p>
    <w:p w14:paraId="2FCBC746" w14:textId="77777777" w:rsidR="00CE3C50" w:rsidRDefault="00CE3C50" w:rsidP="00136B99">
      <w:pPr>
        <w:pStyle w:val="NormalWeb"/>
        <w:spacing w:after="0" w:line="360" w:lineRule="auto"/>
        <w:jc w:val="both"/>
        <w:rPr>
          <w:rFonts w:ascii="Arial" w:hAnsi="Arial" w:cs="Arial"/>
          <w:sz w:val="22"/>
          <w:szCs w:val="22"/>
        </w:rPr>
      </w:pPr>
    </w:p>
    <w:p w14:paraId="57C86C61" w14:textId="77777777" w:rsidR="00CE3C50" w:rsidRDefault="00CE3C50" w:rsidP="00136B99">
      <w:pPr>
        <w:pStyle w:val="NormalWeb"/>
        <w:spacing w:after="0" w:line="360" w:lineRule="auto"/>
        <w:jc w:val="both"/>
        <w:rPr>
          <w:rFonts w:ascii="Arial" w:hAnsi="Arial" w:cs="Arial"/>
          <w:sz w:val="22"/>
          <w:szCs w:val="22"/>
        </w:rPr>
      </w:pPr>
    </w:p>
    <w:p w14:paraId="00206DA9" w14:textId="77777777" w:rsidR="00CE3C50" w:rsidRDefault="00CE3C50" w:rsidP="00136B99">
      <w:pPr>
        <w:pStyle w:val="NormalWeb"/>
        <w:spacing w:after="0" w:line="360" w:lineRule="auto"/>
        <w:jc w:val="both"/>
        <w:rPr>
          <w:rFonts w:ascii="Arial" w:hAnsi="Arial" w:cs="Arial"/>
          <w:sz w:val="22"/>
          <w:szCs w:val="22"/>
        </w:rPr>
      </w:pPr>
    </w:p>
    <w:p w14:paraId="7AEAB302" w14:textId="77777777" w:rsidR="00CE3C50" w:rsidRDefault="00CE3C50" w:rsidP="00136B99">
      <w:pPr>
        <w:pStyle w:val="NormalWeb"/>
        <w:spacing w:after="0" w:line="360" w:lineRule="auto"/>
        <w:jc w:val="both"/>
        <w:rPr>
          <w:rFonts w:ascii="Arial" w:hAnsi="Arial" w:cs="Arial"/>
          <w:sz w:val="22"/>
          <w:szCs w:val="22"/>
        </w:rPr>
      </w:pPr>
    </w:p>
    <w:p w14:paraId="3CC92E12" w14:textId="77777777" w:rsidR="00CE3C50" w:rsidRDefault="00CE3C50" w:rsidP="00136B99">
      <w:pPr>
        <w:pStyle w:val="NormalWeb"/>
        <w:spacing w:after="0" w:line="360" w:lineRule="auto"/>
        <w:jc w:val="both"/>
        <w:rPr>
          <w:rFonts w:ascii="Arial" w:hAnsi="Arial" w:cs="Arial"/>
          <w:sz w:val="22"/>
          <w:szCs w:val="22"/>
        </w:rPr>
      </w:pPr>
    </w:p>
    <w:p w14:paraId="5290E81B" w14:textId="77777777" w:rsidR="00CE3C50" w:rsidRDefault="00CE3C50" w:rsidP="00136B99">
      <w:pPr>
        <w:pStyle w:val="NormalWeb"/>
        <w:spacing w:after="0" w:line="360" w:lineRule="auto"/>
        <w:jc w:val="both"/>
        <w:rPr>
          <w:rFonts w:ascii="Arial" w:hAnsi="Arial" w:cs="Arial"/>
          <w:sz w:val="22"/>
          <w:szCs w:val="22"/>
        </w:rPr>
      </w:pPr>
    </w:p>
    <w:p w14:paraId="5B5D5391" w14:textId="77777777" w:rsidR="00CE3C50" w:rsidRDefault="00CE3C50" w:rsidP="00136B99">
      <w:pPr>
        <w:pStyle w:val="NormalWeb"/>
        <w:spacing w:after="0" w:line="360" w:lineRule="auto"/>
        <w:jc w:val="both"/>
        <w:rPr>
          <w:rFonts w:ascii="Arial" w:hAnsi="Arial" w:cs="Arial"/>
          <w:sz w:val="22"/>
          <w:szCs w:val="22"/>
        </w:rPr>
      </w:pPr>
    </w:p>
    <w:p w14:paraId="2B57848B" w14:textId="77777777" w:rsidR="00CE3C50" w:rsidRDefault="00CE3C50" w:rsidP="00136B99">
      <w:pPr>
        <w:pStyle w:val="NormalWeb"/>
        <w:spacing w:after="0" w:line="360" w:lineRule="auto"/>
        <w:jc w:val="both"/>
        <w:rPr>
          <w:rFonts w:ascii="Arial" w:hAnsi="Arial" w:cs="Arial"/>
          <w:sz w:val="22"/>
          <w:szCs w:val="22"/>
        </w:rPr>
      </w:pPr>
    </w:p>
    <w:p w14:paraId="166E6DC1" w14:textId="77777777" w:rsidR="00CE3C50" w:rsidRDefault="00CE3C50" w:rsidP="00136B99">
      <w:pPr>
        <w:pStyle w:val="NormalWeb"/>
        <w:spacing w:after="0" w:line="360" w:lineRule="auto"/>
        <w:jc w:val="both"/>
        <w:rPr>
          <w:rFonts w:ascii="Arial" w:hAnsi="Arial" w:cs="Arial"/>
          <w:sz w:val="22"/>
          <w:szCs w:val="22"/>
        </w:rPr>
      </w:pPr>
    </w:p>
    <w:p w14:paraId="1D28691B" w14:textId="77777777" w:rsidR="00CE3C50" w:rsidRDefault="00CE3C50" w:rsidP="00136B99">
      <w:pPr>
        <w:pStyle w:val="NormalWeb"/>
        <w:spacing w:after="0" w:line="360" w:lineRule="auto"/>
        <w:jc w:val="both"/>
        <w:rPr>
          <w:rFonts w:ascii="Arial" w:hAnsi="Arial" w:cs="Arial"/>
          <w:sz w:val="22"/>
          <w:szCs w:val="22"/>
        </w:rPr>
      </w:pPr>
    </w:p>
    <w:p w14:paraId="0269C0C9" w14:textId="77777777" w:rsidR="00CE3C50" w:rsidRDefault="00CE3C50" w:rsidP="00136B99">
      <w:pPr>
        <w:pStyle w:val="NormalWeb"/>
        <w:spacing w:after="0" w:line="360" w:lineRule="auto"/>
        <w:jc w:val="both"/>
        <w:rPr>
          <w:rFonts w:ascii="Arial" w:hAnsi="Arial" w:cs="Arial"/>
          <w:sz w:val="22"/>
          <w:szCs w:val="22"/>
        </w:rPr>
      </w:pPr>
    </w:p>
    <w:p w14:paraId="4ED5871E" w14:textId="77777777" w:rsidR="0041189C" w:rsidRDefault="0041189C" w:rsidP="00A323AD">
      <w:pPr>
        <w:pStyle w:val="NormalWeb"/>
        <w:spacing w:after="0" w:line="360" w:lineRule="auto"/>
        <w:jc w:val="both"/>
        <w:rPr>
          <w:rFonts w:ascii="Arial" w:hAnsi="Arial" w:cs="Arial"/>
          <w:b/>
          <w:bCs/>
        </w:rPr>
      </w:pPr>
    </w:p>
    <w:p w14:paraId="46A45DA9" w14:textId="77777777" w:rsidR="0041189C" w:rsidRDefault="0041189C" w:rsidP="00A323AD">
      <w:pPr>
        <w:pStyle w:val="NormalWeb"/>
        <w:spacing w:after="0" w:line="360" w:lineRule="auto"/>
        <w:jc w:val="both"/>
        <w:rPr>
          <w:rFonts w:ascii="Arial" w:hAnsi="Arial" w:cs="Arial"/>
          <w:b/>
          <w:bCs/>
        </w:rPr>
      </w:pPr>
    </w:p>
    <w:p w14:paraId="75664B8A" w14:textId="3A0C7066" w:rsidR="001956F7" w:rsidRPr="00445942" w:rsidRDefault="00727901" w:rsidP="00A323AD">
      <w:pPr>
        <w:pStyle w:val="NormalWeb"/>
        <w:spacing w:after="0" w:line="360" w:lineRule="auto"/>
        <w:jc w:val="both"/>
        <w:rPr>
          <w:rFonts w:ascii="Arial" w:hAnsi="Arial" w:cs="Arial"/>
          <w:b/>
          <w:bCs/>
          <w:color w:val="215E99" w:themeColor="text2" w:themeTint="BF"/>
        </w:rPr>
      </w:pPr>
      <w:r w:rsidRPr="00445942">
        <w:rPr>
          <w:rFonts w:ascii="Arial" w:hAnsi="Arial" w:cs="Arial"/>
          <w:b/>
          <w:bCs/>
          <w:color w:val="215E99" w:themeColor="text2" w:themeTint="BF"/>
        </w:rPr>
        <w:t>Reference list</w:t>
      </w:r>
      <w:r w:rsidR="00F5319F">
        <w:rPr>
          <w:rFonts w:ascii="Arial" w:hAnsi="Arial" w:cs="Arial"/>
          <w:b/>
          <w:bCs/>
          <w:color w:val="215E99" w:themeColor="text2" w:themeTint="BF"/>
        </w:rPr>
        <w:t>:</w:t>
      </w:r>
    </w:p>
    <w:p w14:paraId="28E6D81A" w14:textId="41A76FFC" w:rsidR="00E57D86" w:rsidRPr="00E57D86" w:rsidRDefault="00E57D86" w:rsidP="00E57D86">
      <w:pPr>
        <w:pStyle w:val="NormalWeb"/>
        <w:spacing w:after="0" w:line="360" w:lineRule="auto"/>
        <w:jc w:val="both"/>
        <w:rPr>
          <w:rFonts w:ascii="Arial" w:hAnsi="Arial" w:cs="Arial"/>
        </w:rPr>
      </w:pPr>
    </w:p>
    <w:p w14:paraId="0E502CF8" w14:textId="673506E7" w:rsidR="00CE07B7" w:rsidRDefault="00E57D86" w:rsidP="00CB5A22">
      <w:pPr>
        <w:pStyle w:val="NormalWeb"/>
        <w:spacing w:after="0" w:line="360" w:lineRule="auto"/>
        <w:rPr>
          <w:rFonts w:ascii="Arial" w:hAnsi="Arial" w:cs="Arial"/>
          <w:sz w:val="22"/>
          <w:szCs w:val="22"/>
        </w:rPr>
      </w:pPr>
      <w:r w:rsidRPr="00E57D86">
        <w:rPr>
          <w:rFonts w:ascii="Arial" w:hAnsi="Arial" w:cs="Arial"/>
          <w:sz w:val="22"/>
          <w:szCs w:val="22"/>
        </w:rPr>
        <w:t>Abba, M.S., Nduka, C.U., Anjorin, S., Mohamed, S.F., Agogo, E.</w:t>
      </w:r>
      <w:r w:rsidR="00B07629">
        <w:rPr>
          <w:rFonts w:ascii="Arial" w:hAnsi="Arial" w:cs="Arial"/>
          <w:sz w:val="22"/>
          <w:szCs w:val="22"/>
        </w:rPr>
        <w:t xml:space="preserve"> and</w:t>
      </w:r>
      <w:r w:rsidRPr="00E57D86">
        <w:rPr>
          <w:rFonts w:ascii="Arial" w:hAnsi="Arial" w:cs="Arial"/>
          <w:sz w:val="22"/>
          <w:szCs w:val="22"/>
        </w:rPr>
        <w:t xml:space="preserve"> Uthman, O.A. (2021) Influence of contextual socioeconomic position on hypertension risk in low- and middle-income countries. </w:t>
      </w:r>
      <w:r w:rsidRPr="00E57D86">
        <w:rPr>
          <w:rFonts w:ascii="Arial" w:hAnsi="Arial" w:cs="Arial"/>
          <w:i/>
          <w:iCs/>
          <w:sz w:val="22"/>
          <w:szCs w:val="22"/>
        </w:rPr>
        <w:t>BMC Public Health</w:t>
      </w:r>
      <w:r w:rsidRPr="00E57D86">
        <w:rPr>
          <w:rFonts w:ascii="Arial" w:hAnsi="Arial" w:cs="Arial"/>
          <w:sz w:val="22"/>
          <w:szCs w:val="22"/>
        </w:rPr>
        <w:t xml:space="preserve">, 21, 2218. </w:t>
      </w:r>
      <w:r w:rsidR="00BD6744">
        <w:rPr>
          <w:rFonts w:ascii="Arial" w:hAnsi="Arial" w:cs="Arial"/>
          <w:sz w:val="22"/>
          <w:szCs w:val="22"/>
        </w:rPr>
        <w:t xml:space="preserve"> Available at:</w:t>
      </w:r>
      <w:r w:rsidR="00495063">
        <w:rPr>
          <w:rFonts w:ascii="Arial" w:hAnsi="Arial" w:cs="Arial"/>
          <w:sz w:val="22"/>
          <w:szCs w:val="22"/>
        </w:rPr>
        <w:t xml:space="preserve"> </w:t>
      </w:r>
      <w:hyperlink r:id="rId15" w:history="1">
        <w:r w:rsidR="00495063" w:rsidRPr="00E57D86">
          <w:rPr>
            <w:rStyle w:val="Hyperlink"/>
            <w:rFonts w:ascii="Arial" w:hAnsi="Arial" w:cs="Arial"/>
            <w:sz w:val="22"/>
            <w:szCs w:val="22"/>
          </w:rPr>
          <w:t>https://doi.org/10.1186/s12889-021-12238-x</w:t>
        </w:r>
      </w:hyperlink>
    </w:p>
    <w:p w14:paraId="5CA24585" w14:textId="2FBC72CB" w:rsidR="00CB5A22" w:rsidRPr="00CB5A22" w:rsidRDefault="00CB5A22" w:rsidP="00CB5A22">
      <w:pPr>
        <w:pStyle w:val="NormalWeb"/>
        <w:spacing w:after="0" w:line="360" w:lineRule="auto"/>
        <w:rPr>
          <w:rFonts w:ascii="Arial" w:hAnsi="Arial" w:cs="Arial"/>
          <w:sz w:val="22"/>
          <w:szCs w:val="22"/>
        </w:rPr>
      </w:pPr>
      <w:r w:rsidRPr="00CB5A22">
        <w:rPr>
          <w:rFonts w:ascii="Arial" w:hAnsi="Arial" w:cs="Arial"/>
          <w:sz w:val="22"/>
          <w:szCs w:val="22"/>
        </w:rPr>
        <w:t xml:space="preserve">Abbas, F., Khan, N., Khan, M., Pervaiz, M.B., Khaliq, A.Y. </w:t>
      </w:r>
      <w:r w:rsidR="003809E4">
        <w:rPr>
          <w:rFonts w:ascii="Arial" w:hAnsi="Arial" w:cs="Arial"/>
          <w:sz w:val="22"/>
          <w:szCs w:val="22"/>
        </w:rPr>
        <w:t>and</w:t>
      </w:r>
      <w:r w:rsidRPr="00CB5A22">
        <w:rPr>
          <w:rFonts w:ascii="Arial" w:hAnsi="Arial" w:cs="Arial"/>
          <w:sz w:val="22"/>
          <w:szCs w:val="22"/>
        </w:rPr>
        <w:t xml:space="preserve"> Jadoon, A.K. (2025) Psychosocial factors influencing hypertension management and medication adherence. </w:t>
      </w:r>
      <w:r w:rsidR="00CE07B7" w:rsidRPr="00CE07B7">
        <w:rPr>
          <w:rFonts w:ascii="Arial" w:hAnsi="Arial" w:cs="Arial"/>
          <w:sz w:val="22"/>
          <w:szCs w:val="22"/>
        </w:rPr>
        <w:t>. </w:t>
      </w:r>
      <w:r w:rsidR="00CE07B7" w:rsidRPr="00CE07B7">
        <w:rPr>
          <w:rFonts w:ascii="Arial" w:hAnsi="Arial" w:cs="Arial"/>
          <w:i/>
          <w:iCs/>
          <w:sz w:val="22"/>
          <w:szCs w:val="22"/>
        </w:rPr>
        <w:t>Insights-Journal of Life and Social Sciences</w:t>
      </w:r>
      <w:r w:rsidR="00CE07B7" w:rsidRPr="00CE07B7">
        <w:rPr>
          <w:rFonts w:ascii="Arial" w:hAnsi="Arial" w:cs="Arial"/>
          <w:sz w:val="22"/>
          <w:szCs w:val="22"/>
        </w:rPr>
        <w:t>, </w:t>
      </w:r>
      <w:r w:rsidR="00CE07B7" w:rsidRPr="00CE07B7">
        <w:rPr>
          <w:rFonts w:ascii="Arial" w:hAnsi="Arial" w:cs="Arial"/>
          <w:i/>
          <w:iCs/>
          <w:sz w:val="22"/>
          <w:szCs w:val="22"/>
        </w:rPr>
        <w:t>3</w:t>
      </w:r>
      <w:r w:rsidR="00CE07B7" w:rsidRPr="00CE07B7">
        <w:rPr>
          <w:rFonts w:ascii="Arial" w:hAnsi="Arial" w:cs="Arial"/>
          <w:sz w:val="22"/>
          <w:szCs w:val="22"/>
        </w:rPr>
        <w:t>(2), pp.176-182.</w:t>
      </w:r>
    </w:p>
    <w:p w14:paraId="2ADBAF81" w14:textId="74F472C1" w:rsidR="00CB5A22" w:rsidRPr="00E57D86" w:rsidRDefault="000D634A" w:rsidP="00E57D86">
      <w:pPr>
        <w:pStyle w:val="NormalWeb"/>
        <w:spacing w:after="0" w:line="360" w:lineRule="auto"/>
        <w:rPr>
          <w:rFonts w:ascii="Arial" w:hAnsi="Arial" w:cs="Arial"/>
          <w:sz w:val="22"/>
          <w:szCs w:val="22"/>
        </w:rPr>
      </w:pPr>
      <w:r w:rsidRPr="005554CF">
        <w:rPr>
          <w:rFonts w:ascii="Arial" w:hAnsi="Arial" w:cs="Arial"/>
          <w:sz w:val="22"/>
          <w:szCs w:val="22"/>
        </w:rPr>
        <w:t xml:space="preserve">Action on Salt (2022) </w:t>
      </w:r>
      <w:r w:rsidRPr="005554CF">
        <w:rPr>
          <w:rFonts w:ascii="Arial" w:hAnsi="Arial" w:cs="Arial"/>
          <w:i/>
          <w:iCs/>
          <w:sz w:val="22"/>
          <w:szCs w:val="22"/>
        </w:rPr>
        <w:t>Salt Policy Briefing</w:t>
      </w:r>
      <w:r w:rsidRPr="005554CF">
        <w:rPr>
          <w:rFonts w:ascii="Arial" w:hAnsi="Arial" w:cs="Arial"/>
          <w:sz w:val="22"/>
          <w:szCs w:val="22"/>
        </w:rPr>
        <w:t xml:space="preserve">. Available at: </w:t>
      </w:r>
      <w:hyperlink r:id="rId16" w:history="1">
        <w:r w:rsidR="0004077E" w:rsidRPr="005554CF">
          <w:rPr>
            <w:rStyle w:val="Hyperlink"/>
            <w:rFonts w:ascii="Arial" w:hAnsi="Arial" w:cs="Arial"/>
            <w:sz w:val="22"/>
            <w:szCs w:val="22"/>
          </w:rPr>
          <w:t>https://www.actiononsalt.org.uk/media/action-on-salt/awareness/saw25/Salt-Policy-Brief.pdf</w:t>
        </w:r>
      </w:hyperlink>
      <w:r w:rsidR="0004077E">
        <w:rPr>
          <w:rFonts w:ascii="Arial" w:hAnsi="Arial" w:cs="Arial"/>
          <w:sz w:val="22"/>
          <w:szCs w:val="22"/>
        </w:rPr>
        <w:t xml:space="preserve"> (Accessed; 13 October 2025).</w:t>
      </w:r>
    </w:p>
    <w:p w14:paraId="1CC93984" w14:textId="4AE99ECC" w:rsidR="00E57D86" w:rsidRPr="00E57D86" w:rsidRDefault="00E57D86" w:rsidP="00E57D86">
      <w:pPr>
        <w:pStyle w:val="NormalWeb"/>
        <w:spacing w:after="0" w:line="360" w:lineRule="auto"/>
        <w:rPr>
          <w:rFonts w:ascii="Arial" w:hAnsi="Arial" w:cs="Arial"/>
          <w:sz w:val="22"/>
          <w:szCs w:val="22"/>
        </w:rPr>
      </w:pPr>
      <w:r w:rsidRPr="00E57D86">
        <w:rPr>
          <w:rFonts w:ascii="Arial" w:hAnsi="Arial" w:cs="Arial"/>
          <w:sz w:val="22"/>
          <w:szCs w:val="22"/>
        </w:rPr>
        <w:t xml:space="preserve">Ahmed, M. M., Okesanya, O. J., Olaleke, N. O., Adigun, O. A., Adebayo, U. O., Oso, T. A., Eshun, G., and Lucero-Prisno, D. E., III. (2025) Integrating Digital Health Innovations to Achieve Universal Health Coverage: Promoting Health Outcomes and Quality Through Global Public Health Equity. </w:t>
      </w:r>
      <w:r w:rsidRPr="00E57D86">
        <w:rPr>
          <w:rFonts w:ascii="Arial" w:hAnsi="Arial" w:cs="Arial"/>
          <w:i/>
          <w:iCs/>
          <w:sz w:val="22"/>
          <w:szCs w:val="22"/>
        </w:rPr>
        <w:t>Healthcare</w:t>
      </w:r>
      <w:r w:rsidRPr="00E57D86">
        <w:rPr>
          <w:rFonts w:ascii="Arial" w:hAnsi="Arial" w:cs="Arial"/>
          <w:sz w:val="22"/>
          <w:szCs w:val="22"/>
        </w:rPr>
        <w:t xml:space="preserve">, 13(9), 1060.Available at: </w:t>
      </w:r>
      <w:hyperlink r:id="rId17" w:history="1">
        <w:r w:rsidRPr="00E57D86">
          <w:rPr>
            <w:rStyle w:val="Hyperlink"/>
            <w:rFonts w:ascii="Arial" w:hAnsi="Arial" w:cs="Arial"/>
            <w:sz w:val="22"/>
            <w:szCs w:val="22"/>
          </w:rPr>
          <w:t>https://doi.org/10.3390/healthcare13091060</w:t>
        </w:r>
      </w:hyperlink>
      <w:r w:rsidRPr="00E57D86">
        <w:rPr>
          <w:rFonts w:ascii="Arial" w:hAnsi="Arial" w:cs="Arial"/>
          <w:sz w:val="22"/>
          <w:szCs w:val="22"/>
        </w:rPr>
        <w:t xml:space="preserve"> </w:t>
      </w:r>
    </w:p>
    <w:p w14:paraId="6EB04422" w14:textId="78FA88C7" w:rsidR="00E57D86" w:rsidRPr="00E57D86" w:rsidRDefault="00E57D86" w:rsidP="00E57D86">
      <w:pPr>
        <w:pStyle w:val="NormalWeb"/>
        <w:spacing w:after="0" w:line="360" w:lineRule="auto"/>
        <w:rPr>
          <w:rFonts w:ascii="Arial" w:hAnsi="Arial" w:cs="Arial"/>
          <w:sz w:val="22"/>
          <w:szCs w:val="22"/>
        </w:rPr>
      </w:pPr>
      <w:r w:rsidRPr="00E57D86">
        <w:rPr>
          <w:rFonts w:ascii="Arial" w:hAnsi="Arial" w:cs="Arial"/>
          <w:sz w:val="22"/>
          <w:szCs w:val="22"/>
        </w:rPr>
        <w:t xml:space="preserve">BMJ (2024) Improving hypertension management in primary care. </w:t>
      </w:r>
      <w:r w:rsidRPr="00E57D86">
        <w:rPr>
          <w:rFonts w:ascii="Arial" w:hAnsi="Arial" w:cs="Arial"/>
          <w:i/>
          <w:iCs/>
          <w:sz w:val="22"/>
          <w:szCs w:val="22"/>
        </w:rPr>
        <w:t>BMJ</w:t>
      </w:r>
      <w:r w:rsidRPr="00E57D86">
        <w:rPr>
          <w:rFonts w:ascii="Arial" w:hAnsi="Arial" w:cs="Arial"/>
          <w:sz w:val="22"/>
          <w:szCs w:val="22"/>
        </w:rPr>
        <w:t xml:space="preserve">, 386, q1466. Available at: </w:t>
      </w:r>
      <w:hyperlink r:id="rId18" w:history="1">
        <w:r w:rsidRPr="00E57D86">
          <w:rPr>
            <w:rStyle w:val="Hyperlink"/>
            <w:rFonts w:ascii="Arial" w:hAnsi="Arial" w:cs="Arial"/>
            <w:sz w:val="22"/>
            <w:szCs w:val="22"/>
          </w:rPr>
          <w:t>https://www.bmj.com/content/386/bmj.q1466.full</w:t>
        </w:r>
      </w:hyperlink>
      <w:r w:rsidRPr="00E57D86">
        <w:rPr>
          <w:rFonts w:ascii="Arial" w:hAnsi="Arial" w:cs="Arial"/>
          <w:sz w:val="22"/>
          <w:szCs w:val="22"/>
        </w:rPr>
        <w:t xml:space="preserve"> (Accessed: 8 October 2025).</w:t>
      </w:r>
    </w:p>
    <w:p w14:paraId="7B32BB9E" w14:textId="3E0E41DF" w:rsidR="00E57D86" w:rsidRPr="00E57D86" w:rsidRDefault="00E57D86" w:rsidP="00E57D86">
      <w:pPr>
        <w:pStyle w:val="NormalWeb"/>
        <w:spacing w:after="0" w:line="360" w:lineRule="auto"/>
        <w:rPr>
          <w:rFonts w:ascii="Arial" w:hAnsi="Arial" w:cs="Arial"/>
          <w:sz w:val="22"/>
          <w:szCs w:val="22"/>
        </w:rPr>
      </w:pPr>
      <w:r w:rsidRPr="00E57D86">
        <w:rPr>
          <w:rFonts w:ascii="Arial" w:hAnsi="Arial" w:cs="Arial"/>
          <w:sz w:val="22"/>
          <w:szCs w:val="22"/>
        </w:rPr>
        <w:t xml:space="preserve">Bosworth, H.B., Olsen, M.K., Grubber, J.M., Powers, B.J., and Oddone, E.Z. (2011) Racial differences in blood pressure control: potential explanatory factors. </w:t>
      </w:r>
      <w:r w:rsidRPr="00E57D86">
        <w:rPr>
          <w:rFonts w:ascii="Arial" w:hAnsi="Arial" w:cs="Arial"/>
          <w:i/>
          <w:iCs/>
          <w:sz w:val="22"/>
          <w:szCs w:val="22"/>
        </w:rPr>
        <w:t>American Journal of Medicine</w:t>
      </w:r>
      <w:r w:rsidRPr="00E57D86">
        <w:rPr>
          <w:rFonts w:ascii="Arial" w:hAnsi="Arial" w:cs="Arial"/>
          <w:sz w:val="22"/>
          <w:szCs w:val="22"/>
        </w:rPr>
        <w:t>, 124(4), pp.375.e1–375.e7.</w:t>
      </w:r>
    </w:p>
    <w:p w14:paraId="7727974B" w14:textId="04371C52" w:rsidR="00857526" w:rsidRDefault="00E57D86" w:rsidP="00E57D86">
      <w:pPr>
        <w:pStyle w:val="NormalWeb"/>
        <w:spacing w:after="0" w:line="360" w:lineRule="auto"/>
        <w:rPr>
          <w:rFonts w:ascii="Arial" w:hAnsi="Arial" w:cs="Arial"/>
          <w:sz w:val="22"/>
          <w:szCs w:val="22"/>
        </w:rPr>
      </w:pPr>
      <w:r w:rsidRPr="00E57D86">
        <w:rPr>
          <w:rFonts w:ascii="Arial" w:hAnsi="Arial" w:cs="Arial"/>
          <w:sz w:val="22"/>
          <w:szCs w:val="22"/>
        </w:rPr>
        <w:t xml:space="preserve">British and Irish Hypertension Society (2023) Guidelines for the management of hypertension. Available at: </w:t>
      </w:r>
      <w:hyperlink r:id="rId19" w:history="1">
        <w:r w:rsidRPr="00E57D86">
          <w:rPr>
            <w:rStyle w:val="Hyperlink"/>
            <w:rFonts w:ascii="Arial" w:hAnsi="Arial" w:cs="Arial"/>
            <w:sz w:val="22"/>
            <w:szCs w:val="22"/>
          </w:rPr>
          <w:t>https://bihsoc.org/guidelines</w:t>
        </w:r>
      </w:hyperlink>
      <w:r w:rsidRPr="00E57D86">
        <w:rPr>
          <w:rFonts w:ascii="Arial" w:hAnsi="Arial" w:cs="Arial"/>
          <w:sz w:val="22"/>
          <w:szCs w:val="22"/>
        </w:rPr>
        <w:t xml:space="preserve">  (Accessed 9 Oct</w:t>
      </w:r>
      <w:r w:rsidR="00495063">
        <w:rPr>
          <w:rFonts w:ascii="Arial" w:hAnsi="Arial" w:cs="Arial"/>
          <w:sz w:val="22"/>
          <w:szCs w:val="22"/>
        </w:rPr>
        <w:t>ober</w:t>
      </w:r>
      <w:r w:rsidRPr="00E57D86">
        <w:rPr>
          <w:rFonts w:ascii="Arial" w:hAnsi="Arial" w:cs="Arial"/>
          <w:sz w:val="22"/>
          <w:szCs w:val="22"/>
        </w:rPr>
        <w:t xml:space="preserve"> 2025).</w:t>
      </w:r>
    </w:p>
    <w:p w14:paraId="6C0DFE3F" w14:textId="1DBAC7E8" w:rsidR="006C5F5C" w:rsidRDefault="00E57D86" w:rsidP="00E57D86">
      <w:pPr>
        <w:pStyle w:val="NormalWeb"/>
        <w:spacing w:after="0" w:line="360" w:lineRule="auto"/>
        <w:rPr>
          <w:rFonts w:ascii="Arial" w:hAnsi="Arial" w:cs="Arial"/>
          <w:sz w:val="22"/>
          <w:szCs w:val="22"/>
        </w:rPr>
      </w:pPr>
      <w:r w:rsidRPr="00E57D86">
        <w:rPr>
          <w:rFonts w:ascii="Arial" w:hAnsi="Arial" w:cs="Arial"/>
          <w:sz w:val="22"/>
          <w:szCs w:val="22"/>
        </w:rPr>
        <w:t xml:space="preserve">British Heart Foundation (2023) Care and support planning: House of Care model. Available at: </w:t>
      </w:r>
      <w:hyperlink r:id="rId20" w:history="1">
        <w:r w:rsidRPr="00E57D86">
          <w:rPr>
            <w:rStyle w:val="Hyperlink"/>
            <w:rFonts w:ascii="Arial" w:hAnsi="Arial" w:cs="Arial"/>
            <w:sz w:val="22"/>
            <w:szCs w:val="22"/>
          </w:rPr>
          <w:t>https://www.bhf.org.uk/informationsupport/publications/care-and-support-planning</w:t>
        </w:r>
      </w:hyperlink>
      <w:r w:rsidRPr="00E57D86">
        <w:rPr>
          <w:rFonts w:ascii="Arial" w:hAnsi="Arial" w:cs="Arial"/>
          <w:sz w:val="22"/>
          <w:szCs w:val="22"/>
        </w:rPr>
        <w:t xml:space="preserve">  (Accessed 9 Oct</w:t>
      </w:r>
      <w:r w:rsidR="00495063">
        <w:rPr>
          <w:rFonts w:ascii="Arial" w:hAnsi="Arial" w:cs="Arial"/>
          <w:sz w:val="22"/>
          <w:szCs w:val="22"/>
        </w:rPr>
        <w:t>ober</w:t>
      </w:r>
      <w:r w:rsidRPr="00E57D86">
        <w:rPr>
          <w:rFonts w:ascii="Arial" w:hAnsi="Arial" w:cs="Arial"/>
          <w:sz w:val="22"/>
          <w:szCs w:val="22"/>
        </w:rPr>
        <w:t xml:space="preserve"> 2025).</w:t>
      </w:r>
    </w:p>
    <w:p w14:paraId="6F77F90A" w14:textId="4D7433F9" w:rsidR="006C5F5C" w:rsidRDefault="006C5F5C" w:rsidP="00E57D86">
      <w:pPr>
        <w:pStyle w:val="NormalWeb"/>
        <w:spacing w:after="0" w:line="360" w:lineRule="auto"/>
        <w:rPr>
          <w:rFonts w:ascii="Arial" w:hAnsi="Arial" w:cs="Arial"/>
          <w:sz w:val="22"/>
          <w:szCs w:val="22"/>
        </w:rPr>
      </w:pPr>
      <w:r w:rsidRPr="00C82893">
        <w:rPr>
          <w:rFonts w:ascii="Arial" w:hAnsi="Arial" w:cs="Arial"/>
          <w:sz w:val="22"/>
          <w:szCs w:val="22"/>
        </w:rPr>
        <w:t xml:space="preserve">Canavan, M. </w:t>
      </w:r>
      <w:r w:rsidRPr="006C5F5C">
        <w:rPr>
          <w:rFonts w:ascii="Arial" w:hAnsi="Arial" w:cs="Arial"/>
          <w:sz w:val="22"/>
          <w:szCs w:val="22"/>
        </w:rPr>
        <w:t>and</w:t>
      </w:r>
      <w:r w:rsidRPr="00C82893">
        <w:rPr>
          <w:rFonts w:ascii="Arial" w:hAnsi="Arial" w:cs="Arial"/>
          <w:sz w:val="22"/>
          <w:szCs w:val="22"/>
        </w:rPr>
        <w:t xml:space="preserve"> O'Donnell, M.J. (2022) Hypertension and Cognitive Impairment: A Review of Mechanisms and Key Concepts. </w:t>
      </w:r>
      <w:r w:rsidRPr="00C82893">
        <w:rPr>
          <w:rFonts w:ascii="Arial" w:hAnsi="Arial" w:cs="Arial"/>
          <w:i/>
          <w:iCs/>
          <w:sz w:val="22"/>
          <w:szCs w:val="22"/>
        </w:rPr>
        <w:t>Frontiers in Neurology</w:t>
      </w:r>
      <w:r w:rsidRPr="00C82893">
        <w:rPr>
          <w:rFonts w:ascii="Arial" w:hAnsi="Arial" w:cs="Arial"/>
          <w:sz w:val="22"/>
          <w:szCs w:val="22"/>
        </w:rPr>
        <w:t>, 13, 821135.</w:t>
      </w:r>
      <w:r w:rsidR="00FD318B">
        <w:rPr>
          <w:rFonts w:ascii="Arial" w:hAnsi="Arial" w:cs="Arial"/>
          <w:sz w:val="22"/>
          <w:szCs w:val="22"/>
        </w:rPr>
        <w:t xml:space="preserve"> Available at: </w:t>
      </w:r>
      <w:hyperlink r:id="rId21" w:history="1">
        <w:r w:rsidR="00495063" w:rsidRPr="00C82893">
          <w:rPr>
            <w:rStyle w:val="Hyperlink"/>
            <w:rFonts w:ascii="Arial" w:hAnsi="Arial" w:cs="Arial"/>
            <w:sz w:val="22"/>
            <w:szCs w:val="22"/>
          </w:rPr>
          <w:t>https://doi.org/10.3389/fneur.2022.821135</w:t>
        </w:r>
      </w:hyperlink>
      <w:r w:rsidR="00506E23">
        <w:rPr>
          <w:rFonts w:ascii="Arial" w:hAnsi="Arial" w:cs="Arial"/>
          <w:sz w:val="22"/>
          <w:szCs w:val="22"/>
        </w:rPr>
        <w:t xml:space="preserve"> </w:t>
      </w:r>
    </w:p>
    <w:p w14:paraId="33EEA650" w14:textId="091AD0D8" w:rsidR="00E57D86" w:rsidRPr="00E57D86" w:rsidRDefault="00E57D86" w:rsidP="00E57D86">
      <w:pPr>
        <w:pStyle w:val="NormalWeb"/>
        <w:spacing w:after="0" w:line="360" w:lineRule="auto"/>
        <w:rPr>
          <w:rFonts w:ascii="Arial" w:hAnsi="Arial" w:cs="Arial"/>
          <w:sz w:val="22"/>
          <w:szCs w:val="22"/>
        </w:rPr>
      </w:pPr>
      <w:r w:rsidRPr="00E57D86">
        <w:rPr>
          <w:rFonts w:ascii="Arial" w:hAnsi="Arial" w:cs="Arial"/>
          <w:sz w:val="22"/>
          <w:szCs w:val="22"/>
        </w:rPr>
        <w:t xml:space="preserve">Cheema, E., Sutcliffe, P., and Singer, D.R.J. (2014) The impact of interventions by pharmacists in community pharmacies on control of hypertension: a systematic review and meta-analysis of randomized controlled trials. </w:t>
      </w:r>
      <w:r w:rsidRPr="00E57D86">
        <w:rPr>
          <w:rFonts w:ascii="Arial" w:hAnsi="Arial" w:cs="Arial"/>
          <w:i/>
          <w:iCs/>
          <w:sz w:val="22"/>
          <w:szCs w:val="22"/>
        </w:rPr>
        <w:t>British Journal of Clinical Pharmacology</w:t>
      </w:r>
      <w:r w:rsidRPr="00E57D86">
        <w:rPr>
          <w:rFonts w:ascii="Arial" w:hAnsi="Arial" w:cs="Arial"/>
          <w:sz w:val="22"/>
          <w:szCs w:val="22"/>
        </w:rPr>
        <w:t xml:space="preserve">, 78(6), pp.1231–1240. Available at: </w:t>
      </w:r>
      <w:hyperlink r:id="rId22" w:history="1">
        <w:r w:rsidRPr="00E57D86">
          <w:rPr>
            <w:rStyle w:val="Hyperlink"/>
            <w:rFonts w:ascii="Arial" w:hAnsi="Arial" w:cs="Arial"/>
            <w:sz w:val="22"/>
            <w:szCs w:val="22"/>
          </w:rPr>
          <w:t>https://www.england.nhs.uk/london/wp-content/uploads/sites/8/2019/08/2.1.1-The-Impact-of-Interventions-by-Pharmacists-in-Community-Pharmacies-on-Control-of-Hypertension-Study.pdf</w:t>
        </w:r>
      </w:hyperlink>
      <w:r w:rsidRPr="00E57D86">
        <w:rPr>
          <w:rFonts w:ascii="Arial" w:hAnsi="Arial" w:cs="Arial"/>
          <w:sz w:val="22"/>
          <w:szCs w:val="22"/>
        </w:rPr>
        <w:t xml:space="preserve">  (Accessed 9 Oct</w:t>
      </w:r>
      <w:r w:rsidR="006E41CF">
        <w:rPr>
          <w:rFonts w:ascii="Arial" w:hAnsi="Arial" w:cs="Arial"/>
          <w:sz w:val="22"/>
          <w:szCs w:val="22"/>
        </w:rPr>
        <w:t>ober</w:t>
      </w:r>
      <w:r w:rsidRPr="00E57D86">
        <w:rPr>
          <w:rFonts w:ascii="Arial" w:hAnsi="Arial" w:cs="Arial"/>
          <w:sz w:val="22"/>
          <w:szCs w:val="22"/>
        </w:rPr>
        <w:t xml:space="preserve"> 2025).</w:t>
      </w:r>
    </w:p>
    <w:p w14:paraId="0B9F50FA" w14:textId="76D46780" w:rsidR="00857526" w:rsidRDefault="00E57D86" w:rsidP="00E57D86">
      <w:pPr>
        <w:pStyle w:val="NormalWeb"/>
        <w:spacing w:after="0" w:line="360" w:lineRule="auto"/>
        <w:rPr>
          <w:rFonts w:ascii="Arial" w:hAnsi="Arial" w:cs="Arial"/>
          <w:sz w:val="22"/>
          <w:szCs w:val="22"/>
        </w:rPr>
      </w:pPr>
      <w:r w:rsidRPr="00E57D86">
        <w:rPr>
          <w:rFonts w:ascii="Arial" w:hAnsi="Arial" w:cs="Arial"/>
          <w:sz w:val="22"/>
          <w:szCs w:val="22"/>
        </w:rPr>
        <w:t xml:space="preserve">Clyne, W., McLachlan, S., Mshelia, C., Jones, P., Deans, K., Craig, D. and MacFarlane, A. (2016) Developing a model of care for hypertension management in primary care: a realist review. </w:t>
      </w:r>
      <w:r w:rsidRPr="00E57D86">
        <w:rPr>
          <w:rFonts w:ascii="Arial" w:hAnsi="Arial" w:cs="Arial"/>
          <w:i/>
          <w:iCs/>
          <w:sz w:val="22"/>
          <w:szCs w:val="22"/>
        </w:rPr>
        <w:t>British Journal of General Practice</w:t>
      </w:r>
      <w:r w:rsidRPr="00E57D86">
        <w:rPr>
          <w:rFonts w:ascii="Arial" w:hAnsi="Arial" w:cs="Arial"/>
          <w:sz w:val="22"/>
          <w:szCs w:val="22"/>
        </w:rPr>
        <w:t>, 66(646), pp.e579–e589.</w:t>
      </w:r>
    </w:p>
    <w:p w14:paraId="6FC5B32E" w14:textId="7E227995" w:rsidR="00E57D86" w:rsidRPr="00E57D86" w:rsidRDefault="00E57D86" w:rsidP="00E57D86">
      <w:pPr>
        <w:pStyle w:val="NormalWeb"/>
        <w:spacing w:after="0" w:line="360" w:lineRule="auto"/>
        <w:rPr>
          <w:rFonts w:ascii="Arial" w:hAnsi="Arial" w:cs="Arial"/>
          <w:sz w:val="22"/>
          <w:szCs w:val="22"/>
        </w:rPr>
      </w:pPr>
      <w:r w:rsidRPr="00E57D86">
        <w:rPr>
          <w:rFonts w:ascii="Arial" w:hAnsi="Arial" w:cs="Arial"/>
          <w:sz w:val="22"/>
          <w:szCs w:val="22"/>
        </w:rPr>
        <w:t xml:space="preserve">Coleman, K., Austin, B.T., Brach, C., and Wagner, E.H. (2009) Evidence on the Chronic Care Model in the new millennium. </w:t>
      </w:r>
      <w:r w:rsidRPr="00E57D86">
        <w:rPr>
          <w:rFonts w:ascii="Arial" w:hAnsi="Arial" w:cs="Arial"/>
          <w:i/>
          <w:iCs/>
          <w:sz w:val="22"/>
          <w:szCs w:val="22"/>
        </w:rPr>
        <w:t>Health Affairs</w:t>
      </w:r>
      <w:r w:rsidRPr="00E57D86">
        <w:rPr>
          <w:rFonts w:ascii="Arial" w:hAnsi="Arial" w:cs="Arial"/>
          <w:sz w:val="22"/>
          <w:szCs w:val="22"/>
        </w:rPr>
        <w:t xml:space="preserve">, 28(1), pp.75–85.Available at: </w:t>
      </w:r>
      <w:hyperlink r:id="rId23" w:history="1">
        <w:r w:rsidRPr="00E57D86">
          <w:rPr>
            <w:rStyle w:val="Hyperlink"/>
            <w:rFonts w:ascii="Arial" w:hAnsi="Arial" w:cs="Arial"/>
            <w:sz w:val="22"/>
            <w:szCs w:val="22"/>
          </w:rPr>
          <w:t>https://doi.org/10.1377/hlthaff.28.1.75</w:t>
        </w:r>
      </w:hyperlink>
      <w:r w:rsidRPr="00E57D86">
        <w:rPr>
          <w:rFonts w:ascii="Arial" w:hAnsi="Arial" w:cs="Arial"/>
          <w:sz w:val="22"/>
          <w:szCs w:val="22"/>
        </w:rPr>
        <w:t xml:space="preserve">  </w:t>
      </w:r>
    </w:p>
    <w:p w14:paraId="5C65DD73" w14:textId="77777777" w:rsidR="00FC1B62" w:rsidRDefault="00FC1B62" w:rsidP="00E57D86">
      <w:pPr>
        <w:pStyle w:val="NormalWeb"/>
        <w:spacing w:after="0" w:line="360" w:lineRule="auto"/>
        <w:rPr>
          <w:rFonts w:ascii="Arial" w:hAnsi="Arial" w:cs="Arial"/>
          <w:sz w:val="22"/>
          <w:szCs w:val="22"/>
        </w:rPr>
      </w:pPr>
    </w:p>
    <w:p w14:paraId="138C7472" w14:textId="77777777" w:rsidR="00FC1B62" w:rsidRDefault="00FC1B62" w:rsidP="00E57D86">
      <w:pPr>
        <w:pStyle w:val="NormalWeb"/>
        <w:spacing w:after="0" w:line="360" w:lineRule="auto"/>
        <w:rPr>
          <w:rFonts w:ascii="Arial" w:hAnsi="Arial" w:cs="Arial"/>
          <w:sz w:val="22"/>
          <w:szCs w:val="22"/>
        </w:rPr>
      </w:pPr>
    </w:p>
    <w:p w14:paraId="26DF2192" w14:textId="201AB452" w:rsidR="00E57D86" w:rsidRPr="00E57D86" w:rsidRDefault="00E57D86" w:rsidP="00E57D86">
      <w:pPr>
        <w:pStyle w:val="NormalWeb"/>
        <w:spacing w:after="0" w:line="360" w:lineRule="auto"/>
        <w:rPr>
          <w:rFonts w:ascii="Arial" w:hAnsi="Arial" w:cs="Arial"/>
          <w:sz w:val="22"/>
          <w:szCs w:val="22"/>
        </w:rPr>
      </w:pPr>
      <w:r w:rsidRPr="00E57D86">
        <w:rPr>
          <w:rFonts w:ascii="Arial" w:hAnsi="Arial" w:cs="Arial"/>
          <w:sz w:val="22"/>
          <w:szCs w:val="22"/>
        </w:rPr>
        <w:t xml:space="preserve">Coulter, A., Roberts, S. and  Dixon, A. (2016) </w:t>
      </w:r>
      <w:r w:rsidRPr="00E57D86">
        <w:rPr>
          <w:rFonts w:ascii="Arial" w:hAnsi="Arial" w:cs="Arial"/>
          <w:i/>
          <w:iCs/>
          <w:sz w:val="22"/>
          <w:szCs w:val="22"/>
        </w:rPr>
        <w:t>Delivering better services for people with long-term conditions: Building the House of Care</w:t>
      </w:r>
      <w:r w:rsidRPr="00E57D86">
        <w:rPr>
          <w:rFonts w:ascii="Arial" w:hAnsi="Arial" w:cs="Arial"/>
          <w:sz w:val="22"/>
          <w:szCs w:val="22"/>
        </w:rPr>
        <w:t xml:space="preserve">. London: The King's Fund. Available at: </w:t>
      </w:r>
      <w:hyperlink r:id="rId24" w:history="1">
        <w:r w:rsidRPr="00E57D86">
          <w:rPr>
            <w:rStyle w:val="Hyperlink"/>
            <w:rFonts w:ascii="Arial" w:hAnsi="Arial" w:cs="Arial"/>
            <w:sz w:val="22"/>
            <w:szCs w:val="22"/>
          </w:rPr>
          <w:t>https://www.kingsfund.org.uk/publications/delivering-better-services-people-long-term-conditions</w:t>
        </w:r>
      </w:hyperlink>
      <w:r w:rsidRPr="00E57D86">
        <w:rPr>
          <w:rFonts w:ascii="Arial" w:hAnsi="Arial" w:cs="Arial"/>
          <w:sz w:val="22"/>
          <w:szCs w:val="22"/>
        </w:rPr>
        <w:t xml:space="preserve">  (Accessed</w:t>
      </w:r>
      <w:r w:rsidR="00616327">
        <w:rPr>
          <w:rFonts w:ascii="Arial" w:hAnsi="Arial" w:cs="Arial"/>
          <w:sz w:val="22"/>
          <w:szCs w:val="22"/>
        </w:rPr>
        <w:t>:</w:t>
      </w:r>
      <w:r w:rsidRPr="00E57D86">
        <w:rPr>
          <w:rFonts w:ascii="Arial" w:hAnsi="Arial" w:cs="Arial"/>
          <w:sz w:val="22"/>
          <w:szCs w:val="22"/>
        </w:rPr>
        <w:t xml:space="preserve"> 9 Oct</w:t>
      </w:r>
      <w:r w:rsidR="007A1589">
        <w:rPr>
          <w:rFonts w:ascii="Arial" w:hAnsi="Arial" w:cs="Arial"/>
          <w:sz w:val="22"/>
          <w:szCs w:val="22"/>
        </w:rPr>
        <w:t>ober</w:t>
      </w:r>
      <w:r w:rsidRPr="00E57D86">
        <w:rPr>
          <w:rFonts w:ascii="Arial" w:hAnsi="Arial" w:cs="Arial"/>
          <w:sz w:val="22"/>
          <w:szCs w:val="22"/>
        </w:rPr>
        <w:t xml:space="preserve"> 2025).</w:t>
      </w:r>
    </w:p>
    <w:p w14:paraId="084ED294" w14:textId="0BD436D2" w:rsidR="00D330C2" w:rsidRPr="00D330C2" w:rsidRDefault="00D330C2" w:rsidP="00D330C2">
      <w:pPr>
        <w:pStyle w:val="NormalWeb"/>
        <w:spacing w:after="0" w:line="360" w:lineRule="auto"/>
        <w:rPr>
          <w:rFonts w:ascii="Arial" w:hAnsi="Arial" w:cs="Arial"/>
          <w:sz w:val="22"/>
          <w:szCs w:val="22"/>
        </w:rPr>
      </w:pPr>
      <w:r w:rsidRPr="00D330C2">
        <w:rPr>
          <w:rFonts w:ascii="Arial" w:hAnsi="Arial" w:cs="Arial"/>
          <w:sz w:val="22"/>
          <w:szCs w:val="22"/>
        </w:rPr>
        <w:t xml:space="preserve">Das, R., Goel, S., Anupam, S. and Mehta, D.K. (2025) Impact of antihypertensive treatments on psychological elements and quality of life. In: </w:t>
      </w:r>
      <w:r w:rsidRPr="00D330C2">
        <w:rPr>
          <w:rFonts w:ascii="Arial" w:hAnsi="Arial" w:cs="Arial"/>
          <w:i/>
          <w:iCs/>
          <w:sz w:val="22"/>
          <w:szCs w:val="22"/>
        </w:rPr>
        <w:t>Handbook of the Behavior and Psychology of Disease</w:t>
      </w:r>
      <w:r w:rsidRPr="00D330C2">
        <w:rPr>
          <w:rFonts w:ascii="Arial" w:hAnsi="Arial" w:cs="Arial"/>
          <w:sz w:val="22"/>
          <w:szCs w:val="22"/>
        </w:rPr>
        <w:t>. Springer.</w:t>
      </w:r>
      <w:r w:rsidR="007A1589">
        <w:rPr>
          <w:rFonts w:ascii="Arial" w:hAnsi="Arial" w:cs="Arial"/>
          <w:sz w:val="22"/>
          <w:szCs w:val="22"/>
        </w:rPr>
        <w:t xml:space="preserve"> Available at:</w:t>
      </w:r>
      <w:r w:rsidRPr="00D330C2">
        <w:rPr>
          <w:rFonts w:ascii="Arial" w:hAnsi="Arial" w:cs="Arial"/>
          <w:sz w:val="22"/>
          <w:szCs w:val="22"/>
        </w:rPr>
        <w:t xml:space="preserve"> </w:t>
      </w:r>
      <w:hyperlink r:id="rId25" w:history="1">
        <w:r w:rsidR="007A1589" w:rsidRPr="00D330C2">
          <w:rPr>
            <w:rStyle w:val="Hyperlink"/>
            <w:rFonts w:ascii="Arial" w:hAnsi="Arial" w:cs="Arial"/>
            <w:sz w:val="22"/>
            <w:szCs w:val="22"/>
          </w:rPr>
          <w:t>https://link.springer.com/rwe/10.1007/978-3-031-73363-5_3</w:t>
        </w:r>
      </w:hyperlink>
      <w:r w:rsidR="007A1589">
        <w:rPr>
          <w:rFonts w:ascii="Arial" w:hAnsi="Arial" w:cs="Arial"/>
          <w:sz w:val="22"/>
          <w:szCs w:val="22"/>
        </w:rPr>
        <w:t xml:space="preserve"> </w:t>
      </w:r>
    </w:p>
    <w:p w14:paraId="40A6EB82" w14:textId="6747D9F2" w:rsidR="005A65CB" w:rsidRPr="005A65CB" w:rsidRDefault="005A65CB" w:rsidP="005A65CB">
      <w:pPr>
        <w:pStyle w:val="NormalWeb"/>
        <w:spacing w:after="0" w:line="360" w:lineRule="auto"/>
        <w:rPr>
          <w:rFonts w:ascii="Arial" w:hAnsi="Arial" w:cs="Arial"/>
          <w:sz w:val="22"/>
          <w:szCs w:val="22"/>
        </w:rPr>
      </w:pPr>
      <w:r w:rsidRPr="005A65CB">
        <w:rPr>
          <w:rFonts w:ascii="Arial" w:hAnsi="Arial" w:cs="Arial"/>
          <w:sz w:val="22"/>
          <w:szCs w:val="22"/>
        </w:rPr>
        <w:t xml:space="preserve">Davy, C., Bleasel, J., Liu, H., Tchan, M., Ponniah, S. and Brown, A. (2015) Effectiveness of chronic care models: opportunities for improving healthcare practice and health outcomes. </w:t>
      </w:r>
      <w:r w:rsidRPr="005A65CB">
        <w:rPr>
          <w:rFonts w:ascii="Arial" w:hAnsi="Arial" w:cs="Arial"/>
          <w:i/>
          <w:iCs/>
          <w:sz w:val="22"/>
          <w:szCs w:val="22"/>
        </w:rPr>
        <w:t>BMC Health Services Research</w:t>
      </w:r>
      <w:r w:rsidRPr="005A65CB">
        <w:rPr>
          <w:rFonts w:ascii="Arial" w:hAnsi="Arial" w:cs="Arial"/>
          <w:sz w:val="22"/>
          <w:szCs w:val="22"/>
        </w:rPr>
        <w:t>, 15(194).</w:t>
      </w:r>
      <w:r>
        <w:rPr>
          <w:rFonts w:ascii="Arial" w:hAnsi="Arial" w:cs="Arial"/>
          <w:sz w:val="22"/>
          <w:szCs w:val="22"/>
        </w:rPr>
        <w:t>Available</w:t>
      </w:r>
      <w:r w:rsidR="001062E5">
        <w:rPr>
          <w:rFonts w:ascii="Arial" w:hAnsi="Arial" w:cs="Arial"/>
          <w:sz w:val="22"/>
          <w:szCs w:val="22"/>
        </w:rPr>
        <w:t xml:space="preserve"> at:</w:t>
      </w:r>
      <w:r w:rsidRPr="005A65CB">
        <w:rPr>
          <w:rFonts w:ascii="Arial" w:hAnsi="Arial" w:cs="Arial"/>
          <w:sz w:val="22"/>
          <w:szCs w:val="22"/>
        </w:rPr>
        <w:t xml:space="preserve"> </w:t>
      </w:r>
      <w:hyperlink r:id="rId26" w:history="1">
        <w:r w:rsidR="001062E5" w:rsidRPr="005A65CB">
          <w:rPr>
            <w:rStyle w:val="Hyperlink"/>
            <w:rFonts w:ascii="Arial" w:hAnsi="Arial" w:cs="Arial"/>
            <w:sz w:val="22"/>
            <w:szCs w:val="22"/>
          </w:rPr>
          <w:t>https://doi.org/10.1186/s12913-015-0854-8</w:t>
        </w:r>
      </w:hyperlink>
      <w:r w:rsidR="001062E5">
        <w:rPr>
          <w:rFonts w:ascii="Arial" w:hAnsi="Arial" w:cs="Arial"/>
          <w:sz w:val="22"/>
          <w:szCs w:val="22"/>
        </w:rPr>
        <w:t xml:space="preserve"> (Accessed:</w:t>
      </w:r>
      <w:r w:rsidR="0084224D">
        <w:rPr>
          <w:rFonts w:ascii="Arial" w:hAnsi="Arial" w:cs="Arial"/>
          <w:sz w:val="22"/>
          <w:szCs w:val="22"/>
        </w:rPr>
        <w:t xml:space="preserve"> 15 October 2025).</w:t>
      </w:r>
    </w:p>
    <w:p w14:paraId="5917A85E" w14:textId="5E20F660" w:rsidR="00E57D86" w:rsidRPr="00E57D86" w:rsidRDefault="00E57D86" w:rsidP="00E57D86">
      <w:pPr>
        <w:pStyle w:val="NormalWeb"/>
        <w:spacing w:after="0" w:line="360" w:lineRule="auto"/>
        <w:rPr>
          <w:rFonts w:ascii="Arial" w:hAnsi="Arial" w:cs="Arial"/>
          <w:sz w:val="22"/>
          <w:szCs w:val="22"/>
        </w:rPr>
      </w:pPr>
      <w:r w:rsidRPr="00E57D86">
        <w:rPr>
          <w:rFonts w:ascii="Arial" w:hAnsi="Arial" w:cs="Arial"/>
          <w:sz w:val="22"/>
          <w:szCs w:val="22"/>
        </w:rPr>
        <w:t xml:space="preserve">Graham, C., Steckelmacher, J., Prasher, J., Capel, M., Ahmed, A., Poulter, N., Sever, P. and Gupta, A. (2024) Trends in hypertension prevalence and control in England over the last 3 decades: Health Survey of England 1994–2019. </w:t>
      </w:r>
      <w:r w:rsidRPr="00E57D86">
        <w:rPr>
          <w:rFonts w:ascii="Arial" w:hAnsi="Arial" w:cs="Arial"/>
          <w:i/>
          <w:iCs/>
          <w:sz w:val="22"/>
          <w:szCs w:val="22"/>
        </w:rPr>
        <w:t>European Heart Journal</w:t>
      </w:r>
      <w:r w:rsidRPr="00E57D86">
        <w:rPr>
          <w:rFonts w:ascii="Arial" w:hAnsi="Arial" w:cs="Arial"/>
          <w:sz w:val="22"/>
          <w:szCs w:val="22"/>
        </w:rPr>
        <w:t xml:space="preserve">, 45(Supplement_1), ehae666.2562. Available at: </w:t>
      </w:r>
      <w:hyperlink r:id="rId27" w:history="1">
        <w:r w:rsidRPr="00E57D86">
          <w:rPr>
            <w:rStyle w:val="Hyperlink"/>
            <w:rFonts w:ascii="Arial" w:hAnsi="Arial" w:cs="Arial"/>
            <w:sz w:val="22"/>
            <w:szCs w:val="22"/>
          </w:rPr>
          <w:t>https://doi.org/10.1093/eurheartj/ehae666.2562</w:t>
        </w:r>
      </w:hyperlink>
      <w:r w:rsidRPr="00E57D86">
        <w:rPr>
          <w:rFonts w:ascii="Arial" w:hAnsi="Arial" w:cs="Arial"/>
          <w:sz w:val="22"/>
          <w:szCs w:val="22"/>
        </w:rPr>
        <w:t xml:space="preserve">   </w:t>
      </w:r>
    </w:p>
    <w:p w14:paraId="0DEE5730" w14:textId="4718B175" w:rsidR="00F83329" w:rsidRDefault="00E57D86" w:rsidP="002B7751">
      <w:pPr>
        <w:pStyle w:val="NormalWeb"/>
        <w:spacing w:after="0" w:line="360" w:lineRule="auto"/>
        <w:rPr>
          <w:rFonts w:ascii="Arial" w:hAnsi="Arial" w:cs="Arial"/>
          <w:sz w:val="22"/>
          <w:szCs w:val="22"/>
        </w:rPr>
      </w:pPr>
      <w:r w:rsidRPr="00E57D86">
        <w:rPr>
          <w:rFonts w:ascii="Arial" w:hAnsi="Arial" w:cs="Arial"/>
          <w:sz w:val="22"/>
          <w:szCs w:val="22"/>
        </w:rPr>
        <w:t xml:space="preserve">Grant, S., Hodgkinson, J., Schwartz, C., Bradburn, P., Franssen, M., Hobbs, F.D.R., Jowett, S., McManus, R.J.and Greenfield, S. (2019) Using mHealth for the management of hypertension in UK primary care: an embedded qualitative study of the TASMINH4 randomised controlled trial. </w:t>
      </w:r>
      <w:r w:rsidRPr="00E57D86">
        <w:rPr>
          <w:rFonts w:ascii="Arial" w:hAnsi="Arial" w:cs="Arial"/>
          <w:i/>
          <w:iCs/>
          <w:sz w:val="22"/>
          <w:szCs w:val="22"/>
        </w:rPr>
        <w:t>British Journal of General Practice</w:t>
      </w:r>
      <w:r w:rsidRPr="00E57D86">
        <w:rPr>
          <w:rFonts w:ascii="Arial" w:hAnsi="Arial" w:cs="Arial"/>
          <w:sz w:val="22"/>
          <w:szCs w:val="22"/>
        </w:rPr>
        <w:t xml:space="preserve">, 69(686), pp.e612–e620.Available at: </w:t>
      </w:r>
      <w:hyperlink r:id="rId28" w:history="1">
        <w:r w:rsidRPr="00E57D86">
          <w:rPr>
            <w:rStyle w:val="Hyperlink"/>
            <w:rFonts w:ascii="Arial" w:hAnsi="Arial" w:cs="Arial"/>
            <w:sz w:val="22"/>
            <w:szCs w:val="22"/>
          </w:rPr>
          <w:t>https://doi.org/10.3399/bjgp19X704585</w:t>
        </w:r>
      </w:hyperlink>
      <w:r w:rsidRPr="00E57D86">
        <w:rPr>
          <w:rFonts w:ascii="Arial" w:hAnsi="Arial" w:cs="Arial"/>
          <w:sz w:val="22"/>
          <w:szCs w:val="22"/>
        </w:rPr>
        <w:t xml:space="preserve">  </w:t>
      </w:r>
    </w:p>
    <w:p w14:paraId="38B1A9D7" w14:textId="797B0371" w:rsidR="00754FFF" w:rsidRPr="002B7751" w:rsidRDefault="00754FFF" w:rsidP="002B7751">
      <w:pPr>
        <w:pStyle w:val="NormalWeb"/>
        <w:spacing w:after="0" w:line="360" w:lineRule="auto"/>
        <w:rPr>
          <w:rFonts w:ascii="Arial" w:hAnsi="Arial" w:cs="Arial"/>
          <w:sz w:val="22"/>
          <w:szCs w:val="22"/>
        </w:rPr>
      </w:pPr>
      <w:r w:rsidRPr="00754FFF">
        <w:rPr>
          <w:rFonts w:ascii="Arial" w:hAnsi="Arial" w:cs="Arial"/>
          <w:sz w:val="22"/>
          <w:szCs w:val="22"/>
        </w:rPr>
        <w:t>Gottesman, R. F., Egle, M., Groechel, R. C., &amp; Mughal, A. (2025) Blood pressure and the brain: the conundrum of hypertension and dementia. </w:t>
      </w:r>
      <w:r w:rsidRPr="00754FFF">
        <w:rPr>
          <w:rFonts w:ascii="Arial" w:hAnsi="Arial" w:cs="Arial"/>
          <w:i/>
          <w:iCs/>
          <w:sz w:val="22"/>
          <w:szCs w:val="22"/>
        </w:rPr>
        <w:t>Cardiovascular research</w:t>
      </w:r>
      <w:r w:rsidRPr="00754FFF">
        <w:rPr>
          <w:rFonts w:ascii="Arial" w:hAnsi="Arial" w:cs="Arial"/>
          <w:sz w:val="22"/>
          <w:szCs w:val="22"/>
        </w:rPr>
        <w:t>, </w:t>
      </w:r>
      <w:r w:rsidRPr="00754FFF">
        <w:rPr>
          <w:rFonts w:ascii="Arial" w:hAnsi="Arial" w:cs="Arial"/>
          <w:i/>
          <w:iCs/>
          <w:sz w:val="22"/>
          <w:szCs w:val="22"/>
        </w:rPr>
        <w:t>120</w:t>
      </w:r>
      <w:r w:rsidRPr="00754FFF">
        <w:rPr>
          <w:rFonts w:ascii="Arial" w:hAnsi="Arial" w:cs="Arial"/>
          <w:sz w:val="22"/>
          <w:szCs w:val="22"/>
        </w:rPr>
        <w:t xml:space="preserve">(18), 2360–2372. </w:t>
      </w:r>
      <w:r w:rsidR="000A7C74">
        <w:rPr>
          <w:rFonts w:ascii="Arial" w:hAnsi="Arial" w:cs="Arial"/>
          <w:sz w:val="22"/>
          <w:szCs w:val="22"/>
        </w:rPr>
        <w:t xml:space="preserve">Available at: </w:t>
      </w:r>
      <w:hyperlink r:id="rId29" w:history="1">
        <w:r w:rsidR="002356AF" w:rsidRPr="008B6BD5">
          <w:rPr>
            <w:rStyle w:val="Hyperlink"/>
            <w:rFonts w:ascii="Arial" w:hAnsi="Arial" w:cs="Arial"/>
            <w:sz w:val="22"/>
            <w:szCs w:val="22"/>
          </w:rPr>
          <w:t>https://doi.org/10.1093/cvr/cvaf010</w:t>
        </w:r>
      </w:hyperlink>
      <w:r>
        <w:rPr>
          <w:rFonts w:ascii="Arial" w:hAnsi="Arial" w:cs="Arial"/>
          <w:sz w:val="22"/>
          <w:szCs w:val="22"/>
        </w:rPr>
        <w:t xml:space="preserve"> </w:t>
      </w:r>
    </w:p>
    <w:p w14:paraId="5E5D8478" w14:textId="1FD7418F" w:rsidR="00E53ED9" w:rsidRPr="00E53ED9" w:rsidRDefault="00772A16" w:rsidP="00E53ED9">
      <w:pPr>
        <w:pStyle w:val="NormalWeb"/>
        <w:spacing w:after="0" w:line="360" w:lineRule="auto"/>
        <w:rPr>
          <w:rFonts w:ascii="Arial" w:hAnsi="Arial" w:cs="Arial"/>
          <w:sz w:val="22"/>
          <w:szCs w:val="22"/>
        </w:rPr>
      </w:pPr>
      <w:r w:rsidRPr="00772A16">
        <w:rPr>
          <w:rFonts w:ascii="Arial" w:hAnsi="Arial" w:cs="Arial"/>
          <w:sz w:val="22"/>
          <w:szCs w:val="22"/>
        </w:rPr>
        <w:t>James, P. A., Oparil, S., Carter, B. L., Cushman, W. C., Dennison-Himmelfarb, C., Handler, J., Lackland, D. T., LeFevre, M. L., MacKenzie, T. D., Ogedegbe, O., Smith, S. C., Jr, Svetkey, L. P., Taler, S. J., Townsend, R. R., Wright, J. T., Jr, Narva, A. S.</w:t>
      </w:r>
      <w:r w:rsidR="00EF0B2F">
        <w:rPr>
          <w:rFonts w:ascii="Arial" w:hAnsi="Arial" w:cs="Arial"/>
          <w:sz w:val="22"/>
          <w:szCs w:val="22"/>
        </w:rPr>
        <w:t xml:space="preserve"> and </w:t>
      </w:r>
      <w:r w:rsidRPr="00772A16">
        <w:rPr>
          <w:rFonts w:ascii="Arial" w:hAnsi="Arial" w:cs="Arial"/>
          <w:sz w:val="22"/>
          <w:szCs w:val="22"/>
        </w:rPr>
        <w:t>Ortiz, E. (2014) 2014 evidence-based guideline for the management of high blood pressure in adults: report from the panel members appointed to the Eighth Joint National Committee (JNC 8). </w:t>
      </w:r>
      <w:r w:rsidRPr="00772A16">
        <w:rPr>
          <w:rFonts w:ascii="Arial" w:hAnsi="Arial" w:cs="Arial"/>
          <w:i/>
          <w:iCs/>
          <w:sz w:val="22"/>
          <w:szCs w:val="22"/>
        </w:rPr>
        <w:t>JAMA</w:t>
      </w:r>
      <w:r w:rsidRPr="00772A16">
        <w:rPr>
          <w:rFonts w:ascii="Arial" w:hAnsi="Arial" w:cs="Arial"/>
          <w:sz w:val="22"/>
          <w:szCs w:val="22"/>
        </w:rPr>
        <w:t>, </w:t>
      </w:r>
      <w:r w:rsidRPr="00772A16">
        <w:rPr>
          <w:rFonts w:ascii="Arial" w:hAnsi="Arial" w:cs="Arial"/>
          <w:i/>
          <w:iCs/>
          <w:sz w:val="22"/>
          <w:szCs w:val="22"/>
        </w:rPr>
        <w:t>311</w:t>
      </w:r>
      <w:r w:rsidRPr="00772A16">
        <w:rPr>
          <w:rFonts w:ascii="Arial" w:hAnsi="Arial" w:cs="Arial"/>
          <w:sz w:val="22"/>
          <w:szCs w:val="22"/>
        </w:rPr>
        <w:t>(5), 507–520.</w:t>
      </w:r>
      <w:r w:rsidR="00EF0B2F">
        <w:rPr>
          <w:rFonts w:ascii="Arial" w:hAnsi="Arial" w:cs="Arial"/>
          <w:sz w:val="22"/>
          <w:szCs w:val="22"/>
        </w:rPr>
        <w:t xml:space="preserve"> Available at:</w:t>
      </w:r>
      <w:r w:rsidRPr="00772A16">
        <w:rPr>
          <w:rFonts w:ascii="Arial" w:hAnsi="Arial" w:cs="Arial"/>
          <w:sz w:val="22"/>
          <w:szCs w:val="22"/>
        </w:rPr>
        <w:t xml:space="preserve"> </w:t>
      </w:r>
      <w:hyperlink r:id="rId30" w:history="1">
        <w:r w:rsidR="00385A1C" w:rsidRPr="008B6BD5">
          <w:rPr>
            <w:rStyle w:val="Hyperlink"/>
            <w:rFonts w:ascii="Arial" w:hAnsi="Arial" w:cs="Arial"/>
            <w:sz w:val="22"/>
            <w:szCs w:val="22"/>
          </w:rPr>
          <w:t>https://doi.org/10.1001/jama.2013.284427</w:t>
        </w:r>
      </w:hyperlink>
      <w:r w:rsidR="00385A1C">
        <w:rPr>
          <w:rFonts w:ascii="Arial" w:hAnsi="Arial" w:cs="Arial"/>
          <w:sz w:val="22"/>
          <w:szCs w:val="22"/>
        </w:rPr>
        <w:t xml:space="preserve"> </w:t>
      </w:r>
    </w:p>
    <w:p w14:paraId="5E909C0D" w14:textId="205944CD" w:rsidR="002B7751" w:rsidRPr="002B7751" w:rsidRDefault="00E53ED9" w:rsidP="00E57D86">
      <w:pPr>
        <w:pStyle w:val="NormalWeb"/>
        <w:spacing w:after="0" w:line="360" w:lineRule="auto"/>
        <w:rPr>
          <w:rFonts w:ascii="Arial" w:hAnsi="Arial" w:cs="Arial"/>
          <w:sz w:val="22"/>
          <w:szCs w:val="22"/>
        </w:rPr>
      </w:pPr>
      <w:r w:rsidRPr="00E53ED9">
        <w:rPr>
          <w:rFonts w:ascii="Arial" w:hAnsi="Arial" w:cs="Arial"/>
          <w:sz w:val="22"/>
          <w:szCs w:val="22"/>
        </w:rPr>
        <w:t xml:space="preserve">Jolly, H., Freel, E.M. and Isles, C. (2023) Management of hypertensive emergencies and urgencies: narrative review. </w:t>
      </w:r>
      <w:r w:rsidRPr="00E53ED9">
        <w:rPr>
          <w:rFonts w:ascii="Arial" w:hAnsi="Arial" w:cs="Arial"/>
          <w:i/>
          <w:iCs/>
          <w:sz w:val="22"/>
          <w:szCs w:val="22"/>
        </w:rPr>
        <w:t>Postgraduate Medical Journal</w:t>
      </w:r>
      <w:r w:rsidRPr="00E53ED9">
        <w:rPr>
          <w:rFonts w:ascii="Arial" w:hAnsi="Arial" w:cs="Arial"/>
          <w:sz w:val="22"/>
          <w:szCs w:val="22"/>
        </w:rPr>
        <w:t>, 99(1169), pp.119–126.</w:t>
      </w:r>
      <w:r w:rsidR="00BB13D4">
        <w:rPr>
          <w:rFonts w:ascii="Arial" w:hAnsi="Arial" w:cs="Arial"/>
          <w:sz w:val="22"/>
          <w:szCs w:val="22"/>
        </w:rPr>
        <w:t xml:space="preserve"> Available at:</w:t>
      </w:r>
      <w:r w:rsidRPr="00E53ED9">
        <w:rPr>
          <w:rFonts w:ascii="Arial" w:hAnsi="Arial" w:cs="Arial"/>
          <w:sz w:val="22"/>
          <w:szCs w:val="22"/>
        </w:rPr>
        <w:t xml:space="preserve"> </w:t>
      </w:r>
      <w:hyperlink r:id="rId31" w:history="1">
        <w:r w:rsidR="005074FB" w:rsidRPr="00E53ED9">
          <w:rPr>
            <w:rStyle w:val="Hyperlink"/>
            <w:rFonts w:ascii="Arial" w:hAnsi="Arial" w:cs="Arial"/>
            <w:sz w:val="22"/>
            <w:szCs w:val="22"/>
          </w:rPr>
          <w:t>https://doi.org/10.1136/postgradmedj-2021-140899</w:t>
        </w:r>
      </w:hyperlink>
      <w:r w:rsidR="005074FB">
        <w:rPr>
          <w:rFonts w:ascii="Arial" w:hAnsi="Arial" w:cs="Arial"/>
          <w:sz w:val="22"/>
          <w:szCs w:val="22"/>
        </w:rPr>
        <w:t xml:space="preserve"> </w:t>
      </w:r>
    </w:p>
    <w:p w14:paraId="15A799B5" w14:textId="63A65981" w:rsidR="008079B7" w:rsidRDefault="008079B7" w:rsidP="00E57D86">
      <w:pPr>
        <w:pStyle w:val="NormalWeb"/>
        <w:spacing w:after="0" w:line="360" w:lineRule="auto"/>
        <w:rPr>
          <w:rFonts w:ascii="Arial" w:hAnsi="Arial" w:cs="Arial"/>
          <w:sz w:val="22"/>
          <w:szCs w:val="22"/>
        </w:rPr>
      </w:pPr>
      <w:r w:rsidRPr="008079B7">
        <w:rPr>
          <w:rFonts w:ascii="Arial" w:hAnsi="Arial" w:cs="Arial"/>
          <w:sz w:val="22"/>
          <w:szCs w:val="22"/>
        </w:rPr>
        <w:t>J</w:t>
      </w:r>
      <w:r>
        <w:rPr>
          <w:rFonts w:ascii="Arial" w:hAnsi="Arial" w:cs="Arial"/>
          <w:sz w:val="22"/>
          <w:szCs w:val="22"/>
        </w:rPr>
        <w:t>ou</w:t>
      </w:r>
      <w:r w:rsidR="00FE1535">
        <w:rPr>
          <w:rFonts w:ascii="Arial" w:hAnsi="Arial" w:cs="Arial"/>
          <w:sz w:val="22"/>
          <w:szCs w:val="22"/>
        </w:rPr>
        <w:t xml:space="preserve">rnal of Clinical Medicine </w:t>
      </w:r>
      <w:r w:rsidRPr="008079B7">
        <w:rPr>
          <w:rFonts w:ascii="Arial" w:hAnsi="Arial" w:cs="Arial"/>
          <w:sz w:val="22"/>
          <w:szCs w:val="22"/>
        </w:rPr>
        <w:t xml:space="preserve">(2025) </w:t>
      </w:r>
      <w:r w:rsidRPr="008079B7">
        <w:rPr>
          <w:rFonts w:ascii="Arial" w:hAnsi="Arial" w:cs="Arial"/>
          <w:i/>
          <w:iCs/>
          <w:sz w:val="22"/>
          <w:szCs w:val="22"/>
        </w:rPr>
        <w:t>Hypertension: Etiology, Risk Factors, Associated Symptoms and Treatment</w:t>
      </w:r>
      <w:r w:rsidRPr="008079B7">
        <w:rPr>
          <w:rFonts w:ascii="Arial" w:hAnsi="Arial" w:cs="Arial"/>
          <w:sz w:val="22"/>
          <w:szCs w:val="22"/>
        </w:rPr>
        <w:t xml:space="preserve">. </w:t>
      </w:r>
      <w:r w:rsidRPr="008079B7">
        <w:rPr>
          <w:rFonts w:ascii="Arial" w:hAnsi="Arial" w:cs="Arial"/>
          <w:i/>
          <w:iCs/>
          <w:sz w:val="22"/>
          <w:szCs w:val="22"/>
        </w:rPr>
        <w:t>Journal of Clinical Medicine</w:t>
      </w:r>
      <w:r w:rsidRPr="008079B7">
        <w:rPr>
          <w:rFonts w:ascii="Arial" w:hAnsi="Arial" w:cs="Arial"/>
          <w:sz w:val="22"/>
          <w:szCs w:val="22"/>
        </w:rPr>
        <w:t xml:space="preserve">. Available at: </w:t>
      </w:r>
      <w:hyperlink r:id="rId32" w:history="1">
        <w:r w:rsidRPr="008079B7">
          <w:rPr>
            <w:rStyle w:val="Hyperlink"/>
            <w:rFonts w:ascii="Arial" w:hAnsi="Arial" w:cs="Arial"/>
            <w:sz w:val="22"/>
            <w:szCs w:val="22"/>
          </w:rPr>
          <w:t>https://www.mdpi.com/journal/jcm/topical_collections/Hypertension_Etiology_Risk_Factors_Associated_Symptoms_Treatment</w:t>
        </w:r>
      </w:hyperlink>
      <w:r>
        <w:rPr>
          <w:rFonts w:ascii="Arial" w:hAnsi="Arial" w:cs="Arial"/>
          <w:sz w:val="22"/>
          <w:szCs w:val="22"/>
        </w:rPr>
        <w:t xml:space="preserve"> (Accessed: 16 October 2025)</w:t>
      </w:r>
    </w:p>
    <w:p w14:paraId="767A4CB6" w14:textId="07C31D40" w:rsidR="00C05177" w:rsidRDefault="00C05177" w:rsidP="00E57D86">
      <w:pPr>
        <w:pStyle w:val="NormalWeb"/>
        <w:spacing w:after="0" w:line="360" w:lineRule="auto"/>
        <w:rPr>
          <w:rFonts w:ascii="Arial" w:hAnsi="Arial" w:cs="Arial"/>
          <w:sz w:val="22"/>
          <w:szCs w:val="22"/>
        </w:rPr>
      </w:pPr>
      <w:r w:rsidRPr="00C05177">
        <w:rPr>
          <w:rFonts w:ascii="Arial" w:hAnsi="Arial" w:cs="Arial"/>
          <w:sz w:val="22"/>
          <w:szCs w:val="22"/>
        </w:rPr>
        <w:t xml:space="preserve">Kretchy, I.A., Owusu-Daaku, F.T., Danquah, S.A. and Asampong, E. (2015) A psychosocial perspective of medication side effects and implications for adherence in hypertension management. </w:t>
      </w:r>
      <w:r w:rsidRPr="00C05177">
        <w:rPr>
          <w:rFonts w:ascii="Arial" w:hAnsi="Arial" w:cs="Arial"/>
          <w:i/>
          <w:iCs/>
          <w:sz w:val="22"/>
          <w:szCs w:val="22"/>
        </w:rPr>
        <w:t>Clinical Hypertension</w:t>
      </w:r>
      <w:r w:rsidRPr="00C05177">
        <w:rPr>
          <w:rFonts w:ascii="Arial" w:hAnsi="Arial" w:cs="Arial"/>
          <w:sz w:val="22"/>
          <w:szCs w:val="22"/>
        </w:rPr>
        <w:t>, 21(19).</w:t>
      </w:r>
      <w:r w:rsidR="006C3FFD">
        <w:rPr>
          <w:rFonts w:ascii="Arial" w:hAnsi="Arial" w:cs="Arial"/>
          <w:sz w:val="22"/>
          <w:szCs w:val="22"/>
        </w:rPr>
        <w:t>Available at:</w:t>
      </w:r>
      <w:r w:rsidRPr="00C05177">
        <w:rPr>
          <w:rFonts w:ascii="Arial" w:hAnsi="Arial" w:cs="Arial"/>
          <w:sz w:val="22"/>
          <w:szCs w:val="22"/>
        </w:rPr>
        <w:t xml:space="preserve"> </w:t>
      </w:r>
      <w:hyperlink r:id="rId33" w:history="1">
        <w:r w:rsidR="005173E0" w:rsidRPr="00C05177">
          <w:rPr>
            <w:rStyle w:val="Hyperlink"/>
            <w:rFonts w:ascii="Arial" w:hAnsi="Arial" w:cs="Arial"/>
            <w:sz w:val="22"/>
            <w:szCs w:val="22"/>
          </w:rPr>
          <w:t>https://doi.org/10.1186/s40885-015-0028-3</w:t>
        </w:r>
      </w:hyperlink>
      <w:r w:rsidR="005173E0">
        <w:rPr>
          <w:rFonts w:ascii="Arial" w:hAnsi="Arial" w:cs="Arial"/>
          <w:sz w:val="22"/>
          <w:szCs w:val="22"/>
        </w:rPr>
        <w:t xml:space="preserve"> </w:t>
      </w:r>
    </w:p>
    <w:p w14:paraId="324DB2EF" w14:textId="77777777" w:rsidR="00FE1535" w:rsidRDefault="00FE1535" w:rsidP="00E57D86">
      <w:pPr>
        <w:pStyle w:val="NormalWeb"/>
        <w:spacing w:after="0" w:line="360" w:lineRule="auto"/>
        <w:rPr>
          <w:rFonts w:ascii="Arial" w:hAnsi="Arial" w:cs="Arial"/>
          <w:sz w:val="22"/>
          <w:szCs w:val="22"/>
        </w:rPr>
      </w:pPr>
    </w:p>
    <w:p w14:paraId="5B27F5B5" w14:textId="77777777" w:rsidR="00FE1535" w:rsidRDefault="00FE1535" w:rsidP="00E57D86">
      <w:pPr>
        <w:pStyle w:val="NormalWeb"/>
        <w:spacing w:after="0" w:line="360" w:lineRule="auto"/>
        <w:rPr>
          <w:rFonts w:ascii="Arial" w:hAnsi="Arial" w:cs="Arial"/>
          <w:sz w:val="22"/>
          <w:szCs w:val="22"/>
        </w:rPr>
      </w:pPr>
    </w:p>
    <w:p w14:paraId="32C79AE4" w14:textId="69D63E7B" w:rsidR="00F83329" w:rsidRDefault="00E57D86" w:rsidP="00E57D86">
      <w:pPr>
        <w:pStyle w:val="NormalWeb"/>
        <w:spacing w:after="0" w:line="360" w:lineRule="auto"/>
        <w:rPr>
          <w:rFonts w:ascii="Arial" w:hAnsi="Arial" w:cs="Arial"/>
          <w:sz w:val="22"/>
          <w:szCs w:val="22"/>
        </w:rPr>
      </w:pPr>
      <w:r w:rsidRPr="00E57D86">
        <w:rPr>
          <w:rFonts w:ascii="Arial" w:hAnsi="Arial" w:cs="Arial"/>
          <w:sz w:val="22"/>
          <w:szCs w:val="22"/>
        </w:rPr>
        <w:t xml:space="preserve">Liu, S., Liu, T., Teng, D., Wang, H., Li, F., Lu, C., Guo, J., Li, J., Wang, H., Wang, Z., Guo, Q., Zhang, J. and Li, Y. (2025) Associations of socioeconomic status and healthy lifestyle with incident early-onset and late-onset hypertension: a nationwide prospective cohort study in the UK. </w:t>
      </w:r>
      <w:r w:rsidRPr="00E57D86">
        <w:rPr>
          <w:rFonts w:ascii="Arial" w:hAnsi="Arial" w:cs="Arial"/>
          <w:i/>
          <w:iCs/>
          <w:sz w:val="22"/>
          <w:szCs w:val="22"/>
        </w:rPr>
        <w:t>Population Health Metrics</w:t>
      </w:r>
      <w:r w:rsidRPr="00E57D86">
        <w:rPr>
          <w:rFonts w:ascii="Arial" w:hAnsi="Arial" w:cs="Arial"/>
          <w:sz w:val="22"/>
          <w:szCs w:val="22"/>
        </w:rPr>
        <w:t xml:space="preserve">, 23(24). Available at: </w:t>
      </w:r>
      <w:hyperlink r:id="rId34" w:history="1">
        <w:r w:rsidRPr="00E57D86">
          <w:rPr>
            <w:rStyle w:val="Hyperlink"/>
            <w:rFonts w:ascii="Arial" w:hAnsi="Arial" w:cs="Arial"/>
            <w:sz w:val="22"/>
            <w:szCs w:val="22"/>
          </w:rPr>
          <w:t>https://doi.org/10.1186/s12963-025-00392-y</w:t>
        </w:r>
      </w:hyperlink>
      <w:r w:rsidRPr="00E57D86">
        <w:rPr>
          <w:rFonts w:ascii="Arial" w:hAnsi="Arial" w:cs="Arial"/>
          <w:sz w:val="22"/>
          <w:szCs w:val="22"/>
        </w:rPr>
        <w:t xml:space="preserve">  </w:t>
      </w:r>
    </w:p>
    <w:p w14:paraId="0B09C12D" w14:textId="2E8A369B" w:rsidR="00E57D86" w:rsidRPr="00E57D86" w:rsidRDefault="00E57D86" w:rsidP="00E57D86">
      <w:pPr>
        <w:pStyle w:val="NormalWeb"/>
        <w:spacing w:after="0" w:line="360" w:lineRule="auto"/>
        <w:rPr>
          <w:rFonts w:ascii="Arial" w:hAnsi="Arial" w:cs="Arial"/>
          <w:sz w:val="22"/>
          <w:szCs w:val="22"/>
        </w:rPr>
      </w:pPr>
      <w:r w:rsidRPr="00E57D86">
        <w:rPr>
          <w:rFonts w:ascii="Arial" w:hAnsi="Arial" w:cs="Arial"/>
          <w:sz w:val="22"/>
          <w:szCs w:val="22"/>
        </w:rPr>
        <w:t xml:space="preserve">Ma, G., Zhou, C., Han, Z., Mu, T. and Ma, X. (2024) Social support and physical literacy in young and middle-aged patients with hypertension: the mediating effects of sense of coherence and self-efficacy. </w:t>
      </w:r>
      <w:r w:rsidRPr="00E57D86">
        <w:rPr>
          <w:rFonts w:ascii="Arial" w:hAnsi="Arial" w:cs="Arial"/>
          <w:i/>
          <w:iCs/>
          <w:sz w:val="22"/>
          <w:szCs w:val="22"/>
        </w:rPr>
        <w:t>BMC Psychiatry</w:t>
      </w:r>
      <w:r w:rsidRPr="00E57D86">
        <w:rPr>
          <w:rFonts w:ascii="Arial" w:hAnsi="Arial" w:cs="Arial"/>
          <w:sz w:val="22"/>
          <w:szCs w:val="22"/>
        </w:rPr>
        <w:t>, 24, 494.</w:t>
      </w:r>
      <w:r w:rsidR="006C3FFD">
        <w:rPr>
          <w:rFonts w:ascii="Arial" w:hAnsi="Arial" w:cs="Arial"/>
          <w:sz w:val="22"/>
          <w:szCs w:val="22"/>
        </w:rPr>
        <w:t>Available at:</w:t>
      </w:r>
      <w:r w:rsidRPr="00E57D86">
        <w:rPr>
          <w:rFonts w:ascii="Arial" w:hAnsi="Arial" w:cs="Arial"/>
          <w:sz w:val="22"/>
          <w:szCs w:val="22"/>
        </w:rPr>
        <w:t xml:space="preserve"> </w:t>
      </w:r>
      <w:hyperlink r:id="rId35" w:history="1">
        <w:r w:rsidRPr="00E57D86">
          <w:rPr>
            <w:rStyle w:val="Hyperlink"/>
            <w:rFonts w:ascii="Arial" w:hAnsi="Arial" w:cs="Arial"/>
            <w:sz w:val="22"/>
            <w:szCs w:val="22"/>
          </w:rPr>
          <w:t>https://bmcpsychiatry.biomedcentral.com/articles/10.1186/s12888-024-05935-5</w:t>
        </w:r>
      </w:hyperlink>
      <w:r w:rsidRPr="00E57D86">
        <w:rPr>
          <w:rFonts w:ascii="Arial" w:hAnsi="Arial" w:cs="Arial"/>
          <w:sz w:val="22"/>
          <w:szCs w:val="22"/>
        </w:rPr>
        <w:t xml:space="preserve">  (Accessed: 10 October 2025).</w:t>
      </w:r>
    </w:p>
    <w:p w14:paraId="443BCECB" w14:textId="18769F16" w:rsidR="00717CCE" w:rsidRDefault="00E57D86" w:rsidP="00717CCE">
      <w:pPr>
        <w:pStyle w:val="NormalWeb"/>
        <w:spacing w:after="0" w:line="360" w:lineRule="auto"/>
        <w:rPr>
          <w:rFonts w:ascii="Arial" w:hAnsi="Arial" w:cs="Arial"/>
          <w:sz w:val="22"/>
          <w:szCs w:val="22"/>
        </w:rPr>
      </w:pPr>
      <w:r w:rsidRPr="00E57D86">
        <w:rPr>
          <w:rFonts w:ascii="Arial" w:hAnsi="Arial" w:cs="Arial"/>
          <w:sz w:val="22"/>
          <w:szCs w:val="22"/>
        </w:rPr>
        <w:t xml:space="preserve">MedRxiv (2025) Understanding the Psychological Factors that Impact Hypertension: A Preprint. </w:t>
      </w:r>
      <w:r w:rsidRPr="00E57D86">
        <w:rPr>
          <w:rFonts w:ascii="Arial" w:hAnsi="Arial" w:cs="Arial"/>
          <w:i/>
          <w:iCs/>
          <w:sz w:val="22"/>
          <w:szCs w:val="22"/>
        </w:rPr>
        <w:t>MedRxiv</w:t>
      </w:r>
      <w:r w:rsidRPr="00E57D86">
        <w:rPr>
          <w:rFonts w:ascii="Arial" w:hAnsi="Arial" w:cs="Arial"/>
          <w:sz w:val="22"/>
          <w:szCs w:val="22"/>
        </w:rPr>
        <w:t xml:space="preserve">. Available at: </w:t>
      </w:r>
      <w:hyperlink r:id="rId36" w:history="1">
        <w:r w:rsidRPr="00E57D86">
          <w:rPr>
            <w:rStyle w:val="Hyperlink"/>
            <w:rFonts w:ascii="Arial" w:hAnsi="Arial" w:cs="Arial"/>
            <w:sz w:val="22"/>
            <w:szCs w:val="22"/>
          </w:rPr>
          <w:t>https://www.medrxiv.org/content/10.1101/2025.08.21.25334144v1.full.pdf</w:t>
        </w:r>
      </w:hyperlink>
      <w:r w:rsidRPr="00E57D86">
        <w:rPr>
          <w:rFonts w:ascii="Arial" w:hAnsi="Arial" w:cs="Arial"/>
          <w:sz w:val="22"/>
          <w:szCs w:val="22"/>
        </w:rPr>
        <w:t xml:space="preserve">  (Accessed: 8 October</w:t>
      </w:r>
      <w:r w:rsidR="00D05795">
        <w:rPr>
          <w:rFonts w:ascii="Arial" w:hAnsi="Arial" w:cs="Arial"/>
          <w:sz w:val="22"/>
          <w:szCs w:val="22"/>
        </w:rPr>
        <w:t xml:space="preserve"> 2025</w:t>
      </w:r>
      <w:r w:rsidRPr="00E57D86">
        <w:rPr>
          <w:rFonts w:ascii="Arial" w:hAnsi="Arial" w:cs="Arial"/>
          <w:sz w:val="22"/>
          <w:szCs w:val="22"/>
        </w:rPr>
        <w:t>).</w:t>
      </w:r>
    </w:p>
    <w:p w14:paraId="7625A191" w14:textId="77777777" w:rsidR="00E43602" w:rsidRPr="00E43602" w:rsidRDefault="00E43602" w:rsidP="00E43602">
      <w:pPr>
        <w:pStyle w:val="NormalWeb"/>
        <w:spacing w:after="0" w:line="360" w:lineRule="auto"/>
        <w:rPr>
          <w:rFonts w:ascii="Arial" w:hAnsi="Arial" w:cs="Arial"/>
          <w:sz w:val="22"/>
          <w:szCs w:val="22"/>
        </w:rPr>
      </w:pPr>
      <w:r w:rsidRPr="00E43602">
        <w:rPr>
          <w:rFonts w:ascii="Arial" w:hAnsi="Arial" w:cs="Arial"/>
          <w:sz w:val="22"/>
          <w:szCs w:val="22"/>
        </w:rPr>
        <w:t xml:space="preserve">National Health Service Digital (2023) </w:t>
      </w:r>
      <w:r w:rsidRPr="00E43602">
        <w:rPr>
          <w:rFonts w:ascii="Arial" w:hAnsi="Arial" w:cs="Arial"/>
          <w:i/>
          <w:iCs/>
          <w:sz w:val="22"/>
          <w:szCs w:val="22"/>
        </w:rPr>
        <w:t>Health Survey for England 2021 Part 2: Adults’ Health – Hypertension</w:t>
      </w:r>
      <w:r w:rsidRPr="00E43602">
        <w:rPr>
          <w:rFonts w:ascii="Arial" w:hAnsi="Arial" w:cs="Arial"/>
          <w:sz w:val="22"/>
          <w:szCs w:val="22"/>
        </w:rPr>
        <w:t xml:space="preserve">. Available at: </w:t>
      </w:r>
      <w:hyperlink r:id="rId37" w:history="1">
        <w:r w:rsidRPr="00E43602">
          <w:rPr>
            <w:rStyle w:val="Hyperlink"/>
            <w:rFonts w:ascii="Arial" w:hAnsi="Arial" w:cs="Arial"/>
            <w:sz w:val="22"/>
            <w:szCs w:val="22"/>
          </w:rPr>
          <w:t>Adults' health: Hypertension - NHS England Digital</w:t>
        </w:r>
      </w:hyperlink>
      <w:r w:rsidRPr="00E43602">
        <w:rPr>
          <w:rFonts w:ascii="Arial" w:hAnsi="Arial" w:cs="Arial"/>
          <w:sz w:val="22"/>
          <w:szCs w:val="22"/>
        </w:rPr>
        <w:t xml:space="preserve">  (Accessed: 16 October 2025).</w:t>
      </w:r>
    </w:p>
    <w:p w14:paraId="1A917249" w14:textId="2BE4D317" w:rsidR="00FD5964" w:rsidRDefault="00E016A1" w:rsidP="00B27C43">
      <w:pPr>
        <w:pStyle w:val="NormalWeb"/>
        <w:spacing w:after="0" w:line="360" w:lineRule="auto"/>
        <w:rPr>
          <w:rFonts w:ascii="Arial" w:hAnsi="Arial" w:cs="Arial"/>
          <w:sz w:val="22"/>
          <w:szCs w:val="22"/>
        </w:rPr>
      </w:pPr>
      <w:r>
        <w:rPr>
          <w:rFonts w:ascii="Arial" w:hAnsi="Arial" w:cs="Arial"/>
          <w:sz w:val="22"/>
          <w:szCs w:val="22"/>
        </w:rPr>
        <w:t>National Health Service</w:t>
      </w:r>
      <w:r w:rsidR="00E57D86" w:rsidRPr="00E57D86">
        <w:rPr>
          <w:rFonts w:ascii="Arial" w:hAnsi="Arial" w:cs="Arial"/>
          <w:sz w:val="22"/>
          <w:szCs w:val="22"/>
        </w:rPr>
        <w:t xml:space="preserve"> England (2019) </w:t>
      </w:r>
      <w:r w:rsidR="00E57D86" w:rsidRPr="00E57D86">
        <w:rPr>
          <w:rFonts w:ascii="Arial" w:hAnsi="Arial" w:cs="Arial"/>
          <w:i/>
          <w:iCs/>
          <w:sz w:val="22"/>
          <w:szCs w:val="22"/>
        </w:rPr>
        <w:t>The NHS Long Term Plan</w:t>
      </w:r>
      <w:r w:rsidR="00E57D86" w:rsidRPr="00E57D86">
        <w:rPr>
          <w:rFonts w:ascii="Arial" w:hAnsi="Arial" w:cs="Arial"/>
          <w:sz w:val="22"/>
          <w:szCs w:val="22"/>
        </w:rPr>
        <w:t xml:space="preserve">. Available at: </w:t>
      </w:r>
      <w:hyperlink r:id="rId38" w:history="1">
        <w:r w:rsidR="00E57D86" w:rsidRPr="00E57D86">
          <w:rPr>
            <w:rStyle w:val="Hyperlink"/>
            <w:rFonts w:ascii="Arial" w:hAnsi="Arial" w:cs="Arial"/>
            <w:sz w:val="22"/>
            <w:szCs w:val="22"/>
          </w:rPr>
          <w:t>https://www.longtermplan.nhs.uk</w:t>
        </w:r>
      </w:hyperlink>
      <w:r w:rsidR="00E57D86" w:rsidRPr="00E57D86">
        <w:rPr>
          <w:rFonts w:ascii="Arial" w:hAnsi="Arial" w:cs="Arial"/>
          <w:sz w:val="22"/>
          <w:szCs w:val="22"/>
        </w:rPr>
        <w:t xml:space="preserve">  (Accessed 9 October 2025).</w:t>
      </w:r>
    </w:p>
    <w:p w14:paraId="21DB1C17" w14:textId="70FCF4CF" w:rsidR="00B27C43" w:rsidRPr="00E57D86" w:rsidRDefault="00B27C43" w:rsidP="00E57D86">
      <w:pPr>
        <w:pStyle w:val="NormalWeb"/>
        <w:spacing w:after="0" w:line="360" w:lineRule="auto"/>
        <w:rPr>
          <w:rFonts w:ascii="Arial" w:hAnsi="Arial" w:cs="Arial"/>
          <w:sz w:val="22"/>
          <w:szCs w:val="22"/>
        </w:rPr>
      </w:pPr>
      <w:r w:rsidRPr="00B27C43">
        <w:rPr>
          <w:rFonts w:ascii="Arial" w:hAnsi="Arial" w:cs="Arial"/>
          <w:sz w:val="22"/>
          <w:szCs w:val="22"/>
        </w:rPr>
        <w:t>N</w:t>
      </w:r>
      <w:r w:rsidR="008E6893">
        <w:rPr>
          <w:rFonts w:ascii="Arial" w:hAnsi="Arial" w:cs="Arial"/>
          <w:sz w:val="22"/>
          <w:szCs w:val="22"/>
        </w:rPr>
        <w:t>ational Health Service</w:t>
      </w:r>
      <w:r w:rsidRPr="00B27C43">
        <w:rPr>
          <w:rFonts w:ascii="Arial" w:hAnsi="Arial" w:cs="Arial"/>
          <w:sz w:val="22"/>
          <w:szCs w:val="22"/>
        </w:rPr>
        <w:t xml:space="preserve"> England (2019)</w:t>
      </w:r>
      <w:r>
        <w:rPr>
          <w:rFonts w:ascii="Arial" w:hAnsi="Arial" w:cs="Arial"/>
          <w:sz w:val="22"/>
          <w:szCs w:val="22"/>
        </w:rPr>
        <w:t xml:space="preserve"> </w:t>
      </w:r>
      <w:r w:rsidRPr="00B27C43">
        <w:rPr>
          <w:rFonts w:ascii="Arial" w:hAnsi="Arial" w:cs="Arial"/>
          <w:i/>
          <w:iCs/>
          <w:sz w:val="22"/>
          <w:szCs w:val="22"/>
        </w:rPr>
        <w:t>Long Term Conditions Year of Care Commissioning Handbook</w:t>
      </w:r>
      <w:r w:rsidRPr="00B27C43">
        <w:rPr>
          <w:rFonts w:ascii="Arial" w:hAnsi="Arial" w:cs="Arial"/>
          <w:sz w:val="22"/>
          <w:szCs w:val="22"/>
        </w:rPr>
        <w:t xml:space="preserve">. Available at: </w:t>
      </w:r>
      <w:hyperlink r:id="rId39" w:history="1">
        <w:r w:rsidRPr="00B27C43">
          <w:rPr>
            <w:rStyle w:val="Hyperlink"/>
            <w:rFonts w:ascii="Arial" w:hAnsi="Arial" w:cs="Arial"/>
            <w:sz w:val="22"/>
            <w:szCs w:val="22"/>
          </w:rPr>
          <w:t>https://www.england.nhs.uk/wp-content/uploads/2017/02/ltc-yoc-handbook.pdf</w:t>
        </w:r>
      </w:hyperlink>
      <w:r>
        <w:rPr>
          <w:rFonts w:ascii="Arial" w:hAnsi="Arial" w:cs="Arial"/>
          <w:sz w:val="22"/>
          <w:szCs w:val="22"/>
        </w:rPr>
        <w:t xml:space="preserve"> ( Accessed</w:t>
      </w:r>
      <w:r w:rsidR="00FD5964">
        <w:rPr>
          <w:rFonts w:ascii="Arial" w:hAnsi="Arial" w:cs="Arial"/>
          <w:sz w:val="22"/>
          <w:szCs w:val="22"/>
        </w:rPr>
        <w:t>:12 October 2025).</w:t>
      </w:r>
    </w:p>
    <w:p w14:paraId="36F7C953" w14:textId="4B44C722" w:rsidR="00E016A1" w:rsidRPr="00E57D86" w:rsidRDefault="00E57D86" w:rsidP="00E57D86">
      <w:pPr>
        <w:pStyle w:val="NormalWeb"/>
        <w:spacing w:after="0" w:line="360" w:lineRule="auto"/>
        <w:rPr>
          <w:rFonts w:ascii="Arial" w:hAnsi="Arial" w:cs="Arial"/>
          <w:sz w:val="22"/>
          <w:szCs w:val="22"/>
        </w:rPr>
      </w:pPr>
      <w:r w:rsidRPr="00E57D86">
        <w:rPr>
          <w:rFonts w:ascii="Arial" w:hAnsi="Arial" w:cs="Arial"/>
          <w:sz w:val="22"/>
          <w:szCs w:val="22"/>
        </w:rPr>
        <w:t>N</w:t>
      </w:r>
      <w:r w:rsidR="00E016A1">
        <w:rPr>
          <w:rFonts w:ascii="Arial" w:hAnsi="Arial" w:cs="Arial"/>
          <w:sz w:val="22"/>
          <w:szCs w:val="22"/>
        </w:rPr>
        <w:t>ational Health Service</w:t>
      </w:r>
      <w:r w:rsidRPr="00E57D86">
        <w:rPr>
          <w:rFonts w:ascii="Arial" w:hAnsi="Arial" w:cs="Arial"/>
          <w:sz w:val="22"/>
          <w:szCs w:val="22"/>
        </w:rPr>
        <w:t xml:space="preserve"> England (2019) </w:t>
      </w:r>
      <w:r w:rsidRPr="00E57D86">
        <w:rPr>
          <w:rFonts w:ascii="Arial" w:hAnsi="Arial" w:cs="Arial"/>
          <w:i/>
          <w:iCs/>
          <w:sz w:val="22"/>
          <w:szCs w:val="22"/>
        </w:rPr>
        <w:t>NHS Health Check Programme</w:t>
      </w:r>
      <w:r w:rsidRPr="00E57D86">
        <w:rPr>
          <w:rFonts w:ascii="Arial" w:hAnsi="Arial" w:cs="Arial"/>
          <w:sz w:val="22"/>
          <w:szCs w:val="22"/>
        </w:rPr>
        <w:t xml:space="preserve">. Available at: </w:t>
      </w:r>
      <w:hyperlink r:id="rId40" w:history="1">
        <w:r w:rsidRPr="00E57D86">
          <w:rPr>
            <w:rStyle w:val="Hyperlink"/>
            <w:rFonts w:ascii="Arial" w:hAnsi="Arial" w:cs="Arial"/>
            <w:sz w:val="22"/>
            <w:szCs w:val="22"/>
          </w:rPr>
          <w:t>https://www.healthcheck.nhs.uk</w:t>
        </w:r>
      </w:hyperlink>
      <w:r w:rsidRPr="00E57D86">
        <w:rPr>
          <w:rFonts w:ascii="Arial" w:hAnsi="Arial" w:cs="Arial"/>
          <w:sz w:val="22"/>
          <w:szCs w:val="22"/>
        </w:rPr>
        <w:t xml:space="preserve">  (Accessed 10 October 2025</w:t>
      </w:r>
      <w:r w:rsidR="00FD5964">
        <w:rPr>
          <w:rFonts w:ascii="Arial" w:hAnsi="Arial" w:cs="Arial"/>
          <w:sz w:val="22"/>
          <w:szCs w:val="22"/>
        </w:rPr>
        <w:t>)</w:t>
      </w:r>
      <w:r w:rsidRPr="00E57D86">
        <w:rPr>
          <w:rFonts w:ascii="Arial" w:hAnsi="Arial" w:cs="Arial"/>
          <w:sz w:val="22"/>
          <w:szCs w:val="22"/>
        </w:rPr>
        <w:t>.</w:t>
      </w:r>
    </w:p>
    <w:p w14:paraId="6B4430DF" w14:textId="3AA85343" w:rsidR="00E016A1" w:rsidRPr="00E57D86" w:rsidRDefault="00E57D86" w:rsidP="00E57D86">
      <w:pPr>
        <w:pStyle w:val="NormalWeb"/>
        <w:spacing w:after="0" w:line="360" w:lineRule="auto"/>
        <w:rPr>
          <w:rFonts w:ascii="Arial" w:hAnsi="Arial" w:cs="Arial"/>
          <w:sz w:val="22"/>
          <w:szCs w:val="22"/>
        </w:rPr>
      </w:pPr>
      <w:r w:rsidRPr="00E57D86">
        <w:rPr>
          <w:rFonts w:ascii="Arial" w:hAnsi="Arial" w:cs="Arial"/>
          <w:sz w:val="22"/>
          <w:szCs w:val="22"/>
        </w:rPr>
        <w:t>N</w:t>
      </w:r>
      <w:r w:rsidR="00E016A1">
        <w:rPr>
          <w:rFonts w:ascii="Arial" w:hAnsi="Arial" w:cs="Arial"/>
          <w:sz w:val="22"/>
          <w:szCs w:val="22"/>
        </w:rPr>
        <w:t>ational Health Service</w:t>
      </w:r>
      <w:r w:rsidRPr="00E57D86">
        <w:rPr>
          <w:rFonts w:ascii="Arial" w:hAnsi="Arial" w:cs="Arial"/>
          <w:sz w:val="22"/>
          <w:szCs w:val="22"/>
        </w:rPr>
        <w:t xml:space="preserve"> England (2022) </w:t>
      </w:r>
      <w:r w:rsidRPr="00E57D86">
        <w:rPr>
          <w:rFonts w:ascii="Arial" w:hAnsi="Arial" w:cs="Arial"/>
          <w:i/>
          <w:iCs/>
          <w:sz w:val="22"/>
          <w:szCs w:val="22"/>
        </w:rPr>
        <w:t>Quality and Outcomes Framework: Hypertension Indicators</w:t>
      </w:r>
      <w:r w:rsidRPr="00E57D86">
        <w:rPr>
          <w:rFonts w:ascii="Arial" w:hAnsi="Arial" w:cs="Arial"/>
          <w:sz w:val="22"/>
          <w:szCs w:val="22"/>
        </w:rPr>
        <w:t xml:space="preserve">. Available at: </w:t>
      </w:r>
      <w:hyperlink r:id="rId41" w:history="1">
        <w:r w:rsidRPr="00E57D86">
          <w:rPr>
            <w:rStyle w:val="Hyperlink"/>
            <w:rFonts w:ascii="Arial" w:hAnsi="Arial" w:cs="Arial"/>
            <w:sz w:val="22"/>
            <w:szCs w:val="22"/>
          </w:rPr>
          <w:t>https://www.myhealthlondon.nhs.uk/media/7853/qof-indicators--goals-and-outcome-measures--hypertension--cks--nice.pdf</w:t>
        </w:r>
      </w:hyperlink>
      <w:r w:rsidRPr="00E57D86">
        <w:rPr>
          <w:rFonts w:ascii="Arial" w:hAnsi="Arial" w:cs="Arial"/>
          <w:sz w:val="22"/>
          <w:szCs w:val="22"/>
        </w:rPr>
        <w:t xml:space="preserve">  (Accessed 11 October 2025</w:t>
      </w:r>
      <w:r w:rsidR="00E016A1">
        <w:rPr>
          <w:rFonts w:ascii="Arial" w:hAnsi="Arial" w:cs="Arial"/>
          <w:sz w:val="22"/>
          <w:szCs w:val="22"/>
        </w:rPr>
        <w:t>)</w:t>
      </w:r>
      <w:r w:rsidRPr="00E57D86">
        <w:rPr>
          <w:rFonts w:ascii="Arial" w:hAnsi="Arial" w:cs="Arial"/>
          <w:sz w:val="22"/>
          <w:szCs w:val="22"/>
        </w:rPr>
        <w:t>.</w:t>
      </w:r>
    </w:p>
    <w:p w14:paraId="492F268A" w14:textId="5681CC5C" w:rsidR="004718E8" w:rsidRPr="00E57D86" w:rsidRDefault="00E57D86" w:rsidP="00E57D86">
      <w:pPr>
        <w:pStyle w:val="NormalWeb"/>
        <w:spacing w:after="0" w:line="360" w:lineRule="auto"/>
        <w:rPr>
          <w:rFonts w:ascii="Arial" w:hAnsi="Arial" w:cs="Arial"/>
          <w:sz w:val="22"/>
          <w:szCs w:val="22"/>
        </w:rPr>
      </w:pPr>
      <w:r w:rsidRPr="00E57D86">
        <w:rPr>
          <w:rFonts w:ascii="Arial" w:hAnsi="Arial" w:cs="Arial"/>
          <w:sz w:val="22"/>
          <w:szCs w:val="22"/>
        </w:rPr>
        <w:t>N</w:t>
      </w:r>
      <w:r w:rsidR="00E016A1">
        <w:rPr>
          <w:rFonts w:ascii="Arial" w:hAnsi="Arial" w:cs="Arial"/>
          <w:sz w:val="22"/>
          <w:szCs w:val="22"/>
        </w:rPr>
        <w:t>ational Health Service</w:t>
      </w:r>
      <w:r w:rsidRPr="00E57D86">
        <w:rPr>
          <w:rFonts w:ascii="Arial" w:hAnsi="Arial" w:cs="Arial"/>
          <w:sz w:val="22"/>
          <w:szCs w:val="22"/>
        </w:rPr>
        <w:t xml:space="preserve"> England (2023) Under control: why getting to grips with blood pressure is a win-win intervention for healthcare systems. </w:t>
      </w:r>
      <w:r w:rsidRPr="00E57D86">
        <w:rPr>
          <w:rFonts w:ascii="Arial" w:hAnsi="Arial" w:cs="Arial"/>
          <w:i/>
          <w:iCs/>
          <w:sz w:val="22"/>
          <w:szCs w:val="22"/>
        </w:rPr>
        <w:t>NHS Blog</w:t>
      </w:r>
      <w:r w:rsidRPr="00E57D86">
        <w:rPr>
          <w:rFonts w:ascii="Arial" w:hAnsi="Arial" w:cs="Arial"/>
          <w:sz w:val="22"/>
          <w:szCs w:val="22"/>
        </w:rPr>
        <w:t xml:space="preserve">. </w:t>
      </w:r>
      <w:hyperlink r:id="rId42" w:history="1">
        <w:r w:rsidRPr="00E57D86">
          <w:rPr>
            <w:rStyle w:val="Hyperlink"/>
            <w:rFonts w:ascii="Arial" w:hAnsi="Arial" w:cs="Arial"/>
            <w:sz w:val="22"/>
            <w:szCs w:val="22"/>
          </w:rPr>
          <w:t>https://www.england.nhs.uk/blog/under-control-why-getting-to-grips-with-blood-pressure-is-a-win-win-intervention-for-healthcare-systems</w:t>
        </w:r>
      </w:hyperlink>
      <w:r w:rsidRPr="00E57D86">
        <w:rPr>
          <w:rFonts w:ascii="Arial" w:hAnsi="Arial" w:cs="Arial"/>
          <w:sz w:val="22"/>
          <w:szCs w:val="22"/>
        </w:rPr>
        <w:t xml:space="preserve"> / (Accessed:12 October 2025).</w:t>
      </w:r>
    </w:p>
    <w:p w14:paraId="08BF83A4" w14:textId="4126008C" w:rsidR="00610844" w:rsidRDefault="004718E8" w:rsidP="00610844">
      <w:pPr>
        <w:pStyle w:val="NormalWeb"/>
        <w:spacing w:after="0" w:line="360" w:lineRule="auto"/>
        <w:rPr>
          <w:rFonts w:ascii="Arial" w:hAnsi="Arial" w:cs="Arial"/>
          <w:sz w:val="22"/>
          <w:szCs w:val="22"/>
        </w:rPr>
      </w:pPr>
      <w:r w:rsidRPr="00E57D86">
        <w:rPr>
          <w:rFonts w:ascii="Arial" w:hAnsi="Arial" w:cs="Arial"/>
          <w:sz w:val="22"/>
          <w:szCs w:val="22"/>
        </w:rPr>
        <w:t>National Institute for Health and Care Excellence</w:t>
      </w:r>
      <w:r w:rsidR="00E57D86" w:rsidRPr="00E57D86">
        <w:rPr>
          <w:rFonts w:ascii="Arial" w:hAnsi="Arial" w:cs="Arial"/>
          <w:sz w:val="22"/>
          <w:szCs w:val="22"/>
        </w:rPr>
        <w:t xml:space="preserve"> (2019) </w:t>
      </w:r>
      <w:r w:rsidR="00E57D86" w:rsidRPr="00E57D86">
        <w:rPr>
          <w:rFonts w:ascii="Arial" w:hAnsi="Arial" w:cs="Arial"/>
          <w:i/>
          <w:iCs/>
          <w:sz w:val="22"/>
          <w:szCs w:val="22"/>
        </w:rPr>
        <w:t>Hypertension in adults: diagnosis and management (NG136)</w:t>
      </w:r>
      <w:r w:rsidR="00E57D86" w:rsidRPr="00E57D86">
        <w:rPr>
          <w:rFonts w:ascii="Arial" w:hAnsi="Arial" w:cs="Arial"/>
          <w:sz w:val="22"/>
          <w:szCs w:val="22"/>
        </w:rPr>
        <w:t xml:space="preserve">. </w:t>
      </w:r>
      <w:r w:rsidR="00786DC2">
        <w:rPr>
          <w:rFonts w:ascii="Arial" w:hAnsi="Arial" w:cs="Arial"/>
          <w:sz w:val="22"/>
          <w:szCs w:val="22"/>
        </w:rPr>
        <w:t xml:space="preserve">Available at: </w:t>
      </w:r>
      <w:hyperlink r:id="rId43" w:history="1">
        <w:r w:rsidR="00DE7123" w:rsidRPr="00E57D86">
          <w:rPr>
            <w:rStyle w:val="Hyperlink"/>
            <w:rFonts w:ascii="Arial" w:hAnsi="Arial" w:cs="Arial"/>
            <w:sz w:val="22"/>
            <w:szCs w:val="22"/>
          </w:rPr>
          <w:t>https://www.nice.org.uk/guidance/ng136</w:t>
        </w:r>
      </w:hyperlink>
      <w:r w:rsidR="00E57D86" w:rsidRPr="00E57D86">
        <w:rPr>
          <w:rFonts w:ascii="Arial" w:hAnsi="Arial" w:cs="Arial"/>
          <w:sz w:val="22"/>
          <w:szCs w:val="22"/>
        </w:rPr>
        <w:t xml:space="preserve">  (Accessed 9 October 2025).</w:t>
      </w:r>
    </w:p>
    <w:p w14:paraId="109436E3" w14:textId="0BC9CA65" w:rsidR="00C9012E" w:rsidRDefault="00C9012E" w:rsidP="00610844">
      <w:pPr>
        <w:pStyle w:val="NormalWeb"/>
        <w:spacing w:after="0" w:line="360" w:lineRule="auto"/>
        <w:rPr>
          <w:rFonts w:ascii="Arial" w:hAnsi="Arial" w:cs="Arial"/>
          <w:sz w:val="22"/>
          <w:szCs w:val="22"/>
        </w:rPr>
      </w:pPr>
      <w:r w:rsidRPr="00C9012E">
        <w:rPr>
          <w:rFonts w:ascii="Arial" w:hAnsi="Arial" w:cs="Arial"/>
          <w:sz w:val="22"/>
          <w:szCs w:val="22"/>
        </w:rPr>
        <w:t>N</w:t>
      </w:r>
      <w:r w:rsidR="00FA1B0E">
        <w:rPr>
          <w:rFonts w:ascii="Arial" w:hAnsi="Arial" w:cs="Arial"/>
          <w:sz w:val="22"/>
          <w:szCs w:val="22"/>
        </w:rPr>
        <w:t>ati</w:t>
      </w:r>
      <w:r w:rsidR="001144AC">
        <w:rPr>
          <w:rFonts w:ascii="Arial" w:hAnsi="Arial" w:cs="Arial"/>
          <w:sz w:val="22"/>
          <w:szCs w:val="22"/>
        </w:rPr>
        <w:t>onal Institute for Health and Care</w:t>
      </w:r>
      <w:r w:rsidRPr="00C9012E">
        <w:rPr>
          <w:rFonts w:ascii="Arial" w:hAnsi="Arial" w:cs="Arial"/>
          <w:sz w:val="22"/>
          <w:szCs w:val="22"/>
        </w:rPr>
        <w:t xml:space="preserve"> (2023) </w:t>
      </w:r>
      <w:r w:rsidRPr="00C9012E">
        <w:rPr>
          <w:rFonts w:ascii="Arial" w:hAnsi="Arial" w:cs="Arial"/>
          <w:i/>
          <w:iCs/>
          <w:sz w:val="22"/>
          <w:szCs w:val="22"/>
        </w:rPr>
        <w:t>Hypertension in Adults: NG136</w:t>
      </w:r>
      <w:r w:rsidRPr="00C9012E">
        <w:rPr>
          <w:rFonts w:ascii="Arial" w:hAnsi="Arial" w:cs="Arial"/>
          <w:sz w:val="22"/>
          <w:szCs w:val="22"/>
        </w:rPr>
        <w:t xml:space="preserve">. Available at: </w:t>
      </w:r>
      <w:hyperlink r:id="rId44" w:history="1">
        <w:r w:rsidRPr="008B6BD5">
          <w:rPr>
            <w:rStyle w:val="Hyperlink"/>
            <w:rFonts w:ascii="Arial" w:hAnsi="Arial" w:cs="Arial"/>
            <w:sz w:val="22"/>
            <w:szCs w:val="22"/>
          </w:rPr>
          <w:t>https://www.nice.org.uk/guidance/ng136</w:t>
        </w:r>
      </w:hyperlink>
      <w:r>
        <w:rPr>
          <w:rFonts w:ascii="Arial" w:hAnsi="Arial" w:cs="Arial"/>
          <w:sz w:val="22"/>
          <w:szCs w:val="22"/>
        </w:rPr>
        <w:t xml:space="preserve"> </w:t>
      </w:r>
      <w:r w:rsidR="00B12751">
        <w:rPr>
          <w:rFonts w:ascii="Arial" w:hAnsi="Arial" w:cs="Arial"/>
          <w:sz w:val="22"/>
          <w:szCs w:val="22"/>
        </w:rPr>
        <w:t>(Accessed: 20 October 2025).</w:t>
      </w:r>
    </w:p>
    <w:p w14:paraId="66CFB837" w14:textId="1776CE52" w:rsidR="00DB4155" w:rsidRDefault="004D2898" w:rsidP="00385A1C">
      <w:pPr>
        <w:pStyle w:val="NormalWeb"/>
        <w:rPr>
          <w:rFonts w:ascii="Arial" w:hAnsi="Arial" w:cs="Arial"/>
          <w:sz w:val="22"/>
          <w:szCs w:val="22"/>
        </w:rPr>
      </w:pPr>
      <w:r w:rsidRPr="004D2898">
        <w:rPr>
          <w:rFonts w:ascii="Arial" w:hAnsi="Arial" w:cs="Arial"/>
          <w:sz w:val="22"/>
          <w:szCs w:val="22"/>
        </w:rPr>
        <w:t xml:space="preserve">Ng, A.P.P., Chen, Q., Wu, D.D. and Leung, S.C. (2024) Clinical decision support increases guideline concordant care. </w:t>
      </w:r>
      <w:r w:rsidRPr="004D2898">
        <w:rPr>
          <w:rFonts w:ascii="Arial" w:hAnsi="Arial" w:cs="Arial"/>
          <w:i/>
          <w:iCs/>
          <w:sz w:val="22"/>
          <w:szCs w:val="22"/>
        </w:rPr>
        <w:t>BMJ</w:t>
      </w:r>
      <w:r w:rsidRPr="004D2898">
        <w:rPr>
          <w:rFonts w:ascii="Arial" w:hAnsi="Arial" w:cs="Arial"/>
          <w:sz w:val="22"/>
          <w:szCs w:val="22"/>
        </w:rPr>
        <w:t>, 386, q1466.</w:t>
      </w:r>
    </w:p>
    <w:p w14:paraId="70A4CC25" w14:textId="27DD9DB3" w:rsidR="00DB4155" w:rsidRDefault="00E57D86" w:rsidP="00E57D86">
      <w:pPr>
        <w:pStyle w:val="NormalWeb"/>
        <w:spacing w:after="0" w:line="360" w:lineRule="auto"/>
        <w:rPr>
          <w:rFonts w:ascii="Arial" w:hAnsi="Arial" w:cs="Arial"/>
          <w:sz w:val="22"/>
          <w:szCs w:val="22"/>
        </w:rPr>
      </w:pPr>
      <w:r w:rsidRPr="00E57D86">
        <w:rPr>
          <w:rFonts w:ascii="Arial" w:hAnsi="Arial" w:cs="Arial"/>
          <w:sz w:val="22"/>
          <w:szCs w:val="22"/>
        </w:rPr>
        <w:t xml:space="preserve">Nkhoma, K.B., Cook, A., Giusti, A., Farrant, L., Petrus, R., Petersen, I., Gwyther, L., Venkatapuram, S. and Harding, R. (2022) A systematic review of impact of person-centred interventions for serious physical illness in terms of outcomes and costs. </w:t>
      </w:r>
    </w:p>
    <w:p w14:paraId="5DBA399B" w14:textId="07F6F90A" w:rsidR="00861920" w:rsidRDefault="00861920" w:rsidP="00E57D86">
      <w:pPr>
        <w:pStyle w:val="NormalWeb"/>
        <w:spacing w:after="0" w:line="360" w:lineRule="auto"/>
        <w:rPr>
          <w:rFonts w:ascii="Arial" w:hAnsi="Arial" w:cs="Arial"/>
          <w:sz w:val="22"/>
          <w:szCs w:val="22"/>
        </w:rPr>
      </w:pPr>
      <w:r w:rsidRPr="00861920">
        <w:rPr>
          <w:rFonts w:ascii="Arial" w:hAnsi="Arial" w:cs="Arial"/>
          <w:sz w:val="22"/>
          <w:szCs w:val="22"/>
        </w:rPr>
        <w:lastRenderedPageBreak/>
        <w:t>Patel, R.S., Masi, S. and Taddei, S. (2017)</w:t>
      </w:r>
      <w:r w:rsidR="00DE7123">
        <w:rPr>
          <w:rFonts w:ascii="Arial" w:hAnsi="Arial" w:cs="Arial"/>
          <w:sz w:val="22"/>
          <w:szCs w:val="22"/>
        </w:rPr>
        <w:t xml:space="preserve"> </w:t>
      </w:r>
      <w:r w:rsidRPr="00861920">
        <w:rPr>
          <w:rFonts w:ascii="Arial" w:hAnsi="Arial" w:cs="Arial"/>
          <w:sz w:val="22"/>
          <w:szCs w:val="22"/>
        </w:rPr>
        <w:t xml:space="preserve">Understanding the role of genetics in hypertension. </w:t>
      </w:r>
      <w:r w:rsidRPr="00861920">
        <w:rPr>
          <w:rFonts w:ascii="Arial" w:hAnsi="Arial" w:cs="Arial"/>
          <w:i/>
          <w:iCs/>
          <w:sz w:val="22"/>
          <w:szCs w:val="22"/>
        </w:rPr>
        <w:t>European Heart Journal</w:t>
      </w:r>
      <w:r w:rsidRPr="00861920">
        <w:rPr>
          <w:rFonts w:ascii="Arial" w:hAnsi="Arial" w:cs="Arial"/>
          <w:sz w:val="22"/>
          <w:szCs w:val="22"/>
        </w:rPr>
        <w:t xml:space="preserve">, 38(29), pp.2309–2312. Available at: </w:t>
      </w:r>
      <w:hyperlink r:id="rId45" w:history="1">
        <w:r w:rsidRPr="00861920">
          <w:rPr>
            <w:rStyle w:val="Hyperlink"/>
            <w:rFonts w:ascii="Arial" w:hAnsi="Arial" w:cs="Arial"/>
            <w:sz w:val="22"/>
            <w:szCs w:val="22"/>
          </w:rPr>
          <w:t>https://doi.org/10.1093/eurheartj/ehx273</w:t>
        </w:r>
      </w:hyperlink>
    </w:p>
    <w:p w14:paraId="27BC08FE" w14:textId="7E6E04C7" w:rsidR="00E57D86" w:rsidRPr="00E57D86" w:rsidRDefault="00E57D86" w:rsidP="00E57D86">
      <w:pPr>
        <w:pStyle w:val="NormalWeb"/>
        <w:spacing w:after="0" w:line="360" w:lineRule="auto"/>
        <w:rPr>
          <w:rFonts w:ascii="Arial" w:hAnsi="Arial" w:cs="Arial"/>
          <w:sz w:val="22"/>
          <w:szCs w:val="22"/>
        </w:rPr>
      </w:pPr>
      <w:r w:rsidRPr="00E57D86">
        <w:rPr>
          <w:rFonts w:ascii="Arial" w:hAnsi="Arial" w:cs="Arial"/>
          <w:sz w:val="22"/>
          <w:szCs w:val="22"/>
        </w:rPr>
        <w:t xml:space="preserve">Public Health England (2017) </w:t>
      </w:r>
      <w:r w:rsidRPr="00E57D86">
        <w:rPr>
          <w:rFonts w:ascii="Arial" w:hAnsi="Arial" w:cs="Arial"/>
          <w:i/>
          <w:iCs/>
          <w:sz w:val="22"/>
          <w:szCs w:val="22"/>
        </w:rPr>
        <w:t>Health matters: combating high blood pressure</w:t>
      </w:r>
      <w:r w:rsidRPr="00E57D86">
        <w:rPr>
          <w:rFonts w:ascii="Arial" w:hAnsi="Arial" w:cs="Arial"/>
          <w:sz w:val="22"/>
          <w:szCs w:val="22"/>
        </w:rPr>
        <w:t xml:space="preserve">. GOV.UK. Available at: </w:t>
      </w:r>
      <w:hyperlink r:id="rId46" w:history="1">
        <w:r w:rsidRPr="00E57D86">
          <w:rPr>
            <w:rStyle w:val="Hyperlink"/>
            <w:rFonts w:ascii="Arial" w:hAnsi="Arial" w:cs="Arial"/>
            <w:sz w:val="22"/>
            <w:szCs w:val="22"/>
          </w:rPr>
          <w:t>https://www.gov.uk/government/publications/health-matters-combating-high-blood-pressure/health-matters-combating-high-blood-pressure</w:t>
        </w:r>
      </w:hyperlink>
      <w:r w:rsidRPr="00E57D86">
        <w:rPr>
          <w:rFonts w:ascii="Arial" w:hAnsi="Arial" w:cs="Arial"/>
          <w:sz w:val="22"/>
          <w:szCs w:val="22"/>
        </w:rPr>
        <w:t xml:space="preserve">  (Accessed: 12 October 2025).</w:t>
      </w:r>
    </w:p>
    <w:p w14:paraId="73B1CC91" w14:textId="386F8CC4" w:rsidR="00E57D86" w:rsidRPr="00E57D86" w:rsidRDefault="00E57D86" w:rsidP="00E57D86">
      <w:pPr>
        <w:pStyle w:val="NormalWeb"/>
        <w:spacing w:after="0" w:line="360" w:lineRule="auto"/>
        <w:rPr>
          <w:rFonts w:ascii="Arial" w:hAnsi="Arial" w:cs="Arial"/>
          <w:sz w:val="22"/>
          <w:szCs w:val="22"/>
        </w:rPr>
      </w:pPr>
      <w:r w:rsidRPr="00E57D86">
        <w:rPr>
          <w:rFonts w:ascii="Arial" w:hAnsi="Arial" w:cs="Arial"/>
          <w:sz w:val="22"/>
          <w:szCs w:val="22"/>
        </w:rPr>
        <w:t xml:space="preserve">Public Health England (2020) </w:t>
      </w:r>
      <w:r w:rsidRPr="00E57D86">
        <w:rPr>
          <w:rFonts w:ascii="Arial" w:hAnsi="Arial" w:cs="Arial"/>
          <w:i/>
          <w:iCs/>
          <w:sz w:val="22"/>
          <w:szCs w:val="22"/>
        </w:rPr>
        <w:t>NHS Health Check: Best Practice Guidance</w:t>
      </w:r>
      <w:r w:rsidRPr="00E57D86">
        <w:rPr>
          <w:rFonts w:ascii="Arial" w:hAnsi="Arial" w:cs="Arial"/>
          <w:sz w:val="22"/>
          <w:szCs w:val="22"/>
        </w:rPr>
        <w:t xml:space="preserve">. Available at: </w:t>
      </w:r>
      <w:hyperlink r:id="rId47" w:history="1">
        <w:r w:rsidRPr="00E57D86">
          <w:rPr>
            <w:rStyle w:val="Hyperlink"/>
            <w:rFonts w:ascii="Arial" w:hAnsi="Arial" w:cs="Arial"/>
            <w:sz w:val="22"/>
            <w:szCs w:val="22"/>
          </w:rPr>
          <w:t>https://www.healthcheck.nhs.uk</w:t>
        </w:r>
      </w:hyperlink>
      <w:r w:rsidRPr="00E57D86">
        <w:rPr>
          <w:rFonts w:ascii="Arial" w:hAnsi="Arial" w:cs="Arial"/>
          <w:sz w:val="22"/>
          <w:szCs w:val="22"/>
        </w:rPr>
        <w:t xml:space="preserve">  (Accessed 8 October 2025).</w:t>
      </w:r>
    </w:p>
    <w:p w14:paraId="0701BDC8" w14:textId="760D3707" w:rsidR="00E57D86" w:rsidRPr="00E57D86" w:rsidRDefault="00E57D86" w:rsidP="00E57D86">
      <w:pPr>
        <w:pStyle w:val="NormalWeb"/>
        <w:spacing w:after="0" w:line="360" w:lineRule="auto"/>
        <w:rPr>
          <w:rFonts w:ascii="Arial" w:hAnsi="Arial" w:cs="Arial"/>
          <w:sz w:val="22"/>
          <w:szCs w:val="22"/>
        </w:rPr>
      </w:pPr>
      <w:r w:rsidRPr="00E57D86">
        <w:rPr>
          <w:rFonts w:ascii="Arial" w:hAnsi="Arial" w:cs="Arial"/>
          <w:sz w:val="22"/>
          <w:szCs w:val="22"/>
        </w:rPr>
        <w:t xml:space="preserve">Publications of Parliament (2013) </w:t>
      </w:r>
      <w:r w:rsidRPr="00E57D86">
        <w:rPr>
          <w:rFonts w:ascii="Arial" w:hAnsi="Arial" w:cs="Arial"/>
          <w:i/>
          <w:iCs/>
          <w:sz w:val="22"/>
          <w:szCs w:val="22"/>
        </w:rPr>
        <w:t>House of Commons Health Committee: Management of long-term conditions</w:t>
      </w:r>
      <w:r w:rsidRPr="00E57D86">
        <w:rPr>
          <w:rFonts w:ascii="Arial" w:hAnsi="Arial" w:cs="Arial"/>
          <w:sz w:val="22"/>
          <w:szCs w:val="22"/>
        </w:rPr>
        <w:t xml:space="preserve">. Available at: </w:t>
      </w:r>
      <w:hyperlink r:id="rId48" w:history="1">
        <w:r w:rsidRPr="00E57D86">
          <w:rPr>
            <w:rStyle w:val="Hyperlink"/>
            <w:rFonts w:ascii="Arial" w:hAnsi="Arial" w:cs="Arial"/>
            <w:sz w:val="22"/>
            <w:szCs w:val="22"/>
          </w:rPr>
          <w:t>https://publications.parliament.uk/pa/cm201213/cmselect/cmhealth/268/268.pdf</w:t>
        </w:r>
      </w:hyperlink>
      <w:r w:rsidRPr="00E57D86">
        <w:rPr>
          <w:rFonts w:ascii="Arial" w:hAnsi="Arial" w:cs="Arial"/>
          <w:sz w:val="22"/>
          <w:szCs w:val="22"/>
        </w:rPr>
        <w:t xml:space="preserve">   (Accessed 10 October 2025</w:t>
      </w:r>
      <w:r w:rsidR="00891FB5">
        <w:rPr>
          <w:rFonts w:ascii="Arial" w:hAnsi="Arial" w:cs="Arial"/>
          <w:sz w:val="22"/>
          <w:szCs w:val="22"/>
        </w:rPr>
        <w:t>)</w:t>
      </w:r>
      <w:r w:rsidRPr="00E57D86">
        <w:rPr>
          <w:rFonts w:ascii="Arial" w:hAnsi="Arial" w:cs="Arial"/>
          <w:sz w:val="22"/>
          <w:szCs w:val="22"/>
        </w:rPr>
        <w:t>.</w:t>
      </w:r>
    </w:p>
    <w:p w14:paraId="68DA52BB" w14:textId="3A98DACE" w:rsidR="00E57D86" w:rsidRPr="00E57D86" w:rsidRDefault="00E57D86" w:rsidP="00E57D86">
      <w:pPr>
        <w:pStyle w:val="NormalWeb"/>
        <w:spacing w:after="0" w:line="360" w:lineRule="auto"/>
        <w:rPr>
          <w:rFonts w:ascii="Arial" w:hAnsi="Arial" w:cs="Arial"/>
          <w:sz w:val="22"/>
          <w:szCs w:val="22"/>
        </w:rPr>
      </w:pPr>
      <w:r w:rsidRPr="00E57D86">
        <w:rPr>
          <w:rFonts w:ascii="Arial" w:hAnsi="Arial" w:cs="Arial"/>
          <w:sz w:val="22"/>
          <w:szCs w:val="22"/>
        </w:rPr>
        <w:t xml:space="preserve">Rison, S., Redfern, O., Dostal, I., Carvalho, C., Mathur, R., Raisi-Estabragh, Z. and Robson, J. (2023) Inequities in hypertension management: observational cross-sectional study in Northeast London using electronic health records. </w:t>
      </w:r>
      <w:r w:rsidRPr="00E57D86">
        <w:rPr>
          <w:rFonts w:ascii="Arial" w:hAnsi="Arial" w:cs="Arial"/>
          <w:i/>
          <w:iCs/>
          <w:sz w:val="22"/>
          <w:szCs w:val="22"/>
        </w:rPr>
        <w:t>British Journal of General Practice</w:t>
      </w:r>
      <w:r w:rsidRPr="00E57D86">
        <w:rPr>
          <w:rFonts w:ascii="Arial" w:hAnsi="Arial" w:cs="Arial"/>
          <w:sz w:val="22"/>
          <w:szCs w:val="22"/>
        </w:rPr>
        <w:t xml:space="preserve">, 73(736), pp.e798–e806. Available at: </w:t>
      </w:r>
      <w:hyperlink r:id="rId49" w:history="1">
        <w:r w:rsidRPr="00E57D86">
          <w:rPr>
            <w:rStyle w:val="Hyperlink"/>
            <w:rFonts w:ascii="Arial" w:hAnsi="Arial" w:cs="Arial"/>
            <w:sz w:val="22"/>
            <w:szCs w:val="22"/>
          </w:rPr>
          <w:t>https://doi.org/10.3399/BJGP.2023.0077</w:t>
        </w:r>
      </w:hyperlink>
      <w:r w:rsidRPr="00E57D86">
        <w:rPr>
          <w:rFonts w:ascii="Arial" w:hAnsi="Arial" w:cs="Arial"/>
          <w:sz w:val="22"/>
          <w:szCs w:val="22"/>
        </w:rPr>
        <w:t xml:space="preserve">  </w:t>
      </w:r>
    </w:p>
    <w:p w14:paraId="374EE4CC" w14:textId="19830845" w:rsidR="00D67A64" w:rsidRPr="00D67A64" w:rsidRDefault="00D67A64" w:rsidP="00D67A64">
      <w:pPr>
        <w:pStyle w:val="NormalWeb"/>
        <w:spacing w:after="0" w:line="360" w:lineRule="auto"/>
        <w:rPr>
          <w:rFonts w:ascii="Arial" w:hAnsi="Arial" w:cs="Arial"/>
          <w:sz w:val="22"/>
          <w:szCs w:val="22"/>
        </w:rPr>
      </w:pPr>
      <w:r w:rsidRPr="00D67A64">
        <w:rPr>
          <w:rFonts w:ascii="Arial" w:hAnsi="Arial" w:cs="Arial"/>
          <w:sz w:val="22"/>
          <w:szCs w:val="22"/>
        </w:rPr>
        <w:t xml:space="preserve">Sanusi, A. (2025) Consequences of Hypertension. In: Kibel, A. (ed.) </w:t>
      </w:r>
      <w:r w:rsidRPr="00D67A64">
        <w:rPr>
          <w:rFonts w:ascii="Arial" w:hAnsi="Arial" w:cs="Arial"/>
          <w:i/>
          <w:iCs/>
          <w:sz w:val="22"/>
          <w:szCs w:val="22"/>
        </w:rPr>
        <w:t>Selected Topics in Blood Pressure Physiology</w:t>
      </w:r>
      <w:r w:rsidRPr="00D67A64">
        <w:rPr>
          <w:rFonts w:ascii="Arial" w:hAnsi="Arial" w:cs="Arial"/>
          <w:sz w:val="22"/>
          <w:szCs w:val="22"/>
        </w:rPr>
        <w:t>. IntechOpen.</w:t>
      </w:r>
      <w:r>
        <w:rPr>
          <w:rFonts w:ascii="Arial" w:hAnsi="Arial" w:cs="Arial"/>
          <w:sz w:val="22"/>
          <w:szCs w:val="22"/>
        </w:rPr>
        <w:t xml:space="preserve"> Available at:</w:t>
      </w:r>
      <w:r w:rsidRPr="00D67A64">
        <w:rPr>
          <w:rFonts w:ascii="Arial" w:hAnsi="Arial" w:cs="Arial"/>
          <w:sz w:val="22"/>
          <w:szCs w:val="22"/>
        </w:rPr>
        <w:t xml:space="preserve"> </w:t>
      </w:r>
      <w:hyperlink r:id="rId50" w:history="1">
        <w:r w:rsidRPr="00D67A64">
          <w:rPr>
            <w:rStyle w:val="Hyperlink"/>
            <w:rFonts w:ascii="Arial" w:hAnsi="Arial" w:cs="Arial"/>
            <w:sz w:val="22"/>
            <w:szCs w:val="22"/>
          </w:rPr>
          <w:t>https://doi.org/10.5772/intechopen.1008447</w:t>
        </w:r>
      </w:hyperlink>
      <w:r>
        <w:rPr>
          <w:rFonts w:ascii="Arial" w:hAnsi="Arial" w:cs="Arial"/>
          <w:sz w:val="22"/>
          <w:szCs w:val="22"/>
        </w:rPr>
        <w:t xml:space="preserve"> </w:t>
      </w:r>
    </w:p>
    <w:p w14:paraId="1AA4CF2A" w14:textId="42E7BB0B" w:rsidR="00E57D86" w:rsidRPr="00E57D86" w:rsidRDefault="00E57D86" w:rsidP="00E57D86">
      <w:pPr>
        <w:pStyle w:val="NormalWeb"/>
        <w:spacing w:after="0" w:line="360" w:lineRule="auto"/>
        <w:rPr>
          <w:rFonts w:ascii="Arial" w:hAnsi="Arial" w:cs="Arial"/>
          <w:sz w:val="22"/>
          <w:szCs w:val="22"/>
        </w:rPr>
      </w:pPr>
      <w:r w:rsidRPr="00E57D86">
        <w:rPr>
          <w:rFonts w:ascii="Arial" w:hAnsi="Arial" w:cs="Arial"/>
          <w:sz w:val="22"/>
          <w:szCs w:val="22"/>
        </w:rPr>
        <w:t xml:space="preserve">Shahaj, O., Denneny, D., Schwappach, A., Pearce, G., Epiphaniou, E., Parke, H.L., Taylor, S.J.C. and Pinnock, H. (2018) Supporting self-management for people with hypertension: A meta-review of quantitative and qualitative systematic reviews. </w:t>
      </w:r>
      <w:r w:rsidRPr="00E57D86">
        <w:rPr>
          <w:rFonts w:ascii="Arial" w:hAnsi="Arial" w:cs="Arial"/>
          <w:i/>
          <w:iCs/>
          <w:sz w:val="22"/>
          <w:szCs w:val="22"/>
        </w:rPr>
        <w:t>Journal of Hypertension</w:t>
      </w:r>
      <w:r w:rsidRPr="00E57D86">
        <w:rPr>
          <w:rFonts w:ascii="Arial" w:hAnsi="Arial" w:cs="Arial"/>
          <w:sz w:val="22"/>
          <w:szCs w:val="22"/>
        </w:rPr>
        <w:t xml:space="preserve">. Available at: </w:t>
      </w:r>
      <w:hyperlink r:id="rId51" w:history="1">
        <w:r w:rsidRPr="00E57D86">
          <w:rPr>
            <w:rStyle w:val="Hyperlink"/>
            <w:rFonts w:ascii="Arial" w:hAnsi="Arial" w:cs="Arial"/>
            <w:sz w:val="22"/>
            <w:szCs w:val="22"/>
          </w:rPr>
          <w:t>https://doi.org/10.1097/HJH</w:t>
        </w:r>
      </w:hyperlink>
      <w:r w:rsidRPr="00E57D86">
        <w:rPr>
          <w:rFonts w:ascii="Arial" w:hAnsi="Arial" w:cs="Arial"/>
          <w:sz w:val="22"/>
          <w:szCs w:val="22"/>
        </w:rPr>
        <w:t xml:space="preserve"> </w:t>
      </w:r>
    </w:p>
    <w:p w14:paraId="3FAC4211" w14:textId="6ABF51A9" w:rsidR="00E57D86" w:rsidRPr="00E57D86" w:rsidRDefault="00E57D86" w:rsidP="00E57D86">
      <w:pPr>
        <w:pStyle w:val="NormalWeb"/>
        <w:spacing w:after="0" w:line="360" w:lineRule="auto"/>
        <w:rPr>
          <w:rFonts w:ascii="Arial" w:hAnsi="Arial" w:cs="Arial"/>
          <w:sz w:val="22"/>
          <w:szCs w:val="22"/>
        </w:rPr>
      </w:pPr>
      <w:r w:rsidRPr="00E57D86">
        <w:rPr>
          <w:rFonts w:ascii="Arial" w:hAnsi="Arial" w:cs="Arial"/>
          <w:sz w:val="22"/>
          <w:szCs w:val="22"/>
        </w:rPr>
        <w:t xml:space="preserve">Subburayan, Y. (2023) Education about Hypertension and Its Impact on Knowledge, Lifestyle Choices, and Blood Pressure Control in the UK: A Systematic Review. </w:t>
      </w:r>
      <w:r w:rsidRPr="00E57D86">
        <w:rPr>
          <w:rFonts w:ascii="Arial" w:hAnsi="Arial" w:cs="Arial"/>
          <w:i/>
          <w:iCs/>
          <w:sz w:val="22"/>
          <w:szCs w:val="22"/>
        </w:rPr>
        <w:t>Journal of Community Medicine &amp; Public Health</w:t>
      </w:r>
      <w:r w:rsidRPr="00E57D86">
        <w:rPr>
          <w:rFonts w:ascii="Arial" w:hAnsi="Arial" w:cs="Arial"/>
          <w:sz w:val="22"/>
          <w:szCs w:val="22"/>
        </w:rPr>
        <w:t xml:space="preserve">, 7, 348. Available at: </w:t>
      </w:r>
      <w:hyperlink r:id="rId52" w:history="1">
        <w:r w:rsidRPr="00E57D86">
          <w:rPr>
            <w:rStyle w:val="Hyperlink"/>
            <w:rFonts w:ascii="Arial" w:hAnsi="Arial" w:cs="Arial"/>
            <w:sz w:val="22"/>
            <w:szCs w:val="22"/>
          </w:rPr>
          <w:t>https://www.gavinpublishers.com/article/view/education-about-hypertension-and-its-impact-on-knowledge-lifestyle-choices-and-blood-pressure-control-in-the-uk-a-systematic-review</w:t>
        </w:r>
      </w:hyperlink>
      <w:r w:rsidRPr="00E57D86">
        <w:rPr>
          <w:rFonts w:ascii="Arial" w:hAnsi="Arial" w:cs="Arial"/>
          <w:sz w:val="22"/>
          <w:szCs w:val="22"/>
        </w:rPr>
        <w:t xml:space="preserve"> (Accessed: 12 October 2025).</w:t>
      </w:r>
    </w:p>
    <w:p w14:paraId="4E6F6EC6" w14:textId="4E091DA1" w:rsidR="00E57D86" w:rsidRPr="00E57D86" w:rsidRDefault="00E57D86" w:rsidP="00E57D86">
      <w:pPr>
        <w:pStyle w:val="NormalWeb"/>
        <w:spacing w:after="0" w:line="360" w:lineRule="auto"/>
        <w:rPr>
          <w:rFonts w:ascii="Arial" w:hAnsi="Arial" w:cs="Arial"/>
          <w:sz w:val="22"/>
          <w:szCs w:val="22"/>
        </w:rPr>
      </w:pPr>
      <w:r w:rsidRPr="00E57D86">
        <w:rPr>
          <w:rFonts w:ascii="Arial" w:hAnsi="Arial" w:cs="Arial"/>
          <w:sz w:val="22"/>
          <w:szCs w:val="22"/>
        </w:rPr>
        <w:t xml:space="preserve">Ukoha-Kalu, B.O., Isah, A., Biambo, A.A., Samaila, A., Abubakar, M.M., Kalu, U.A. and Soyiri, I.N. </w:t>
      </w:r>
      <w:r w:rsidR="00FE3DA7">
        <w:rPr>
          <w:rFonts w:ascii="Arial" w:hAnsi="Arial" w:cs="Arial"/>
          <w:sz w:val="22"/>
          <w:szCs w:val="22"/>
        </w:rPr>
        <w:t>(</w:t>
      </w:r>
      <w:r w:rsidRPr="00E57D86">
        <w:rPr>
          <w:rFonts w:ascii="Arial" w:hAnsi="Arial" w:cs="Arial"/>
          <w:sz w:val="22"/>
          <w:szCs w:val="22"/>
        </w:rPr>
        <w:t>2023</w:t>
      </w:r>
      <w:r w:rsidR="00FE3DA7">
        <w:rPr>
          <w:rFonts w:ascii="Arial" w:hAnsi="Arial" w:cs="Arial"/>
          <w:sz w:val="22"/>
          <w:szCs w:val="22"/>
        </w:rPr>
        <w:t xml:space="preserve">) </w:t>
      </w:r>
      <w:r w:rsidRPr="00E57D86">
        <w:rPr>
          <w:rFonts w:ascii="Arial" w:hAnsi="Arial" w:cs="Arial"/>
          <w:sz w:val="22"/>
          <w:szCs w:val="22"/>
        </w:rPr>
        <w:t>Effectiveness of educational interventions on hypertensive patients’ self-management behaviours: an umbrella review protocol. </w:t>
      </w:r>
      <w:r w:rsidRPr="00E57D86">
        <w:rPr>
          <w:rFonts w:ascii="Arial" w:hAnsi="Arial" w:cs="Arial"/>
          <w:i/>
          <w:iCs/>
          <w:sz w:val="22"/>
          <w:szCs w:val="22"/>
        </w:rPr>
        <w:t>BMJ open</w:t>
      </w:r>
      <w:r w:rsidRPr="00E57D86">
        <w:rPr>
          <w:rFonts w:ascii="Arial" w:hAnsi="Arial" w:cs="Arial"/>
          <w:sz w:val="22"/>
          <w:szCs w:val="22"/>
        </w:rPr>
        <w:t>, </w:t>
      </w:r>
      <w:r w:rsidRPr="00E57D86">
        <w:rPr>
          <w:rFonts w:ascii="Arial" w:hAnsi="Arial" w:cs="Arial"/>
          <w:i/>
          <w:iCs/>
          <w:sz w:val="22"/>
          <w:szCs w:val="22"/>
        </w:rPr>
        <w:t>13</w:t>
      </w:r>
      <w:r w:rsidRPr="00E57D86">
        <w:rPr>
          <w:rFonts w:ascii="Arial" w:hAnsi="Arial" w:cs="Arial"/>
          <w:sz w:val="22"/>
          <w:szCs w:val="22"/>
        </w:rPr>
        <w:t xml:space="preserve">(8), p.e073682. </w:t>
      </w:r>
    </w:p>
    <w:p w14:paraId="3855607A" w14:textId="77777777" w:rsidR="00E57D86" w:rsidRPr="00E57D86" w:rsidRDefault="00E57D86" w:rsidP="00E57D86">
      <w:pPr>
        <w:pStyle w:val="NormalWeb"/>
        <w:spacing w:after="0" w:line="360" w:lineRule="auto"/>
        <w:rPr>
          <w:rFonts w:ascii="Arial" w:hAnsi="Arial" w:cs="Arial"/>
          <w:sz w:val="22"/>
          <w:szCs w:val="22"/>
        </w:rPr>
      </w:pPr>
      <w:r w:rsidRPr="00E57D86">
        <w:rPr>
          <w:rFonts w:ascii="Arial" w:hAnsi="Arial" w:cs="Arial"/>
          <w:sz w:val="22"/>
          <w:szCs w:val="22"/>
        </w:rPr>
        <w:t xml:space="preserve">Wagner, E.H. (2001) The Chronic Care Model: Improving chronic illness care. </w:t>
      </w:r>
      <w:r w:rsidRPr="00E57D86">
        <w:rPr>
          <w:rFonts w:ascii="Arial" w:hAnsi="Arial" w:cs="Arial"/>
          <w:i/>
          <w:iCs/>
          <w:sz w:val="22"/>
          <w:szCs w:val="22"/>
        </w:rPr>
        <w:t>Disease Management &amp; Health Outcomes</w:t>
      </w:r>
      <w:r w:rsidRPr="00E57D86">
        <w:rPr>
          <w:rFonts w:ascii="Arial" w:hAnsi="Arial" w:cs="Arial"/>
          <w:sz w:val="22"/>
          <w:szCs w:val="22"/>
        </w:rPr>
        <w:t xml:space="preserve">, 9(5), pp.209–216. Available at: </w:t>
      </w:r>
      <w:hyperlink r:id="rId53" w:history="1">
        <w:r w:rsidRPr="00E57D86">
          <w:rPr>
            <w:rStyle w:val="Hyperlink"/>
            <w:rFonts w:ascii="Arial" w:hAnsi="Arial" w:cs="Arial"/>
            <w:sz w:val="22"/>
            <w:szCs w:val="22"/>
          </w:rPr>
          <w:t>https://doi.org/10.2165/00115677-200109050-00001</w:t>
        </w:r>
      </w:hyperlink>
      <w:r w:rsidRPr="00E57D86">
        <w:rPr>
          <w:rFonts w:ascii="Arial" w:hAnsi="Arial" w:cs="Arial"/>
          <w:sz w:val="22"/>
          <w:szCs w:val="22"/>
        </w:rPr>
        <w:t xml:space="preserve">  </w:t>
      </w:r>
    </w:p>
    <w:p w14:paraId="3E62F3A0" w14:textId="08E802ED" w:rsidR="00E57D86" w:rsidRPr="00E57D86" w:rsidRDefault="00E57D86" w:rsidP="00E57D86">
      <w:pPr>
        <w:pStyle w:val="NormalWeb"/>
        <w:spacing w:after="0" w:line="360" w:lineRule="auto"/>
        <w:rPr>
          <w:rFonts w:ascii="Arial" w:hAnsi="Arial" w:cs="Arial"/>
          <w:sz w:val="22"/>
          <w:szCs w:val="22"/>
        </w:rPr>
      </w:pPr>
      <w:r w:rsidRPr="00E57D86">
        <w:rPr>
          <w:rFonts w:ascii="Arial" w:hAnsi="Arial" w:cs="Arial"/>
          <w:sz w:val="22"/>
          <w:szCs w:val="22"/>
        </w:rPr>
        <w:t xml:space="preserve">Wagner, E.H., Austin, B.T. and Von Korff, M., (2001) Improving chronic illness care: translating evidence into action. </w:t>
      </w:r>
      <w:r w:rsidRPr="00E57D86">
        <w:rPr>
          <w:rFonts w:ascii="Arial" w:hAnsi="Arial" w:cs="Arial"/>
          <w:i/>
          <w:iCs/>
          <w:sz w:val="22"/>
          <w:szCs w:val="22"/>
        </w:rPr>
        <w:t>Health Affairs</w:t>
      </w:r>
      <w:r w:rsidRPr="00E57D86">
        <w:rPr>
          <w:rFonts w:ascii="Arial" w:hAnsi="Arial" w:cs="Arial"/>
          <w:sz w:val="22"/>
          <w:szCs w:val="22"/>
        </w:rPr>
        <w:t xml:space="preserve">, 20(6), pp.64–78. Available at: </w:t>
      </w:r>
      <w:hyperlink r:id="rId54" w:history="1">
        <w:r w:rsidRPr="00E57D86">
          <w:rPr>
            <w:rStyle w:val="Hyperlink"/>
            <w:rFonts w:ascii="Arial" w:hAnsi="Arial" w:cs="Arial"/>
            <w:sz w:val="22"/>
            <w:szCs w:val="22"/>
          </w:rPr>
          <w:t>https://www.healthaffairs.org/doi/10.1377/hlthaff.20.6.64</w:t>
        </w:r>
      </w:hyperlink>
      <w:r w:rsidRPr="00E57D86">
        <w:rPr>
          <w:rFonts w:ascii="Arial" w:hAnsi="Arial" w:cs="Arial"/>
          <w:sz w:val="22"/>
          <w:szCs w:val="22"/>
        </w:rPr>
        <w:t xml:space="preserve">  (Accessed 9 October 2025).</w:t>
      </w:r>
    </w:p>
    <w:p w14:paraId="477883CD" w14:textId="4EC2795C" w:rsidR="00096497" w:rsidRDefault="00364189" w:rsidP="00E57D86">
      <w:pPr>
        <w:pStyle w:val="NormalWeb"/>
        <w:spacing w:after="0" w:line="360" w:lineRule="auto"/>
        <w:rPr>
          <w:rFonts w:ascii="Arial" w:hAnsi="Arial" w:cs="Arial"/>
          <w:sz w:val="22"/>
          <w:szCs w:val="22"/>
        </w:rPr>
      </w:pPr>
      <w:r w:rsidRPr="00364189">
        <w:rPr>
          <w:rFonts w:ascii="Arial" w:hAnsi="Arial" w:cs="Arial"/>
          <w:sz w:val="22"/>
          <w:szCs w:val="22"/>
        </w:rPr>
        <w:t xml:space="preserve">World Health Organization (2023) </w:t>
      </w:r>
      <w:r w:rsidRPr="00364189">
        <w:rPr>
          <w:rFonts w:ascii="Arial" w:hAnsi="Arial" w:cs="Arial"/>
          <w:i/>
          <w:iCs/>
          <w:sz w:val="22"/>
          <w:szCs w:val="22"/>
        </w:rPr>
        <w:t>Hypertension Fact Sheet</w:t>
      </w:r>
      <w:r w:rsidRPr="00364189">
        <w:rPr>
          <w:rFonts w:ascii="Arial" w:hAnsi="Arial" w:cs="Arial"/>
          <w:sz w:val="22"/>
          <w:szCs w:val="22"/>
        </w:rPr>
        <w:t xml:space="preserve">. Available at: </w:t>
      </w:r>
      <w:hyperlink r:id="rId55" w:history="1">
        <w:r w:rsidRPr="00364189">
          <w:rPr>
            <w:rStyle w:val="Hyperlink"/>
            <w:rFonts w:ascii="Arial" w:hAnsi="Arial" w:cs="Arial"/>
            <w:sz w:val="22"/>
            <w:szCs w:val="22"/>
          </w:rPr>
          <w:t>https://www.who.int/news-room/fact-sheets/detail/hypertension</w:t>
        </w:r>
      </w:hyperlink>
      <w:r>
        <w:rPr>
          <w:rFonts w:ascii="Arial" w:hAnsi="Arial" w:cs="Arial"/>
          <w:sz w:val="22"/>
          <w:szCs w:val="22"/>
        </w:rPr>
        <w:t xml:space="preserve"> (Accessed: 15 October 2025).</w:t>
      </w:r>
    </w:p>
    <w:p w14:paraId="752909A7" w14:textId="1D4DA9D1" w:rsidR="00E57D86" w:rsidRPr="00E57D86" w:rsidRDefault="00E57D86" w:rsidP="00E57D86">
      <w:pPr>
        <w:pStyle w:val="NormalWeb"/>
        <w:spacing w:after="0" w:line="360" w:lineRule="auto"/>
        <w:rPr>
          <w:rFonts w:ascii="Arial" w:hAnsi="Arial" w:cs="Arial"/>
          <w:sz w:val="22"/>
          <w:szCs w:val="22"/>
        </w:rPr>
      </w:pPr>
      <w:r w:rsidRPr="00E57D86">
        <w:rPr>
          <w:rFonts w:ascii="Arial" w:hAnsi="Arial" w:cs="Arial"/>
          <w:sz w:val="22"/>
          <w:szCs w:val="22"/>
        </w:rPr>
        <w:t xml:space="preserve">World Health Organization. (2025). </w:t>
      </w:r>
      <w:r w:rsidRPr="00E57D86">
        <w:rPr>
          <w:rFonts w:ascii="Arial" w:hAnsi="Arial" w:cs="Arial"/>
          <w:i/>
          <w:iCs/>
          <w:sz w:val="22"/>
          <w:szCs w:val="22"/>
        </w:rPr>
        <w:t>Hypertension</w:t>
      </w:r>
      <w:r w:rsidRPr="00E57D86">
        <w:rPr>
          <w:rFonts w:ascii="Arial" w:hAnsi="Arial" w:cs="Arial"/>
          <w:sz w:val="22"/>
          <w:szCs w:val="22"/>
        </w:rPr>
        <w:t xml:space="preserve">. Available at: </w:t>
      </w:r>
      <w:hyperlink r:id="rId56" w:history="1">
        <w:r w:rsidRPr="00E57D86">
          <w:rPr>
            <w:rStyle w:val="Hyperlink"/>
            <w:rFonts w:ascii="Arial" w:hAnsi="Arial" w:cs="Arial"/>
            <w:sz w:val="22"/>
            <w:szCs w:val="22"/>
          </w:rPr>
          <w:t>https://www.who.int/news-room/fact-sheets/detail/hypertension</w:t>
        </w:r>
      </w:hyperlink>
      <w:r w:rsidRPr="00E57D86">
        <w:rPr>
          <w:rFonts w:ascii="Arial" w:hAnsi="Arial" w:cs="Arial"/>
          <w:sz w:val="22"/>
          <w:szCs w:val="22"/>
        </w:rPr>
        <w:t xml:space="preserve">  Accessed 12 October 2025)</w:t>
      </w:r>
    </w:p>
    <w:p w14:paraId="1BC28724" w14:textId="5B2949E7" w:rsidR="00E57D86" w:rsidRDefault="00E57D86" w:rsidP="00E57D86">
      <w:pPr>
        <w:pStyle w:val="NormalWeb"/>
        <w:spacing w:after="0" w:line="360" w:lineRule="auto"/>
        <w:rPr>
          <w:rFonts w:ascii="Arial" w:hAnsi="Arial" w:cs="Arial"/>
          <w:sz w:val="22"/>
          <w:szCs w:val="22"/>
        </w:rPr>
      </w:pPr>
      <w:r w:rsidRPr="00E57D86">
        <w:rPr>
          <w:rFonts w:ascii="Arial" w:hAnsi="Arial" w:cs="Arial"/>
          <w:sz w:val="22"/>
          <w:szCs w:val="22"/>
        </w:rPr>
        <w:t xml:space="preserve">Yang, J., Zeng, Y., Yang, L., Khan, N., Singh, S., Walker, R.L., Eastwood, R. and Quan, H., (2024) Identifying personalized barriers for hypertension self-management from TASKS framework. </w:t>
      </w:r>
      <w:r w:rsidRPr="00E57D86">
        <w:rPr>
          <w:rFonts w:ascii="Arial" w:hAnsi="Arial" w:cs="Arial"/>
          <w:i/>
          <w:iCs/>
          <w:sz w:val="22"/>
          <w:szCs w:val="22"/>
        </w:rPr>
        <w:t xml:space="preserve">BMC </w:t>
      </w:r>
      <w:r w:rsidRPr="00E57D86">
        <w:rPr>
          <w:rFonts w:ascii="Arial" w:hAnsi="Arial" w:cs="Arial"/>
          <w:i/>
          <w:iCs/>
          <w:sz w:val="22"/>
          <w:szCs w:val="22"/>
        </w:rPr>
        <w:lastRenderedPageBreak/>
        <w:t>Research Notes</w:t>
      </w:r>
      <w:r w:rsidRPr="00E57D86">
        <w:rPr>
          <w:rFonts w:ascii="Arial" w:hAnsi="Arial" w:cs="Arial"/>
          <w:sz w:val="22"/>
          <w:szCs w:val="22"/>
        </w:rPr>
        <w:t xml:space="preserve">, 17(224). Available at: </w:t>
      </w:r>
      <w:hyperlink r:id="rId57" w:history="1">
        <w:r w:rsidRPr="00E57D86">
          <w:rPr>
            <w:rStyle w:val="Hyperlink"/>
            <w:rFonts w:ascii="Arial" w:hAnsi="Arial" w:cs="Arial"/>
            <w:sz w:val="22"/>
            <w:szCs w:val="22"/>
          </w:rPr>
          <w:t>https://bmcresnotes.biomedcentral.com/articles/10.1186/s13104-024-06893-7</w:t>
        </w:r>
      </w:hyperlink>
      <w:r w:rsidRPr="00E57D86">
        <w:rPr>
          <w:rFonts w:ascii="Arial" w:hAnsi="Arial" w:cs="Arial"/>
          <w:sz w:val="22"/>
          <w:szCs w:val="22"/>
        </w:rPr>
        <w:t xml:space="preserve">  (Accessed 11 October 2025</w:t>
      </w:r>
      <w:r w:rsidR="00B56FC2">
        <w:rPr>
          <w:rFonts w:ascii="Arial" w:hAnsi="Arial" w:cs="Arial"/>
          <w:sz w:val="22"/>
          <w:szCs w:val="22"/>
        </w:rPr>
        <w:t>).</w:t>
      </w:r>
    </w:p>
    <w:p w14:paraId="552806F5" w14:textId="343D66AE" w:rsidR="00D00C16" w:rsidRPr="00D00C16" w:rsidRDefault="00D00C16" w:rsidP="00D00C16">
      <w:pPr>
        <w:pStyle w:val="NormalWeb"/>
        <w:spacing w:after="0" w:line="360" w:lineRule="auto"/>
        <w:rPr>
          <w:rFonts w:ascii="Arial" w:hAnsi="Arial" w:cs="Arial"/>
          <w:sz w:val="22"/>
          <w:szCs w:val="22"/>
        </w:rPr>
      </w:pPr>
      <w:r w:rsidRPr="00D00C16">
        <w:rPr>
          <w:rFonts w:ascii="Arial" w:hAnsi="Arial" w:cs="Arial"/>
          <w:sz w:val="22"/>
          <w:szCs w:val="22"/>
        </w:rPr>
        <w:t xml:space="preserve">Year of Care Partnerships (2024) </w:t>
      </w:r>
      <w:r w:rsidRPr="00D00C16">
        <w:rPr>
          <w:rFonts w:ascii="Arial" w:hAnsi="Arial" w:cs="Arial"/>
          <w:i/>
          <w:iCs/>
          <w:sz w:val="22"/>
          <w:szCs w:val="22"/>
        </w:rPr>
        <w:t>The Year of Care Approach: Developing a Model and Delivery Programme</w:t>
      </w:r>
      <w:r w:rsidRPr="00D00C16">
        <w:rPr>
          <w:rFonts w:ascii="Arial" w:hAnsi="Arial" w:cs="Arial"/>
          <w:sz w:val="22"/>
          <w:szCs w:val="22"/>
        </w:rPr>
        <w:t xml:space="preserve">. Available at: </w:t>
      </w:r>
      <w:hyperlink r:id="rId58" w:history="1">
        <w:r w:rsidR="00510941" w:rsidRPr="00D00C16">
          <w:rPr>
            <w:rStyle w:val="Hyperlink"/>
            <w:rFonts w:ascii="Arial" w:hAnsi="Arial" w:cs="Arial"/>
            <w:sz w:val="22"/>
            <w:szCs w:val="22"/>
          </w:rPr>
          <w:t>https://www.yearofcare.co.uk/wp-content/uploads/2024/07/Year-of-Care-BMC-Publication-Nov-19.pdf</w:t>
        </w:r>
      </w:hyperlink>
      <w:r w:rsidR="00510941" w:rsidRPr="00B56FC2">
        <w:rPr>
          <w:rFonts w:ascii="Arial" w:hAnsi="Arial" w:cs="Arial"/>
          <w:sz w:val="22"/>
          <w:szCs w:val="22"/>
        </w:rPr>
        <w:t xml:space="preserve"> (Accessed:</w:t>
      </w:r>
      <w:r w:rsidR="00B56FC2" w:rsidRPr="00B56FC2">
        <w:rPr>
          <w:rFonts w:ascii="Arial" w:hAnsi="Arial" w:cs="Arial"/>
          <w:sz w:val="22"/>
          <w:szCs w:val="22"/>
        </w:rPr>
        <w:t xml:space="preserve"> 14 October 2025).</w:t>
      </w:r>
    </w:p>
    <w:p w14:paraId="44A8670F" w14:textId="77777777" w:rsidR="006B1CEA" w:rsidRPr="00E57D86" w:rsidRDefault="006B1CEA" w:rsidP="00E57D86">
      <w:pPr>
        <w:pStyle w:val="NormalWeb"/>
        <w:spacing w:after="0" w:line="360" w:lineRule="auto"/>
        <w:rPr>
          <w:rFonts w:ascii="Arial" w:hAnsi="Arial" w:cs="Arial"/>
          <w:sz w:val="22"/>
          <w:szCs w:val="22"/>
        </w:rPr>
      </w:pPr>
    </w:p>
    <w:sectPr w:rsidR="006B1CEA" w:rsidRPr="00E57D86" w:rsidSect="005E0FB5">
      <w:type w:val="continuous"/>
      <w:pgSz w:w="11906" w:h="16838" w:code="9"/>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D0000A" w14:textId="77777777" w:rsidR="00517FD7" w:rsidRDefault="00517FD7" w:rsidP="00312725">
      <w:pPr>
        <w:spacing w:after="0" w:line="240" w:lineRule="auto"/>
      </w:pPr>
      <w:r>
        <w:separator/>
      </w:r>
    </w:p>
  </w:endnote>
  <w:endnote w:type="continuationSeparator" w:id="0">
    <w:p w14:paraId="363CD8B9" w14:textId="77777777" w:rsidR="00517FD7" w:rsidRDefault="00517FD7" w:rsidP="003127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9491524"/>
      <w:docPartObj>
        <w:docPartGallery w:val="Page Numbers (Bottom of Page)"/>
        <w:docPartUnique/>
      </w:docPartObj>
    </w:sdtPr>
    <w:sdtEndPr>
      <w:rPr>
        <w:noProof/>
      </w:rPr>
    </w:sdtEndPr>
    <w:sdtContent>
      <w:p w14:paraId="08529CC4" w14:textId="0BBDFBEB" w:rsidR="00312725" w:rsidRDefault="0031272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B0B891" w14:textId="77777777" w:rsidR="00312725" w:rsidRDefault="003127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D5DECF" w14:textId="77777777" w:rsidR="00517FD7" w:rsidRDefault="00517FD7" w:rsidP="00312725">
      <w:pPr>
        <w:spacing w:after="0" w:line="240" w:lineRule="auto"/>
      </w:pPr>
      <w:r>
        <w:separator/>
      </w:r>
    </w:p>
  </w:footnote>
  <w:footnote w:type="continuationSeparator" w:id="0">
    <w:p w14:paraId="00E43996" w14:textId="77777777" w:rsidR="00517FD7" w:rsidRDefault="00517FD7" w:rsidP="003127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948AF"/>
    <w:multiLevelType w:val="multilevel"/>
    <w:tmpl w:val="2DA69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A20289"/>
    <w:multiLevelType w:val="multilevel"/>
    <w:tmpl w:val="E1EE2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5264A2"/>
    <w:multiLevelType w:val="multilevel"/>
    <w:tmpl w:val="E222E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E54E31"/>
    <w:multiLevelType w:val="multilevel"/>
    <w:tmpl w:val="C68A5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7A6ACF"/>
    <w:multiLevelType w:val="multilevel"/>
    <w:tmpl w:val="A574E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430AF3"/>
    <w:multiLevelType w:val="multilevel"/>
    <w:tmpl w:val="7B46A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9C650B"/>
    <w:multiLevelType w:val="hybridMultilevel"/>
    <w:tmpl w:val="60F0550E"/>
    <w:lvl w:ilvl="0" w:tplc="8DA463EC">
      <w:start w:val="1"/>
      <w:numFmt w:val="bullet"/>
      <w:lvlText w:val=""/>
      <w:lvlJc w:val="left"/>
      <w:pPr>
        <w:tabs>
          <w:tab w:val="num" w:pos="720"/>
        </w:tabs>
        <w:ind w:left="720" w:hanging="360"/>
      </w:pPr>
      <w:rPr>
        <w:rFonts w:ascii="Symbol" w:hAnsi="Symbol" w:hint="default"/>
      </w:rPr>
    </w:lvl>
    <w:lvl w:ilvl="1" w:tplc="ACEC5386" w:tentative="1">
      <w:start w:val="1"/>
      <w:numFmt w:val="bullet"/>
      <w:lvlText w:val=""/>
      <w:lvlJc w:val="left"/>
      <w:pPr>
        <w:tabs>
          <w:tab w:val="num" w:pos="1440"/>
        </w:tabs>
        <w:ind w:left="1440" w:hanging="360"/>
      </w:pPr>
      <w:rPr>
        <w:rFonts w:ascii="Symbol" w:hAnsi="Symbol" w:hint="default"/>
      </w:rPr>
    </w:lvl>
    <w:lvl w:ilvl="2" w:tplc="A74A7576" w:tentative="1">
      <w:start w:val="1"/>
      <w:numFmt w:val="bullet"/>
      <w:lvlText w:val=""/>
      <w:lvlJc w:val="left"/>
      <w:pPr>
        <w:tabs>
          <w:tab w:val="num" w:pos="2160"/>
        </w:tabs>
        <w:ind w:left="2160" w:hanging="360"/>
      </w:pPr>
      <w:rPr>
        <w:rFonts w:ascii="Symbol" w:hAnsi="Symbol" w:hint="default"/>
      </w:rPr>
    </w:lvl>
    <w:lvl w:ilvl="3" w:tplc="CB7A933A" w:tentative="1">
      <w:start w:val="1"/>
      <w:numFmt w:val="bullet"/>
      <w:lvlText w:val=""/>
      <w:lvlJc w:val="left"/>
      <w:pPr>
        <w:tabs>
          <w:tab w:val="num" w:pos="2880"/>
        </w:tabs>
        <w:ind w:left="2880" w:hanging="360"/>
      </w:pPr>
      <w:rPr>
        <w:rFonts w:ascii="Symbol" w:hAnsi="Symbol" w:hint="default"/>
      </w:rPr>
    </w:lvl>
    <w:lvl w:ilvl="4" w:tplc="BD7007F0" w:tentative="1">
      <w:start w:val="1"/>
      <w:numFmt w:val="bullet"/>
      <w:lvlText w:val=""/>
      <w:lvlJc w:val="left"/>
      <w:pPr>
        <w:tabs>
          <w:tab w:val="num" w:pos="3600"/>
        </w:tabs>
        <w:ind w:left="3600" w:hanging="360"/>
      </w:pPr>
      <w:rPr>
        <w:rFonts w:ascii="Symbol" w:hAnsi="Symbol" w:hint="default"/>
      </w:rPr>
    </w:lvl>
    <w:lvl w:ilvl="5" w:tplc="C79ADD76" w:tentative="1">
      <w:start w:val="1"/>
      <w:numFmt w:val="bullet"/>
      <w:lvlText w:val=""/>
      <w:lvlJc w:val="left"/>
      <w:pPr>
        <w:tabs>
          <w:tab w:val="num" w:pos="4320"/>
        </w:tabs>
        <w:ind w:left="4320" w:hanging="360"/>
      </w:pPr>
      <w:rPr>
        <w:rFonts w:ascii="Symbol" w:hAnsi="Symbol" w:hint="default"/>
      </w:rPr>
    </w:lvl>
    <w:lvl w:ilvl="6" w:tplc="86CEF206" w:tentative="1">
      <w:start w:val="1"/>
      <w:numFmt w:val="bullet"/>
      <w:lvlText w:val=""/>
      <w:lvlJc w:val="left"/>
      <w:pPr>
        <w:tabs>
          <w:tab w:val="num" w:pos="5040"/>
        </w:tabs>
        <w:ind w:left="5040" w:hanging="360"/>
      </w:pPr>
      <w:rPr>
        <w:rFonts w:ascii="Symbol" w:hAnsi="Symbol" w:hint="default"/>
      </w:rPr>
    </w:lvl>
    <w:lvl w:ilvl="7" w:tplc="5D6A3462" w:tentative="1">
      <w:start w:val="1"/>
      <w:numFmt w:val="bullet"/>
      <w:lvlText w:val=""/>
      <w:lvlJc w:val="left"/>
      <w:pPr>
        <w:tabs>
          <w:tab w:val="num" w:pos="5760"/>
        </w:tabs>
        <w:ind w:left="5760" w:hanging="360"/>
      </w:pPr>
      <w:rPr>
        <w:rFonts w:ascii="Symbol" w:hAnsi="Symbol" w:hint="default"/>
      </w:rPr>
    </w:lvl>
    <w:lvl w:ilvl="8" w:tplc="E4984B1A" w:tentative="1">
      <w:start w:val="1"/>
      <w:numFmt w:val="bullet"/>
      <w:lvlText w:val=""/>
      <w:lvlJc w:val="left"/>
      <w:pPr>
        <w:tabs>
          <w:tab w:val="num" w:pos="6480"/>
        </w:tabs>
        <w:ind w:left="6480" w:hanging="360"/>
      </w:pPr>
      <w:rPr>
        <w:rFonts w:ascii="Symbol" w:hAnsi="Symbol" w:hint="default"/>
      </w:rPr>
    </w:lvl>
  </w:abstractNum>
  <w:abstractNum w:abstractNumId="7" w15:restartNumberingAfterBreak="0">
    <w:nsid w:val="3013728F"/>
    <w:multiLevelType w:val="multilevel"/>
    <w:tmpl w:val="5EAE9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E30B20"/>
    <w:multiLevelType w:val="multilevel"/>
    <w:tmpl w:val="D50230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9BA4FF2"/>
    <w:multiLevelType w:val="multilevel"/>
    <w:tmpl w:val="585A1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35B4640"/>
    <w:multiLevelType w:val="multilevel"/>
    <w:tmpl w:val="6C64C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9AC102B"/>
    <w:multiLevelType w:val="hybridMultilevel"/>
    <w:tmpl w:val="9138ACF0"/>
    <w:lvl w:ilvl="0" w:tplc="F4D65964">
      <w:start w:val="1"/>
      <w:numFmt w:val="bullet"/>
      <w:lvlText w:val="•"/>
      <w:lvlJc w:val="left"/>
      <w:pPr>
        <w:tabs>
          <w:tab w:val="num" w:pos="720"/>
        </w:tabs>
        <w:ind w:left="720" w:hanging="360"/>
      </w:pPr>
      <w:rPr>
        <w:rFonts w:ascii="Arial" w:hAnsi="Arial" w:hint="default"/>
      </w:rPr>
    </w:lvl>
    <w:lvl w:ilvl="1" w:tplc="B9326308" w:tentative="1">
      <w:start w:val="1"/>
      <w:numFmt w:val="bullet"/>
      <w:lvlText w:val="•"/>
      <w:lvlJc w:val="left"/>
      <w:pPr>
        <w:tabs>
          <w:tab w:val="num" w:pos="1440"/>
        </w:tabs>
        <w:ind w:left="1440" w:hanging="360"/>
      </w:pPr>
      <w:rPr>
        <w:rFonts w:ascii="Arial" w:hAnsi="Arial" w:hint="default"/>
      </w:rPr>
    </w:lvl>
    <w:lvl w:ilvl="2" w:tplc="9C1C62BC" w:tentative="1">
      <w:start w:val="1"/>
      <w:numFmt w:val="bullet"/>
      <w:lvlText w:val="•"/>
      <w:lvlJc w:val="left"/>
      <w:pPr>
        <w:tabs>
          <w:tab w:val="num" w:pos="2160"/>
        </w:tabs>
        <w:ind w:left="2160" w:hanging="360"/>
      </w:pPr>
      <w:rPr>
        <w:rFonts w:ascii="Arial" w:hAnsi="Arial" w:hint="default"/>
      </w:rPr>
    </w:lvl>
    <w:lvl w:ilvl="3" w:tplc="4A54D9DC" w:tentative="1">
      <w:start w:val="1"/>
      <w:numFmt w:val="bullet"/>
      <w:lvlText w:val="•"/>
      <w:lvlJc w:val="left"/>
      <w:pPr>
        <w:tabs>
          <w:tab w:val="num" w:pos="2880"/>
        </w:tabs>
        <w:ind w:left="2880" w:hanging="360"/>
      </w:pPr>
      <w:rPr>
        <w:rFonts w:ascii="Arial" w:hAnsi="Arial" w:hint="default"/>
      </w:rPr>
    </w:lvl>
    <w:lvl w:ilvl="4" w:tplc="8FEE080A" w:tentative="1">
      <w:start w:val="1"/>
      <w:numFmt w:val="bullet"/>
      <w:lvlText w:val="•"/>
      <w:lvlJc w:val="left"/>
      <w:pPr>
        <w:tabs>
          <w:tab w:val="num" w:pos="3600"/>
        </w:tabs>
        <w:ind w:left="3600" w:hanging="360"/>
      </w:pPr>
      <w:rPr>
        <w:rFonts w:ascii="Arial" w:hAnsi="Arial" w:hint="default"/>
      </w:rPr>
    </w:lvl>
    <w:lvl w:ilvl="5" w:tplc="A7CA7CDE" w:tentative="1">
      <w:start w:val="1"/>
      <w:numFmt w:val="bullet"/>
      <w:lvlText w:val="•"/>
      <w:lvlJc w:val="left"/>
      <w:pPr>
        <w:tabs>
          <w:tab w:val="num" w:pos="4320"/>
        </w:tabs>
        <w:ind w:left="4320" w:hanging="360"/>
      </w:pPr>
      <w:rPr>
        <w:rFonts w:ascii="Arial" w:hAnsi="Arial" w:hint="default"/>
      </w:rPr>
    </w:lvl>
    <w:lvl w:ilvl="6" w:tplc="E1EEFC08" w:tentative="1">
      <w:start w:val="1"/>
      <w:numFmt w:val="bullet"/>
      <w:lvlText w:val="•"/>
      <w:lvlJc w:val="left"/>
      <w:pPr>
        <w:tabs>
          <w:tab w:val="num" w:pos="5040"/>
        </w:tabs>
        <w:ind w:left="5040" w:hanging="360"/>
      </w:pPr>
      <w:rPr>
        <w:rFonts w:ascii="Arial" w:hAnsi="Arial" w:hint="default"/>
      </w:rPr>
    </w:lvl>
    <w:lvl w:ilvl="7" w:tplc="435C98E4" w:tentative="1">
      <w:start w:val="1"/>
      <w:numFmt w:val="bullet"/>
      <w:lvlText w:val="•"/>
      <w:lvlJc w:val="left"/>
      <w:pPr>
        <w:tabs>
          <w:tab w:val="num" w:pos="5760"/>
        </w:tabs>
        <w:ind w:left="5760" w:hanging="360"/>
      </w:pPr>
      <w:rPr>
        <w:rFonts w:ascii="Arial" w:hAnsi="Arial" w:hint="default"/>
      </w:rPr>
    </w:lvl>
    <w:lvl w:ilvl="8" w:tplc="0180F5C8"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DB557A0"/>
    <w:multiLevelType w:val="multilevel"/>
    <w:tmpl w:val="C0E6A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3121484"/>
    <w:multiLevelType w:val="multilevel"/>
    <w:tmpl w:val="5FE68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5CA6923"/>
    <w:multiLevelType w:val="multilevel"/>
    <w:tmpl w:val="86922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7203BD7"/>
    <w:multiLevelType w:val="multilevel"/>
    <w:tmpl w:val="DF881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78600E3"/>
    <w:multiLevelType w:val="hybridMultilevel"/>
    <w:tmpl w:val="720E10B8"/>
    <w:lvl w:ilvl="0" w:tplc="A5DC672E">
      <w:start w:val="1"/>
      <w:numFmt w:val="bullet"/>
      <w:lvlText w:val=""/>
      <w:lvlJc w:val="left"/>
      <w:pPr>
        <w:tabs>
          <w:tab w:val="num" w:pos="720"/>
        </w:tabs>
        <w:ind w:left="720" w:hanging="360"/>
      </w:pPr>
      <w:rPr>
        <w:rFonts w:ascii="Symbol" w:hAnsi="Symbol" w:hint="default"/>
      </w:rPr>
    </w:lvl>
    <w:lvl w:ilvl="1" w:tplc="AF9200E2" w:tentative="1">
      <w:start w:val="1"/>
      <w:numFmt w:val="bullet"/>
      <w:lvlText w:val=""/>
      <w:lvlJc w:val="left"/>
      <w:pPr>
        <w:tabs>
          <w:tab w:val="num" w:pos="1440"/>
        </w:tabs>
        <w:ind w:left="1440" w:hanging="360"/>
      </w:pPr>
      <w:rPr>
        <w:rFonts w:ascii="Symbol" w:hAnsi="Symbol" w:hint="default"/>
      </w:rPr>
    </w:lvl>
    <w:lvl w:ilvl="2" w:tplc="419669AA" w:tentative="1">
      <w:start w:val="1"/>
      <w:numFmt w:val="bullet"/>
      <w:lvlText w:val=""/>
      <w:lvlJc w:val="left"/>
      <w:pPr>
        <w:tabs>
          <w:tab w:val="num" w:pos="2160"/>
        </w:tabs>
        <w:ind w:left="2160" w:hanging="360"/>
      </w:pPr>
      <w:rPr>
        <w:rFonts w:ascii="Symbol" w:hAnsi="Symbol" w:hint="default"/>
      </w:rPr>
    </w:lvl>
    <w:lvl w:ilvl="3" w:tplc="12328D08" w:tentative="1">
      <w:start w:val="1"/>
      <w:numFmt w:val="bullet"/>
      <w:lvlText w:val=""/>
      <w:lvlJc w:val="left"/>
      <w:pPr>
        <w:tabs>
          <w:tab w:val="num" w:pos="2880"/>
        </w:tabs>
        <w:ind w:left="2880" w:hanging="360"/>
      </w:pPr>
      <w:rPr>
        <w:rFonts w:ascii="Symbol" w:hAnsi="Symbol" w:hint="default"/>
      </w:rPr>
    </w:lvl>
    <w:lvl w:ilvl="4" w:tplc="01149658" w:tentative="1">
      <w:start w:val="1"/>
      <w:numFmt w:val="bullet"/>
      <w:lvlText w:val=""/>
      <w:lvlJc w:val="left"/>
      <w:pPr>
        <w:tabs>
          <w:tab w:val="num" w:pos="3600"/>
        </w:tabs>
        <w:ind w:left="3600" w:hanging="360"/>
      </w:pPr>
      <w:rPr>
        <w:rFonts w:ascii="Symbol" w:hAnsi="Symbol" w:hint="default"/>
      </w:rPr>
    </w:lvl>
    <w:lvl w:ilvl="5" w:tplc="499E9C0A" w:tentative="1">
      <w:start w:val="1"/>
      <w:numFmt w:val="bullet"/>
      <w:lvlText w:val=""/>
      <w:lvlJc w:val="left"/>
      <w:pPr>
        <w:tabs>
          <w:tab w:val="num" w:pos="4320"/>
        </w:tabs>
        <w:ind w:left="4320" w:hanging="360"/>
      </w:pPr>
      <w:rPr>
        <w:rFonts w:ascii="Symbol" w:hAnsi="Symbol" w:hint="default"/>
      </w:rPr>
    </w:lvl>
    <w:lvl w:ilvl="6" w:tplc="AF4C77A6" w:tentative="1">
      <w:start w:val="1"/>
      <w:numFmt w:val="bullet"/>
      <w:lvlText w:val=""/>
      <w:lvlJc w:val="left"/>
      <w:pPr>
        <w:tabs>
          <w:tab w:val="num" w:pos="5040"/>
        </w:tabs>
        <w:ind w:left="5040" w:hanging="360"/>
      </w:pPr>
      <w:rPr>
        <w:rFonts w:ascii="Symbol" w:hAnsi="Symbol" w:hint="default"/>
      </w:rPr>
    </w:lvl>
    <w:lvl w:ilvl="7" w:tplc="BA8CFC88" w:tentative="1">
      <w:start w:val="1"/>
      <w:numFmt w:val="bullet"/>
      <w:lvlText w:val=""/>
      <w:lvlJc w:val="left"/>
      <w:pPr>
        <w:tabs>
          <w:tab w:val="num" w:pos="5760"/>
        </w:tabs>
        <w:ind w:left="5760" w:hanging="360"/>
      </w:pPr>
      <w:rPr>
        <w:rFonts w:ascii="Symbol" w:hAnsi="Symbol" w:hint="default"/>
      </w:rPr>
    </w:lvl>
    <w:lvl w:ilvl="8" w:tplc="A9964E26" w:tentative="1">
      <w:start w:val="1"/>
      <w:numFmt w:val="bullet"/>
      <w:lvlText w:val=""/>
      <w:lvlJc w:val="left"/>
      <w:pPr>
        <w:tabs>
          <w:tab w:val="num" w:pos="6480"/>
        </w:tabs>
        <w:ind w:left="6480" w:hanging="360"/>
      </w:pPr>
      <w:rPr>
        <w:rFonts w:ascii="Symbol" w:hAnsi="Symbol" w:hint="default"/>
      </w:rPr>
    </w:lvl>
  </w:abstractNum>
  <w:abstractNum w:abstractNumId="17" w15:restartNumberingAfterBreak="0">
    <w:nsid w:val="5B702E87"/>
    <w:multiLevelType w:val="multilevel"/>
    <w:tmpl w:val="3B244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F92F46"/>
    <w:multiLevelType w:val="hybridMultilevel"/>
    <w:tmpl w:val="8158A822"/>
    <w:lvl w:ilvl="0" w:tplc="C4E64D46">
      <w:start w:val="1"/>
      <w:numFmt w:val="bullet"/>
      <w:lvlText w:val="•"/>
      <w:lvlJc w:val="left"/>
      <w:pPr>
        <w:tabs>
          <w:tab w:val="num" w:pos="720"/>
        </w:tabs>
        <w:ind w:left="720" w:hanging="360"/>
      </w:pPr>
      <w:rPr>
        <w:rFonts w:ascii="Arial" w:hAnsi="Arial" w:hint="default"/>
      </w:rPr>
    </w:lvl>
    <w:lvl w:ilvl="1" w:tplc="0660EDCE" w:tentative="1">
      <w:start w:val="1"/>
      <w:numFmt w:val="bullet"/>
      <w:lvlText w:val="•"/>
      <w:lvlJc w:val="left"/>
      <w:pPr>
        <w:tabs>
          <w:tab w:val="num" w:pos="1440"/>
        </w:tabs>
        <w:ind w:left="1440" w:hanging="360"/>
      </w:pPr>
      <w:rPr>
        <w:rFonts w:ascii="Arial" w:hAnsi="Arial" w:hint="default"/>
      </w:rPr>
    </w:lvl>
    <w:lvl w:ilvl="2" w:tplc="C116071E" w:tentative="1">
      <w:start w:val="1"/>
      <w:numFmt w:val="bullet"/>
      <w:lvlText w:val="•"/>
      <w:lvlJc w:val="left"/>
      <w:pPr>
        <w:tabs>
          <w:tab w:val="num" w:pos="2160"/>
        </w:tabs>
        <w:ind w:left="2160" w:hanging="360"/>
      </w:pPr>
      <w:rPr>
        <w:rFonts w:ascii="Arial" w:hAnsi="Arial" w:hint="default"/>
      </w:rPr>
    </w:lvl>
    <w:lvl w:ilvl="3" w:tplc="48E884F2" w:tentative="1">
      <w:start w:val="1"/>
      <w:numFmt w:val="bullet"/>
      <w:lvlText w:val="•"/>
      <w:lvlJc w:val="left"/>
      <w:pPr>
        <w:tabs>
          <w:tab w:val="num" w:pos="2880"/>
        </w:tabs>
        <w:ind w:left="2880" w:hanging="360"/>
      </w:pPr>
      <w:rPr>
        <w:rFonts w:ascii="Arial" w:hAnsi="Arial" w:hint="default"/>
      </w:rPr>
    </w:lvl>
    <w:lvl w:ilvl="4" w:tplc="B1FA5438" w:tentative="1">
      <w:start w:val="1"/>
      <w:numFmt w:val="bullet"/>
      <w:lvlText w:val="•"/>
      <w:lvlJc w:val="left"/>
      <w:pPr>
        <w:tabs>
          <w:tab w:val="num" w:pos="3600"/>
        </w:tabs>
        <w:ind w:left="3600" w:hanging="360"/>
      </w:pPr>
      <w:rPr>
        <w:rFonts w:ascii="Arial" w:hAnsi="Arial" w:hint="default"/>
      </w:rPr>
    </w:lvl>
    <w:lvl w:ilvl="5" w:tplc="6CF2F2DA" w:tentative="1">
      <w:start w:val="1"/>
      <w:numFmt w:val="bullet"/>
      <w:lvlText w:val="•"/>
      <w:lvlJc w:val="left"/>
      <w:pPr>
        <w:tabs>
          <w:tab w:val="num" w:pos="4320"/>
        </w:tabs>
        <w:ind w:left="4320" w:hanging="360"/>
      </w:pPr>
      <w:rPr>
        <w:rFonts w:ascii="Arial" w:hAnsi="Arial" w:hint="default"/>
      </w:rPr>
    </w:lvl>
    <w:lvl w:ilvl="6" w:tplc="1D42B1EC" w:tentative="1">
      <w:start w:val="1"/>
      <w:numFmt w:val="bullet"/>
      <w:lvlText w:val="•"/>
      <w:lvlJc w:val="left"/>
      <w:pPr>
        <w:tabs>
          <w:tab w:val="num" w:pos="5040"/>
        </w:tabs>
        <w:ind w:left="5040" w:hanging="360"/>
      </w:pPr>
      <w:rPr>
        <w:rFonts w:ascii="Arial" w:hAnsi="Arial" w:hint="default"/>
      </w:rPr>
    </w:lvl>
    <w:lvl w:ilvl="7" w:tplc="3FBC726C" w:tentative="1">
      <w:start w:val="1"/>
      <w:numFmt w:val="bullet"/>
      <w:lvlText w:val="•"/>
      <w:lvlJc w:val="left"/>
      <w:pPr>
        <w:tabs>
          <w:tab w:val="num" w:pos="5760"/>
        </w:tabs>
        <w:ind w:left="5760" w:hanging="360"/>
      </w:pPr>
      <w:rPr>
        <w:rFonts w:ascii="Arial" w:hAnsi="Arial" w:hint="default"/>
      </w:rPr>
    </w:lvl>
    <w:lvl w:ilvl="8" w:tplc="20A4BFD0"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66951D63"/>
    <w:multiLevelType w:val="multilevel"/>
    <w:tmpl w:val="2842C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7711C7D"/>
    <w:multiLevelType w:val="multilevel"/>
    <w:tmpl w:val="46909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7A562BE"/>
    <w:multiLevelType w:val="hybridMultilevel"/>
    <w:tmpl w:val="AC3E5B1E"/>
    <w:lvl w:ilvl="0" w:tplc="F0BCF784">
      <w:start w:val="1"/>
      <w:numFmt w:val="bullet"/>
      <w:lvlText w:val=""/>
      <w:lvlJc w:val="left"/>
      <w:pPr>
        <w:tabs>
          <w:tab w:val="num" w:pos="720"/>
        </w:tabs>
        <w:ind w:left="720" w:hanging="360"/>
      </w:pPr>
      <w:rPr>
        <w:rFonts w:ascii="Symbol" w:hAnsi="Symbol" w:hint="default"/>
      </w:rPr>
    </w:lvl>
    <w:lvl w:ilvl="1" w:tplc="08C2617C" w:tentative="1">
      <w:start w:val="1"/>
      <w:numFmt w:val="bullet"/>
      <w:lvlText w:val=""/>
      <w:lvlJc w:val="left"/>
      <w:pPr>
        <w:tabs>
          <w:tab w:val="num" w:pos="1440"/>
        </w:tabs>
        <w:ind w:left="1440" w:hanging="360"/>
      </w:pPr>
      <w:rPr>
        <w:rFonts w:ascii="Symbol" w:hAnsi="Symbol" w:hint="default"/>
      </w:rPr>
    </w:lvl>
    <w:lvl w:ilvl="2" w:tplc="2782E9E0" w:tentative="1">
      <w:start w:val="1"/>
      <w:numFmt w:val="bullet"/>
      <w:lvlText w:val=""/>
      <w:lvlJc w:val="left"/>
      <w:pPr>
        <w:tabs>
          <w:tab w:val="num" w:pos="2160"/>
        </w:tabs>
        <w:ind w:left="2160" w:hanging="360"/>
      </w:pPr>
      <w:rPr>
        <w:rFonts w:ascii="Symbol" w:hAnsi="Symbol" w:hint="default"/>
      </w:rPr>
    </w:lvl>
    <w:lvl w:ilvl="3" w:tplc="F5A09CC2" w:tentative="1">
      <w:start w:val="1"/>
      <w:numFmt w:val="bullet"/>
      <w:lvlText w:val=""/>
      <w:lvlJc w:val="left"/>
      <w:pPr>
        <w:tabs>
          <w:tab w:val="num" w:pos="2880"/>
        </w:tabs>
        <w:ind w:left="2880" w:hanging="360"/>
      </w:pPr>
      <w:rPr>
        <w:rFonts w:ascii="Symbol" w:hAnsi="Symbol" w:hint="default"/>
      </w:rPr>
    </w:lvl>
    <w:lvl w:ilvl="4" w:tplc="2BE6614C" w:tentative="1">
      <w:start w:val="1"/>
      <w:numFmt w:val="bullet"/>
      <w:lvlText w:val=""/>
      <w:lvlJc w:val="left"/>
      <w:pPr>
        <w:tabs>
          <w:tab w:val="num" w:pos="3600"/>
        </w:tabs>
        <w:ind w:left="3600" w:hanging="360"/>
      </w:pPr>
      <w:rPr>
        <w:rFonts w:ascii="Symbol" w:hAnsi="Symbol" w:hint="default"/>
      </w:rPr>
    </w:lvl>
    <w:lvl w:ilvl="5" w:tplc="403EFCC8" w:tentative="1">
      <w:start w:val="1"/>
      <w:numFmt w:val="bullet"/>
      <w:lvlText w:val=""/>
      <w:lvlJc w:val="left"/>
      <w:pPr>
        <w:tabs>
          <w:tab w:val="num" w:pos="4320"/>
        </w:tabs>
        <w:ind w:left="4320" w:hanging="360"/>
      </w:pPr>
      <w:rPr>
        <w:rFonts w:ascii="Symbol" w:hAnsi="Symbol" w:hint="default"/>
      </w:rPr>
    </w:lvl>
    <w:lvl w:ilvl="6" w:tplc="1BCA7BAA" w:tentative="1">
      <w:start w:val="1"/>
      <w:numFmt w:val="bullet"/>
      <w:lvlText w:val=""/>
      <w:lvlJc w:val="left"/>
      <w:pPr>
        <w:tabs>
          <w:tab w:val="num" w:pos="5040"/>
        </w:tabs>
        <w:ind w:left="5040" w:hanging="360"/>
      </w:pPr>
      <w:rPr>
        <w:rFonts w:ascii="Symbol" w:hAnsi="Symbol" w:hint="default"/>
      </w:rPr>
    </w:lvl>
    <w:lvl w:ilvl="7" w:tplc="B6B026D8" w:tentative="1">
      <w:start w:val="1"/>
      <w:numFmt w:val="bullet"/>
      <w:lvlText w:val=""/>
      <w:lvlJc w:val="left"/>
      <w:pPr>
        <w:tabs>
          <w:tab w:val="num" w:pos="5760"/>
        </w:tabs>
        <w:ind w:left="5760" w:hanging="360"/>
      </w:pPr>
      <w:rPr>
        <w:rFonts w:ascii="Symbol" w:hAnsi="Symbol" w:hint="default"/>
      </w:rPr>
    </w:lvl>
    <w:lvl w:ilvl="8" w:tplc="B080A9A4" w:tentative="1">
      <w:start w:val="1"/>
      <w:numFmt w:val="bullet"/>
      <w:lvlText w:val=""/>
      <w:lvlJc w:val="left"/>
      <w:pPr>
        <w:tabs>
          <w:tab w:val="num" w:pos="6480"/>
        </w:tabs>
        <w:ind w:left="6480" w:hanging="360"/>
      </w:pPr>
      <w:rPr>
        <w:rFonts w:ascii="Symbol" w:hAnsi="Symbol" w:hint="default"/>
      </w:rPr>
    </w:lvl>
  </w:abstractNum>
  <w:abstractNum w:abstractNumId="22" w15:restartNumberingAfterBreak="0">
    <w:nsid w:val="6A65735C"/>
    <w:multiLevelType w:val="multilevel"/>
    <w:tmpl w:val="B2481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B52753C"/>
    <w:multiLevelType w:val="multilevel"/>
    <w:tmpl w:val="BF1AF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F3B7295"/>
    <w:multiLevelType w:val="multilevel"/>
    <w:tmpl w:val="239EE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3AC704F"/>
    <w:multiLevelType w:val="hybridMultilevel"/>
    <w:tmpl w:val="B1823DAE"/>
    <w:lvl w:ilvl="0" w:tplc="94AC2002">
      <w:start w:val="1"/>
      <w:numFmt w:val="bullet"/>
      <w:lvlText w:val=""/>
      <w:lvlJc w:val="left"/>
      <w:pPr>
        <w:tabs>
          <w:tab w:val="num" w:pos="720"/>
        </w:tabs>
        <w:ind w:left="720" w:hanging="360"/>
      </w:pPr>
      <w:rPr>
        <w:rFonts w:ascii="Symbol" w:hAnsi="Symbol" w:hint="default"/>
      </w:rPr>
    </w:lvl>
    <w:lvl w:ilvl="1" w:tplc="55C2490E" w:tentative="1">
      <w:start w:val="1"/>
      <w:numFmt w:val="bullet"/>
      <w:lvlText w:val=""/>
      <w:lvlJc w:val="left"/>
      <w:pPr>
        <w:tabs>
          <w:tab w:val="num" w:pos="1440"/>
        </w:tabs>
        <w:ind w:left="1440" w:hanging="360"/>
      </w:pPr>
      <w:rPr>
        <w:rFonts w:ascii="Symbol" w:hAnsi="Symbol" w:hint="default"/>
      </w:rPr>
    </w:lvl>
    <w:lvl w:ilvl="2" w:tplc="2226811C" w:tentative="1">
      <w:start w:val="1"/>
      <w:numFmt w:val="bullet"/>
      <w:lvlText w:val=""/>
      <w:lvlJc w:val="left"/>
      <w:pPr>
        <w:tabs>
          <w:tab w:val="num" w:pos="2160"/>
        </w:tabs>
        <w:ind w:left="2160" w:hanging="360"/>
      </w:pPr>
      <w:rPr>
        <w:rFonts w:ascii="Symbol" w:hAnsi="Symbol" w:hint="default"/>
      </w:rPr>
    </w:lvl>
    <w:lvl w:ilvl="3" w:tplc="9A5416A4" w:tentative="1">
      <w:start w:val="1"/>
      <w:numFmt w:val="bullet"/>
      <w:lvlText w:val=""/>
      <w:lvlJc w:val="left"/>
      <w:pPr>
        <w:tabs>
          <w:tab w:val="num" w:pos="2880"/>
        </w:tabs>
        <w:ind w:left="2880" w:hanging="360"/>
      </w:pPr>
      <w:rPr>
        <w:rFonts w:ascii="Symbol" w:hAnsi="Symbol" w:hint="default"/>
      </w:rPr>
    </w:lvl>
    <w:lvl w:ilvl="4" w:tplc="CF185A90" w:tentative="1">
      <w:start w:val="1"/>
      <w:numFmt w:val="bullet"/>
      <w:lvlText w:val=""/>
      <w:lvlJc w:val="left"/>
      <w:pPr>
        <w:tabs>
          <w:tab w:val="num" w:pos="3600"/>
        </w:tabs>
        <w:ind w:left="3600" w:hanging="360"/>
      </w:pPr>
      <w:rPr>
        <w:rFonts w:ascii="Symbol" w:hAnsi="Symbol" w:hint="default"/>
      </w:rPr>
    </w:lvl>
    <w:lvl w:ilvl="5" w:tplc="B7A240D2" w:tentative="1">
      <w:start w:val="1"/>
      <w:numFmt w:val="bullet"/>
      <w:lvlText w:val=""/>
      <w:lvlJc w:val="left"/>
      <w:pPr>
        <w:tabs>
          <w:tab w:val="num" w:pos="4320"/>
        </w:tabs>
        <w:ind w:left="4320" w:hanging="360"/>
      </w:pPr>
      <w:rPr>
        <w:rFonts w:ascii="Symbol" w:hAnsi="Symbol" w:hint="default"/>
      </w:rPr>
    </w:lvl>
    <w:lvl w:ilvl="6" w:tplc="2C1473DC" w:tentative="1">
      <w:start w:val="1"/>
      <w:numFmt w:val="bullet"/>
      <w:lvlText w:val=""/>
      <w:lvlJc w:val="left"/>
      <w:pPr>
        <w:tabs>
          <w:tab w:val="num" w:pos="5040"/>
        </w:tabs>
        <w:ind w:left="5040" w:hanging="360"/>
      </w:pPr>
      <w:rPr>
        <w:rFonts w:ascii="Symbol" w:hAnsi="Symbol" w:hint="default"/>
      </w:rPr>
    </w:lvl>
    <w:lvl w:ilvl="7" w:tplc="577242C6" w:tentative="1">
      <w:start w:val="1"/>
      <w:numFmt w:val="bullet"/>
      <w:lvlText w:val=""/>
      <w:lvlJc w:val="left"/>
      <w:pPr>
        <w:tabs>
          <w:tab w:val="num" w:pos="5760"/>
        </w:tabs>
        <w:ind w:left="5760" w:hanging="360"/>
      </w:pPr>
      <w:rPr>
        <w:rFonts w:ascii="Symbol" w:hAnsi="Symbol" w:hint="default"/>
      </w:rPr>
    </w:lvl>
    <w:lvl w:ilvl="8" w:tplc="1B34EFAC" w:tentative="1">
      <w:start w:val="1"/>
      <w:numFmt w:val="bullet"/>
      <w:lvlText w:val=""/>
      <w:lvlJc w:val="left"/>
      <w:pPr>
        <w:tabs>
          <w:tab w:val="num" w:pos="6480"/>
        </w:tabs>
        <w:ind w:left="6480" w:hanging="360"/>
      </w:pPr>
      <w:rPr>
        <w:rFonts w:ascii="Symbol" w:hAnsi="Symbol" w:hint="default"/>
      </w:rPr>
    </w:lvl>
  </w:abstractNum>
  <w:num w:numId="1" w16cid:durableId="1280139499">
    <w:abstractNumId w:val="11"/>
  </w:num>
  <w:num w:numId="2" w16cid:durableId="234245521">
    <w:abstractNumId w:val="7"/>
  </w:num>
  <w:num w:numId="3" w16cid:durableId="859785274">
    <w:abstractNumId w:val="22"/>
  </w:num>
  <w:num w:numId="4" w16cid:durableId="1994990482">
    <w:abstractNumId w:val="5"/>
  </w:num>
  <w:num w:numId="5" w16cid:durableId="844169951">
    <w:abstractNumId w:val="15"/>
  </w:num>
  <w:num w:numId="6" w16cid:durableId="2077319636">
    <w:abstractNumId w:val="13"/>
  </w:num>
  <w:num w:numId="7" w16cid:durableId="372536701">
    <w:abstractNumId w:val="17"/>
  </w:num>
  <w:num w:numId="8" w16cid:durableId="2068215290">
    <w:abstractNumId w:val="4"/>
  </w:num>
  <w:num w:numId="9" w16cid:durableId="693846148">
    <w:abstractNumId w:val="9"/>
  </w:num>
  <w:num w:numId="10" w16cid:durableId="751125481">
    <w:abstractNumId w:val="14"/>
  </w:num>
  <w:num w:numId="11" w16cid:durableId="1820875454">
    <w:abstractNumId w:val="2"/>
  </w:num>
  <w:num w:numId="12" w16cid:durableId="1190069638">
    <w:abstractNumId w:val="19"/>
  </w:num>
  <w:num w:numId="13" w16cid:durableId="121385736">
    <w:abstractNumId w:val="3"/>
  </w:num>
  <w:num w:numId="14" w16cid:durableId="1563709354">
    <w:abstractNumId w:val="23"/>
  </w:num>
  <w:num w:numId="15" w16cid:durableId="1981417245">
    <w:abstractNumId w:val="20"/>
  </w:num>
  <w:num w:numId="16" w16cid:durableId="101460594">
    <w:abstractNumId w:val="1"/>
  </w:num>
  <w:num w:numId="17" w16cid:durableId="1352760462">
    <w:abstractNumId w:val="24"/>
  </w:num>
  <w:num w:numId="18" w16cid:durableId="1601181486">
    <w:abstractNumId w:val="8"/>
  </w:num>
  <w:num w:numId="19" w16cid:durableId="1983845000">
    <w:abstractNumId w:val="0"/>
  </w:num>
  <w:num w:numId="20" w16cid:durableId="1774205770">
    <w:abstractNumId w:val="10"/>
  </w:num>
  <w:num w:numId="21" w16cid:durableId="1099445258">
    <w:abstractNumId w:val="12"/>
  </w:num>
  <w:num w:numId="22" w16cid:durableId="221063401">
    <w:abstractNumId w:val="18"/>
  </w:num>
  <w:num w:numId="23" w16cid:durableId="798958509">
    <w:abstractNumId w:val="16"/>
  </w:num>
  <w:num w:numId="24" w16cid:durableId="1481846227">
    <w:abstractNumId w:val="6"/>
  </w:num>
  <w:num w:numId="25" w16cid:durableId="640891254">
    <w:abstractNumId w:val="25"/>
  </w:num>
  <w:num w:numId="26" w16cid:durableId="120980613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EC5"/>
    <w:rsid w:val="000000F8"/>
    <w:rsid w:val="000209DC"/>
    <w:rsid w:val="000246DC"/>
    <w:rsid w:val="00024B72"/>
    <w:rsid w:val="0003659D"/>
    <w:rsid w:val="0004077E"/>
    <w:rsid w:val="00047385"/>
    <w:rsid w:val="00053257"/>
    <w:rsid w:val="00055436"/>
    <w:rsid w:val="000555B2"/>
    <w:rsid w:val="00057A61"/>
    <w:rsid w:val="00057F7D"/>
    <w:rsid w:val="0006265F"/>
    <w:rsid w:val="000718D8"/>
    <w:rsid w:val="000725E7"/>
    <w:rsid w:val="00074BBB"/>
    <w:rsid w:val="000917C7"/>
    <w:rsid w:val="00095D16"/>
    <w:rsid w:val="00096497"/>
    <w:rsid w:val="00096BFE"/>
    <w:rsid w:val="000A02EF"/>
    <w:rsid w:val="000A321A"/>
    <w:rsid w:val="000A5F47"/>
    <w:rsid w:val="000A7C74"/>
    <w:rsid w:val="000B5A44"/>
    <w:rsid w:val="000B68D3"/>
    <w:rsid w:val="000D634A"/>
    <w:rsid w:val="000E1824"/>
    <w:rsid w:val="000E663C"/>
    <w:rsid w:val="000F6204"/>
    <w:rsid w:val="00102D3B"/>
    <w:rsid w:val="001062E5"/>
    <w:rsid w:val="001144AC"/>
    <w:rsid w:val="0012365F"/>
    <w:rsid w:val="00123CE4"/>
    <w:rsid w:val="00136B99"/>
    <w:rsid w:val="001522E5"/>
    <w:rsid w:val="001678D5"/>
    <w:rsid w:val="00180755"/>
    <w:rsid w:val="0018183E"/>
    <w:rsid w:val="00181A4A"/>
    <w:rsid w:val="001956F7"/>
    <w:rsid w:val="001A606B"/>
    <w:rsid w:val="001B18DE"/>
    <w:rsid w:val="001B1E64"/>
    <w:rsid w:val="001B2FB9"/>
    <w:rsid w:val="001C23BB"/>
    <w:rsid w:val="001C35ED"/>
    <w:rsid w:val="001C7668"/>
    <w:rsid w:val="001D512C"/>
    <w:rsid w:val="001F3393"/>
    <w:rsid w:val="00210787"/>
    <w:rsid w:val="002122D9"/>
    <w:rsid w:val="002174E7"/>
    <w:rsid w:val="002235BD"/>
    <w:rsid w:val="002356AF"/>
    <w:rsid w:val="00262A8B"/>
    <w:rsid w:val="002646F5"/>
    <w:rsid w:val="00267753"/>
    <w:rsid w:val="00277990"/>
    <w:rsid w:val="0028047D"/>
    <w:rsid w:val="00284378"/>
    <w:rsid w:val="0028762E"/>
    <w:rsid w:val="002911CB"/>
    <w:rsid w:val="00291DA7"/>
    <w:rsid w:val="002A3422"/>
    <w:rsid w:val="002A5E1C"/>
    <w:rsid w:val="002B388F"/>
    <w:rsid w:val="002B4966"/>
    <w:rsid w:val="002B7751"/>
    <w:rsid w:val="002C06B1"/>
    <w:rsid w:val="002C4CED"/>
    <w:rsid w:val="002D3244"/>
    <w:rsid w:val="002E4B54"/>
    <w:rsid w:val="0031061F"/>
    <w:rsid w:val="00312725"/>
    <w:rsid w:val="00316F47"/>
    <w:rsid w:val="00317500"/>
    <w:rsid w:val="00332454"/>
    <w:rsid w:val="00340EEC"/>
    <w:rsid w:val="00361031"/>
    <w:rsid w:val="00361CAD"/>
    <w:rsid w:val="00364189"/>
    <w:rsid w:val="003645E0"/>
    <w:rsid w:val="00364C2C"/>
    <w:rsid w:val="00365726"/>
    <w:rsid w:val="00380347"/>
    <w:rsid w:val="003809E4"/>
    <w:rsid w:val="00381272"/>
    <w:rsid w:val="00382052"/>
    <w:rsid w:val="00382167"/>
    <w:rsid w:val="00382C45"/>
    <w:rsid w:val="00385A1C"/>
    <w:rsid w:val="00394B2D"/>
    <w:rsid w:val="003956F2"/>
    <w:rsid w:val="00396266"/>
    <w:rsid w:val="003B1733"/>
    <w:rsid w:val="003B457C"/>
    <w:rsid w:val="003B475B"/>
    <w:rsid w:val="003C2F7F"/>
    <w:rsid w:val="003D0CA6"/>
    <w:rsid w:val="003D1116"/>
    <w:rsid w:val="003D2C69"/>
    <w:rsid w:val="003D403E"/>
    <w:rsid w:val="003F26A2"/>
    <w:rsid w:val="003F6340"/>
    <w:rsid w:val="0040326B"/>
    <w:rsid w:val="0041189C"/>
    <w:rsid w:val="00415FA3"/>
    <w:rsid w:val="00434EB8"/>
    <w:rsid w:val="00445942"/>
    <w:rsid w:val="00451B0B"/>
    <w:rsid w:val="004718E8"/>
    <w:rsid w:val="00483F47"/>
    <w:rsid w:val="00484738"/>
    <w:rsid w:val="00490C57"/>
    <w:rsid w:val="00495063"/>
    <w:rsid w:val="004A5222"/>
    <w:rsid w:val="004B4222"/>
    <w:rsid w:val="004B617C"/>
    <w:rsid w:val="004D2898"/>
    <w:rsid w:val="004D7B0C"/>
    <w:rsid w:val="004E6170"/>
    <w:rsid w:val="00506E23"/>
    <w:rsid w:val="005074FB"/>
    <w:rsid w:val="00510941"/>
    <w:rsid w:val="005173E0"/>
    <w:rsid w:val="00517FD7"/>
    <w:rsid w:val="005204E4"/>
    <w:rsid w:val="005435C1"/>
    <w:rsid w:val="00543EC5"/>
    <w:rsid w:val="00547DBB"/>
    <w:rsid w:val="00554E37"/>
    <w:rsid w:val="00556819"/>
    <w:rsid w:val="0057106D"/>
    <w:rsid w:val="0057553F"/>
    <w:rsid w:val="00577D87"/>
    <w:rsid w:val="00583F1C"/>
    <w:rsid w:val="005855C1"/>
    <w:rsid w:val="00593921"/>
    <w:rsid w:val="005A0CA4"/>
    <w:rsid w:val="005A65CB"/>
    <w:rsid w:val="005B6AD8"/>
    <w:rsid w:val="005C35B1"/>
    <w:rsid w:val="005C45A2"/>
    <w:rsid w:val="005E0FB5"/>
    <w:rsid w:val="005E52DD"/>
    <w:rsid w:val="005E547A"/>
    <w:rsid w:val="005F4EA0"/>
    <w:rsid w:val="006069D1"/>
    <w:rsid w:val="00610844"/>
    <w:rsid w:val="006113FE"/>
    <w:rsid w:val="00614C95"/>
    <w:rsid w:val="00616327"/>
    <w:rsid w:val="00616339"/>
    <w:rsid w:val="00616E45"/>
    <w:rsid w:val="006359F2"/>
    <w:rsid w:val="0064031D"/>
    <w:rsid w:val="00644F2C"/>
    <w:rsid w:val="00646A57"/>
    <w:rsid w:val="00650F57"/>
    <w:rsid w:val="00660BB0"/>
    <w:rsid w:val="00674B66"/>
    <w:rsid w:val="00674EA0"/>
    <w:rsid w:val="00677423"/>
    <w:rsid w:val="00683FA7"/>
    <w:rsid w:val="00684755"/>
    <w:rsid w:val="006A0278"/>
    <w:rsid w:val="006A470A"/>
    <w:rsid w:val="006B1CEA"/>
    <w:rsid w:val="006C3FFD"/>
    <w:rsid w:val="006C5F5C"/>
    <w:rsid w:val="006D540B"/>
    <w:rsid w:val="006D7CF9"/>
    <w:rsid w:val="006E16D0"/>
    <w:rsid w:val="006E41CF"/>
    <w:rsid w:val="006E577B"/>
    <w:rsid w:val="006F2DBD"/>
    <w:rsid w:val="006F3D67"/>
    <w:rsid w:val="00715EAE"/>
    <w:rsid w:val="00717CCE"/>
    <w:rsid w:val="00723467"/>
    <w:rsid w:val="007266B1"/>
    <w:rsid w:val="00727901"/>
    <w:rsid w:val="00731275"/>
    <w:rsid w:val="0074525B"/>
    <w:rsid w:val="00745E76"/>
    <w:rsid w:val="00754FFF"/>
    <w:rsid w:val="007644E0"/>
    <w:rsid w:val="00770D96"/>
    <w:rsid w:val="00772A16"/>
    <w:rsid w:val="00773F56"/>
    <w:rsid w:val="0078434B"/>
    <w:rsid w:val="00786DC2"/>
    <w:rsid w:val="00787062"/>
    <w:rsid w:val="0079598C"/>
    <w:rsid w:val="007967E8"/>
    <w:rsid w:val="007A10B5"/>
    <w:rsid w:val="007A1589"/>
    <w:rsid w:val="007A32D9"/>
    <w:rsid w:val="007A7DF9"/>
    <w:rsid w:val="007B74B3"/>
    <w:rsid w:val="007E3347"/>
    <w:rsid w:val="007F4BE5"/>
    <w:rsid w:val="0080352F"/>
    <w:rsid w:val="008079B7"/>
    <w:rsid w:val="00813C2F"/>
    <w:rsid w:val="00813D1C"/>
    <w:rsid w:val="00825A9C"/>
    <w:rsid w:val="00830280"/>
    <w:rsid w:val="00830477"/>
    <w:rsid w:val="00834547"/>
    <w:rsid w:val="0084224D"/>
    <w:rsid w:val="00842B04"/>
    <w:rsid w:val="00843094"/>
    <w:rsid w:val="0085591B"/>
    <w:rsid w:val="00857526"/>
    <w:rsid w:val="00857636"/>
    <w:rsid w:val="00861920"/>
    <w:rsid w:val="00861B51"/>
    <w:rsid w:val="00866C34"/>
    <w:rsid w:val="00867027"/>
    <w:rsid w:val="00876886"/>
    <w:rsid w:val="0089149D"/>
    <w:rsid w:val="00891FB5"/>
    <w:rsid w:val="00896FB6"/>
    <w:rsid w:val="008977D6"/>
    <w:rsid w:val="008A0A7A"/>
    <w:rsid w:val="008A1490"/>
    <w:rsid w:val="008A1A0B"/>
    <w:rsid w:val="008A4B3D"/>
    <w:rsid w:val="008B2542"/>
    <w:rsid w:val="008B5A69"/>
    <w:rsid w:val="008C2074"/>
    <w:rsid w:val="008C2A26"/>
    <w:rsid w:val="008D3185"/>
    <w:rsid w:val="008D53BB"/>
    <w:rsid w:val="008E6893"/>
    <w:rsid w:val="0091467B"/>
    <w:rsid w:val="00933F36"/>
    <w:rsid w:val="00944A6D"/>
    <w:rsid w:val="00952DD0"/>
    <w:rsid w:val="009569D0"/>
    <w:rsid w:val="009656BA"/>
    <w:rsid w:val="009704D2"/>
    <w:rsid w:val="00975399"/>
    <w:rsid w:val="00977A25"/>
    <w:rsid w:val="00987435"/>
    <w:rsid w:val="00995B50"/>
    <w:rsid w:val="009A7AEF"/>
    <w:rsid w:val="009B0AEC"/>
    <w:rsid w:val="009C538D"/>
    <w:rsid w:val="009D0D68"/>
    <w:rsid w:val="009D39D5"/>
    <w:rsid w:val="009E6D57"/>
    <w:rsid w:val="009F22F8"/>
    <w:rsid w:val="009F391E"/>
    <w:rsid w:val="009F762A"/>
    <w:rsid w:val="00A065F0"/>
    <w:rsid w:val="00A20893"/>
    <w:rsid w:val="00A323AD"/>
    <w:rsid w:val="00A548E9"/>
    <w:rsid w:val="00A57A7E"/>
    <w:rsid w:val="00A6540A"/>
    <w:rsid w:val="00A65F19"/>
    <w:rsid w:val="00A67415"/>
    <w:rsid w:val="00A86597"/>
    <w:rsid w:val="00A87AE4"/>
    <w:rsid w:val="00A92388"/>
    <w:rsid w:val="00AA6C33"/>
    <w:rsid w:val="00AB02E9"/>
    <w:rsid w:val="00AB128E"/>
    <w:rsid w:val="00AB266E"/>
    <w:rsid w:val="00AC1350"/>
    <w:rsid w:val="00AC64FB"/>
    <w:rsid w:val="00AD78D2"/>
    <w:rsid w:val="00AE1E81"/>
    <w:rsid w:val="00AF2C87"/>
    <w:rsid w:val="00AF457B"/>
    <w:rsid w:val="00AF6FA3"/>
    <w:rsid w:val="00B07629"/>
    <w:rsid w:val="00B12751"/>
    <w:rsid w:val="00B1746A"/>
    <w:rsid w:val="00B22608"/>
    <w:rsid w:val="00B262E5"/>
    <w:rsid w:val="00B2746E"/>
    <w:rsid w:val="00B27C43"/>
    <w:rsid w:val="00B27FC6"/>
    <w:rsid w:val="00B30E82"/>
    <w:rsid w:val="00B33C3A"/>
    <w:rsid w:val="00B434DA"/>
    <w:rsid w:val="00B51F01"/>
    <w:rsid w:val="00B51F4C"/>
    <w:rsid w:val="00B56FC2"/>
    <w:rsid w:val="00B57384"/>
    <w:rsid w:val="00B71FC8"/>
    <w:rsid w:val="00B77699"/>
    <w:rsid w:val="00B77761"/>
    <w:rsid w:val="00B86440"/>
    <w:rsid w:val="00B901C5"/>
    <w:rsid w:val="00BA1FC4"/>
    <w:rsid w:val="00BA7303"/>
    <w:rsid w:val="00BB13D4"/>
    <w:rsid w:val="00BB29F5"/>
    <w:rsid w:val="00BB7436"/>
    <w:rsid w:val="00BB7DFF"/>
    <w:rsid w:val="00BC412C"/>
    <w:rsid w:val="00BC62D9"/>
    <w:rsid w:val="00BC7667"/>
    <w:rsid w:val="00BD6744"/>
    <w:rsid w:val="00BE2414"/>
    <w:rsid w:val="00BF7EF0"/>
    <w:rsid w:val="00C05177"/>
    <w:rsid w:val="00C23E97"/>
    <w:rsid w:val="00C2547B"/>
    <w:rsid w:val="00C3212E"/>
    <w:rsid w:val="00C32A0F"/>
    <w:rsid w:val="00C33698"/>
    <w:rsid w:val="00C34AAF"/>
    <w:rsid w:val="00C34F25"/>
    <w:rsid w:val="00C36219"/>
    <w:rsid w:val="00C41B5D"/>
    <w:rsid w:val="00C70324"/>
    <w:rsid w:val="00C7232B"/>
    <w:rsid w:val="00C75481"/>
    <w:rsid w:val="00C76B27"/>
    <w:rsid w:val="00C83548"/>
    <w:rsid w:val="00C83A92"/>
    <w:rsid w:val="00C86F7C"/>
    <w:rsid w:val="00C9012E"/>
    <w:rsid w:val="00C97294"/>
    <w:rsid w:val="00CA0FC2"/>
    <w:rsid w:val="00CA1AE9"/>
    <w:rsid w:val="00CA797B"/>
    <w:rsid w:val="00CB0110"/>
    <w:rsid w:val="00CB5A22"/>
    <w:rsid w:val="00CC0729"/>
    <w:rsid w:val="00CC192D"/>
    <w:rsid w:val="00CD1008"/>
    <w:rsid w:val="00CD2014"/>
    <w:rsid w:val="00CD484A"/>
    <w:rsid w:val="00CD648C"/>
    <w:rsid w:val="00CD66A6"/>
    <w:rsid w:val="00CE07B7"/>
    <w:rsid w:val="00CE39B1"/>
    <w:rsid w:val="00CE3C50"/>
    <w:rsid w:val="00CF0BEA"/>
    <w:rsid w:val="00D00C16"/>
    <w:rsid w:val="00D05475"/>
    <w:rsid w:val="00D05795"/>
    <w:rsid w:val="00D0718C"/>
    <w:rsid w:val="00D10047"/>
    <w:rsid w:val="00D220E0"/>
    <w:rsid w:val="00D23304"/>
    <w:rsid w:val="00D24277"/>
    <w:rsid w:val="00D330C2"/>
    <w:rsid w:val="00D4430D"/>
    <w:rsid w:val="00D55710"/>
    <w:rsid w:val="00D579E9"/>
    <w:rsid w:val="00D67A64"/>
    <w:rsid w:val="00D75164"/>
    <w:rsid w:val="00D8436D"/>
    <w:rsid w:val="00D86C24"/>
    <w:rsid w:val="00D92055"/>
    <w:rsid w:val="00DA76FB"/>
    <w:rsid w:val="00DB31DC"/>
    <w:rsid w:val="00DB4155"/>
    <w:rsid w:val="00DE7123"/>
    <w:rsid w:val="00DF0510"/>
    <w:rsid w:val="00DF2F71"/>
    <w:rsid w:val="00E016A1"/>
    <w:rsid w:val="00E11C0D"/>
    <w:rsid w:val="00E16EE1"/>
    <w:rsid w:val="00E2292E"/>
    <w:rsid w:val="00E24214"/>
    <w:rsid w:val="00E35506"/>
    <w:rsid w:val="00E434A0"/>
    <w:rsid w:val="00E43602"/>
    <w:rsid w:val="00E43DBE"/>
    <w:rsid w:val="00E5272B"/>
    <w:rsid w:val="00E53ED9"/>
    <w:rsid w:val="00E5576B"/>
    <w:rsid w:val="00E55CA6"/>
    <w:rsid w:val="00E55EDD"/>
    <w:rsid w:val="00E57D86"/>
    <w:rsid w:val="00E6650C"/>
    <w:rsid w:val="00E7345C"/>
    <w:rsid w:val="00E857D1"/>
    <w:rsid w:val="00EA07ED"/>
    <w:rsid w:val="00EA1667"/>
    <w:rsid w:val="00EA20D7"/>
    <w:rsid w:val="00EB352F"/>
    <w:rsid w:val="00EE11FB"/>
    <w:rsid w:val="00EF0B2F"/>
    <w:rsid w:val="00EF1269"/>
    <w:rsid w:val="00F10A7B"/>
    <w:rsid w:val="00F122D7"/>
    <w:rsid w:val="00F12436"/>
    <w:rsid w:val="00F20864"/>
    <w:rsid w:val="00F21556"/>
    <w:rsid w:val="00F2613A"/>
    <w:rsid w:val="00F32051"/>
    <w:rsid w:val="00F349E6"/>
    <w:rsid w:val="00F36779"/>
    <w:rsid w:val="00F37B0A"/>
    <w:rsid w:val="00F44955"/>
    <w:rsid w:val="00F50BD8"/>
    <w:rsid w:val="00F52F43"/>
    <w:rsid w:val="00F5319F"/>
    <w:rsid w:val="00F70014"/>
    <w:rsid w:val="00F72841"/>
    <w:rsid w:val="00F76712"/>
    <w:rsid w:val="00F80113"/>
    <w:rsid w:val="00F817FA"/>
    <w:rsid w:val="00F8195B"/>
    <w:rsid w:val="00F83329"/>
    <w:rsid w:val="00F955B2"/>
    <w:rsid w:val="00FA1B0E"/>
    <w:rsid w:val="00FB4EBE"/>
    <w:rsid w:val="00FC17B7"/>
    <w:rsid w:val="00FC1B62"/>
    <w:rsid w:val="00FC366C"/>
    <w:rsid w:val="00FC624A"/>
    <w:rsid w:val="00FD318B"/>
    <w:rsid w:val="00FD40F1"/>
    <w:rsid w:val="00FD5964"/>
    <w:rsid w:val="00FE1535"/>
    <w:rsid w:val="00FE28CA"/>
    <w:rsid w:val="00FE3DA7"/>
    <w:rsid w:val="00FE55E9"/>
    <w:rsid w:val="00FE5EE8"/>
    <w:rsid w:val="00FF0CA3"/>
    <w:rsid w:val="00FF51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F3BF8"/>
  <w15:chartTrackingRefBased/>
  <w15:docId w15:val="{10146932-14A0-4053-99E3-BF17DF4EAE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3E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3E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3E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3E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3E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3E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3E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3E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3E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3E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3E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3E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3E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3E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3E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3E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3E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3EC5"/>
    <w:rPr>
      <w:rFonts w:eastAsiaTheme="majorEastAsia" w:cstheme="majorBidi"/>
      <w:color w:val="272727" w:themeColor="text1" w:themeTint="D8"/>
    </w:rPr>
  </w:style>
  <w:style w:type="paragraph" w:styleId="Title">
    <w:name w:val="Title"/>
    <w:basedOn w:val="Normal"/>
    <w:next w:val="Normal"/>
    <w:link w:val="TitleChar"/>
    <w:uiPriority w:val="10"/>
    <w:qFormat/>
    <w:rsid w:val="00543E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3E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3E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3E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3EC5"/>
    <w:pPr>
      <w:spacing w:before="160"/>
      <w:jc w:val="center"/>
    </w:pPr>
    <w:rPr>
      <w:i/>
      <w:iCs/>
      <w:color w:val="404040" w:themeColor="text1" w:themeTint="BF"/>
    </w:rPr>
  </w:style>
  <w:style w:type="character" w:customStyle="1" w:styleId="QuoteChar">
    <w:name w:val="Quote Char"/>
    <w:basedOn w:val="DefaultParagraphFont"/>
    <w:link w:val="Quote"/>
    <w:uiPriority w:val="29"/>
    <w:rsid w:val="00543EC5"/>
    <w:rPr>
      <w:i/>
      <w:iCs/>
      <w:color w:val="404040" w:themeColor="text1" w:themeTint="BF"/>
    </w:rPr>
  </w:style>
  <w:style w:type="paragraph" w:styleId="ListParagraph">
    <w:name w:val="List Paragraph"/>
    <w:basedOn w:val="Normal"/>
    <w:uiPriority w:val="34"/>
    <w:qFormat/>
    <w:rsid w:val="00543EC5"/>
    <w:pPr>
      <w:ind w:left="720"/>
      <w:contextualSpacing/>
    </w:pPr>
  </w:style>
  <w:style w:type="character" w:styleId="IntenseEmphasis">
    <w:name w:val="Intense Emphasis"/>
    <w:basedOn w:val="DefaultParagraphFont"/>
    <w:uiPriority w:val="21"/>
    <w:qFormat/>
    <w:rsid w:val="00543EC5"/>
    <w:rPr>
      <w:i/>
      <w:iCs/>
      <w:color w:val="0F4761" w:themeColor="accent1" w:themeShade="BF"/>
    </w:rPr>
  </w:style>
  <w:style w:type="paragraph" w:styleId="IntenseQuote">
    <w:name w:val="Intense Quote"/>
    <w:basedOn w:val="Normal"/>
    <w:next w:val="Normal"/>
    <w:link w:val="IntenseQuoteChar"/>
    <w:uiPriority w:val="30"/>
    <w:qFormat/>
    <w:rsid w:val="00543E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3EC5"/>
    <w:rPr>
      <w:i/>
      <w:iCs/>
      <w:color w:val="0F4761" w:themeColor="accent1" w:themeShade="BF"/>
    </w:rPr>
  </w:style>
  <w:style w:type="character" w:styleId="IntenseReference">
    <w:name w:val="Intense Reference"/>
    <w:basedOn w:val="DefaultParagraphFont"/>
    <w:uiPriority w:val="32"/>
    <w:qFormat/>
    <w:rsid w:val="00543EC5"/>
    <w:rPr>
      <w:b/>
      <w:bCs/>
      <w:smallCaps/>
      <w:color w:val="0F4761" w:themeColor="accent1" w:themeShade="BF"/>
      <w:spacing w:val="5"/>
    </w:rPr>
  </w:style>
  <w:style w:type="paragraph" w:styleId="NormalWeb">
    <w:name w:val="Normal (Web)"/>
    <w:basedOn w:val="Normal"/>
    <w:uiPriority w:val="99"/>
    <w:unhideWhenUsed/>
    <w:rsid w:val="008A1A0B"/>
    <w:rPr>
      <w:rFonts w:ascii="Times New Roman" w:hAnsi="Times New Roman" w:cs="Times New Roman"/>
      <w:sz w:val="24"/>
      <w:szCs w:val="24"/>
    </w:rPr>
  </w:style>
  <w:style w:type="character" w:styleId="Hyperlink">
    <w:name w:val="Hyperlink"/>
    <w:basedOn w:val="DefaultParagraphFont"/>
    <w:uiPriority w:val="99"/>
    <w:unhideWhenUsed/>
    <w:rsid w:val="00E57D86"/>
    <w:rPr>
      <w:color w:val="467886" w:themeColor="hyperlink"/>
      <w:u w:val="single"/>
    </w:rPr>
  </w:style>
  <w:style w:type="character" w:styleId="UnresolvedMention">
    <w:name w:val="Unresolved Mention"/>
    <w:basedOn w:val="DefaultParagraphFont"/>
    <w:uiPriority w:val="99"/>
    <w:semiHidden/>
    <w:unhideWhenUsed/>
    <w:rsid w:val="00E57D86"/>
    <w:rPr>
      <w:color w:val="605E5C"/>
      <w:shd w:val="clear" w:color="auto" w:fill="E1DFDD"/>
    </w:rPr>
  </w:style>
  <w:style w:type="paragraph" w:styleId="Header">
    <w:name w:val="header"/>
    <w:basedOn w:val="Normal"/>
    <w:link w:val="HeaderChar"/>
    <w:uiPriority w:val="99"/>
    <w:unhideWhenUsed/>
    <w:rsid w:val="003127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2725"/>
  </w:style>
  <w:style w:type="paragraph" w:styleId="Footer">
    <w:name w:val="footer"/>
    <w:basedOn w:val="Normal"/>
    <w:link w:val="FooterChar"/>
    <w:uiPriority w:val="99"/>
    <w:unhideWhenUsed/>
    <w:rsid w:val="003127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27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bmj.com/content/386/bmj.q1466.full" TargetMode="External"/><Relationship Id="rId26" Type="http://schemas.openxmlformats.org/officeDocument/2006/relationships/hyperlink" Target="https://doi.org/10.1186/s12913-015-0854-8" TargetMode="External"/><Relationship Id="rId39" Type="http://schemas.openxmlformats.org/officeDocument/2006/relationships/hyperlink" Target="https://www.england.nhs.uk/wp-content/uploads/2017/02/ltc-yoc-handbook.pdf" TargetMode="External"/><Relationship Id="rId21" Type="http://schemas.openxmlformats.org/officeDocument/2006/relationships/hyperlink" Target="https://doi.org/10.3389/fneur.2022.821135" TargetMode="External"/><Relationship Id="rId34" Type="http://schemas.openxmlformats.org/officeDocument/2006/relationships/hyperlink" Target="https://doi.org/10.1186/s12963-025-00392-y" TargetMode="External"/><Relationship Id="rId42" Type="http://schemas.openxmlformats.org/officeDocument/2006/relationships/hyperlink" Target="https://www.england.nhs.uk/blog/under-control-why-getting-to-grips-with-blood-pressure-is-a-win-win-intervention-for-healthcare-systems" TargetMode="External"/><Relationship Id="rId47" Type="http://schemas.openxmlformats.org/officeDocument/2006/relationships/hyperlink" Target="https://www.healthcheck.nhs.uk" TargetMode="External"/><Relationship Id="rId50" Type="http://schemas.openxmlformats.org/officeDocument/2006/relationships/hyperlink" Target="https://doi.org/10.5772/intechopen.1008447" TargetMode="External"/><Relationship Id="rId55" Type="http://schemas.openxmlformats.org/officeDocument/2006/relationships/hyperlink" Target="https://www.who.int/news-room/fact-sheets/detail/hypertension"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actiononsalt.org.uk/media/action-on-salt/awareness/saw25/Salt-Policy-Brief.pdf" TargetMode="External"/><Relationship Id="rId29" Type="http://schemas.openxmlformats.org/officeDocument/2006/relationships/hyperlink" Target="https://doi.org/10.1093/cvr/cvaf010" TargetMode="External"/><Relationship Id="rId11" Type="http://schemas.openxmlformats.org/officeDocument/2006/relationships/image" Target="media/image1.png"/><Relationship Id="rId24" Type="http://schemas.openxmlformats.org/officeDocument/2006/relationships/hyperlink" Target="https://www.kingsfund.org.uk/publications/delivering-better-services-people-long-term-conditions" TargetMode="External"/><Relationship Id="rId32" Type="http://schemas.openxmlformats.org/officeDocument/2006/relationships/hyperlink" Target="https://www.mdpi.com/journal/jcm/topical_collections/Hypertension_Etiology_Risk_Factors_Associated_Symptoms_Treatment" TargetMode="External"/><Relationship Id="rId37" Type="http://schemas.openxmlformats.org/officeDocument/2006/relationships/hyperlink" Target="https://digital.nhs.uk/data-and-information/publications/statistical/health-survey-for-england/2021-part-2/adult-health-hypertension" TargetMode="External"/><Relationship Id="rId40" Type="http://schemas.openxmlformats.org/officeDocument/2006/relationships/hyperlink" Target="https://www.healthcheck.nhs.uk" TargetMode="External"/><Relationship Id="rId45" Type="http://schemas.openxmlformats.org/officeDocument/2006/relationships/hyperlink" Target="https://doi.org/10.1093/eurheartj/ehx273" TargetMode="External"/><Relationship Id="rId53" Type="http://schemas.openxmlformats.org/officeDocument/2006/relationships/hyperlink" Target="https://doi.org/10.2165/00115677-200109050-00001" TargetMode="External"/><Relationship Id="rId58" Type="http://schemas.openxmlformats.org/officeDocument/2006/relationships/hyperlink" Target="https://www.yearofcare.co.uk/wp-content/uploads/2024/07/Year-of-Care-BMC-Publication-Nov-19.pdf" TargetMode="External"/><Relationship Id="rId5" Type="http://schemas.openxmlformats.org/officeDocument/2006/relationships/styles" Target="styles.xml"/><Relationship Id="rId19" Type="http://schemas.openxmlformats.org/officeDocument/2006/relationships/hyperlink" Target="https://bihsoc.org/guideline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jpeg"/><Relationship Id="rId22" Type="http://schemas.openxmlformats.org/officeDocument/2006/relationships/hyperlink" Target="https://www.england.nhs.uk/london/wp-content/uploads/sites/8/2019/08/2.1.1-The-Impact-of-Interventions-by-Pharmacists-in-Community-Pharmacies-on-Control-of-Hypertension-Study.pdf" TargetMode="External"/><Relationship Id="rId27" Type="http://schemas.openxmlformats.org/officeDocument/2006/relationships/hyperlink" Target="https://doi.org/10.1093/eurheartj/ehae666.2562" TargetMode="External"/><Relationship Id="rId30" Type="http://schemas.openxmlformats.org/officeDocument/2006/relationships/hyperlink" Target="https://doi.org/10.1001/jama.2013.284427" TargetMode="External"/><Relationship Id="rId35" Type="http://schemas.openxmlformats.org/officeDocument/2006/relationships/hyperlink" Target="https://bmcpsychiatry.biomedcentral.com/articles/10.1186/s12888-024-05935-5" TargetMode="External"/><Relationship Id="rId43" Type="http://schemas.openxmlformats.org/officeDocument/2006/relationships/hyperlink" Target="https://www.nice.org.uk/guidance/ng136" TargetMode="External"/><Relationship Id="rId48" Type="http://schemas.openxmlformats.org/officeDocument/2006/relationships/hyperlink" Target="https://publications.parliament.uk/pa/cm201213/cmselect/cmhealth/268/268.pdf" TargetMode="External"/><Relationship Id="rId56" Type="http://schemas.openxmlformats.org/officeDocument/2006/relationships/hyperlink" Target="https://www.who.int/news-room/fact-sheets/detail/hypertension" TargetMode="External"/><Relationship Id="rId8" Type="http://schemas.openxmlformats.org/officeDocument/2006/relationships/footnotes" Target="footnotes.xml"/><Relationship Id="rId51" Type="http://schemas.openxmlformats.org/officeDocument/2006/relationships/hyperlink" Target="https://doi.org/10.1097/HJH"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doi.org/10.3390/healthcare13091060" TargetMode="External"/><Relationship Id="rId25" Type="http://schemas.openxmlformats.org/officeDocument/2006/relationships/hyperlink" Target="https://link.springer.com/rwe/10.1007/978-3-031-73363-5_3" TargetMode="External"/><Relationship Id="rId33" Type="http://schemas.openxmlformats.org/officeDocument/2006/relationships/hyperlink" Target="https://doi.org/10.1186/s40885-015-0028-3" TargetMode="External"/><Relationship Id="rId38" Type="http://schemas.openxmlformats.org/officeDocument/2006/relationships/hyperlink" Target="https://www.longtermplan.nhs.uk" TargetMode="External"/><Relationship Id="rId46" Type="http://schemas.openxmlformats.org/officeDocument/2006/relationships/hyperlink" Target="https://www.gov.uk/government/publications/health-matters-combating-high-blood-pressure/health-matters-combating-high-blood-pressure" TargetMode="External"/><Relationship Id="rId59" Type="http://schemas.openxmlformats.org/officeDocument/2006/relationships/fontTable" Target="fontTable.xml"/><Relationship Id="rId20" Type="http://schemas.openxmlformats.org/officeDocument/2006/relationships/hyperlink" Target="https://www.bhf.org.uk/informationsupport/publications/care-and-support-planning" TargetMode="External"/><Relationship Id="rId41" Type="http://schemas.openxmlformats.org/officeDocument/2006/relationships/hyperlink" Target="https://www.myhealthlondon.nhs.uk/media/7853/qof-indicators--goals-and-outcome-measures--hypertension--cks--nice.pdf" TargetMode="External"/><Relationship Id="rId54" Type="http://schemas.openxmlformats.org/officeDocument/2006/relationships/hyperlink" Target="https://www.healthaffairs.org/doi/10.1377/hlthaff.20.6.64"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doi.org/10.1186/s12889-021-12238-x" TargetMode="External"/><Relationship Id="rId23" Type="http://schemas.openxmlformats.org/officeDocument/2006/relationships/hyperlink" Target="https://doi.org/10.1377/hlthaff.28.1.75" TargetMode="External"/><Relationship Id="rId28" Type="http://schemas.openxmlformats.org/officeDocument/2006/relationships/hyperlink" Target="https://doi.org/10.3399/bjgp19X704585" TargetMode="External"/><Relationship Id="rId36" Type="http://schemas.openxmlformats.org/officeDocument/2006/relationships/hyperlink" Target="https://www.medrxiv.org/content/10.1101/2025.08.21.25334144v1.full.pdf" TargetMode="External"/><Relationship Id="rId49" Type="http://schemas.openxmlformats.org/officeDocument/2006/relationships/hyperlink" Target="https://doi.org/10.3399/BJGP.2023.0077" TargetMode="External"/><Relationship Id="rId57" Type="http://schemas.openxmlformats.org/officeDocument/2006/relationships/hyperlink" Target="https://bmcresnotes.biomedcentral.com/articles/10.1186/s13104-024-06893-7" TargetMode="External"/><Relationship Id="rId10" Type="http://schemas.openxmlformats.org/officeDocument/2006/relationships/footer" Target="footer1.xml"/><Relationship Id="rId31" Type="http://schemas.openxmlformats.org/officeDocument/2006/relationships/hyperlink" Target="https://doi.org/10.1136/postgradmedj-2021-140899" TargetMode="External"/><Relationship Id="rId44" Type="http://schemas.openxmlformats.org/officeDocument/2006/relationships/hyperlink" Target="https://www.nice.org.uk/guidance/ng136" TargetMode="External"/><Relationship Id="rId52" Type="http://schemas.openxmlformats.org/officeDocument/2006/relationships/hyperlink" Target="https://www.gavinpublishers.com/article/view/education-about-hypertension-and-its-impact-on-knowledge-lifestyle-choices-and-blood-pressure-control-in-the-uk-a-systematic-review"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3" ma:contentTypeDescription="Create a new document." ma:contentTypeScope="" ma:versionID="114186324e073c3a685547d46a791a67">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113d161cd1dcd8dd22aa61e0bbadd0fb"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Props1.xml><?xml version="1.0" encoding="utf-8"?>
<ds:datastoreItem xmlns:ds="http://schemas.openxmlformats.org/officeDocument/2006/customXml" ds:itemID="{2E275257-594C-4033-9C9D-29212914A3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D4A63C3-2AF3-4103-8011-1E1C4C919C5F}">
  <ds:schemaRefs>
    <ds:schemaRef ds:uri="http://schemas.microsoft.com/sharepoint/v3/contenttype/forms"/>
  </ds:schemaRefs>
</ds:datastoreItem>
</file>

<file path=customXml/itemProps3.xml><?xml version="1.0" encoding="utf-8"?>
<ds:datastoreItem xmlns:ds="http://schemas.openxmlformats.org/officeDocument/2006/customXml" ds:itemID="{58F2F2B4-468B-441D-88F5-960663CC658C}">
  <ds:schemaRefs>
    <ds:schemaRef ds:uri="http://schemas.microsoft.com/office/2006/metadata/properties"/>
    <ds:schemaRef ds:uri="http://schemas.microsoft.com/office/infopath/2007/PartnerControls"/>
    <ds:schemaRef ds:uri="a450a3cc-050d-4aca-8a4e-543025a63de0"/>
  </ds:schemaRefs>
</ds:datastoreItem>
</file>

<file path=docProps/app.xml><?xml version="1.0" encoding="utf-8"?>
<Properties xmlns="http://schemas.openxmlformats.org/officeDocument/2006/extended-properties" xmlns:vt="http://schemas.openxmlformats.org/officeDocument/2006/docPropsVTypes">
  <Template>Normal</Template>
  <TotalTime>14339</TotalTime>
  <Pages>16</Pages>
  <Words>6534</Words>
  <Characters>37245</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Razia Begum (2217307)</dc:creator>
  <cp:keywords/>
  <dc:description/>
  <cp:lastModifiedBy>Razia Begum (2217307)</cp:lastModifiedBy>
  <cp:revision>425</cp:revision>
  <dcterms:created xsi:type="dcterms:W3CDTF">2025-10-01T12:45:00Z</dcterms:created>
  <dcterms:modified xsi:type="dcterms:W3CDTF">2025-10-23T11:38:00Z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