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D72181" w14:textId="77777777" w:rsidR="00ED47CA" w:rsidRDefault="00ED47CA" w:rsidP="001D499C">
      <w:pPr>
        <w:spacing w:after="0" w:line="240" w:lineRule="auto"/>
        <w:rPr>
          <w:rFonts w:ascii="-webkit-standard" w:hAnsi="-webkit-standard" w:cs="Times New Roman"/>
          <w:color w:val="000000"/>
          <w:kern w:val="0"/>
          <w:sz w:val="27"/>
          <w:szCs w:val="27"/>
          <w14:ligatures w14:val="none"/>
        </w:rPr>
      </w:pPr>
      <w:r w:rsidRPr="00A739D1">
        <w:rPr>
          <w:rFonts w:ascii="-webkit-standard" w:hAnsi="-webkit-standard" w:cs="Times New Roman"/>
          <w:color w:val="000000"/>
          <w:kern w:val="0"/>
          <w:sz w:val="27"/>
          <w:szCs w:val="27"/>
          <w14:ligatures w14:val="none"/>
        </w:rPr>
        <w:t>Student Number</w:t>
      </w:r>
      <w:r>
        <w:rPr>
          <w:rFonts w:ascii="-webkit-standard" w:hAnsi="-webkit-standard" w:cs="Times New Roman"/>
          <w:color w:val="000000"/>
          <w:kern w:val="0"/>
          <w:sz w:val="27"/>
          <w:szCs w:val="27"/>
          <w14:ligatures w14:val="none"/>
        </w:rPr>
        <w:t xml:space="preserve"> </w:t>
      </w:r>
      <w:r w:rsidRPr="00552423">
        <w:rPr>
          <w:rFonts w:ascii="Arial" w:eastAsia="Times New Roman" w:hAnsi="Arial" w:cs="Arial"/>
          <w:b/>
          <w:bCs/>
          <w:color w:val="000000" w:themeColor="text1"/>
          <w:sz w:val="26"/>
          <w:szCs w:val="26"/>
        </w:rPr>
        <w:t>2060263261</w:t>
      </w:r>
    </w:p>
    <w:p w14:paraId="312D2C3A" w14:textId="648A0356" w:rsidR="00ED47CA" w:rsidRPr="00A739D1" w:rsidRDefault="00ED47CA" w:rsidP="001D499C">
      <w:pPr>
        <w:spacing w:after="0" w:line="240" w:lineRule="auto"/>
        <w:rPr>
          <w:rFonts w:ascii="-webkit-standard" w:hAnsi="-webkit-standard" w:cs="Times New Roman"/>
          <w:color w:val="000000"/>
          <w:kern w:val="0"/>
          <w:sz w:val="27"/>
          <w:szCs w:val="27"/>
          <w14:ligatures w14:val="none"/>
        </w:rPr>
      </w:pPr>
      <w:r w:rsidRPr="00A739D1">
        <w:rPr>
          <w:rFonts w:ascii="-webkit-standard" w:hAnsi="-webkit-standard" w:cs="Times New Roman"/>
          <w:color w:val="000000"/>
          <w:kern w:val="0"/>
          <w:sz w:val="27"/>
          <w:szCs w:val="27"/>
          <w14:ligatures w14:val="none"/>
        </w:rPr>
        <w:t xml:space="preserve">                                                                                                                 Word Count</w:t>
      </w:r>
      <w:r>
        <w:rPr>
          <w:rFonts w:ascii="-webkit-standard" w:hAnsi="-webkit-standard" w:cs="Times New Roman"/>
          <w:color w:val="000000"/>
          <w:kern w:val="0"/>
          <w:sz w:val="27"/>
          <w:szCs w:val="27"/>
          <w14:ligatures w14:val="none"/>
        </w:rPr>
        <w:t xml:space="preserve">- </w:t>
      </w:r>
      <w:r w:rsidR="00645E48">
        <w:rPr>
          <w:rFonts w:ascii="-webkit-standard" w:hAnsi="-webkit-standard" w:cs="Times New Roman"/>
          <w:color w:val="000000"/>
          <w:kern w:val="0"/>
          <w:sz w:val="27"/>
          <w:szCs w:val="27"/>
          <w14:ligatures w14:val="none"/>
        </w:rPr>
        <w:t>30</w:t>
      </w:r>
      <w:r w:rsidR="00213DA0">
        <w:rPr>
          <w:rFonts w:ascii="-webkit-standard" w:hAnsi="-webkit-standard" w:cs="Times New Roman"/>
          <w:color w:val="000000"/>
          <w:kern w:val="0"/>
          <w:sz w:val="27"/>
          <w:szCs w:val="27"/>
          <w14:ligatures w14:val="none"/>
        </w:rPr>
        <w:t>14</w:t>
      </w:r>
    </w:p>
    <w:p w14:paraId="2D068929" w14:textId="77777777" w:rsidR="00ED47CA" w:rsidRPr="00A739D1" w:rsidRDefault="00ED47CA" w:rsidP="001D499C">
      <w:pPr>
        <w:spacing w:after="0" w:line="240" w:lineRule="auto"/>
        <w:rPr>
          <w:rFonts w:ascii="-webkit-standard" w:hAnsi="-webkit-standard" w:cs="Times New Roman"/>
          <w:color w:val="000000"/>
          <w:kern w:val="0"/>
          <w:sz w:val="27"/>
          <w:szCs w:val="27"/>
          <w14:ligatures w14:val="none"/>
        </w:rPr>
      </w:pPr>
      <w:r w:rsidRPr="00A739D1">
        <w:rPr>
          <w:rFonts w:ascii="-webkit-standard" w:hAnsi="-webkit-standard" w:cs="Times New Roman"/>
          <w:color w:val="000000"/>
          <w:kern w:val="0"/>
          <w:sz w:val="27"/>
          <w:szCs w:val="27"/>
          <w14:ligatures w14:val="none"/>
        </w:rPr>
        <w:t> </w:t>
      </w:r>
    </w:p>
    <w:p w14:paraId="6EC8A66F" w14:textId="77777777" w:rsidR="00ED47CA" w:rsidRPr="00A739D1" w:rsidRDefault="00ED47CA" w:rsidP="001D499C">
      <w:pPr>
        <w:spacing w:after="0" w:line="240" w:lineRule="auto"/>
        <w:rPr>
          <w:rFonts w:ascii="-webkit-standard" w:hAnsi="-webkit-standard" w:cs="Times New Roman"/>
          <w:color w:val="000000"/>
          <w:kern w:val="0"/>
          <w:sz w:val="27"/>
          <w:szCs w:val="27"/>
          <w14:ligatures w14:val="none"/>
        </w:rPr>
      </w:pPr>
      <w:r w:rsidRPr="00A739D1">
        <w:rPr>
          <w:rFonts w:ascii="-webkit-standard" w:hAnsi="-webkit-standard" w:cs="Times New Roman"/>
          <w:color w:val="000000"/>
          <w:kern w:val="0"/>
          <w:sz w:val="27"/>
          <w:szCs w:val="27"/>
          <w14:ligatures w14:val="none"/>
        </w:rPr>
        <w:t> </w:t>
      </w:r>
    </w:p>
    <w:p w14:paraId="22A5E78A" w14:textId="77777777" w:rsidR="00ED47CA" w:rsidRPr="00A739D1" w:rsidRDefault="00ED47CA" w:rsidP="001D499C">
      <w:pPr>
        <w:spacing w:after="120" w:line="240" w:lineRule="auto"/>
        <w:jc w:val="center"/>
        <w:rPr>
          <w:rFonts w:ascii="-webkit-standard" w:hAnsi="-webkit-standard" w:cs="Times New Roman"/>
          <w:color w:val="000000"/>
          <w:kern w:val="0"/>
          <w:sz w:val="27"/>
          <w:szCs w:val="27"/>
          <w14:ligatures w14:val="none"/>
        </w:rPr>
      </w:pPr>
      <w:r w:rsidRPr="00A739D1">
        <w:rPr>
          <w:rFonts w:ascii="-webkit-standard" w:hAnsi="-webkit-standard" w:cs="Times New Roman"/>
          <w:color w:val="000000"/>
          <w:kern w:val="0"/>
          <w:sz w:val="27"/>
          <w:szCs w:val="27"/>
          <w14:ligatures w14:val="none"/>
        </w:rPr>
        <w:t> </w:t>
      </w:r>
    </w:p>
    <w:p w14:paraId="51B04C4F" w14:textId="5CC27C4B" w:rsidR="00ED47CA" w:rsidRPr="00A739D1" w:rsidRDefault="00ED47CA" w:rsidP="001D499C">
      <w:pPr>
        <w:spacing w:after="120" w:line="240" w:lineRule="auto"/>
        <w:jc w:val="center"/>
        <w:rPr>
          <w:rFonts w:ascii="-webkit-standard" w:hAnsi="-webkit-standard" w:cs="Times New Roman"/>
          <w:b/>
          <w:bCs/>
          <w:color w:val="000000"/>
          <w:kern w:val="0"/>
          <w:sz w:val="27"/>
          <w:szCs w:val="27"/>
          <w14:ligatures w14:val="none"/>
        </w:rPr>
      </w:pPr>
      <w:r w:rsidRPr="00A739D1">
        <w:rPr>
          <w:rFonts w:ascii="-webkit-standard" w:hAnsi="-webkit-standard" w:cs="Times New Roman"/>
          <w:b/>
          <w:bCs/>
          <w:color w:val="000000"/>
          <w:kern w:val="0"/>
          <w:sz w:val="27"/>
          <w:szCs w:val="27"/>
          <w14:ligatures w14:val="none"/>
        </w:rPr>
        <w:t xml:space="preserve">#Portfolio for </w:t>
      </w:r>
      <w:r w:rsidR="00EF7CF6">
        <w:rPr>
          <w:rFonts w:ascii="-webkit-standard" w:hAnsi="-webkit-standard" w:cs="Times New Roman"/>
          <w:b/>
          <w:bCs/>
          <w:color w:val="000000"/>
          <w:kern w:val="0"/>
          <w:sz w:val="27"/>
          <w:szCs w:val="27"/>
          <w14:ligatures w14:val="none"/>
        </w:rPr>
        <w:t>ECEY</w:t>
      </w:r>
      <w:r w:rsidR="00C76C8D">
        <w:rPr>
          <w:rFonts w:ascii="-webkit-standard" w:hAnsi="-webkit-standard" w:cs="Times New Roman"/>
          <w:b/>
          <w:bCs/>
          <w:color w:val="000000"/>
          <w:kern w:val="0"/>
          <w:sz w:val="27"/>
          <w:szCs w:val="27"/>
          <w14:ligatures w14:val="none"/>
        </w:rPr>
        <w:t>401</w:t>
      </w:r>
      <w:r w:rsidR="00C946A6">
        <w:rPr>
          <w:rFonts w:ascii="-webkit-standard" w:hAnsi="-webkit-standard" w:cs="Times New Roman"/>
          <w:b/>
          <w:bCs/>
          <w:color w:val="000000"/>
          <w:kern w:val="0"/>
          <w:sz w:val="27"/>
          <w:szCs w:val="27"/>
          <w14:ligatures w14:val="none"/>
        </w:rPr>
        <w:t>4</w:t>
      </w:r>
      <w:r w:rsidR="00A45788">
        <w:rPr>
          <w:rFonts w:ascii="-webkit-standard" w:hAnsi="-webkit-standard" w:cs="Times New Roman"/>
          <w:b/>
          <w:bCs/>
          <w:color w:val="000000"/>
          <w:kern w:val="0"/>
          <w:sz w:val="27"/>
          <w:szCs w:val="27"/>
          <w14:ligatures w14:val="none"/>
        </w:rPr>
        <w:t>/C</w:t>
      </w:r>
    </w:p>
    <w:p w14:paraId="1D1A37CC" w14:textId="122033D7" w:rsidR="00ED47CA" w:rsidRPr="00A739D1" w:rsidRDefault="00ED47CA" w:rsidP="006B6E55">
      <w:pPr>
        <w:spacing w:after="120" w:line="240" w:lineRule="auto"/>
        <w:rPr>
          <w:rFonts w:ascii="-webkit-standard" w:hAnsi="-webkit-standard" w:cs="Times New Roman"/>
          <w:b/>
          <w:bCs/>
          <w:color w:val="000000"/>
          <w:kern w:val="0"/>
          <w:sz w:val="27"/>
          <w:szCs w:val="27"/>
          <w14:ligatures w14:val="none"/>
        </w:rPr>
      </w:pPr>
      <w:r w:rsidRPr="00A739D1">
        <w:rPr>
          <w:rFonts w:ascii="-webkit-standard" w:hAnsi="-webkit-standard" w:cs="Times New Roman"/>
          <w:b/>
          <w:bCs/>
          <w:color w:val="000000"/>
          <w:kern w:val="0"/>
          <w:sz w:val="27"/>
          <w:szCs w:val="27"/>
          <w14:ligatures w14:val="none"/>
        </w:rPr>
        <w:t>Contents:</w:t>
      </w:r>
    </w:p>
    <w:p w14:paraId="11DB59EA" w14:textId="77777777" w:rsidR="00ED47CA" w:rsidRPr="00A739D1" w:rsidRDefault="00ED47CA" w:rsidP="001D499C">
      <w:pPr>
        <w:spacing w:after="120" w:line="240" w:lineRule="auto"/>
        <w:rPr>
          <w:rFonts w:ascii="-webkit-standard" w:hAnsi="-webkit-standard" w:cs="Times New Roman"/>
          <w:b/>
          <w:bCs/>
          <w:color w:val="000000"/>
          <w:kern w:val="0"/>
          <w:sz w:val="27"/>
          <w:szCs w:val="27"/>
          <w14:ligatures w14:val="none"/>
        </w:rPr>
      </w:pPr>
      <w:r w:rsidRPr="00A739D1">
        <w:rPr>
          <w:rFonts w:ascii="-webkit-standard" w:hAnsi="-webkit-standard" w:cs="Times New Roman"/>
          <w:b/>
          <w:bCs/>
          <w:color w:val="000000"/>
          <w:kern w:val="0"/>
          <w:sz w:val="27"/>
          <w:szCs w:val="27"/>
          <w14:ligatures w14:val="none"/>
        </w:rPr>
        <w:t> </w:t>
      </w:r>
    </w:p>
    <w:p w14:paraId="27152074" w14:textId="1D2F6927" w:rsidR="00ED47CA" w:rsidRPr="00A739D1" w:rsidRDefault="00ED47CA" w:rsidP="001D499C">
      <w:pPr>
        <w:spacing w:after="120" w:line="240" w:lineRule="auto"/>
        <w:rPr>
          <w:rFonts w:ascii="Arial" w:hAnsi="Arial" w:cs="Arial"/>
          <w:color w:val="000000"/>
          <w:kern w:val="0"/>
          <w:sz w:val="27"/>
          <w:szCs w:val="27"/>
          <w14:ligatures w14:val="none"/>
        </w:rPr>
      </w:pPr>
      <w:r w:rsidRPr="00A739D1">
        <w:rPr>
          <w:rFonts w:ascii="Arial" w:hAnsi="Arial" w:cs="Arial"/>
          <w:color w:val="000000"/>
          <w:kern w:val="0"/>
          <w:sz w:val="27"/>
          <w:szCs w:val="27"/>
          <w14:ligatures w14:val="none"/>
        </w:rPr>
        <w:t xml:space="preserve">Part 1- </w:t>
      </w:r>
      <w:r>
        <w:rPr>
          <w:rFonts w:ascii="Arial" w:hAnsi="Arial" w:cs="Arial"/>
          <w:color w:val="000000"/>
          <w:kern w:val="0"/>
          <w:sz w:val="27"/>
          <w:szCs w:val="27"/>
          <w14:ligatures w14:val="none"/>
        </w:rPr>
        <w:t>Personal Development Plan</w:t>
      </w:r>
      <w:r w:rsidR="0073050D">
        <w:rPr>
          <w:rFonts w:ascii="Arial" w:hAnsi="Arial" w:cs="Arial"/>
          <w:color w:val="000000"/>
          <w:kern w:val="0"/>
          <w:sz w:val="27"/>
          <w:szCs w:val="27"/>
          <w14:ligatures w14:val="none"/>
        </w:rPr>
        <w:t xml:space="preserve">    (Page 2)</w:t>
      </w:r>
    </w:p>
    <w:p w14:paraId="708ACFB0" w14:textId="6F9CE65A" w:rsidR="00ED47CA" w:rsidRPr="00A739D1" w:rsidRDefault="00ED47CA" w:rsidP="001D499C">
      <w:pPr>
        <w:spacing w:after="120" w:line="240" w:lineRule="auto"/>
        <w:rPr>
          <w:rFonts w:ascii="Arial" w:hAnsi="Arial" w:cs="Arial"/>
          <w:color w:val="000000"/>
          <w:kern w:val="0"/>
          <w:sz w:val="27"/>
          <w:szCs w:val="27"/>
          <w14:ligatures w14:val="none"/>
        </w:rPr>
      </w:pPr>
      <w:r w:rsidRPr="00A739D1">
        <w:rPr>
          <w:rFonts w:ascii="Arial" w:hAnsi="Arial" w:cs="Arial"/>
          <w:color w:val="000000"/>
          <w:kern w:val="0"/>
          <w:sz w:val="27"/>
          <w:szCs w:val="27"/>
          <w14:ligatures w14:val="none"/>
        </w:rPr>
        <w:t xml:space="preserve">Part 2- </w:t>
      </w:r>
      <w:r w:rsidR="00145F66">
        <w:rPr>
          <w:rFonts w:ascii="Arial" w:hAnsi="Arial" w:cs="Arial"/>
          <w:color w:val="000000"/>
          <w:kern w:val="0"/>
          <w:sz w:val="27"/>
          <w:szCs w:val="27"/>
          <w14:ligatures w14:val="none"/>
        </w:rPr>
        <w:t>Poster on Reflective Practice in Early Years</w:t>
      </w:r>
      <w:r w:rsidR="0073050D">
        <w:rPr>
          <w:rFonts w:ascii="Arial" w:hAnsi="Arial" w:cs="Arial"/>
          <w:color w:val="000000"/>
          <w:kern w:val="0"/>
          <w:sz w:val="27"/>
          <w:szCs w:val="27"/>
          <w14:ligatures w14:val="none"/>
        </w:rPr>
        <w:t xml:space="preserve">   (Page 3)</w:t>
      </w:r>
    </w:p>
    <w:p w14:paraId="184E9311" w14:textId="3493899A" w:rsidR="00ED47CA" w:rsidRDefault="00ED47CA" w:rsidP="001D499C">
      <w:pPr>
        <w:spacing w:after="120" w:line="240" w:lineRule="auto"/>
        <w:rPr>
          <w:rFonts w:ascii="Arial" w:hAnsi="Arial" w:cs="Arial"/>
          <w:color w:val="000000"/>
          <w:kern w:val="0"/>
          <w:sz w:val="27"/>
          <w:szCs w:val="27"/>
          <w14:ligatures w14:val="none"/>
        </w:rPr>
      </w:pPr>
      <w:r w:rsidRPr="00A739D1">
        <w:rPr>
          <w:rFonts w:ascii="Arial" w:hAnsi="Arial" w:cs="Arial"/>
          <w:color w:val="000000"/>
          <w:kern w:val="0"/>
          <w:sz w:val="27"/>
          <w:szCs w:val="27"/>
          <w14:ligatures w14:val="none"/>
        </w:rPr>
        <w:t xml:space="preserve">Part 3- </w:t>
      </w:r>
      <w:r w:rsidR="00F11487">
        <w:rPr>
          <w:rFonts w:ascii="Arial" w:hAnsi="Arial" w:cs="Arial"/>
          <w:color w:val="000000"/>
          <w:kern w:val="0"/>
          <w:sz w:val="27"/>
          <w:szCs w:val="27"/>
          <w14:ligatures w14:val="none"/>
        </w:rPr>
        <w:t>Written Essay</w:t>
      </w:r>
      <w:r w:rsidR="002856DE">
        <w:rPr>
          <w:rFonts w:ascii="Arial" w:hAnsi="Arial" w:cs="Arial"/>
          <w:color w:val="000000"/>
          <w:kern w:val="0"/>
          <w:sz w:val="27"/>
          <w:szCs w:val="27"/>
          <w14:ligatures w14:val="none"/>
        </w:rPr>
        <w:t xml:space="preserve">   (Page 4-9)</w:t>
      </w:r>
    </w:p>
    <w:p w14:paraId="3FB6BCB9" w14:textId="77777777" w:rsidR="004234AF" w:rsidRDefault="004234AF" w:rsidP="001D499C">
      <w:pPr>
        <w:spacing w:after="120" w:line="240" w:lineRule="auto"/>
        <w:rPr>
          <w:rFonts w:ascii="Arial" w:hAnsi="Arial" w:cs="Arial"/>
          <w:color w:val="000000"/>
          <w:kern w:val="0"/>
          <w:sz w:val="27"/>
          <w:szCs w:val="27"/>
          <w14:ligatures w14:val="none"/>
        </w:rPr>
      </w:pPr>
    </w:p>
    <w:p w14:paraId="1E547D7E" w14:textId="52FDBD84" w:rsidR="004234AF" w:rsidRPr="00F0326E" w:rsidRDefault="004234AF" w:rsidP="001D499C">
      <w:pPr>
        <w:spacing w:after="120" w:line="240" w:lineRule="auto"/>
        <w:rPr>
          <w:rFonts w:ascii="Arial" w:hAnsi="Arial" w:cs="Arial"/>
          <w:b/>
          <w:bCs/>
          <w:color w:val="000000"/>
          <w:kern w:val="0"/>
          <w:u w:val="single"/>
          <w14:ligatures w14:val="none"/>
        </w:rPr>
      </w:pPr>
      <w:r w:rsidRPr="00F0326E">
        <w:rPr>
          <w:rFonts w:ascii="Arial" w:hAnsi="Arial" w:cs="Arial"/>
          <w:b/>
          <w:bCs/>
          <w:color w:val="000000"/>
          <w:kern w:val="0"/>
          <w:u w:val="single"/>
          <w14:ligatures w14:val="none"/>
        </w:rPr>
        <w:t>AI Ackno</w:t>
      </w:r>
      <w:r w:rsidR="00980F36" w:rsidRPr="00F0326E">
        <w:rPr>
          <w:rFonts w:ascii="Arial" w:hAnsi="Arial" w:cs="Arial"/>
          <w:b/>
          <w:bCs/>
          <w:color w:val="000000"/>
          <w:kern w:val="0"/>
          <w:u w:val="single"/>
          <w14:ligatures w14:val="none"/>
        </w:rPr>
        <w:t>wledgment</w:t>
      </w:r>
    </w:p>
    <w:p w14:paraId="1EE2C25A" w14:textId="77777777" w:rsidR="004234AF" w:rsidRPr="00F0326E" w:rsidRDefault="004234AF" w:rsidP="004234AF">
      <w:pPr>
        <w:numPr>
          <w:ilvl w:val="0"/>
          <w:numId w:val="1"/>
        </w:numPr>
        <w:spacing w:before="100" w:beforeAutospacing="1" w:after="100" w:afterAutospacing="1" w:line="240" w:lineRule="auto"/>
        <w:rPr>
          <w:rFonts w:ascii="Arial" w:eastAsia="Times New Roman" w:hAnsi="Arial" w:cs="Arial"/>
          <w:kern w:val="0"/>
          <w14:ligatures w14:val="none"/>
        </w:rPr>
      </w:pPr>
      <w:r w:rsidRPr="005D3EA8">
        <w:rPr>
          <w:rFonts w:ascii="Arial" w:eastAsia="Times New Roman" w:hAnsi="Arial" w:cs="Arial"/>
          <w:b/>
          <w:bCs/>
          <w:kern w:val="0"/>
          <w:u w:val="single"/>
          <w14:ligatures w14:val="none"/>
        </w:rPr>
        <w:t>Personal Development Plan</w:t>
      </w:r>
      <w:r w:rsidRPr="005D3EA8">
        <w:rPr>
          <w:rFonts w:ascii="Arial" w:eastAsia="Times New Roman" w:hAnsi="Arial" w:cs="Arial"/>
          <w:kern w:val="0"/>
          <w14:ligatures w14:val="none"/>
        </w:rPr>
        <w:br/>
      </w:r>
      <w:r w:rsidRPr="00F0326E">
        <w:rPr>
          <w:rFonts w:ascii="Arial" w:eastAsia="Times New Roman" w:hAnsi="Arial" w:cs="Arial"/>
          <w:kern w:val="0"/>
          <w14:ligatures w14:val="none"/>
        </w:rPr>
        <w:t>“Ask me questions to help me identify my strengths and areas for development as an early years education student. Help me consider realistic goals and ways to measure my progress, without writing my plan for me.”</w:t>
      </w:r>
    </w:p>
    <w:p w14:paraId="7C46C8AA" w14:textId="77777777" w:rsidR="004234AF" w:rsidRPr="00F0326E" w:rsidRDefault="004234AF" w:rsidP="004234AF">
      <w:pPr>
        <w:numPr>
          <w:ilvl w:val="0"/>
          <w:numId w:val="1"/>
        </w:numPr>
        <w:spacing w:before="100" w:beforeAutospacing="1" w:after="100" w:afterAutospacing="1" w:line="240" w:lineRule="auto"/>
        <w:rPr>
          <w:rFonts w:ascii="Arial" w:eastAsia="Times New Roman" w:hAnsi="Arial" w:cs="Arial"/>
          <w:kern w:val="0"/>
          <w14:ligatures w14:val="none"/>
        </w:rPr>
      </w:pPr>
      <w:r w:rsidRPr="00386A46">
        <w:rPr>
          <w:rFonts w:ascii="Arial" w:eastAsia="Times New Roman" w:hAnsi="Arial" w:cs="Arial"/>
          <w:b/>
          <w:bCs/>
          <w:kern w:val="0"/>
          <w:u w:val="single"/>
          <w14:ligatures w14:val="none"/>
        </w:rPr>
        <w:t>Reflective practice poster</w:t>
      </w:r>
      <w:r w:rsidRPr="00F0326E">
        <w:rPr>
          <w:rFonts w:ascii="Arial" w:eastAsia="Times New Roman" w:hAnsi="Arial" w:cs="Arial"/>
          <w:kern w:val="0"/>
          <w14:ligatures w14:val="none"/>
        </w:rPr>
        <w:br/>
        <w:t>“Explain the main differences between Gibbs’, Kolb’s and Schön’s approaches to reflection. Suggest questions I could investigate and reliable original sources I could read to understand their application in early years settings in Wales. Do not write my poster.”</w:t>
      </w:r>
    </w:p>
    <w:p w14:paraId="428D1705" w14:textId="77777777" w:rsidR="004234AF" w:rsidRDefault="004234AF" w:rsidP="004234AF">
      <w:pPr>
        <w:numPr>
          <w:ilvl w:val="0"/>
          <w:numId w:val="1"/>
        </w:numPr>
        <w:spacing w:before="100" w:beforeAutospacing="1" w:after="100" w:afterAutospacing="1" w:line="240" w:lineRule="auto"/>
        <w:rPr>
          <w:rFonts w:ascii="Arial" w:eastAsia="Times New Roman" w:hAnsi="Arial" w:cs="Arial"/>
          <w:kern w:val="0"/>
          <w14:ligatures w14:val="none"/>
        </w:rPr>
      </w:pPr>
      <w:r w:rsidRPr="00386A46">
        <w:rPr>
          <w:rFonts w:ascii="Arial" w:eastAsia="Times New Roman" w:hAnsi="Arial" w:cs="Arial"/>
          <w:b/>
          <w:bCs/>
          <w:kern w:val="0"/>
          <w:u w:val="single"/>
          <w14:ligatures w14:val="none"/>
        </w:rPr>
        <w:t>Professional practice essay</w:t>
      </w:r>
      <w:r w:rsidRPr="00F0326E">
        <w:rPr>
          <w:rFonts w:ascii="Arial" w:eastAsia="Times New Roman" w:hAnsi="Arial" w:cs="Arial"/>
          <w:kern w:val="0"/>
          <w14:ligatures w14:val="none"/>
        </w:rPr>
        <w:br/>
        <w:t>“Help me plan my research into how early years practitioners meet children’s individual needs and support inclusion in Wales. Suggest research questions, useful search terms and relevant Welsh research and guidance. Explain how I can evaluate these sources critically, without writing any of my essay.”</w:t>
      </w:r>
    </w:p>
    <w:p w14:paraId="084FE6A9" w14:textId="14B14743" w:rsidR="008E11EC" w:rsidRPr="008E11EC" w:rsidRDefault="008E11EC" w:rsidP="008E11EC">
      <w:pPr>
        <w:pStyle w:val="ListParagraph"/>
        <w:spacing w:before="100" w:beforeAutospacing="1" w:after="100" w:afterAutospacing="1" w:line="240" w:lineRule="auto"/>
        <w:rPr>
          <w:rFonts w:ascii="Arial" w:hAnsi="Arial" w:cs="Arial"/>
          <w:kern w:val="0"/>
          <w14:ligatures w14:val="none"/>
        </w:rPr>
      </w:pPr>
      <w:r w:rsidRPr="008E11EC">
        <w:rPr>
          <w:rFonts w:ascii="Arial" w:hAnsi="Arial" w:cs="Arial"/>
          <w:kern w:val="0"/>
          <w14:ligatures w14:val="none"/>
        </w:rPr>
        <w:t>I acknowledge the use of Grammarly on 2</w:t>
      </w:r>
      <w:r w:rsidR="00F60137">
        <w:rPr>
          <w:rFonts w:ascii="Arial" w:hAnsi="Arial" w:cs="Arial"/>
          <w:kern w:val="0"/>
          <w14:ligatures w14:val="none"/>
        </w:rPr>
        <w:t>5</w:t>
      </w:r>
      <w:r w:rsidR="00F60137" w:rsidRPr="00F60137">
        <w:rPr>
          <w:rFonts w:ascii="Arial" w:hAnsi="Arial" w:cs="Arial"/>
          <w:kern w:val="0"/>
          <w:vertAlign w:val="superscript"/>
          <w14:ligatures w14:val="none"/>
        </w:rPr>
        <w:t>th</w:t>
      </w:r>
      <w:r w:rsidR="00F60137">
        <w:rPr>
          <w:rFonts w:ascii="Arial" w:hAnsi="Arial" w:cs="Arial"/>
          <w:kern w:val="0"/>
          <w14:ligatures w14:val="none"/>
        </w:rPr>
        <w:t xml:space="preserve"> of October</w:t>
      </w:r>
      <w:r w:rsidRPr="008E11EC">
        <w:rPr>
          <w:rFonts w:ascii="Arial" w:hAnsi="Arial" w:cs="Arial"/>
          <w:kern w:val="0"/>
          <w14:ligatures w14:val="none"/>
        </w:rPr>
        <w:t xml:space="preserve"> 2026 to check the spelling, punctuation, and grammar of my own writing. I pasted my draft</w:t>
      </w:r>
      <w:r w:rsidR="000B1DEC">
        <w:rPr>
          <w:rFonts w:ascii="Arial" w:hAnsi="Arial" w:cs="Arial"/>
          <w:kern w:val="0"/>
          <w14:ligatures w14:val="none"/>
        </w:rPr>
        <w:t>s</w:t>
      </w:r>
      <w:r w:rsidRPr="008E11EC">
        <w:rPr>
          <w:rFonts w:ascii="Arial" w:hAnsi="Arial" w:cs="Arial"/>
          <w:kern w:val="0"/>
          <w14:ligatures w14:val="none"/>
        </w:rPr>
        <w:t xml:space="preserve"> into Grammarly and reviewed its suggested corrections. I did not use Grammarly to re-word my work. </w:t>
      </w:r>
    </w:p>
    <w:p w14:paraId="4F6145C3" w14:textId="77777777" w:rsidR="000B1DEC" w:rsidRDefault="000B1DEC" w:rsidP="00BC61F6">
      <w:pPr>
        <w:spacing w:after="225" w:line="240" w:lineRule="auto"/>
        <w:rPr>
          <w:rFonts w:ascii="Arial" w:eastAsia="Times New Roman" w:hAnsi="Arial" w:cs="Arial"/>
          <w:kern w:val="0"/>
          <w14:ligatures w14:val="none"/>
        </w:rPr>
      </w:pPr>
    </w:p>
    <w:p w14:paraId="57BBECC0" w14:textId="77777777" w:rsidR="000B1DEC" w:rsidRDefault="000B1DEC" w:rsidP="00BC61F6">
      <w:pPr>
        <w:spacing w:after="225" w:line="240" w:lineRule="auto"/>
        <w:rPr>
          <w:rFonts w:ascii="Arial" w:eastAsia="Times New Roman" w:hAnsi="Arial" w:cs="Arial"/>
          <w:kern w:val="0"/>
          <w14:ligatures w14:val="none"/>
        </w:rPr>
      </w:pPr>
    </w:p>
    <w:p w14:paraId="5D0E85B9" w14:textId="77777777" w:rsidR="000B1DEC" w:rsidRDefault="000B1DEC" w:rsidP="00BC61F6">
      <w:pPr>
        <w:spacing w:after="225" w:line="240" w:lineRule="auto"/>
        <w:rPr>
          <w:rFonts w:ascii="Arial" w:eastAsia="Times New Roman" w:hAnsi="Arial" w:cs="Arial"/>
          <w:kern w:val="0"/>
          <w14:ligatures w14:val="none"/>
        </w:rPr>
      </w:pPr>
    </w:p>
    <w:p w14:paraId="01975926" w14:textId="77777777" w:rsidR="000B1DEC" w:rsidRDefault="000B1DEC" w:rsidP="00BC61F6">
      <w:pPr>
        <w:spacing w:after="225" w:line="240" w:lineRule="auto"/>
        <w:rPr>
          <w:rFonts w:ascii="Arial" w:eastAsia="Times New Roman" w:hAnsi="Arial" w:cs="Arial"/>
          <w:kern w:val="0"/>
          <w14:ligatures w14:val="none"/>
        </w:rPr>
      </w:pPr>
    </w:p>
    <w:p w14:paraId="0EB5D4B0" w14:textId="77777777" w:rsidR="000B1DEC" w:rsidRDefault="000B1DEC" w:rsidP="00BC61F6">
      <w:pPr>
        <w:spacing w:after="225" w:line="240" w:lineRule="auto"/>
        <w:rPr>
          <w:rFonts w:ascii="Arial" w:eastAsia="Times New Roman" w:hAnsi="Arial" w:cs="Arial"/>
          <w:kern w:val="0"/>
          <w14:ligatures w14:val="none"/>
        </w:rPr>
      </w:pPr>
    </w:p>
    <w:p w14:paraId="3B4CC069" w14:textId="77777777" w:rsidR="000B1DEC" w:rsidRDefault="000B1DEC" w:rsidP="00BC61F6">
      <w:pPr>
        <w:spacing w:after="225" w:line="240" w:lineRule="auto"/>
        <w:rPr>
          <w:rFonts w:ascii="Arial" w:eastAsia="Times New Roman" w:hAnsi="Arial" w:cs="Arial"/>
          <w:kern w:val="0"/>
          <w14:ligatures w14:val="none"/>
        </w:rPr>
      </w:pPr>
    </w:p>
    <w:p w14:paraId="3EB85130" w14:textId="70AD16B3" w:rsidR="00863188" w:rsidRPr="00863188" w:rsidRDefault="00863188" w:rsidP="00BC61F6">
      <w:pPr>
        <w:spacing w:after="225" w:line="240" w:lineRule="auto"/>
        <w:rPr>
          <w:rFonts w:ascii="-webkit-standard" w:hAnsi="-webkit-standard" w:cs="Times New Roman"/>
          <w:color w:val="000000"/>
          <w:kern w:val="0"/>
          <w:sz w:val="27"/>
          <w:szCs w:val="27"/>
          <w14:ligatures w14:val="none"/>
        </w:rPr>
      </w:pPr>
      <w:r w:rsidRPr="00863188">
        <w:rPr>
          <w:rFonts w:ascii="Calibri" w:hAnsi="Calibri" w:cs="Calibri"/>
          <w:b/>
          <w:bCs/>
          <w:color w:val="000099"/>
          <w:kern w:val="0"/>
          <w:sz w:val="27"/>
          <w:szCs w:val="27"/>
          <w14:ligatures w14:val="none"/>
        </w:rPr>
        <w:lastRenderedPageBreak/>
        <w:t>Personal Development Plan</w:t>
      </w:r>
    </w:p>
    <w:tbl>
      <w:tblPr>
        <w:tblW w:w="0" w:type="auto"/>
        <w:tblCellMar>
          <w:top w:w="15" w:type="dxa"/>
          <w:left w:w="15" w:type="dxa"/>
          <w:bottom w:w="15" w:type="dxa"/>
          <w:right w:w="15" w:type="dxa"/>
        </w:tblCellMar>
        <w:tblLook w:val="04A0" w:firstRow="1" w:lastRow="0" w:firstColumn="1" w:lastColumn="0" w:noHBand="0" w:noVBand="1"/>
      </w:tblPr>
      <w:tblGrid>
        <w:gridCol w:w="334"/>
        <w:gridCol w:w="1321"/>
        <w:gridCol w:w="1354"/>
        <w:gridCol w:w="1455"/>
        <w:gridCol w:w="1265"/>
        <w:gridCol w:w="1673"/>
        <w:gridCol w:w="1608"/>
      </w:tblGrid>
      <w:tr w:rsidR="00863188" w:rsidRPr="008E0CE2" w14:paraId="41D30D76" w14:textId="77777777">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400F7BF3"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No</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2D12E721"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Improvement and Development Goals</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4939AC43"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Success Criteria</w:t>
            </w:r>
            <w:r w:rsidRPr="008E0CE2">
              <w:rPr>
                <w:rFonts w:ascii="Arial" w:hAnsi="Arial" w:cs="Arial"/>
                <w:b/>
                <w:bCs/>
                <w:kern w:val="0"/>
                <w:sz w:val="16"/>
                <w:szCs w:val="16"/>
                <w14:ligatures w14:val="none"/>
              </w:rPr>
              <w:br/>
            </w:r>
            <w:r w:rsidRPr="008E0CE2">
              <w:rPr>
                <w:rFonts w:ascii="Arial" w:hAnsi="Arial" w:cs="Arial"/>
                <w:b/>
                <w:bCs/>
                <w:kern w:val="0"/>
                <w:sz w:val="16"/>
                <w:szCs w:val="16"/>
                <w14:ligatures w14:val="none"/>
              </w:rPr>
              <w:br/>
              <w:t>(How I will know when I have made this change)</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449266EC"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The actions I will take to achieve the goal</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3F834ABE"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Timelines</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2AD74127"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What will this help me to achieve?</w:t>
            </w:r>
          </w:p>
        </w:tc>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60" w:type="dxa"/>
              <w:bottom w:w="15" w:type="dxa"/>
              <w:right w:w="60" w:type="dxa"/>
            </w:tcMar>
            <w:hideMark/>
          </w:tcPr>
          <w:p w14:paraId="1EEB3EC0"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Achievements</w:t>
            </w:r>
            <w:r w:rsidRPr="008E0CE2">
              <w:rPr>
                <w:rFonts w:ascii="Arial" w:hAnsi="Arial" w:cs="Arial"/>
                <w:b/>
                <w:bCs/>
                <w:kern w:val="0"/>
                <w:sz w:val="16"/>
                <w:szCs w:val="16"/>
                <w14:ligatures w14:val="none"/>
              </w:rPr>
              <w:br/>
            </w:r>
            <w:r w:rsidRPr="008E0CE2">
              <w:rPr>
                <w:rFonts w:ascii="Arial" w:hAnsi="Arial" w:cs="Arial"/>
                <w:b/>
                <w:bCs/>
                <w:kern w:val="0"/>
                <w:sz w:val="16"/>
                <w:szCs w:val="16"/>
                <w14:ligatures w14:val="none"/>
              </w:rPr>
              <w:br/>
              <w:t>(3 monthly review)</w:t>
            </w:r>
          </w:p>
        </w:tc>
      </w:tr>
      <w:tr w:rsidR="00863188" w:rsidRPr="008E0CE2" w14:paraId="347F15B1"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8B84D2B"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1</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1755AA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improve my time management.</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7E230E41"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submit every assignment on time and complete my weekly study sessions.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1E6DB29"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use a weekly timetable, divide assignments into smaller tasks and study using Pomodoro sessions.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0727E00"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start this week and review my progress every Sunday.</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3589221"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balance university, school work and rest, reducing pressure before deadlines.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67EAC471"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compare planned study hours with completed tasks.</w:t>
            </w:r>
          </w:p>
        </w:tc>
      </w:tr>
      <w:tr w:rsidR="00863188" w:rsidRPr="008E0CE2" w14:paraId="1EA94EE6"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0A6FFDB2"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2</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056459B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develop my academic writing.</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75D1FF2A"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produce clearer paragraphs and use feedback to improve my next assignment.</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436F7FB"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plan each essay, follow the marking criteria and proofread my work before submission.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BD4061E"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practise throughout this term, checking progress after each assignment.</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FFB6DA3"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explain my ideas clearly and build confidence in writing about early years education.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BA9DDA8"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identify improvements in my tutor feedback.</w:t>
            </w:r>
          </w:p>
        </w:tc>
      </w:tr>
      <w:tr w:rsidR="00863188" w:rsidRPr="008E0CE2" w14:paraId="1AB97C4D"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6044915D"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1898563"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improve my research and referencing.</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3CEF052"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support my assignments with academic sources and accurate references.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4E64CF6"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use the university library, record source details and follow my course referencing guidance.</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22344AB"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practise weekly and check references before every submission.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E0E430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strengthen my arguments, acknowledge other writers and understand the evidence behind educational approaches.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742DC3B2"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check whether referencing corrections have decreased.</w:t>
            </w:r>
          </w:p>
        </w:tc>
      </w:tr>
      <w:tr w:rsidR="00863188" w:rsidRPr="008E0CE2" w14:paraId="682230D4"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8E25A62"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4</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7EB23538"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build confidence in university discussions.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5B09A76"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contribute one relevant point or question during each teaching session.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32250BF"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prepare notes, complete required reading and practise explaining my views aloud.</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6808BD9"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begin at my next session and reflect each week.</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C81E337"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communicate more confidently with tutors and classmates and learn through discussing different perspectives.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DF69796"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reflect on my participation and confidence.</w:t>
            </w:r>
          </w:p>
        </w:tc>
      </w:tr>
      <w:tr w:rsidR="00863188" w:rsidRPr="008E0CE2" w14:paraId="568AA3C0"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02B81EF8"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5</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6C88BD6C"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deepen my knowledge of child development.</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4D7D451"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explain key theories and connect them to examples from school.</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76F91066"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revise lecture notes, create summaries and compare theories with observations while maintaining privacy.</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BF70540"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revise each week throughout this term.</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E914D2D"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connect university learning with my work and make more informed decisions when supporting children.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074AAAE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assess my understanding through practice questions.</w:t>
            </w:r>
          </w:p>
        </w:tc>
      </w:tr>
      <w:tr w:rsidR="00863188" w:rsidRPr="008E0CE2" w14:paraId="604AB02D"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FB8DC10"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6</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1DF0717"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develop my reflective practice.</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41FB67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identify strengths and areas for improvement after learning experiences.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3FA7435A"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keep a reflective journal, consider feedback and set a next step.</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0ECFAAEA"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write one reflection each week this term.</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4FDC96F8"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recognise how my values and behaviour influence my learning and my support for children.</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C987844"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examine how my reflections have informed changes.</w:t>
            </w:r>
          </w:p>
        </w:tc>
      </w:tr>
      <w:tr w:rsidR="00863188" w:rsidRPr="008E0CE2" w14:paraId="1F7EA50D" w14:textId="77777777">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C55A8A2"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7</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6D33131C"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b/>
                <w:bCs/>
                <w:kern w:val="0"/>
                <w:sz w:val="16"/>
                <w:szCs w:val="16"/>
                <w14:ligatures w14:val="none"/>
              </w:rPr>
              <w:t>I will maintain my wellbeing while studying.</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5B710538"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follow a manageable routine that includes study, exercise, sleep and breaks.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9E20C57"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protect rest time, set realistic priorities and seek university support when needed.</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100014AA"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monitor my routine weekly throughout the academic year.</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6E2573EE"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I will develop resilience and stay motivated when managing competing responsibilities.</w:t>
            </w:r>
          </w:p>
        </w:tc>
        <w:tc>
          <w:tcPr>
            <w:tcW w:w="0" w:type="auto"/>
            <w:tcBorders>
              <w:top w:val="single" w:sz="6" w:space="0" w:color="000000"/>
              <w:left w:val="single" w:sz="6" w:space="0" w:color="000000"/>
              <w:bottom w:val="single" w:sz="6" w:space="0" w:color="000000"/>
              <w:right w:val="single" w:sz="6" w:space="0" w:color="000000"/>
            </w:tcBorders>
            <w:tcMar>
              <w:top w:w="15" w:type="dxa"/>
              <w:left w:w="60" w:type="dxa"/>
              <w:bottom w:w="15" w:type="dxa"/>
              <w:right w:w="60" w:type="dxa"/>
            </w:tcMar>
            <w:hideMark/>
          </w:tcPr>
          <w:p w14:paraId="2DDD57D0" w14:textId="77777777" w:rsidR="00863188" w:rsidRPr="008E0CE2" w:rsidRDefault="00863188" w:rsidP="00863188">
            <w:pPr>
              <w:spacing w:after="0" w:line="240" w:lineRule="auto"/>
              <w:rPr>
                <w:rFonts w:ascii="Arial" w:hAnsi="Arial" w:cs="Arial"/>
                <w:kern w:val="0"/>
                <w:sz w:val="16"/>
                <w:szCs w:val="16"/>
                <w14:ligatures w14:val="none"/>
              </w:rPr>
            </w:pPr>
            <w:r w:rsidRPr="008E0CE2">
              <w:rPr>
                <w:rFonts w:ascii="Arial" w:hAnsi="Arial" w:cs="Arial"/>
                <w:kern w:val="0"/>
                <w:sz w:val="16"/>
                <w:szCs w:val="16"/>
                <w14:ligatures w14:val="none"/>
              </w:rPr>
              <w:t>At my three monthly review, I will consider my energy, motivation and ability to manage university demands.</w:t>
            </w:r>
          </w:p>
        </w:tc>
      </w:tr>
    </w:tbl>
    <w:p w14:paraId="72B711F8" w14:textId="77777777" w:rsidR="00863188" w:rsidRPr="008E0CE2" w:rsidRDefault="00863188">
      <w:pPr>
        <w:rPr>
          <w:rFonts w:ascii="Arial" w:hAnsi="Arial" w:cs="Arial"/>
          <w:sz w:val="16"/>
          <w:szCs w:val="16"/>
        </w:rPr>
      </w:pPr>
    </w:p>
    <w:p w14:paraId="566C6876" w14:textId="77777777" w:rsidR="001E3752" w:rsidRDefault="001E3752"/>
    <w:p w14:paraId="75DB8C6B" w14:textId="77777777" w:rsidR="00490263" w:rsidRDefault="0091215D" w:rsidP="00490263">
      <w:r>
        <w:rPr>
          <w:noProof/>
        </w:rPr>
        <w:lastRenderedPageBreak/>
        <w:drawing>
          <wp:anchor distT="0" distB="0" distL="114300" distR="114300" simplePos="0" relativeHeight="251659264" behindDoc="0" locked="0" layoutInCell="1" allowOverlap="1" wp14:anchorId="5AEB0557" wp14:editId="3CD13E04">
            <wp:simplePos x="0" y="0"/>
            <wp:positionH relativeFrom="column">
              <wp:posOffset>-914133</wp:posOffset>
            </wp:positionH>
            <wp:positionV relativeFrom="paragraph">
              <wp:posOffset>1</wp:posOffset>
            </wp:positionV>
            <wp:extent cx="7615288" cy="8501974"/>
            <wp:effectExtent l="0" t="0" r="5080" b="0"/>
            <wp:wrapTopAndBottom/>
            <wp:docPr id="169394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4031" name="Picture 169394031"/>
                    <pic:cNvPicPr/>
                  </pic:nvPicPr>
                  <pic:blipFill>
                    <a:blip r:embed="rId5">
                      <a:extLst>
                        <a:ext uri="{28A0092B-C50C-407E-A947-70E740481C1C}">
                          <a14:useLocalDpi xmlns:a14="http://schemas.microsoft.com/office/drawing/2010/main" val="0"/>
                        </a:ext>
                      </a:extLst>
                    </a:blip>
                    <a:stretch>
                      <a:fillRect/>
                    </a:stretch>
                  </pic:blipFill>
                  <pic:spPr>
                    <a:xfrm>
                      <a:off x="0" y="0"/>
                      <a:ext cx="7615288" cy="8501974"/>
                    </a:xfrm>
                    <a:prstGeom prst="rect">
                      <a:avLst/>
                    </a:prstGeom>
                  </pic:spPr>
                </pic:pic>
              </a:graphicData>
            </a:graphic>
            <wp14:sizeRelH relativeFrom="margin">
              <wp14:pctWidth>0</wp14:pctWidth>
            </wp14:sizeRelH>
            <wp14:sizeRelV relativeFrom="margin">
              <wp14:pctHeight>0</wp14:pctHeight>
            </wp14:sizeRelV>
          </wp:anchor>
        </w:drawing>
      </w:r>
    </w:p>
    <w:p w14:paraId="1772D63F" w14:textId="2E791306" w:rsidR="001E221F" w:rsidRPr="00490263" w:rsidRDefault="001E221F" w:rsidP="00490263">
      <w:r w:rsidRPr="00344C67">
        <w:rPr>
          <w:rFonts w:ascii="Arial" w:eastAsia="Times New Roman" w:hAnsi="Arial" w:cs="Arial"/>
          <w:b/>
          <w:bCs/>
          <w:color w:val="000000"/>
          <w:kern w:val="0"/>
          <w:u w:val="single"/>
          <w14:ligatures w14:val="none"/>
        </w:rPr>
        <w:lastRenderedPageBreak/>
        <w:t>Professional practice and meeting children’s individual and inclusive needs in Wales</w:t>
      </w:r>
    </w:p>
    <w:p w14:paraId="2B91EF07" w14:textId="28E116D0"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Professional practice combines specialist knowledge, ethical judgement and accountable action to support children’s learning, development and welfare. A professional must justify decisions, recognise limitations and continue learning. The Education Workforce Council (2025) identifies responsibility, integrity, collaboration, leadership, knowledge and professional learning as expectations for registered practitioners</w:t>
      </w:r>
      <w:r w:rsidR="000B1DEC" w:rsidRPr="0012666B">
        <w:rPr>
          <w:rFonts w:ascii="Arial" w:eastAsia="Times New Roman" w:hAnsi="Arial" w:cs="Arial"/>
          <w:color w:val="000000"/>
          <w:kern w:val="0"/>
          <w14:ligatures w14:val="none"/>
        </w:rPr>
        <w:t xml:space="preserve">. </w:t>
      </w:r>
      <w:r w:rsidRPr="0012666B">
        <w:rPr>
          <w:rFonts w:ascii="Arial" w:eastAsia="Times New Roman" w:hAnsi="Arial" w:cs="Arial"/>
          <w:color w:val="000000"/>
          <w:kern w:val="0"/>
          <w14:ligatures w14:val="none"/>
        </w:rPr>
        <w:t>Within early childhood provision, meeting individual needs requires understanding each child while removing barriers to shared experiences. This essay argues that relationships, informed safeguarding, partnership, observation and children’s rights are interdependent aspects of inclusive professional practice.</w:t>
      </w:r>
    </w:p>
    <w:p w14:paraId="188BA59B" w14:textId="77777777" w:rsidR="001E221F" w:rsidRPr="00344C67" w:rsidRDefault="001E221F" w:rsidP="001E221F">
      <w:pPr>
        <w:spacing w:after="273" w:line="240" w:lineRule="auto"/>
        <w:outlineLvl w:val="1"/>
        <w:rPr>
          <w:rFonts w:ascii="Arial" w:eastAsia="Times New Roman" w:hAnsi="Arial" w:cs="Arial"/>
          <w:b/>
          <w:bCs/>
          <w:color w:val="000000"/>
          <w:kern w:val="0"/>
          <w:u w:val="single"/>
          <w14:ligatures w14:val="none"/>
        </w:rPr>
      </w:pPr>
      <w:r w:rsidRPr="00344C67">
        <w:rPr>
          <w:rFonts w:ascii="Arial" w:eastAsia="Times New Roman" w:hAnsi="Arial" w:cs="Arial"/>
          <w:b/>
          <w:bCs/>
          <w:color w:val="000000"/>
          <w:kern w:val="0"/>
          <w:u w:val="single"/>
          <w14:ligatures w14:val="none"/>
        </w:rPr>
        <w:t>Communication and relationships</w:t>
      </w:r>
    </w:p>
    <w:p w14:paraId="405CD86A"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Communication enables practitioners to understand children’s interests, recognise distress and support participation. Welsh Government (2023) guidance describes enabling adults as responsive to communication expressed through actions, words and behaviour. Consequently, listening requires more than asking questions. Practitioners might use gestures, photographs, communication boards or additional processing time. For example, offering visual choices can enable a child with limited speech to influence an activity (Welsh Government, 2021). Requiring spoken answers from everyone would risk confusing communication differences with limited understanding.</w:t>
      </w:r>
    </w:p>
    <w:p w14:paraId="44E741AF"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Waldron, Rhys and Taylor (2014a) found that warm adult interactions were associated with approximately 20% higher observed child involvement than cool interactions. This association supports prioritising sensitive engagement, although it does not establish that warmth alone caused improvement. Observations capture particular moments and cannot fully explain individual differences. Nevertheless, the findings suggest that purchasing resources without improving interactions may overlook an important influence on engagement.</w:t>
      </w:r>
    </w:p>
    <w:p w14:paraId="76CFB4FB"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Relationships with families also provide information about routines, languages and experiences that practitioners cannot obtain through classroom observation alone. The Welsh Government’s (2020) Talk With Me plan promotes early communication support and recognises Wales's bilingual context. Practitioners should therefore discuss children’s communication across their languages rather than interpret unfamiliarity with English as evidence of difficulty. Respectful relationships must also maintain professional boundaries, including appropriate digital contact and fair treatment (Education Workforce Council, n.d.).</w:t>
      </w:r>
    </w:p>
    <w:p w14:paraId="195EFC4B" w14:textId="77777777" w:rsidR="001E221F" w:rsidRPr="00753E52" w:rsidRDefault="001E221F" w:rsidP="001E221F">
      <w:pPr>
        <w:spacing w:after="273" w:line="240" w:lineRule="auto"/>
        <w:outlineLvl w:val="1"/>
        <w:rPr>
          <w:rFonts w:ascii="Arial" w:eastAsia="Times New Roman" w:hAnsi="Arial" w:cs="Arial"/>
          <w:b/>
          <w:bCs/>
          <w:color w:val="000000"/>
          <w:kern w:val="0"/>
          <w:u w:val="single"/>
          <w14:ligatures w14:val="none"/>
        </w:rPr>
      </w:pPr>
      <w:r w:rsidRPr="00753E52">
        <w:rPr>
          <w:rFonts w:ascii="Arial" w:eastAsia="Times New Roman" w:hAnsi="Arial" w:cs="Arial"/>
          <w:b/>
          <w:bCs/>
          <w:color w:val="000000"/>
          <w:kern w:val="0"/>
          <w:u w:val="single"/>
          <w14:ligatures w14:val="none"/>
        </w:rPr>
        <w:t>Knowledge, understanding and safeguarding</w:t>
      </w:r>
    </w:p>
    <w:p w14:paraId="6C018D81"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 xml:space="preserve">Knowledge of development helps practitioners interpret behaviour and adapt provision without assuming that all children progress identically. Morgan and Miles (2023) place child development at the centre of Welsh early childhood policy and connect meaningful experiences with reflective improvement. For example, a child avoiding group activities might need reduced sensory demands, familiar support or a </w:t>
      </w:r>
      <w:r w:rsidRPr="0012666B">
        <w:rPr>
          <w:rFonts w:ascii="Arial" w:eastAsia="Times New Roman" w:hAnsi="Arial" w:cs="Arial"/>
          <w:color w:val="000000"/>
          <w:kern w:val="0"/>
          <w14:ligatures w14:val="none"/>
        </w:rPr>
        <w:lastRenderedPageBreak/>
        <w:t>different communication approach. Labelling the child as uncooperative before investigating these possibilities could reinforce exclusion.</w:t>
      </w:r>
    </w:p>
    <w:p w14:paraId="129E79EA"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Estyn (2025) identifies structured professional learning and purposeful teaching as strengths in Welsh schools, while noting inconsistent practice and constraints on training. This suggests that individual commitment needs organisational support, including supervision, shared reflection and time to apply learning. However, inspection evidence identifies patterns of practice rather than proving that a particular training course improves outcomes. Practitioners should evaluate whether learning changes children’s actual experiences.</w:t>
      </w:r>
    </w:p>
    <w:p w14:paraId="64B7B6A2"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Safeguarding knowledge is essential because children cannot benefit fully from provision when their safety is compromised. The Wales Safeguarding Procedures explain that practitioners should report concerns to the relevant local authority and understand emergency arrangements (Social Care Wales, n.d.b). Practitioners should record concerns accurately, follow reporting procedures, and avoid conducting an independent investigation (Social Care Wales, n.d.c). Waiting for certainty may delay protection. Equally, a change in behaviour should prompt careful consideration rather than an unsupported conclusion that abuse has occurred.</w:t>
      </w:r>
    </w:p>
    <w:p w14:paraId="76E660A1"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Confidentiality requires informed judgement. Social Care Wales (n.d.a) explains that data protection permits justified information sharing and that decisions should be necessary, proportionate, timely and recorded. Therefore, confidentiality cannot mean promising complete secrecy (Social Care Wales, n.d.d). Practitioners should explain information sharing sensitively while prioritising protection. Inclusive safeguarding also requires accessible communication so that disabled children and children using different languages can express concerns and understand available support (Social Care Wales, n.d.d).</w:t>
      </w:r>
    </w:p>
    <w:p w14:paraId="7F160362" w14:textId="77777777" w:rsidR="001E221F" w:rsidRPr="00753E52" w:rsidRDefault="001E221F" w:rsidP="001E221F">
      <w:pPr>
        <w:spacing w:after="273" w:line="240" w:lineRule="auto"/>
        <w:outlineLvl w:val="1"/>
        <w:rPr>
          <w:rFonts w:ascii="Arial" w:eastAsia="Times New Roman" w:hAnsi="Arial" w:cs="Arial"/>
          <w:b/>
          <w:bCs/>
          <w:color w:val="000000"/>
          <w:kern w:val="0"/>
          <w:u w:val="single"/>
          <w14:ligatures w14:val="none"/>
        </w:rPr>
      </w:pPr>
      <w:r w:rsidRPr="00753E52">
        <w:rPr>
          <w:rFonts w:ascii="Arial" w:eastAsia="Times New Roman" w:hAnsi="Arial" w:cs="Arial"/>
          <w:b/>
          <w:bCs/>
          <w:color w:val="000000"/>
          <w:kern w:val="0"/>
          <w:u w:val="single"/>
          <w14:ligatures w14:val="none"/>
        </w:rPr>
        <w:t>Partnership and working across agencies</w:t>
      </w:r>
    </w:p>
    <w:p w14:paraId="0A8CD365"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Partnership combines knowledge held by children, families, educators and specialists. Welsh Government (2015) guidance places the person at the centre of educational planning. Families contribute understanding of daily life, while practitioners contribute observations of learning and participation. Differences between these accounts should encourage investigation. A child communicating confidently at home but remaining silent in a setting might experience anxiety or environmental barriers that neither account reveals independently.</w:t>
      </w:r>
    </w:p>
    <w:p w14:paraId="579688DB"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The Additional Learning Needs Code for Wales emphasises participation and coordinated support (Welsh Government, 2021). Where appropriate, collaboration might involve the additional learning needs coordinator, health visitor and speech and language therapist. A shared plan can connect specialist advice with everyday play rather than leave recommendations isolated in reports. Clear responsibilities, agreed outcomes and review dates help practitioners determine whether support is delivered and useful.</w:t>
      </w:r>
    </w:p>
    <w:p w14:paraId="450D181E"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 xml:space="preserve">However, involving several professionals does not automatically create effective partnership. Conflicting advice, inaccessible terminology and repeated meetings can create barriers to effective partnership (Welsh Government, 2015). Practitioners </w:t>
      </w:r>
      <w:r w:rsidRPr="0012666B">
        <w:rPr>
          <w:rFonts w:ascii="Arial" w:eastAsia="Times New Roman" w:hAnsi="Arial" w:cs="Arial"/>
          <w:color w:val="000000"/>
          <w:kern w:val="0"/>
          <w14:ligatures w14:val="none"/>
        </w:rPr>
        <w:lastRenderedPageBreak/>
        <w:t>should explain decisions clearly, seek children’s views through suitable methods and challenge arrangements that exclude parental knowledge. Services must also recognise language preferences and practical barriers to attendance (Welsh Government, 2021). Partnership is meaningful when it changes provision, rather than merely demonstrating that professionals have met.</w:t>
      </w:r>
    </w:p>
    <w:p w14:paraId="22631995"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Transitions illustrate the importance of continuity. Waldron, Rhys and Taylor (2014b) identified varied transition practices and concerns about assessment communication within the former Foundation Phase. Although this research predates Curriculum for Wales, it highlights a continuing professional issue. Information should describe effective support, relationships and interests, enabling receiving practitioners to maintain security while recognising that children’s needs can change.</w:t>
      </w:r>
    </w:p>
    <w:p w14:paraId="4ED92512" w14:textId="77777777" w:rsidR="001E221F" w:rsidRPr="00753E52" w:rsidRDefault="001E221F" w:rsidP="001E221F">
      <w:pPr>
        <w:spacing w:after="273" w:line="240" w:lineRule="auto"/>
        <w:outlineLvl w:val="1"/>
        <w:rPr>
          <w:rFonts w:ascii="Arial" w:eastAsia="Times New Roman" w:hAnsi="Arial" w:cs="Arial"/>
          <w:b/>
          <w:bCs/>
          <w:color w:val="000000"/>
          <w:kern w:val="0"/>
          <w:u w:val="single"/>
          <w14:ligatures w14:val="none"/>
        </w:rPr>
      </w:pPr>
      <w:r w:rsidRPr="00753E52">
        <w:rPr>
          <w:rFonts w:ascii="Arial" w:eastAsia="Times New Roman" w:hAnsi="Arial" w:cs="Arial"/>
          <w:b/>
          <w:bCs/>
          <w:color w:val="000000"/>
          <w:kern w:val="0"/>
          <w:u w:val="single"/>
          <w14:ligatures w14:val="none"/>
        </w:rPr>
        <w:t>Observation and the planning cycle</w:t>
      </w:r>
    </w:p>
    <w:p w14:paraId="7B70095D"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An effective cycle involves observing, interpreting evidence, planning responses, implementing changes and reviewing their effects (Welsh Government, 2023). Welsh Government (2023) recommends using observation and developmental knowledge to plan experiences that support and challenge learners. Observations should therefore influence decisions rather than produce records. For example, noticing a child repeatedly watching construction play without joining could lead to accessible materials, a smaller group or sensitive adult support.</w:t>
      </w:r>
    </w:p>
    <w:p w14:paraId="14242F39"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Review should consider whether the child participates more confidently and enjoys the experience. If an adaptation produces little improvement, practitioners should reconsider their interpretation rather than blame the child (Welsh Government, 2023). Family perspectives and observations over time can strengthen understanding. Families should review these decisions so professionals can test assumptions against children’s experiences across different environments over time. Records should distinguish what happened from assumptions about motivation to reduce the risk that labels shape future expectations (Welsh Government, 2015).</w:t>
      </w:r>
    </w:p>
    <w:p w14:paraId="4B34498A"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Taylor et al. (2015) evaluated the Foundation Phase through multiple research methods, demonstrating the value of examining implementation alongside outcomes. Their work offers contextual evidence rather than a universal formula for current settings. Likewise, Waldron, Rhys and Taylor (2014b) found that observation and assessment were not regularly evident in sampled provision. This historical finding illustrates how a commitment to individualisation can remain incomplete when daily practice lacks systematic review.</w:t>
      </w:r>
    </w:p>
    <w:p w14:paraId="2FF616F0"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The same evaluation found improved attainment associated with Foundation Phase provision but no evidence that it had reduced attainment inequalities at the end of Key Stage 2 (Taylor et al., 2015). This distinction matters because average improvement can conceal persistent disadvantage. Practitioners should therefore review who benefits from provision, considering individual children's participation and progress alongside overall group outcomes. Equal access to an activity does not necessarily provide equal opportunity to benefit from it.</w:t>
      </w:r>
    </w:p>
    <w:p w14:paraId="2F59B1D6" w14:textId="77777777" w:rsidR="00753E52" w:rsidRDefault="00753E52" w:rsidP="001E221F">
      <w:pPr>
        <w:spacing w:after="273" w:line="240" w:lineRule="auto"/>
        <w:outlineLvl w:val="1"/>
        <w:rPr>
          <w:rFonts w:ascii="Arial" w:eastAsia="Times New Roman" w:hAnsi="Arial" w:cs="Arial"/>
          <w:color w:val="000000"/>
          <w:kern w:val="0"/>
          <w14:ligatures w14:val="none"/>
        </w:rPr>
      </w:pPr>
    </w:p>
    <w:p w14:paraId="0EDACCEF" w14:textId="62C57B51"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lastRenderedPageBreak/>
        <w:t xml:space="preserve">Planning must also preserve children’s agency. </w:t>
      </w:r>
      <w:r w:rsidR="00C0170A">
        <w:rPr>
          <w:rFonts w:ascii="Arial" w:eastAsia="Times New Roman" w:hAnsi="Arial" w:cs="Arial"/>
          <w:color w:val="000000"/>
          <w:kern w:val="0"/>
          <w14:ligatures w14:val="none"/>
        </w:rPr>
        <w:t>The Playwork Princi</w:t>
      </w:r>
      <w:r w:rsidR="00030CD8">
        <w:rPr>
          <w:rFonts w:ascii="Arial" w:eastAsia="Times New Roman" w:hAnsi="Arial" w:cs="Arial"/>
          <w:color w:val="000000"/>
          <w:kern w:val="0"/>
          <w14:ligatures w14:val="none"/>
        </w:rPr>
        <w:t xml:space="preserve">ples </w:t>
      </w:r>
      <w:r w:rsidR="006A4C4B">
        <w:rPr>
          <w:rFonts w:ascii="Arial" w:eastAsia="Times New Roman" w:hAnsi="Arial" w:cs="Arial"/>
          <w:color w:val="000000"/>
          <w:kern w:val="0"/>
          <w14:ligatures w14:val="none"/>
        </w:rPr>
        <w:t xml:space="preserve">Scrutiny </w:t>
      </w:r>
      <w:r w:rsidR="00EB615F">
        <w:rPr>
          <w:rFonts w:ascii="Arial" w:eastAsia="Times New Roman" w:hAnsi="Arial" w:cs="Arial"/>
          <w:color w:val="000000"/>
          <w:kern w:val="0"/>
          <w14:ligatures w14:val="none"/>
        </w:rPr>
        <w:t xml:space="preserve">Group </w:t>
      </w:r>
      <w:r w:rsidR="00E7628B">
        <w:rPr>
          <w:rFonts w:ascii="Arial" w:eastAsia="Times New Roman" w:hAnsi="Arial" w:cs="Arial"/>
          <w:color w:val="000000"/>
          <w:kern w:val="0"/>
          <w14:ligatures w14:val="none"/>
        </w:rPr>
        <w:t>(</w:t>
      </w:r>
      <w:r w:rsidR="007130BF">
        <w:rPr>
          <w:rFonts w:ascii="Arial" w:eastAsia="Times New Roman" w:hAnsi="Arial" w:cs="Arial"/>
          <w:color w:val="000000"/>
          <w:kern w:val="0"/>
          <w14:ligatures w14:val="none"/>
        </w:rPr>
        <w:t>2005</w:t>
      </w:r>
      <w:r w:rsidR="008044FC">
        <w:rPr>
          <w:rFonts w:ascii="Arial" w:eastAsia="Times New Roman" w:hAnsi="Arial" w:cs="Arial"/>
          <w:color w:val="000000"/>
          <w:kern w:val="0"/>
          <w14:ligatures w14:val="none"/>
        </w:rPr>
        <w:t>)</w:t>
      </w:r>
      <w:r w:rsidR="00E7628B">
        <w:rPr>
          <w:rFonts w:ascii="Arial" w:eastAsia="Times New Roman" w:hAnsi="Arial" w:cs="Arial"/>
          <w:color w:val="000000"/>
          <w:kern w:val="0"/>
          <w14:ligatures w14:val="none"/>
        </w:rPr>
        <w:t xml:space="preserve"> </w:t>
      </w:r>
      <w:r w:rsidRPr="0012666B">
        <w:rPr>
          <w:rFonts w:ascii="Arial" w:eastAsia="Times New Roman" w:hAnsi="Arial" w:cs="Arial"/>
          <w:color w:val="000000"/>
          <w:kern w:val="0"/>
          <w14:ligatures w14:val="none"/>
        </w:rPr>
        <w:t>describes play as freely chosen, personally directed and intrinsically motivated. Excessive adult direction can therefore undermine the very engagement planning aims to support. A balanced response provides accessible opportunities and purposeful support while allowing children to develop their own ideas. Inclusion requires adapting experiences without unnecessarily separating children from peers.</w:t>
      </w:r>
    </w:p>
    <w:p w14:paraId="7AF494D5" w14:textId="77777777" w:rsidR="001E221F" w:rsidRPr="00753E52" w:rsidRDefault="001E221F" w:rsidP="001E221F">
      <w:pPr>
        <w:spacing w:after="273" w:line="240" w:lineRule="auto"/>
        <w:outlineLvl w:val="1"/>
        <w:rPr>
          <w:rFonts w:ascii="Arial" w:eastAsia="Times New Roman" w:hAnsi="Arial" w:cs="Arial"/>
          <w:b/>
          <w:bCs/>
          <w:color w:val="000000"/>
          <w:kern w:val="0"/>
          <w:u w:val="single"/>
          <w14:ligatures w14:val="none"/>
        </w:rPr>
      </w:pPr>
      <w:r w:rsidRPr="00753E52">
        <w:rPr>
          <w:rFonts w:ascii="Arial" w:eastAsia="Times New Roman" w:hAnsi="Arial" w:cs="Arial"/>
          <w:b/>
          <w:bCs/>
          <w:color w:val="000000"/>
          <w:kern w:val="0"/>
          <w:u w:val="single"/>
          <w14:ligatures w14:val="none"/>
        </w:rPr>
        <w:t>Children’s rights and professional judgement</w:t>
      </w:r>
    </w:p>
    <w:p w14:paraId="13FEAF6F"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The United Nations Convention on the Rights of the Child provides an ethical framework for professional decisions. The Children’s Commissioner for Wales (2024) translates rights into educational practice through embedding rights, equality, empowerment, participation and accountability. These principles require practitioners to examine whose voices influence decisions and who encounters barriers. Rights should shape routines, resource choices and relationships throughout provision.</w:t>
      </w:r>
    </w:p>
    <w:p w14:paraId="2C9CF923"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The Convention’s principles of nondiscrimination, best interests, development and respect for children’s views connect directly with inclusive practice. Participation must include children who communicate without speech, using observation, familiar adults and accessible choices. However, adults should avoid treating their interpretations as unquestionable expressions of children’s wishes. Checking responses over time can strengthen understanding and reduce adult bias.</w:t>
      </w:r>
    </w:p>
    <w:p w14:paraId="1D0E75F4"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For example, Article 12 supports listening to children, while Article 3 requires decisions to be guided by their best interests. Article 2 addresses discrimination and Article 6 concerns survival and development (Children’s Commissioner for Wales, 2024). Together, these principles link everyday choices to broader responsibilities to every child.</w:t>
      </w:r>
    </w:p>
    <w:p w14:paraId="4ECFDAFF" w14:textId="77777777" w:rsidR="001E221F" w:rsidRPr="0012666B" w:rsidRDefault="001E221F" w:rsidP="001E221F">
      <w:pPr>
        <w:spacing w:after="273" w:line="240" w:lineRule="auto"/>
        <w:outlineLvl w:val="1"/>
        <w:rPr>
          <w:rFonts w:ascii="Arial" w:eastAsia="Times New Roman" w:hAnsi="Arial" w:cs="Arial"/>
          <w:color w:val="000000"/>
          <w:kern w:val="0"/>
          <w14:ligatures w14:val="none"/>
        </w:rPr>
      </w:pPr>
      <w:r w:rsidRPr="0012666B">
        <w:rPr>
          <w:rFonts w:ascii="Arial" w:eastAsia="Times New Roman" w:hAnsi="Arial" w:cs="Arial"/>
          <w:color w:val="000000"/>
          <w:kern w:val="0"/>
          <w14:ligatures w14:val="none"/>
        </w:rPr>
        <w:t>A routine that repeatedly excludes a child from outdoor play because adaptation is inconvenient should prompt review of staffing, access and resources. The Children’s Commissioner for Wales (2024) emphasises accountability and opportunities to question decisions. This means inclusion should be judged by children’s experiences, not by the existence of a policy alone.</w:t>
      </w:r>
    </w:p>
    <w:p w14:paraId="17113BCF" w14:textId="77777777" w:rsidR="001E221F" w:rsidRPr="00672292" w:rsidRDefault="001E221F" w:rsidP="001E221F">
      <w:pPr>
        <w:spacing w:after="255" w:line="240" w:lineRule="auto"/>
        <w:rPr>
          <w:rFonts w:ascii="Arial" w:hAnsi="Arial" w:cs="Arial"/>
          <w:color w:val="000000"/>
          <w:kern w:val="0"/>
          <w14:ligatures w14:val="none"/>
        </w:rPr>
      </w:pPr>
      <w:r w:rsidRPr="00672292">
        <w:rPr>
          <w:rFonts w:ascii="Arial" w:hAnsi="Arial" w:cs="Arial"/>
          <w:color w:val="000000"/>
          <w:kern w:val="0"/>
          <w14:ligatures w14:val="none"/>
        </w:rPr>
        <w:t>Overall, effective professional practice brings ethical responsibility and informed action together. Relationships reveal needs, safeguarding protects welfare, partnerships coordinate support and observation tests whether provision works. Welsh research offers valuable evidence, while guidance establishes expectations that practitioners must translate into daily decisions. No single approach guarantees inclusion. Practitioners need to question assumptions, evaluate adaptations and remain accountable to children and families. When children’s rights guide this process, individual support can strengthen belonging, participation and meaningful opportunities for development.</w:t>
      </w:r>
    </w:p>
    <w:p w14:paraId="0C953BF9" w14:textId="77777777" w:rsidR="001E221F" w:rsidRDefault="001E221F">
      <w:pPr>
        <w:pStyle w:val="p1"/>
        <w:rPr>
          <w:rStyle w:val="s1"/>
        </w:rPr>
      </w:pPr>
    </w:p>
    <w:p w14:paraId="2E513559" w14:textId="77777777" w:rsidR="00344C67" w:rsidRDefault="00344C67">
      <w:pPr>
        <w:pStyle w:val="p1"/>
        <w:rPr>
          <w:rStyle w:val="s1"/>
          <w:rFonts w:ascii="Arial" w:hAnsi="Arial" w:cs="Arial"/>
        </w:rPr>
      </w:pPr>
    </w:p>
    <w:p w14:paraId="33CB5475" w14:textId="77777777" w:rsidR="00344C67" w:rsidRDefault="00344C67">
      <w:pPr>
        <w:pStyle w:val="p1"/>
        <w:rPr>
          <w:rStyle w:val="s1"/>
          <w:rFonts w:ascii="Arial" w:hAnsi="Arial" w:cs="Arial"/>
        </w:rPr>
      </w:pPr>
    </w:p>
    <w:p w14:paraId="6C4A04C6" w14:textId="77777777" w:rsidR="00344C67" w:rsidRDefault="00344C67">
      <w:pPr>
        <w:pStyle w:val="p1"/>
        <w:rPr>
          <w:rStyle w:val="s1"/>
          <w:rFonts w:ascii="Arial" w:hAnsi="Arial" w:cs="Arial"/>
        </w:rPr>
      </w:pPr>
    </w:p>
    <w:p w14:paraId="75F7CC6C" w14:textId="77777777" w:rsidR="00344C67" w:rsidRDefault="00344C67">
      <w:pPr>
        <w:pStyle w:val="p1"/>
        <w:rPr>
          <w:rStyle w:val="s1"/>
          <w:rFonts w:ascii="Arial" w:hAnsi="Arial" w:cs="Arial"/>
        </w:rPr>
      </w:pPr>
    </w:p>
    <w:p w14:paraId="2CB171BE" w14:textId="58EDCF16" w:rsidR="00E15E0B" w:rsidRPr="002E72AC" w:rsidRDefault="00945E72">
      <w:pPr>
        <w:pStyle w:val="p1"/>
        <w:rPr>
          <w:rFonts w:ascii="Arial" w:hAnsi="Arial" w:cs="Arial"/>
          <w:b/>
          <w:bCs/>
          <w:u w:val="single"/>
        </w:rPr>
      </w:pPr>
      <w:r w:rsidRPr="002E72AC">
        <w:rPr>
          <w:rStyle w:val="s1"/>
          <w:rFonts w:ascii="Arial" w:hAnsi="Arial" w:cs="Arial"/>
          <w:b/>
          <w:bCs/>
          <w:u w:val="single"/>
        </w:rPr>
        <w:t>Reference lis</w:t>
      </w:r>
      <w:r w:rsidR="002E72AC" w:rsidRPr="002E72AC">
        <w:rPr>
          <w:rStyle w:val="s1"/>
          <w:rFonts w:ascii="Arial" w:hAnsi="Arial" w:cs="Arial"/>
          <w:b/>
          <w:bCs/>
          <w:u w:val="single"/>
        </w:rPr>
        <w:t>t</w:t>
      </w:r>
    </w:p>
    <w:p w14:paraId="2E653EBF" w14:textId="77777777" w:rsidR="00E15E0B" w:rsidRPr="002E72AC" w:rsidRDefault="00E15E0B">
      <w:pPr>
        <w:pStyle w:val="p1"/>
        <w:rPr>
          <w:rFonts w:ascii="Arial" w:hAnsi="Arial" w:cs="Arial"/>
        </w:rPr>
      </w:pPr>
      <w:r w:rsidRPr="002E72AC">
        <w:rPr>
          <w:rStyle w:val="s1"/>
          <w:rFonts w:ascii="Arial" w:hAnsi="Arial" w:cs="Arial"/>
        </w:rPr>
        <w:t xml:space="preserve">Children’s Commissioner for Wales (2024). The Right Way. A children’s human rights approach to education in Wales. Available at </w:t>
      </w:r>
      <w:hyperlink r:id="rId6" w:history="1">
        <w:r w:rsidRPr="002E72AC">
          <w:rPr>
            <w:rStyle w:val="s2"/>
            <w:rFonts w:ascii="Arial" w:hAnsi="Arial" w:cs="Arial"/>
            <w:color w:val="0000FF"/>
            <w:u w:val="single"/>
          </w:rPr>
          <w:t>https://www.childcomwales.org.uk/resources/the-right-way-a-childrens-rights-approach/a-childrens-rights-approach-to-education-in-wales/</w:t>
        </w:r>
      </w:hyperlink>
      <w:r w:rsidRPr="002E72AC">
        <w:rPr>
          <w:rStyle w:val="s1"/>
          <w:rFonts w:ascii="Arial" w:hAnsi="Arial" w:cs="Arial"/>
        </w:rPr>
        <w:t xml:space="preserve"> (Accessed 18 October 2026).</w:t>
      </w:r>
    </w:p>
    <w:p w14:paraId="7D24EC1E" w14:textId="77777777" w:rsidR="00E15E0B" w:rsidRPr="002E72AC" w:rsidRDefault="00E15E0B">
      <w:pPr>
        <w:pStyle w:val="p1"/>
        <w:rPr>
          <w:rFonts w:ascii="Arial" w:hAnsi="Arial" w:cs="Arial"/>
        </w:rPr>
      </w:pPr>
      <w:r w:rsidRPr="002E72AC">
        <w:rPr>
          <w:rStyle w:val="s1"/>
          <w:rFonts w:ascii="Arial" w:hAnsi="Arial" w:cs="Arial"/>
        </w:rPr>
        <w:t xml:space="preserve">Education Workforce Council (2025). Code of professional conduct and practice for registrants. Available at </w:t>
      </w:r>
      <w:hyperlink r:id="rId7" w:history="1">
        <w:r w:rsidRPr="002E72AC">
          <w:rPr>
            <w:rStyle w:val="s2"/>
            <w:rFonts w:ascii="Arial" w:hAnsi="Arial" w:cs="Arial"/>
            <w:color w:val="0000FF"/>
            <w:u w:val="single"/>
          </w:rPr>
          <w:t>https://ewc.wales/site/index.php/en/fitness-to-practise/code-of-professional-conduct-and-practice/the-code</w:t>
        </w:r>
      </w:hyperlink>
      <w:r w:rsidRPr="002E72AC">
        <w:rPr>
          <w:rStyle w:val="s1"/>
          <w:rFonts w:ascii="Arial" w:hAnsi="Arial" w:cs="Arial"/>
        </w:rPr>
        <w:t xml:space="preserve"> (Accessed 18 October 2026).</w:t>
      </w:r>
    </w:p>
    <w:p w14:paraId="0C8326B9" w14:textId="77777777" w:rsidR="00E15E0B" w:rsidRPr="002E72AC" w:rsidRDefault="00E15E0B">
      <w:pPr>
        <w:pStyle w:val="p1"/>
        <w:rPr>
          <w:rFonts w:ascii="Arial" w:hAnsi="Arial" w:cs="Arial"/>
        </w:rPr>
      </w:pPr>
      <w:r w:rsidRPr="002E72AC">
        <w:rPr>
          <w:rStyle w:val="s1"/>
          <w:rFonts w:ascii="Arial" w:hAnsi="Arial" w:cs="Arial"/>
        </w:rPr>
        <w:t xml:space="preserve">Education Workforce Council (n.d.). Good practice guide. Maintaining professional boundaries with learners and young people. Available at </w:t>
      </w:r>
      <w:hyperlink r:id="rId8" w:history="1">
        <w:r w:rsidRPr="002E72AC">
          <w:rPr>
            <w:rStyle w:val="s2"/>
            <w:rFonts w:ascii="Arial" w:hAnsi="Arial" w:cs="Arial"/>
            <w:color w:val="0000FF"/>
            <w:u w:val="single"/>
          </w:rPr>
          <w:t>https://ewc.wales/site/index.php/en/fitness-to-practise/good-practice-guides/good-practice-guide-maintaining-professional-boundaries-with-learners-and-young-people</w:t>
        </w:r>
      </w:hyperlink>
      <w:r w:rsidRPr="002E72AC">
        <w:rPr>
          <w:rStyle w:val="s1"/>
          <w:rFonts w:ascii="Arial" w:hAnsi="Arial" w:cs="Arial"/>
        </w:rPr>
        <w:t xml:space="preserve"> (Accessed 18 October 2026).</w:t>
      </w:r>
    </w:p>
    <w:p w14:paraId="1E71495F" w14:textId="77777777" w:rsidR="00E15E0B" w:rsidRPr="002E72AC" w:rsidRDefault="00E15E0B">
      <w:pPr>
        <w:pStyle w:val="p1"/>
        <w:rPr>
          <w:rFonts w:ascii="Arial" w:hAnsi="Arial" w:cs="Arial"/>
        </w:rPr>
      </w:pPr>
      <w:r w:rsidRPr="002E72AC">
        <w:rPr>
          <w:rStyle w:val="s1"/>
          <w:rFonts w:ascii="Arial" w:hAnsi="Arial" w:cs="Arial"/>
        </w:rPr>
        <w:t xml:space="preserve">Estyn (2025). Schools must prioritise high quality teaching to realise Curriculum for Wales aims. Available at </w:t>
      </w:r>
      <w:hyperlink r:id="rId9" w:history="1">
        <w:r w:rsidRPr="002E72AC">
          <w:rPr>
            <w:rStyle w:val="s2"/>
            <w:rFonts w:ascii="Arial" w:hAnsi="Arial" w:cs="Arial"/>
            <w:color w:val="0000FF"/>
            <w:u w:val="single"/>
          </w:rPr>
          <w:t>https://estyn.gov.wales/news/schools-must-prioritise-high-quality-teaching-to-realise-curriculum-for-wales-aims/</w:t>
        </w:r>
      </w:hyperlink>
      <w:r w:rsidRPr="002E72AC">
        <w:rPr>
          <w:rStyle w:val="s1"/>
          <w:rFonts w:ascii="Arial" w:hAnsi="Arial" w:cs="Arial"/>
        </w:rPr>
        <w:t xml:space="preserve"> (Accessed 18 October 2026).</w:t>
      </w:r>
    </w:p>
    <w:p w14:paraId="7B1883E5" w14:textId="77777777" w:rsidR="00E15E0B" w:rsidRPr="002E72AC" w:rsidRDefault="00E15E0B">
      <w:pPr>
        <w:pStyle w:val="p1"/>
        <w:rPr>
          <w:rFonts w:ascii="Arial" w:hAnsi="Arial" w:cs="Arial"/>
        </w:rPr>
      </w:pPr>
      <w:r w:rsidRPr="002E72AC">
        <w:rPr>
          <w:rStyle w:val="s1"/>
          <w:rFonts w:ascii="Arial" w:hAnsi="Arial" w:cs="Arial"/>
        </w:rPr>
        <w:t xml:space="preserve">Morgan, J. and Miles, J. (2023). Written statement. Publication of a quality framework for early childhood play, learning and care in Wales and supporting materials. Available at </w:t>
      </w:r>
      <w:hyperlink r:id="rId10" w:history="1">
        <w:r w:rsidRPr="002E72AC">
          <w:rPr>
            <w:rStyle w:val="s2"/>
            <w:rFonts w:ascii="Arial" w:hAnsi="Arial" w:cs="Arial"/>
            <w:color w:val="0000FF"/>
            <w:u w:val="single"/>
          </w:rPr>
          <w:t>https://www.gov.wales/written-statement-publication-quality-framework-early-childhood-play-learning-and-care-wales-and</w:t>
        </w:r>
      </w:hyperlink>
      <w:r w:rsidRPr="002E72AC">
        <w:rPr>
          <w:rStyle w:val="s1"/>
          <w:rFonts w:ascii="Arial" w:hAnsi="Arial" w:cs="Arial"/>
        </w:rPr>
        <w:t xml:space="preserve"> (Accessed 20 October 2026).</w:t>
      </w:r>
    </w:p>
    <w:p w14:paraId="7688E5D8" w14:textId="77777777" w:rsidR="00E15E0B" w:rsidRPr="002E72AC" w:rsidRDefault="00E15E0B">
      <w:pPr>
        <w:pStyle w:val="p1"/>
        <w:rPr>
          <w:rFonts w:ascii="Arial" w:hAnsi="Arial" w:cs="Arial"/>
        </w:rPr>
      </w:pPr>
      <w:r w:rsidRPr="002E72AC">
        <w:rPr>
          <w:rStyle w:val="s1"/>
          <w:rFonts w:ascii="Arial" w:hAnsi="Arial" w:cs="Arial"/>
        </w:rPr>
        <w:t xml:space="preserve">Playwork Principles Scrutiny Group (2005). The Playwork Principles. Cardiff. Available at </w:t>
      </w:r>
      <w:hyperlink r:id="rId11" w:history="1">
        <w:r w:rsidRPr="002E72AC">
          <w:rPr>
            <w:rStyle w:val="s2"/>
            <w:rFonts w:ascii="Arial" w:hAnsi="Arial" w:cs="Arial"/>
            <w:color w:val="0000FF"/>
            <w:u w:val="single"/>
          </w:rPr>
          <w:t>https://play.wales/playwork/the-playwork-principles/</w:t>
        </w:r>
      </w:hyperlink>
      <w:r w:rsidRPr="002E72AC">
        <w:rPr>
          <w:rStyle w:val="s1"/>
          <w:rFonts w:ascii="Arial" w:hAnsi="Arial" w:cs="Arial"/>
        </w:rPr>
        <w:t xml:space="preserve"> (Accessed 20 October 2026).</w:t>
      </w:r>
    </w:p>
    <w:p w14:paraId="7CE680D5" w14:textId="77777777" w:rsidR="00E15E0B" w:rsidRPr="002E72AC" w:rsidRDefault="00E15E0B">
      <w:pPr>
        <w:pStyle w:val="p1"/>
        <w:rPr>
          <w:rFonts w:ascii="Arial" w:hAnsi="Arial" w:cs="Arial"/>
        </w:rPr>
      </w:pPr>
      <w:r w:rsidRPr="002E72AC">
        <w:rPr>
          <w:rStyle w:val="s1"/>
          <w:rFonts w:ascii="Arial" w:hAnsi="Arial" w:cs="Arial"/>
        </w:rPr>
        <w:t xml:space="preserve">Social Care Wales (n.d.a). Pointers for practice. Seven golden rules for information sharing. Wales Safeguarding Procedures. Available at </w:t>
      </w:r>
      <w:hyperlink r:id="rId12" w:history="1">
        <w:r w:rsidRPr="002E72AC">
          <w:rPr>
            <w:rStyle w:val="s2"/>
            <w:rFonts w:ascii="Arial" w:hAnsi="Arial" w:cs="Arial"/>
            <w:color w:val="0000FF"/>
            <w:u w:val="single"/>
          </w:rPr>
          <w:t>https://safeguarding.wales/en/chi-i/chi-i-cp/c3p-p5/</w:t>
        </w:r>
      </w:hyperlink>
      <w:r w:rsidRPr="002E72AC">
        <w:rPr>
          <w:rStyle w:val="s1"/>
          <w:rFonts w:ascii="Arial" w:hAnsi="Arial" w:cs="Arial"/>
        </w:rPr>
        <w:t xml:space="preserve"> (Accessed 20 October 2026).</w:t>
      </w:r>
    </w:p>
    <w:p w14:paraId="31E964D7" w14:textId="77777777" w:rsidR="00E15E0B" w:rsidRPr="002E72AC" w:rsidRDefault="00E15E0B">
      <w:pPr>
        <w:pStyle w:val="p1"/>
        <w:rPr>
          <w:rFonts w:ascii="Arial" w:hAnsi="Arial" w:cs="Arial"/>
        </w:rPr>
      </w:pPr>
      <w:r w:rsidRPr="002E72AC">
        <w:rPr>
          <w:rStyle w:val="s1"/>
          <w:rFonts w:ascii="Arial" w:hAnsi="Arial" w:cs="Arial"/>
        </w:rPr>
        <w:t xml:space="preserve">Social Care Wales (n.d.b). Reporting concerns about a child at risk of abuse, neglect and/or harm. Wales Safeguarding Procedures. Available at </w:t>
      </w:r>
      <w:hyperlink r:id="rId13" w:history="1">
        <w:r w:rsidRPr="002E72AC">
          <w:rPr>
            <w:rStyle w:val="s2"/>
            <w:rFonts w:ascii="Arial" w:hAnsi="Arial" w:cs="Arial"/>
            <w:color w:val="0000FF"/>
            <w:u w:val="single"/>
          </w:rPr>
          <w:t>https://safeguarding.wales/en/chi-i/chi-i-c2/c2-p6/</w:t>
        </w:r>
      </w:hyperlink>
      <w:r w:rsidRPr="002E72AC">
        <w:rPr>
          <w:rStyle w:val="s1"/>
          <w:rFonts w:ascii="Arial" w:hAnsi="Arial" w:cs="Arial"/>
        </w:rPr>
        <w:t xml:space="preserve"> (Accessed 21 October 2026).</w:t>
      </w:r>
    </w:p>
    <w:p w14:paraId="61CE5083" w14:textId="77777777" w:rsidR="00E15E0B" w:rsidRPr="002E72AC" w:rsidRDefault="00E15E0B">
      <w:pPr>
        <w:pStyle w:val="p1"/>
        <w:rPr>
          <w:rFonts w:ascii="Arial" w:hAnsi="Arial" w:cs="Arial"/>
        </w:rPr>
      </w:pPr>
      <w:r w:rsidRPr="002E72AC">
        <w:rPr>
          <w:rStyle w:val="s1"/>
          <w:rFonts w:ascii="Arial" w:hAnsi="Arial" w:cs="Arial"/>
        </w:rPr>
        <w:t xml:space="preserve">Social Care Wales (n.d.c). What to do following a child ‘telling’ about abuse or neglect. Wales Safeguarding Procedures. Available at </w:t>
      </w:r>
      <w:hyperlink r:id="rId14" w:history="1">
        <w:r w:rsidRPr="002E72AC">
          <w:rPr>
            <w:rStyle w:val="s2"/>
            <w:rFonts w:ascii="Arial" w:hAnsi="Arial" w:cs="Arial"/>
            <w:color w:val="0000FF"/>
            <w:u w:val="single"/>
          </w:rPr>
          <w:t>https://www.safeguarding.wales/en/chi-i/chi-i-c2/c2-p12/</w:t>
        </w:r>
      </w:hyperlink>
      <w:r w:rsidRPr="002E72AC">
        <w:rPr>
          <w:rStyle w:val="s1"/>
          <w:rFonts w:ascii="Arial" w:hAnsi="Arial" w:cs="Arial"/>
        </w:rPr>
        <w:t xml:space="preserve"> (Accessed 21 October 2026).</w:t>
      </w:r>
    </w:p>
    <w:p w14:paraId="42F3AB93" w14:textId="77777777" w:rsidR="00E15E0B" w:rsidRPr="002E72AC" w:rsidRDefault="00E15E0B">
      <w:pPr>
        <w:pStyle w:val="p1"/>
        <w:rPr>
          <w:rFonts w:ascii="Arial" w:hAnsi="Arial" w:cs="Arial"/>
        </w:rPr>
      </w:pPr>
      <w:r w:rsidRPr="002E72AC">
        <w:rPr>
          <w:rStyle w:val="s1"/>
          <w:rFonts w:ascii="Arial" w:hAnsi="Arial" w:cs="Arial"/>
        </w:rPr>
        <w:lastRenderedPageBreak/>
        <w:t xml:space="preserve">Social Care Wales (n.d.d). What to do if a child tells you that they or another child is or has been harmed. Wales Safeguarding Procedures. Available at </w:t>
      </w:r>
      <w:hyperlink r:id="rId15" w:history="1">
        <w:r w:rsidRPr="002E72AC">
          <w:rPr>
            <w:rStyle w:val="s2"/>
            <w:rFonts w:ascii="Arial" w:hAnsi="Arial" w:cs="Arial"/>
            <w:color w:val="0000FF"/>
            <w:u w:val="single"/>
          </w:rPr>
          <w:t>https://www.safeguarding.wales/en/chi-i/chi-i-c2/c2-p11/</w:t>
        </w:r>
      </w:hyperlink>
      <w:r w:rsidRPr="002E72AC">
        <w:rPr>
          <w:rStyle w:val="s1"/>
          <w:rFonts w:ascii="Arial" w:hAnsi="Arial" w:cs="Arial"/>
        </w:rPr>
        <w:t xml:space="preserve"> (Accessed 22 October 2026).</w:t>
      </w:r>
    </w:p>
    <w:p w14:paraId="1909F528" w14:textId="77777777" w:rsidR="00E15E0B" w:rsidRPr="002E72AC" w:rsidRDefault="00E15E0B">
      <w:pPr>
        <w:pStyle w:val="p1"/>
        <w:rPr>
          <w:rFonts w:ascii="Arial" w:hAnsi="Arial" w:cs="Arial"/>
        </w:rPr>
      </w:pPr>
      <w:r w:rsidRPr="002E72AC">
        <w:rPr>
          <w:rStyle w:val="s1"/>
          <w:rFonts w:ascii="Arial" w:hAnsi="Arial" w:cs="Arial"/>
        </w:rPr>
        <w:t xml:space="preserve">Taylor, C., Rhys, M., Waldron, S., Davies, R., Power, S., Maynard, T., Moore, L., Blackaby, D. and Plewis, I. (2015). Evaluating the Foundation Phase. Final report. Social Research 25/2015. Welsh Government. Available at </w:t>
      </w:r>
      <w:hyperlink r:id="rId16" w:history="1">
        <w:r w:rsidRPr="002E72AC">
          <w:rPr>
            <w:rStyle w:val="s2"/>
            <w:rFonts w:ascii="Arial" w:hAnsi="Arial" w:cs="Arial"/>
            <w:color w:val="0000FF"/>
            <w:u w:val="single"/>
          </w:rPr>
          <w:t>https://www.gov.wales/evaluating-foundation-phase-final-report</w:t>
        </w:r>
      </w:hyperlink>
      <w:r w:rsidRPr="002E72AC">
        <w:rPr>
          <w:rStyle w:val="s1"/>
          <w:rFonts w:ascii="Arial" w:hAnsi="Arial" w:cs="Arial"/>
        </w:rPr>
        <w:t xml:space="preserve"> (Accessed 22 October 2026).</w:t>
      </w:r>
    </w:p>
    <w:p w14:paraId="2E0EAF56" w14:textId="77777777" w:rsidR="00E15E0B" w:rsidRPr="002E72AC" w:rsidRDefault="00E15E0B">
      <w:pPr>
        <w:pStyle w:val="p1"/>
        <w:rPr>
          <w:rFonts w:ascii="Arial" w:hAnsi="Arial" w:cs="Arial"/>
        </w:rPr>
      </w:pPr>
      <w:r w:rsidRPr="002E72AC">
        <w:rPr>
          <w:rStyle w:val="s1"/>
          <w:rFonts w:ascii="Arial" w:hAnsi="Arial" w:cs="Arial"/>
        </w:rPr>
        <w:t xml:space="preserve">Waldron, S., Rhys, M. and Taylor, C. (2014a). Evaluating the Foundation Phase. Key findings on child involvement and wellbeing. Social Research Summary 44/2014. Welsh Government. Available at </w:t>
      </w:r>
      <w:hyperlink r:id="rId17" w:history="1">
        <w:r w:rsidRPr="002E72AC">
          <w:rPr>
            <w:rStyle w:val="s2"/>
            <w:rFonts w:ascii="Arial" w:hAnsi="Arial" w:cs="Arial"/>
            <w:color w:val="0000FF"/>
            <w:u w:val="single"/>
          </w:rPr>
          <w:t>https://www.gov.wales/evaluating-foundation-phase-child-involvement-and-well-being</w:t>
        </w:r>
      </w:hyperlink>
      <w:r w:rsidRPr="002E72AC">
        <w:rPr>
          <w:rStyle w:val="s1"/>
          <w:rFonts w:ascii="Arial" w:hAnsi="Arial" w:cs="Arial"/>
        </w:rPr>
        <w:t xml:space="preserve"> (Accessed 23 October 2026).</w:t>
      </w:r>
    </w:p>
    <w:p w14:paraId="04694BBD" w14:textId="77777777" w:rsidR="00E15E0B" w:rsidRPr="002E72AC" w:rsidRDefault="00E15E0B">
      <w:pPr>
        <w:pStyle w:val="p1"/>
        <w:rPr>
          <w:rFonts w:ascii="Arial" w:hAnsi="Arial" w:cs="Arial"/>
        </w:rPr>
      </w:pPr>
      <w:r w:rsidRPr="002E72AC">
        <w:rPr>
          <w:rStyle w:val="s1"/>
          <w:rFonts w:ascii="Arial" w:hAnsi="Arial" w:cs="Arial"/>
        </w:rPr>
        <w:t xml:space="preserve">Waldron, S., Rhys, M. and Taylor, C. (2014b). Evaluating the Foundation Phase. Key findings on transitions and assessment. Social Research Summary 74/2014. Welsh Government. Available at </w:t>
      </w:r>
      <w:hyperlink r:id="rId18" w:history="1">
        <w:r w:rsidRPr="002E72AC">
          <w:rPr>
            <w:rStyle w:val="s2"/>
            <w:rFonts w:ascii="Arial" w:hAnsi="Arial" w:cs="Arial"/>
            <w:color w:val="0000FF"/>
            <w:u w:val="single"/>
          </w:rPr>
          <w:t>https://www.gov.wales/evaluating-foundation-phase-transitions-and-assessment</w:t>
        </w:r>
      </w:hyperlink>
      <w:r w:rsidRPr="002E72AC">
        <w:rPr>
          <w:rStyle w:val="s1"/>
          <w:rFonts w:ascii="Arial" w:hAnsi="Arial" w:cs="Arial"/>
        </w:rPr>
        <w:t xml:space="preserve"> (Accessed 23 October 2026).</w:t>
      </w:r>
    </w:p>
    <w:p w14:paraId="568B4ECD" w14:textId="77777777" w:rsidR="00E15E0B" w:rsidRPr="002E72AC" w:rsidRDefault="00E15E0B">
      <w:pPr>
        <w:pStyle w:val="p1"/>
        <w:rPr>
          <w:rFonts w:ascii="Arial" w:hAnsi="Arial" w:cs="Arial"/>
        </w:rPr>
      </w:pPr>
      <w:r w:rsidRPr="002E72AC">
        <w:rPr>
          <w:rStyle w:val="s1"/>
          <w:rFonts w:ascii="Arial" w:hAnsi="Arial" w:cs="Arial"/>
        </w:rPr>
        <w:t xml:space="preserve">Welsh Government (2015). Person centred practice in education. A guide for early years, schools and colleges in Wales. Available at </w:t>
      </w:r>
      <w:hyperlink r:id="rId19" w:history="1">
        <w:r w:rsidRPr="002E72AC">
          <w:rPr>
            <w:rStyle w:val="s2"/>
            <w:rFonts w:ascii="Arial" w:hAnsi="Arial" w:cs="Arial"/>
            <w:color w:val="0000FF"/>
            <w:u w:val="single"/>
          </w:rPr>
          <w:t>https://www.gov.wales/person-centred-practice-education</w:t>
        </w:r>
      </w:hyperlink>
      <w:r w:rsidRPr="002E72AC">
        <w:rPr>
          <w:rStyle w:val="s1"/>
          <w:rFonts w:ascii="Arial" w:hAnsi="Arial" w:cs="Arial"/>
        </w:rPr>
        <w:t xml:space="preserve"> (Accessed 23 October 2026).</w:t>
      </w:r>
    </w:p>
    <w:p w14:paraId="395AF0B4" w14:textId="77777777" w:rsidR="00E15E0B" w:rsidRPr="002E72AC" w:rsidRDefault="00E15E0B">
      <w:pPr>
        <w:pStyle w:val="p1"/>
        <w:rPr>
          <w:rFonts w:ascii="Arial" w:hAnsi="Arial" w:cs="Arial"/>
        </w:rPr>
      </w:pPr>
      <w:r w:rsidRPr="002E72AC">
        <w:rPr>
          <w:rStyle w:val="s1"/>
          <w:rFonts w:ascii="Arial" w:hAnsi="Arial" w:cs="Arial"/>
        </w:rPr>
        <w:t xml:space="preserve">Welsh Government (2020). Talk With Me. Speech, language and communication (SLC) delivery plan. Available at </w:t>
      </w:r>
      <w:hyperlink r:id="rId20" w:history="1">
        <w:r w:rsidRPr="002E72AC">
          <w:rPr>
            <w:rStyle w:val="s2"/>
            <w:rFonts w:ascii="Arial" w:hAnsi="Arial" w:cs="Arial"/>
            <w:color w:val="0000FF"/>
            <w:u w:val="single"/>
          </w:rPr>
          <w:t>https://www.gov.wales/talk-me-speech-language-and-communication-slc-delivery-plan</w:t>
        </w:r>
      </w:hyperlink>
      <w:r w:rsidRPr="002E72AC">
        <w:rPr>
          <w:rStyle w:val="s1"/>
          <w:rFonts w:ascii="Arial" w:hAnsi="Arial" w:cs="Arial"/>
        </w:rPr>
        <w:t xml:space="preserve"> (Accessed 24 October 2026).</w:t>
      </w:r>
    </w:p>
    <w:p w14:paraId="70D1083F" w14:textId="77777777" w:rsidR="00E15E0B" w:rsidRPr="002E72AC" w:rsidRDefault="00E15E0B">
      <w:pPr>
        <w:pStyle w:val="p1"/>
        <w:rPr>
          <w:rFonts w:ascii="Arial" w:hAnsi="Arial" w:cs="Arial"/>
        </w:rPr>
      </w:pPr>
      <w:r w:rsidRPr="002E72AC">
        <w:rPr>
          <w:rStyle w:val="s1"/>
          <w:rFonts w:ascii="Arial" w:hAnsi="Arial" w:cs="Arial"/>
        </w:rPr>
        <w:t xml:space="preserve">Welsh Government (2021). The Additional Learning Needs Code for Wales 2021. Available at </w:t>
      </w:r>
      <w:hyperlink r:id="rId21" w:history="1">
        <w:r w:rsidRPr="002E72AC">
          <w:rPr>
            <w:rStyle w:val="s2"/>
            <w:rFonts w:ascii="Arial" w:hAnsi="Arial" w:cs="Arial"/>
            <w:color w:val="0000FF"/>
            <w:u w:val="single"/>
          </w:rPr>
          <w:t>https://www.gov.wales/additional-learning-needs-code</w:t>
        </w:r>
      </w:hyperlink>
      <w:r w:rsidRPr="002E72AC">
        <w:rPr>
          <w:rStyle w:val="s1"/>
          <w:rFonts w:ascii="Arial" w:hAnsi="Arial" w:cs="Arial"/>
        </w:rPr>
        <w:t xml:space="preserve"> (Accessed 24 October 2026).</w:t>
      </w:r>
    </w:p>
    <w:p w14:paraId="1E365771" w14:textId="77777777" w:rsidR="00E15E0B" w:rsidRPr="002E72AC" w:rsidRDefault="00E15E0B">
      <w:pPr>
        <w:pStyle w:val="p2"/>
        <w:rPr>
          <w:rFonts w:ascii="Arial" w:hAnsi="Arial" w:cs="Arial"/>
        </w:rPr>
      </w:pPr>
      <w:r w:rsidRPr="002E72AC">
        <w:rPr>
          <w:rStyle w:val="s1"/>
          <w:rFonts w:ascii="Arial" w:hAnsi="Arial" w:cs="Arial"/>
        </w:rPr>
        <w:t xml:space="preserve">Welsh Government (2023). Enabling learning. Hwb. Available at </w:t>
      </w:r>
      <w:hyperlink r:id="rId22" w:history="1">
        <w:r w:rsidRPr="002E72AC">
          <w:rPr>
            <w:rStyle w:val="s2"/>
            <w:rFonts w:ascii="Arial" w:hAnsi="Arial" w:cs="Arial"/>
            <w:color w:val="0000FF"/>
            <w:u w:val="single"/>
          </w:rPr>
          <w:t>https://hwb.gov.wales/curriculum-for-wales/designing-your-curriculum/enabling-learning</w:t>
        </w:r>
      </w:hyperlink>
      <w:r w:rsidRPr="002E72AC">
        <w:rPr>
          <w:rStyle w:val="s1"/>
          <w:rFonts w:ascii="Arial" w:hAnsi="Arial" w:cs="Arial"/>
        </w:rPr>
        <w:t xml:space="preserve"> (Accessed 24 October 2026).</w:t>
      </w:r>
    </w:p>
    <w:p w14:paraId="23983BDD" w14:textId="77777777" w:rsidR="004458C4" w:rsidRPr="002E72AC" w:rsidRDefault="004458C4">
      <w:pPr>
        <w:rPr>
          <w:rFonts w:ascii="Arial" w:hAnsi="Arial" w:cs="Arial"/>
        </w:rPr>
      </w:pPr>
    </w:p>
    <w:sectPr w:rsidR="004458C4" w:rsidRPr="002E7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3485DB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6287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188"/>
    <w:rsid w:val="0001056C"/>
    <w:rsid w:val="00030CD8"/>
    <w:rsid w:val="0008442C"/>
    <w:rsid w:val="00096D31"/>
    <w:rsid w:val="000B1DEC"/>
    <w:rsid w:val="000B21E1"/>
    <w:rsid w:val="000F3677"/>
    <w:rsid w:val="00107FF2"/>
    <w:rsid w:val="0012666B"/>
    <w:rsid w:val="00145F66"/>
    <w:rsid w:val="001E221F"/>
    <w:rsid w:val="001E3752"/>
    <w:rsid w:val="00213DA0"/>
    <w:rsid w:val="00221C0D"/>
    <w:rsid w:val="002645DB"/>
    <w:rsid w:val="002856DE"/>
    <w:rsid w:val="00285B9F"/>
    <w:rsid w:val="002E72AC"/>
    <w:rsid w:val="002F1471"/>
    <w:rsid w:val="002F6E77"/>
    <w:rsid w:val="00322ABC"/>
    <w:rsid w:val="00344C67"/>
    <w:rsid w:val="00386A46"/>
    <w:rsid w:val="003E089D"/>
    <w:rsid w:val="004234AF"/>
    <w:rsid w:val="004458C4"/>
    <w:rsid w:val="00490263"/>
    <w:rsid w:val="00532C33"/>
    <w:rsid w:val="00577F8C"/>
    <w:rsid w:val="005B6814"/>
    <w:rsid w:val="005D3EA8"/>
    <w:rsid w:val="005E1D86"/>
    <w:rsid w:val="0062439E"/>
    <w:rsid w:val="00645E48"/>
    <w:rsid w:val="0065433C"/>
    <w:rsid w:val="00661C72"/>
    <w:rsid w:val="00672292"/>
    <w:rsid w:val="006A1839"/>
    <w:rsid w:val="006A4C4B"/>
    <w:rsid w:val="006B6E55"/>
    <w:rsid w:val="007130BF"/>
    <w:rsid w:val="0073050D"/>
    <w:rsid w:val="00753E52"/>
    <w:rsid w:val="007912CE"/>
    <w:rsid w:val="007B6727"/>
    <w:rsid w:val="008044FC"/>
    <w:rsid w:val="00863188"/>
    <w:rsid w:val="008E0CE2"/>
    <w:rsid w:val="008E11EC"/>
    <w:rsid w:val="00910EF8"/>
    <w:rsid w:val="0091215D"/>
    <w:rsid w:val="00945E72"/>
    <w:rsid w:val="00971567"/>
    <w:rsid w:val="00980F36"/>
    <w:rsid w:val="00A03D08"/>
    <w:rsid w:val="00A07BDF"/>
    <w:rsid w:val="00A22C64"/>
    <w:rsid w:val="00A45788"/>
    <w:rsid w:val="00B83886"/>
    <w:rsid w:val="00BB1E57"/>
    <w:rsid w:val="00BC61F6"/>
    <w:rsid w:val="00C0170A"/>
    <w:rsid w:val="00C14DF0"/>
    <w:rsid w:val="00C76C8D"/>
    <w:rsid w:val="00C946A6"/>
    <w:rsid w:val="00CB4057"/>
    <w:rsid w:val="00E1190F"/>
    <w:rsid w:val="00E15E0B"/>
    <w:rsid w:val="00E621BB"/>
    <w:rsid w:val="00E64819"/>
    <w:rsid w:val="00E7628B"/>
    <w:rsid w:val="00EB615F"/>
    <w:rsid w:val="00ED47CA"/>
    <w:rsid w:val="00EE311A"/>
    <w:rsid w:val="00EF7CF6"/>
    <w:rsid w:val="00F0326E"/>
    <w:rsid w:val="00F11487"/>
    <w:rsid w:val="00F60137"/>
    <w:rsid w:val="00F970E6"/>
    <w:rsid w:val="00FD4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38C150"/>
  <w15:chartTrackingRefBased/>
  <w15:docId w15:val="{11E284D4-07B6-C94C-A9B0-53726CC47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3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188"/>
    <w:rPr>
      <w:rFonts w:eastAsiaTheme="majorEastAsia" w:cstheme="majorBidi"/>
      <w:color w:val="272727" w:themeColor="text1" w:themeTint="D8"/>
    </w:rPr>
  </w:style>
  <w:style w:type="paragraph" w:styleId="Title">
    <w:name w:val="Title"/>
    <w:basedOn w:val="Normal"/>
    <w:next w:val="Normal"/>
    <w:link w:val="TitleChar"/>
    <w:uiPriority w:val="10"/>
    <w:qFormat/>
    <w:rsid w:val="00863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188"/>
    <w:pPr>
      <w:spacing w:before="160"/>
      <w:jc w:val="center"/>
    </w:pPr>
    <w:rPr>
      <w:i/>
      <w:iCs/>
      <w:color w:val="404040" w:themeColor="text1" w:themeTint="BF"/>
    </w:rPr>
  </w:style>
  <w:style w:type="character" w:customStyle="1" w:styleId="QuoteChar">
    <w:name w:val="Quote Char"/>
    <w:basedOn w:val="DefaultParagraphFont"/>
    <w:link w:val="Quote"/>
    <w:uiPriority w:val="29"/>
    <w:rsid w:val="00863188"/>
    <w:rPr>
      <w:i/>
      <w:iCs/>
      <w:color w:val="404040" w:themeColor="text1" w:themeTint="BF"/>
    </w:rPr>
  </w:style>
  <w:style w:type="paragraph" w:styleId="ListParagraph">
    <w:name w:val="List Paragraph"/>
    <w:basedOn w:val="Normal"/>
    <w:uiPriority w:val="34"/>
    <w:qFormat/>
    <w:rsid w:val="00863188"/>
    <w:pPr>
      <w:ind w:left="720"/>
      <w:contextualSpacing/>
    </w:pPr>
  </w:style>
  <w:style w:type="character" w:styleId="IntenseEmphasis">
    <w:name w:val="Intense Emphasis"/>
    <w:basedOn w:val="DefaultParagraphFont"/>
    <w:uiPriority w:val="21"/>
    <w:qFormat/>
    <w:rsid w:val="00863188"/>
    <w:rPr>
      <w:i/>
      <w:iCs/>
      <w:color w:val="0F4761" w:themeColor="accent1" w:themeShade="BF"/>
    </w:rPr>
  </w:style>
  <w:style w:type="paragraph" w:styleId="IntenseQuote">
    <w:name w:val="Intense Quote"/>
    <w:basedOn w:val="Normal"/>
    <w:next w:val="Normal"/>
    <w:link w:val="IntenseQuoteChar"/>
    <w:uiPriority w:val="30"/>
    <w:qFormat/>
    <w:rsid w:val="00863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188"/>
    <w:rPr>
      <w:i/>
      <w:iCs/>
      <w:color w:val="0F4761" w:themeColor="accent1" w:themeShade="BF"/>
    </w:rPr>
  </w:style>
  <w:style w:type="character" w:styleId="IntenseReference">
    <w:name w:val="Intense Reference"/>
    <w:basedOn w:val="DefaultParagraphFont"/>
    <w:uiPriority w:val="32"/>
    <w:qFormat/>
    <w:rsid w:val="00863188"/>
    <w:rPr>
      <w:b/>
      <w:bCs/>
      <w:smallCaps/>
      <w:color w:val="0F4761" w:themeColor="accent1" w:themeShade="BF"/>
      <w:spacing w:val="5"/>
    </w:rPr>
  </w:style>
  <w:style w:type="paragraph" w:customStyle="1" w:styleId="s3">
    <w:name w:val="s3"/>
    <w:basedOn w:val="Normal"/>
    <w:rsid w:val="0086318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63188"/>
  </w:style>
  <w:style w:type="paragraph" w:customStyle="1" w:styleId="s5">
    <w:name w:val="s5"/>
    <w:basedOn w:val="Normal"/>
    <w:rsid w:val="00863188"/>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863188"/>
  </w:style>
  <w:style w:type="character" w:customStyle="1" w:styleId="bumpedfont17">
    <w:name w:val="bumpedfont17"/>
    <w:basedOn w:val="DefaultParagraphFont"/>
    <w:rsid w:val="00863188"/>
  </w:style>
  <w:style w:type="paragraph" w:customStyle="1" w:styleId="s7">
    <w:name w:val="s7"/>
    <w:basedOn w:val="Normal"/>
    <w:rsid w:val="00863188"/>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863188"/>
  </w:style>
  <w:style w:type="paragraph" w:customStyle="1" w:styleId="p1">
    <w:name w:val="p1"/>
    <w:basedOn w:val="Normal"/>
    <w:rsid w:val="004458C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458C4"/>
  </w:style>
  <w:style w:type="paragraph" w:customStyle="1" w:styleId="p2">
    <w:name w:val="p2"/>
    <w:basedOn w:val="Normal"/>
    <w:rsid w:val="004458C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45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wc.wales/site/index.php/en/fitness-to-practise/good-practice-guides/good-practice-guide-maintaining-professional-boundaries-with-learners-and-young-people" TargetMode="External"/><Relationship Id="rId13" Type="http://schemas.openxmlformats.org/officeDocument/2006/relationships/hyperlink" Target="https://safeguarding.wales/en/chi-i/chi-i-c2/c2-p6/" TargetMode="External"/><Relationship Id="rId18" Type="http://schemas.openxmlformats.org/officeDocument/2006/relationships/hyperlink" Target="https://www.gov.wales/evaluating-foundation-phase-transitions-and-assessment" TargetMode="External"/><Relationship Id="rId3" Type="http://schemas.openxmlformats.org/officeDocument/2006/relationships/settings" Target="settings.xml"/><Relationship Id="rId21" Type="http://schemas.openxmlformats.org/officeDocument/2006/relationships/hyperlink" Target="https://www.gov.wales/additional-learning-needs-code" TargetMode="External"/><Relationship Id="rId7" Type="http://schemas.openxmlformats.org/officeDocument/2006/relationships/hyperlink" Target="https://ewc.wales/site/index.php/en/fitness-to-practise/code-of-professional-conduct-and-practice/the-code" TargetMode="External"/><Relationship Id="rId12" Type="http://schemas.openxmlformats.org/officeDocument/2006/relationships/hyperlink" Target="https://safeguarding.wales/en/chi-i/chi-i-cp/c3p-p5/" TargetMode="External"/><Relationship Id="rId17" Type="http://schemas.openxmlformats.org/officeDocument/2006/relationships/hyperlink" Target="https://www.gov.wales/evaluating-foundation-phase-child-involvement-and-well-being" TargetMode="External"/><Relationship Id="rId2" Type="http://schemas.openxmlformats.org/officeDocument/2006/relationships/styles" Target="styles.xml"/><Relationship Id="rId16" Type="http://schemas.openxmlformats.org/officeDocument/2006/relationships/hyperlink" Target="https://www.gov.wales/evaluating-foundation-phase-final-report" TargetMode="External"/><Relationship Id="rId20" Type="http://schemas.openxmlformats.org/officeDocument/2006/relationships/hyperlink" Target="https://www.gov.wales/talk-me-speech-language-and-communication-slc-delivery-plan" TargetMode="External"/><Relationship Id="rId1" Type="http://schemas.openxmlformats.org/officeDocument/2006/relationships/numbering" Target="numbering.xml"/><Relationship Id="rId6" Type="http://schemas.openxmlformats.org/officeDocument/2006/relationships/hyperlink" Target="https://www.childcomwales.org.uk/resources/the-right-way-a-childrens-rights-approach/a-childrens-rights-approach-to-education-in-wales/" TargetMode="External"/><Relationship Id="rId11" Type="http://schemas.openxmlformats.org/officeDocument/2006/relationships/hyperlink" Target="https://play.wales/playwork/the-playwork-principles/"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safeguarding.wales/en/chi-i/chi-i-c2/c2-p11/" TargetMode="External"/><Relationship Id="rId23" Type="http://schemas.openxmlformats.org/officeDocument/2006/relationships/fontTable" Target="fontTable.xml"/><Relationship Id="rId10" Type="http://schemas.openxmlformats.org/officeDocument/2006/relationships/hyperlink" Target="https://www.gov.wales/written-statement-publication-quality-framework-early-childhood-play-learning-and-care-wales-and" TargetMode="External"/><Relationship Id="rId19" Type="http://schemas.openxmlformats.org/officeDocument/2006/relationships/hyperlink" Target="https://www.gov.wales/person-centred-practice-education" TargetMode="External"/><Relationship Id="rId4" Type="http://schemas.openxmlformats.org/officeDocument/2006/relationships/webSettings" Target="webSettings.xml"/><Relationship Id="rId9" Type="http://schemas.openxmlformats.org/officeDocument/2006/relationships/hyperlink" Target="https://estyn.gov.wales/news/schools-must-prioritise-high-quality-teaching-to-realise-curriculum-for-wales-aims/" TargetMode="External"/><Relationship Id="rId14" Type="http://schemas.openxmlformats.org/officeDocument/2006/relationships/hyperlink" Target="https://www.safeguarding.wales/en/chi-i/chi-i-c2/c2-p12/" TargetMode="External"/><Relationship Id="rId22" Type="http://schemas.openxmlformats.org/officeDocument/2006/relationships/hyperlink" Target="https://hwb.gov.wales/curriculum-for-wales/designing-your-curriculum/enabling-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3471</Words>
  <Characters>19788</Characters>
  <Application>Microsoft Office Word</Application>
  <DocSecurity>0</DocSecurity>
  <Lines>164</Lines>
  <Paragraphs>46</Paragraphs>
  <ScaleCrop>false</ScaleCrop>
  <Company/>
  <LinksUpToDate>false</LinksUpToDate>
  <CharactersWithSpaces>23213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Ellery</dc:creator>
  <cp:keywords/>
  <dc:description/>
  <cp:lastModifiedBy>Josh Ellery</cp:lastModifiedBy>
  <cp:revision>2</cp:revision>
  <dcterms:created xsi:type="dcterms:W3CDTF">2026-10-25T16:08:00Z</dcterms:created>
  <dcterms:modified xsi:type="dcterms:W3CDTF">2026-10-25T16:08:00Z</dcterms:modified>
</cp:coreProperties>
</file>