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8F4499" w14:textId="77777777" w:rsidR="00431098" w:rsidRDefault="00431098" w:rsidP="00431098">
      <w:pPr>
        <w:spacing w:line="360" w:lineRule="auto"/>
        <w:jc w:val="center"/>
        <w:rPr>
          <w:rFonts w:ascii="Arial" w:hAnsi="Arial" w:cs="Arial"/>
          <w:b/>
          <w:bCs/>
          <w:sz w:val="22"/>
          <w:szCs w:val="22"/>
        </w:rPr>
      </w:pPr>
    </w:p>
    <w:p w14:paraId="7650C4A7" w14:textId="77777777" w:rsidR="00431098" w:rsidRDefault="00431098" w:rsidP="00431098">
      <w:pPr>
        <w:spacing w:line="360" w:lineRule="auto"/>
        <w:jc w:val="center"/>
        <w:rPr>
          <w:rFonts w:ascii="Arial" w:hAnsi="Arial" w:cs="Arial"/>
          <w:b/>
          <w:bCs/>
          <w:sz w:val="22"/>
          <w:szCs w:val="22"/>
        </w:rPr>
      </w:pPr>
    </w:p>
    <w:p w14:paraId="5CF5264B" w14:textId="77777777" w:rsidR="00431098" w:rsidRDefault="00431098" w:rsidP="00431098">
      <w:pPr>
        <w:spacing w:line="360" w:lineRule="auto"/>
        <w:jc w:val="center"/>
        <w:rPr>
          <w:rFonts w:ascii="Arial" w:hAnsi="Arial" w:cs="Arial"/>
          <w:b/>
          <w:bCs/>
          <w:sz w:val="22"/>
          <w:szCs w:val="22"/>
        </w:rPr>
      </w:pPr>
    </w:p>
    <w:p w14:paraId="5DE7FEF1" w14:textId="77777777" w:rsidR="00431098" w:rsidRDefault="00431098" w:rsidP="00431098">
      <w:pPr>
        <w:spacing w:line="360" w:lineRule="auto"/>
        <w:jc w:val="center"/>
        <w:rPr>
          <w:rFonts w:ascii="Arial" w:hAnsi="Arial" w:cs="Arial"/>
          <w:b/>
          <w:bCs/>
          <w:sz w:val="22"/>
          <w:szCs w:val="22"/>
        </w:rPr>
      </w:pPr>
    </w:p>
    <w:p w14:paraId="463E7FDA" w14:textId="77777777" w:rsidR="00431098" w:rsidRDefault="00431098" w:rsidP="00431098">
      <w:pPr>
        <w:spacing w:line="360" w:lineRule="auto"/>
        <w:jc w:val="center"/>
        <w:rPr>
          <w:rFonts w:ascii="Arial" w:hAnsi="Arial" w:cs="Arial"/>
          <w:b/>
          <w:bCs/>
          <w:sz w:val="22"/>
          <w:szCs w:val="22"/>
        </w:rPr>
      </w:pPr>
    </w:p>
    <w:p w14:paraId="46C8A2D9" w14:textId="77777777" w:rsidR="00431098" w:rsidRDefault="00431098" w:rsidP="00431098">
      <w:pPr>
        <w:spacing w:line="360" w:lineRule="auto"/>
        <w:jc w:val="center"/>
        <w:rPr>
          <w:rFonts w:ascii="Arial" w:hAnsi="Arial" w:cs="Arial"/>
          <w:b/>
          <w:bCs/>
          <w:sz w:val="22"/>
          <w:szCs w:val="22"/>
        </w:rPr>
      </w:pPr>
    </w:p>
    <w:p w14:paraId="48DF02D6" w14:textId="77777777" w:rsidR="00431098" w:rsidRDefault="00431098" w:rsidP="00431098">
      <w:pPr>
        <w:spacing w:line="360" w:lineRule="auto"/>
        <w:jc w:val="center"/>
        <w:rPr>
          <w:rFonts w:ascii="Arial" w:hAnsi="Arial" w:cs="Arial"/>
          <w:b/>
          <w:bCs/>
          <w:sz w:val="22"/>
          <w:szCs w:val="22"/>
        </w:rPr>
      </w:pPr>
    </w:p>
    <w:p w14:paraId="2B3EE9AB" w14:textId="02626E21" w:rsidR="00431098" w:rsidRPr="00431098" w:rsidRDefault="00431098" w:rsidP="00431098">
      <w:pPr>
        <w:spacing w:line="360" w:lineRule="auto"/>
        <w:jc w:val="center"/>
        <w:rPr>
          <w:rFonts w:ascii="Arial" w:hAnsi="Arial" w:cs="Arial"/>
          <w:b/>
          <w:bCs/>
          <w:sz w:val="22"/>
          <w:szCs w:val="22"/>
        </w:rPr>
      </w:pPr>
      <w:r w:rsidRPr="00431098">
        <w:rPr>
          <w:rFonts w:ascii="Arial" w:hAnsi="Arial" w:cs="Arial"/>
          <w:b/>
          <w:bCs/>
          <w:sz w:val="22"/>
          <w:szCs w:val="22"/>
        </w:rPr>
        <w:t xml:space="preserve">Psychology in Health and Social Care    </w:t>
      </w:r>
    </w:p>
    <w:p w14:paraId="27970975" w14:textId="77777777" w:rsidR="00431098" w:rsidRPr="00431098" w:rsidRDefault="00431098" w:rsidP="00431098">
      <w:pPr>
        <w:spacing w:line="360" w:lineRule="auto"/>
        <w:jc w:val="center"/>
        <w:rPr>
          <w:rFonts w:ascii="Arial" w:hAnsi="Arial" w:cs="Arial"/>
          <w:b/>
          <w:bCs/>
          <w:sz w:val="22"/>
          <w:szCs w:val="22"/>
        </w:rPr>
      </w:pPr>
      <w:r w:rsidRPr="00431098">
        <w:rPr>
          <w:rFonts w:ascii="Arial" w:hAnsi="Arial" w:cs="Arial"/>
          <w:b/>
          <w:bCs/>
          <w:sz w:val="22"/>
          <w:szCs w:val="22"/>
        </w:rPr>
        <w:t xml:space="preserve">Module Number: LCHS4010    </w:t>
      </w:r>
    </w:p>
    <w:p w14:paraId="68529A27" w14:textId="77777777" w:rsidR="00431098" w:rsidRPr="00431098" w:rsidRDefault="00431098" w:rsidP="00431098">
      <w:pPr>
        <w:spacing w:line="360" w:lineRule="auto"/>
        <w:jc w:val="center"/>
        <w:rPr>
          <w:rFonts w:ascii="Arial" w:hAnsi="Arial" w:cs="Arial"/>
          <w:b/>
          <w:bCs/>
          <w:sz w:val="22"/>
          <w:szCs w:val="22"/>
        </w:rPr>
      </w:pPr>
      <w:r w:rsidRPr="00431098">
        <w:rPr>
          <w:rFonts w:ascii="Arial" w:hAnsi="Arial" w:cs="Arial"/>
          <w:b/>
          <w:bCs/>
          <w:sz w:val="22"/>
          <w:szCs w:val="22"/>
        </w:rPr>
        <w:t>Student Name: Robiul Alom Shahin</w:t>
      </w:r>
    </w:p>
    <w:p w14:paraId="43F0C367" w14:textId="77777777" w:rsidR="00431098" w:rsidRPr="00431098" w:rsidRDefault="00431098" w:rsidP="00431098">
      <w:pPr>
        <w:spacing w:line="360" w:lineRule="auto"/>
        <w:jc w:val="center"/>
        <w:rPr>
          <w:rFonts w:ascii="Arial" w:hAnsi="Arial" w:cs="Arial"/>
          <w:b/>
          <w:bCs/>
          <w:sz w:val="22"/>
          <w:szCs w:val="22"/>
        </w:rPr>
      </w:pPr>
      <w:r w:rsidRPr="00431098">
        <w:rPr>
          <w:rFonts w:ascii="Arial" w:hAnsi="Arial" w:cs="Arial"/>
          <w:b/>
          <w:bCs/>
          <w:sz w:val="22"/>
          <w:szCs w:val="22"/>
        </w:rPr>
        <w:t>Student ID: 2425096</w:t>
      </w:r>
    </w:p>
    <w:p w14:paraId="25169787" w14:textId="06851C37" w:rsidR="00431098" w:rsidRDefault="00431098" w:rsidP="00431098">
      <w:pPr>
        <w:spacing w:line="360" w:lineRule="auto"/>
        <w:jc w:val="center"/>
        <w:rPr>
          <w:rFonts w:ascii="Arial" w:hAnsi="Arial" w:cs="Arial"/>
          <w:b/>
          <w:bCs/>
          <w:sz w:val="22"/>
          <w:szCs w:val="22"/>
        </w:rPr>
      </w:pPr>
      <w:r w:rsidRPr="00431098">
        <w:rPr>
          <w:rFonts w:ascii="Arial" w:hAnsi="Arial" w:cs="Arial"/>
          <w:b/>
          <w:bCs/>
          <w:sz w:val="22"/>
          <w:szCs w:val="22"/>
        </w:rPr>
        <w:t>Lecturer’s Name: Farah Wiita</w:t>
      </w:r>
    </w:p>
    <w:p w14:paraId="50D06BE6" w14:textId="77777777" w:rsidR="00431098" w:rsidRDefault="00431098" w:rsidP="00431098">
      <w:pPr>
        <w:spacing w:line="360" w:lineRule="auto"/>
        <w:jc w:val="center"/>
        <w:rPr>
          <w:rFonts w:ascii="Arial" w:hAnsi="Arial" w:cs="Arial"/>
          <w:b/>
          <w:bCs/>
          <w:sz w:val="22"/>
          <w:szCs w:val="22"/>
        </w:rPr>
      </w:pPr>
    </w:p>
    <w:p w14:paraId="29CFDA89" w14:textId="77777777" w:rsidR="00431098" w:rsidRDefault="00431098" w:rsidP="00431098">
      <w:pPr>
        <w:spacing w:line="360" w:lineRule="auto"/>
        <w:jc w:val="center"/>
        <w:rPr>
          <w:rFonts w:ascii="Arial" w:hAnsi="Arial" w:cs="Arial"/>
          <w:b/>
          <w:bCs/>
          <w:sz w:val="22"/>
          <w:szCs w:val="22"/>
        </w:rPr>
      </w:pPr>
    </w:p>
    <w:p w14:paraId="57CBE4FB" w14:textId="77777777" w:rsidR="00431098" w:rsidRDefault="00431098" w:rsidP="00431098">
      <w:pPr>
        <w:spacing w:line="360" w:lineRule="auto"/>
        <w:jc w:val="center"/>
        <w:rPr>
          <w:rFonts w:ascii="Arial" w:hAnsi="Arial" w:cs="Arial"/>
          <w:b/>
          <w:bCs/>
          <w:sz w:val="22"/>
          <w:szCs w:val="22"/>
        </w:rPr>
      </w:pPr>
    </w:p>
    <w:p w14:paraId="103CCB67" w14:textId="77777777" w:rsidR="00431098" w:rsidRDefault="00431098" w:rsidP="00431098">
      <w:pPr>
        <w:spacing w:line="360" w:lineRule="auto"/>
        <w:jc w:val="center"/>
        <w:rPr>
          <w:rFonts w:ascii="Arial" w:hAnsi="Arial" w:cs="Arial"/>
          <w:b/>
          <w:bCs/>
          <w:sz w:val="22"/>
          <w:szCs w:val="22"/>
        </w:rPr>
      </w:pPr>
    </w:p>
    <w:p w14:paraId="3772A6D9" w14:textId="77777777" w:rsidR="00431098" w:rsidRDefault="00431098" w:rsidP="00431098">
      <w:pPr>
        <w:spacing w:line="360" w:lineRule="auto"/>
        <w:jc w:val="center"/>
        <w:rPr>
          <w:rFonts w:ascii="Arial" w:hAnsi="Arial" w:cs="Arial"/>
          <w:b/>
          <w:bCs/>
          <w:sz w:val="22"/>
          <w:szCs w:val="22"/>
        </w:rPr>
      </w:pPr>
    </w:p>
    <w:p w14:paraId="3CF1A220" w14:textId="77777777" w:rsidR="00431098" w:rsidRDefault="00431098" w:rsidP="00431098">
      <w:pPr>
        <w:spacing w:line="360" w:lineRule="auto"/>
        <w:jc w:val="center"/>
        <w:rPr>
          <w:rFonts w:ascii="Arial" w:hAnsi="Arial" w:cs="Arial"/>
          <w:b/>
          <w:bCs/>
          <w:sz w:val="22"/>
          <w:szCs w:val="22"/>
        </w:rPr>
      </w:pPr>
    </w:p>
    <w:p w14:paraId="28FC2510" w14:textId="77777777" w:rsidR="00431098" w:rsidRDefault="00431098" w:rsidP="00431098">
      <w:pPr>
        <w:spacing w:line="360" w:lineRule="auto"/>
        <w:jc w:val="center"/>
        <w:rPr>
          <w:rFonts w:ascii="Arial" w:hAnsi="Arial" w:cs="Arial"/>
          <w:b/>
          <w:bCs/>
          <w:sz w:val="22"/>
          <w:szCs w:val="22"/>
        </w:rPr>
      </w:pPr>
    </w:p>
    <w:p w14:paraId="20B8E658" w14:textId="77777777" w:rsidR="00431098" w:rsidRDefault="00431098" w:rsidP="00431098">
      <w:pPr>
        <w:spacing w:line="360" w:lineRule="auto"/>
        <w:jc w:val="center"/>
        <w:rPr>
          <w:rFonts w:ascii="Arial" w:hAnsi="Arial" w:cs="Arial"/>
          <w:b/>
          <w:bCs/>
          <w:sz w:val="22"/>
          <w:szCs w:val="22"/>
        </w:rPr>
      </w:pPr>
    </w:p>
    <w:p w14:paraId="1D733790" w14:textId="77777777" w:rsidR="00431098" w:rsidRDefault="00431098" w:rsidP="00431098">
      <w:pPr>
        <w:spacing w:line="360" w:lineRule="auto"/>
        <w:jc w:val="center"/>
        <w:rPr>
          <w:rFonts w:ascii="Arial" w:hAnsi="Arial" w:cs="Arial"/>
          <w:b/>
          <w:bCs/>
          <w:sz w:val="22"/>
          <w:szCs w:val="22"/>
        </w:rPr>
      </w:pPr>
    </w:p>
    <w:p w14:paraId="495BE176" w14:textId="77777777" w:rsidR="00431098" w:rsidRDefault="00431098" w:rsidP="00431098">
      <w:pPr>
        <w:spacing w:line="360" w:lineRule="auto"/>
        <w:jc w:val="center"/>
        <w:rPr>
          <w:rFonts w:ascii="Arial" w:hAnsi="Arial" w:cs="Arial"/>
          <w:b/>
          <w:bCs/>
          <w:sz w:val="22"/>
          <w:szCs w:val="22"/>
        </w:rPr>
      </w:pPr>
    </w:p>
    <w:p w14:paraId="4D50A42A" w14:textId="77777777" w:rsidR="00431098" w:rsidRDefault="00431098" w:rsidP="00431098">
      <w:pPr>
        <w:spacing w:line="360" w:lineRule="auto"/>
        <w:jc w:val="center"/>
        <w:rPr>
          <w:rFonts w:ascii="Arial" w:hAnsi="Arial" w:cs="Arial"/>
          <w:b/>
          <w:bCs/>
          <w:sz w:val="22"/>
          <w:szCs w:val="22"/>
        </w:rPr>
      </w:pPr>
    </w:p>
    <w:p w14:paraId="610D4F95" w14:textId="77777777" w:rsidR="00431098" w:rsidRDefault="00431098" w:rsidP="00431098">
      <w:pPr>
        <w:spacing w:line="360" w:lineRule="auto"/>
        <w:jc w:val="center"/>
        <w:rPr>
          <w:rFonts w:ascii="Arial" w:hAnsi="Arial" w:cs="Arial"/>
          <w:b/>
          <w:bCs/>
          <w:sz w:val="22"/>
          <w:szCs w:val="22"/>
        </w:rPr>
      </w:pPr>
    </w:p>
    <w:p w14:paraId="2808C3A1" w14:textId="77777777" w:rsidR="00431098" w:rsidRDefault="00431098" w:rsidP="00431098">
      <w:pPr>
        <w:spacing w:line="360" w:lineRule="auto"/>
        <w:jc w:val="center"/>
        <w:rPr>
          <w:rFonts w:ascii="Arial" w:hAnsi="Arial" w:cs="Arial"/>
          <w:b/>
          <w:bCs/>
          <w:sz w:val="22"/>
          <w:szCs w:val="22"/>
        </w:rPr>
      </w:pPr>
    </w:p>
    <w:p w14:paraId="54EFFE0E" w14:textId="77777777" w:rsidR="00431098" w:rsidRDefault="00431098" w:rsidP="00431098">
      <w:pPr>
        <w:spacing w:line="360" w:lineRule="auto"/>
        <w:jc w:val="center"/>
        <w:rPr>
          <w:rFonts w:ascii="Arial" w:hAnsi="Arial" w:cs="Arial"/>
          <w:b/>
          <w:bCs/>
          <w:sz w:val="22"/>
          <w:szCs w:val="22"/>
        </w:rPr>
      </w:pPr>
    </w:p>
    <w:p w14:paraId="3C974925" w14:textId="7345B9A6" w:rsidR="00431098" w:rsidRDefault="00431098" w:rsidP="00431098">
      <w:pPr>
        <w:spacing w:line="360" w:lineRule="auto"/>
        <w:jc w:val="center"/>
        <w:rPr>
          <w:rFonts w:ascii="Arial" w:hAnsi="Arial" w:cs="Arial"/>
          <w:b/>
          <w:bCs/>
          <w:sz w:val="22"/>
          <w:szCs w:val="22"/>
        </w:rPr>
      </w:pPr>
      <w:r w:rsidRPr="00431098">
        <w:rPr>
          <w:rFonts w:ascii="Arial" w:hAnsi="Arial" w:cs="Arial"/>
          <w:b/>
          <w:bCs/>
          <w:sz w:val="22"/>
          <w:szCs w:val="22"/>
        </w:rPr>
        <w:lastRenderedPageBreak/>
        <w:t>Annotated Bibliography</w:t>
      </w:r>
    </w:p>
    <w:p w14:paraId="7A7BAADE" w14:textId="30B8CCD8" w:rsidR="00431098" w:rsidRPr="00431098" w:rsidRDefault="00431098" w:rsidP="00431098">
      <w:pPr>
        <w:spacing w:line="360" w:lineRule="auto"/>
        <w:rPr>
          <w:rFonts w:ascii="Arial" w:hAnsi="Arial" w:cs="Arial"/>
          <w:sz w:val="22"/>
          <w:szCs w:val="22"/>
        </w:rPr>
      </w:pPr>
      <w:r w:rsidRPr="00431098">
        <w:rPr>
          <w:rFonts w:ascii="Arial" w:hAnsi="Arial" w:cs="Arial"/>
          <w:b/>
          <w:bCs/>
          <w:sz w:val="22"/>
          <w:szCs w:val="22"/>
        </w:rPr>
        <w:t xml:space="preserve">1. Erikson, E.H. and Erikson, J.M. (1998) ‘The ninth stage of the life cycle’, in </w:t>
      </w:r>
      <w:proofErr w:type="gramStart"/>
      <w:r w:rsidRPr="00431098">
        <w:rPr>
          <w:rFonts w:ascii="Arial" w:hAnsi="Arial" w:cs="Arial"/>
          <w:b/>
          <w:bCs/>
          <w:i/>
          <w:iCs/>
          <w:sz w:val="22"/>
          <w:szCs w:val="22"/>
        </w:rPr>
        <w:t>The</w:t>
      </w:r>
      <w:proofErr w:type="gramEnd"/>
      <w:r w:rsidRPr="00431098">
        <w:rPr>
          <w:rFonts w:ascii="Arial" w:hAnsi="Arial" w:cs="Arial"/>
          <w:b/>
          <w:bCs/>
          <w:i/>
          <w:iCs/>
          <w:sz w:val="22"/>
          <w:szCs w:val="22"/>
        </w:rPr>
        <w:t xml:space="preserve"> life cycle completed: extended version</w:t>
      </w:r>
      <w:r w:rsidRPr="00431098">
        <w:rPr>
          <w:rFonts w:ascii="Arial" w:hAnsi="Arial" w:cs="Arial"/>
          <w:b/>
          <w:bCs/>
          <w:sz w:val="22"/>
          <w:szCs w:val="22"/>
        </w:rPr>
        <w:t>. New York: W.W. Norton, pp. 105-114.</w:t>
      </w:r>
    </w:p>
    <w:p w14:paraId="1207E820" w14:textId="77777777" w:rsidR="00431098" w:rsidRDefault="00431098" w:rsidP="00431098">
      <w:pPr>
        <w:spacing w:line="360" w:lineRule="auto"/>
        <w:rPr>
          <w:rFonts w:ascii="Arial" w:hAnsi="Arial" w:cs="Arial"/>
          <w:sz w:val="22"/>
          <w:szCs w:val="22"/>
        </w:rPr>
      </w:pPr>
      <w:r w:rsidRPr="00431098">
        <w:rPr>
          <w:rFonts w:ascii="Arial" w:hAnsi="Arial" w:cs="Arial"/>
          <w:b/>
          <w:bCs/>
          <w:sz w:val="22"/>
          <w:szCs w:val="22"/>
        </w:rPr>
        <w:t>Summary:</w:t>
      </w:r>
      <w:r w:rsidRPr="00431098">
        <w:rPr>
          <w:rFonts w:ascii="Arial" w:hAnsi="Arial" w:cs="Arial"/>
          <w:sz w:val="22"/>
          <w:szCs w:val="22"/>
        </w:rPr>
        <w:t xml:space="preserve"> This book chapter extends Erikson’s original eight-stage model by introducing a ninth stage pertinent to very late life (80s and beyond). The authors argue that older adults in this stage face a renewed crisis between integrity and despair, compounded by physical and cognitive decline. They introduce ‘</w:t>
      </w:r>
      <w:proofErr w:type="spellStart"/>
      <w:r w:rsidRPr="00431098">
        <w:rPr>
          <w:rFonts w:ascii="Arial" w:hAnsi="Arial" w:cs="Arial"/>
          <w:sz w:val="22"/>
          <w:szCs w:val="22"/>
        </w:rPr>
        <w:t>gerotranscendence</w:t>
      </w:r>
      <w:proofErr w:type="spellEnd"/>
      <w:r w:rsidRPr="00431098">
        <w:rPr>
          <w:rFonts w:ascii="Arial" w:hAnsi="Arial" w:cs="Arial"/>
          <w:sz w:val="22"/>
          <w:szCs w:val="22"/>
        </w:rPr>
        <w:t>’—a shift towards a more cosmic and less material perspective—as a positive adaptation. Key findings suggest that successfully navigating the ninth stage requires reworking earlier conf</w:t>
      </w:r>
    </w:p>
    <w:p w14:paraId="7557050D" w14:textId="5D11E195" w:rsidR="00431098" w:rsidRPr="00431098" w:rsidRDefault="00431098" w:rsidP="00431098">
      <w:pPr>
        <w:spacing w:line="360" w:lineRule="auto"/>
        <w:rPr>
          <w:rFonts w:ascii="Arial" w:hAnsi="Arial" w:cs="Arial"/>
          <w:sz w:val="22"/>
          <w:szCs w:val="22"/>
        </w:rPr>
      </w:pPr>
      <w:proofErr w:type="spellStart"/>
      <w:r w:rsidRPr="00431098">
        <w:rPr>
          <w:rFonts w:ascii="Arial" w:hAnsi="Arial" w:cs="Arial"/>
          <w:sz w:val="22"/>
          <w:szCs w:val="22"/>
        </w:rPr>
        <w:t>licts</w:t>
      </w:r>
      <w:proofErr w:type="spellEnd"/>
      <w:r w:rsidRPr="00431098">
        <w:rPr>
          <w:rFonts w:ascii="Arial" w:hAnsi="Arial" w:cs="Arial"/>
          <w:sz w:val="22"/>
          <w:szCs w:val="22"/>
        </w:rPr>
        <w:t xml:space="preserve"> (e.g., trust, autonomy) through reminiscence and acceptance of dependency.</w:t>
      </w:r>
    </w:p>
    <w:p w14:paraId="2669AE0C" w14:textId="77777777" w:rsidR="00431098" w:rsidRPr="00431098" w:rsidRDefault="00431098" w:rsidP="00431098">
      <w:pPr>
        <w:spacing w:line="360" w:lineRule="auto"/>
        <w:rPr>
          <w:rFonts w:ascii="Arial" w:hAnsi="Arial" w:cs="Arial"/>
          <w:sz w:val="22"/>
          <w:szCs w:val="22"/>
        </w:rPr>
      </w:pPr>
      <w:r w:rsidRPr="00431098">
        <w:rPr>
          <w:rFonts w:ascii="Arial" w:hAnsi="Arial" w:cs="Arial"/>
          <w:b/>
          <w:bCs/>
          <w:sz w:val="22"/>
          <w:szCs w:val="22"/>
        </w:rPr>
        <w:t>Critical comment:</w:t>
      </w:r>
      <w:r w:rsidRPr="00431098">
        <w:rPr>
          <w:rFonts w:ascii="Arial" w:hAnsi="Arial" w:cs="Arial"/>
          <w:sz w:val="22"/>
          <w:szCs w:val="22"/>
        </w:rPr>
        <w:t xml:space="preserve"> For health and social care practitioners, this chapter reframes frailty not as a failure but as a developmental opportunity. It challenges ageist assumptions that very old adults are ‘past’ psychological growth. In practice, this supports interventions like life review therapy and dignity therapy in care homes or palliative settings. However, the Eriksons’ reliance on clinical observation rather than empirical longitudinal data limits generalisability. Care staff should apply this theory flexibly, recognising that not all older adults achieve </w:t>
      </w:r>
      <w:proofErr w:type="spellStart"/>
      <w:r w:rsidRPr="00431098">
        <w:rPr>
          <w:rFonts w:ascii="Arial" w:hAnsi="Arial" w:cs="Arial"/>
          <w:sz w:val="22"/>
          <w:szCs w:val="22"/>
        </w:rPr>
        <w:t>gerotranscendence</w:t>
      </w:r>
      <w:proofErr w:type="spellEnd"/>
      <w:r w:rsidRPr="00431098">
        <w:rPr>
          <w:rFonts w:ascii="Arial" w:hAnsi="Arial" w:cs="Arial"/>
          <w:sz w:val="22"/>
          <w:szCs w:val="22"/>
        </w:rPr>
        <w:t>, particularly those with advanced dementia. Nonetheless, it provides a powerful rationale for person-centred reminiscence activities.</w:t>
      </w:r>
    </w:p>
    <w:p w14:paraId="3F46D29C" w14:textId="77777777" w:rsidR="00431098" w:rsidRPr="00431098" w:rsidRDefault="00431098" w:rsidP="00431098">
      <w:pPr>
        <w:spacing w:line="360" w:lineRule="auto"/>
        <w:rPr>
          <w:rFonts w:ascii="Arial" w:hAnsi="Arial" w:cs="Arial"/>
          <w:sz w:val="22"/>
          <w:szCs w:val="22"/>
        </w:rPr>
      </w:pPr>
      <w:r w:rsidRPr="00431098">
        <w:rPr>
          <w:rFonts w:ascii="Arial" w:hAnsi="Arial" w:cs="Arial"/>
          <w:b/>
          <w:bCs/>
          <w:sz w:val="22"/>
          <w:szCs w:val="22"/>
        </w:rPr>
        <w:t xml:space="preserve">2. Ryff, C.D. (2014) ‘Psychological well-being revisited: advances in science and practice’, </w:t>
      </w:r>
      <w:r w:rsidRPr="00431098">
        <w:rPr>
          <w:rFonts w:ascii="Arial" w:hAnsi="Arial" w:cs="Arial"/>
          <w:b/>
          <w:bCs/>
          <w:i/>
          <w:iCs/>
          <w:sz w:val="22"/>
          <w:szCs w:val="22"/>
        </w:rPr>
        <w:t>Psychotherapy and Psychosomatics</w:t>
      </w:r>
      <w:r w:rsidRPr="00431098">
        <w:rPr>
          <w:rFonts w:ascii="Arial" w:hAnsi="Arial" w:cs="Arial"/>
          <w:b/>
          <w:bCs/>
          <w:sz w:val="22"/>
          <w:szCs w:val="22"/>
        </w:rPr>
        <w:t>, 83(1), pp. 10-28.</w:t>
      </w:r>
    </w:p>
    <w:p w14:paraId="1B0A72C1" w14:textId="77777777" w:rsidR="00431098" w:rsidRPr="00431098" w:rsidRDefault="00431098" w:rsidP="00431098">
      <w:pPr>
        <w:spacing w:line="360" w:lineRule="auto"/>
        <w:rPr>
          <w:rFonts w:ascii="Arial" w:hAnsi="Arial" w:cs="Arial"/>
          <w:sz w:val="22"/>
          <w:szCs w:val="22"/>
        </w:rPr>
      </w:pPr>
      <w:r w:rsidRPr="00431098">
        <w:rPr>
          <w:rFonts w:ascii="Arial" w:hAnsi="Arial" w:cs="Arial"/>
          <w:b/>
          <w:bCs/>
          <w:sz w:val="22"/>
          <w:szCs w:val="22"/>
        </w:rPr>
        <w:t>Summary:</w:t>
      </w:r>
      <w:r w:rsidRPr="00431098">
        <w:rPr>
          <w:rFonts w:ascii="Arial" w:hAnsi="Arial" w:cs="Arial"/>
          <w:sz w:val="22"/>
          <w:szCs w:val="22"/>
        </w:rPr>
        <w:t xml:space="preserve"> This journal article advances positive psychology approaches to ageing by refining Ryff’s multidimensional model of psychological well-being (PWB). The model includes six components: autonomy, environmental mastery, personal growth, positive relations with others, purpose in life, and self-acceptance. Ryff synthesises longitudinal evidence showing that maintaining or enhancing these dimensions predicts better physical health outcomes, slower cognitive decline, and greater resilience in older adults. Crucially, she argues that well-being is not merely the absence of distress but the active pursuit of meaning and connection, even amid chronic illness.</w:t>
      </w:r>
    </w:p>
    <w:p w14:paraId="7AE125E9" w14:textId="77777777" w:rsidR="00431098" w:rsidRPr="00431098" w:rsidRDefault="00431098" w:rsidP="00431098">
      <w:pPr>
        <w:spacing w:line="360" w:lineRule="auto"/>
        <w:rPr>
          <w:rFonts w:ascii="Arial" w:hAnsi="Arial" w:cs="Arial"/>
          <w:sz w:val="22"/>
          <w:szCs w:val="22"/>
        </w:rPr>
      </w:pPr>
      <w:r w:rsidRPr="00431098">
        <w:rPr>
          <w:rFonts w:ascii="Arial" w:hAnsi="Arial" w:cs="Arial"/>
          <w:b/>
          <w:bCs/>
          <w:sz w:val="22"/>
          <w:szCs w:val="22"/>
        </w:rPr>
        <w:t>Critical comment:</w:t>
      </w:r>
      <w:r w:rsidRPr="00431098">
        <w:rPr>
          <w:rFonts w:ascii="Arial" w:hAnsi="Arial" w:cs="Arial"/>
          <w:sz w:val="22"/>
          <w:szCs w:val="22"/>
        </w:rPr>
        <w:t xml:space="preserve"> This source is highly relevant to health and social care settings because it moves beyond deficit-focused risk assessments. For example, a care plan for an older adult with mobility limitations could prioritise ‘environmental mastery’ (adapting the home) and ‘positive relations’ (facilitating family video calls). However, Ryff’s model has been criticised for Western individualistic bias, assuming autonomy and personal growth are universal goals. In collectivist cultures or among older adults with religious worldviews, </w:t>
      </w:r>
      <w:r w:rsidRPr="00431098">
        <w:rPr>
          <w:rFonts w:ascii="Arial" w:hAnsi="Arial" w:cs="Arial"/>
          <w:sz w:val="22"/>
          <w:szCs w:val="22"/>
        </w:rPr>
        <w:lastRenderedPageBreak/>
        <w:t>interdependence and generativity may be more salient. Practitioners should therefore use the PWB framework as a guide, not a checklist, and co-develop wellbeing goals with the older person’s cultural context in mind.</w:t>
      </w:r>
    </w:p>
    <w:p w14:paraId="2A7846A5" w14:textId="77777777" w:rsidR="00431098" w:rsidRPr="00431098" w:rsidRDefault="00431098" w:rsidP="00431098">
      <w:pPr>
        <w:spacing w:line="360" w:lineRule="auto"/>
        <w:rPr>
          <w:rFonts w:ascii="Arial" w:hAnsi="Arial" w:cs="Arial"/>
          <w:sz w:val="22"/>
          <w:szCs w:val="22"/>
        </w:rPr>
      </w:pPr>
      <w:r w:rsidRPr="00431098">
        <w:rPr>
          <w:rFonts w:ascii="Arial" w:hAnsi="Arial" w:cs="Arial"/>
          <w:b/>
          <w:bCs/>
          <w:sz w:val="22"/>
          <w:szCs w:val="22"/>
        </w:rPr>
        <w:t xml:space="preserve">3. Browne, C.J. and Shlosberg, M. (2020) ‘Attachment theory and the transition to residential aged care: clinical implications for older adults’, </w:t>
      </w:r>
      <w:r w:rsidRPr="00431098">
        <w:rPr>
          <w:rFonts w:ascii="Arial" w:hAnsi="Arial" w:cs="Arial"/>
          <w:b/>
          <w:bCs/>
          <w:i/>
          <w:iCs/>
          <w:sz w:val="22"/>
          <w:szCs w:val="22"/>
        </w:rPr>
        <w:t>Clinical Gerontologist</w:t>
      </w:r>
      <w:r w:rsidRPr="00431098">
        <w:rPr>
          <w:rFonts w:ascii="Arial" w:hAnsi="Arial" w:cs="Arial"/>
          <w:b/>
          <w:bCs/>
          <w:sz w:val="22"/>
          <w:szCs w:val="22"/>
        </w:rPr>
        <w:t>, 43(5), pp. 487-499.</w:t>
      </w:r>
    </w:p>
    <w:p w14:paraId="633AEA1A" w14:textId="77777777" w:rsidR="00431098" w:rsidRPr="00431098" w:rsidRDefault="00431098" w:rsidP="00431098">
      <w:pPr>
        <w:spacing w:line="360" w:lineRule="auto"/>
        <w:rPr>
          <w:rFonts w:ascii="Arial" w:hAnsi="Arial" w:cs="Arial"/>
          <w:sz w:val="22"/>
          <w:szCs w:val="22"/>
        </w:rPr>
      </w:pPr>
      <w:r w:rsidRPr="00431098">
        <w:rPr>
          <w:rFonts w:ascii="Arial" w:hAnsi="Arial" w:cs="Arial"/>
          <w:b/>
          <w:bCs/>
          <w:sz w:val="22"/>
          <w:szCs w:val="22"/>
        </w:rPr>
        <w:t>Summary:</w:t>
      </w:r>
      <w:r w:rsidRPr="00431098">
        <w:rPr>
          <w:rFonts w:ascii="Arial" w:hAnsi="Arial" w:cs="Arial"/>
          <w:sz w:val="22"/>
          <w:szCs w:val="22"/>
        </w:rPr>
        <w:t xml:space="preserve"> This journal article applies Bowlby’s attachment theory to the specific transition of moving into a care home. The authors conducted a mixed-methods study with 120 older adults, finding that insecure attachment styles (anxious or avoidant) predict poorer adjustment, higher rates of depression, and resistance to care. Key arguments include: the care home environment can activate the attachment system (seeking proximity to a ‘safe haven’); staff effectively become attachment figures; and transitions trigger separation anxiety akin to childhood. The findings emphasise that individuals with a history of disorganised attachment are most vulnerable to traumatic responses to relocation.</w:t>
      </w:r>
    </w:p>
    <w:p w14:paraId="6633D031" w14:textId="77777777" w:rsidR="00431098" w:rsidRPr="00431098" w:rsidRDefault="00431098" w:rsidP="00431098">
      <w:pPr>
        <w:spacing w:line="360" w:lineRule="auto"/>
        <w:rPr>
          <w:rFonts w:ascii="Arial" w:hAnsi="Arial" w:cs="Arial"/>
          <w:sz w:val="22"/>
          <w:szCs w:val="22"/>
        </w:rPr>
      </w:pPr>
      <w:r w:rsidRPr="00431098">
        <w:rPr>
          <w:rFonts w:ascii="Arial" w:hAnsi="Arial" w:cs="Arial"/>
          <w:b/>
          <w:bCs/>
          <w:sz w:val="22"/>
          <w:szCs w:val="22"/>
        </w:rPr>
        <w:t>Critical comment:</w:t>
      </w:r>
      <w:r w:rsidRPr="00431098">
        <w:rPr>
          <w:rFonts w:ascii="Arial" w:hAnsi="Arial" w:cs="Arial"/>
          <w:sz w:val="22"/>
          <w:szCs w:val="22"/>
        </w:rPr>
        <w:t xml:space="preserve"> For social care managers and nursing staff, this article provides an evidence-based rationale for attachment-informed admission protocols. Practical implications include: pre-admission visits to establish familiarity, assigning consistent key workers to act as reliable attachment figures, and avoiding abrupt, unplanned moves. A critical limitation is the study’s cross-sectional design, which cannot confirm causality. Additionally, training care staff to recognise attachment behaviours requires significant resources and reflective supervision. Nonetheless, the framework helps depersonalise challenging behaviours (e.g., clinginess or withdrawal) by understanding them as attachment strategies. It directly supports trauma-informed care approaches in residential settings.</w:t>
      </w:r>
    </w:p>
    <w:p w14:paraId="6CC6E574" w14:textId="77777777" w:rsidR="00431098" w:rsidRPr="00431098" w:rsidRDefault="00431098" w:rsidP="00431098">
      <w:pPr>
        <w:spacing w:line="360" w:lineRule="auto"/>
        <w:rPr>
          <w:rFonts w:ascii="Arial" w:hAnsi="Arial" w:cs="Arial"/>
          <w:sz w:val="22"/>
          <w:szCs w:val="22"/>
        </w:rPr>
      </w:pPr>
      <w:r w:rsidRPr="00431098">
        <w:rPr>
          <w:rFonts w:ascii="Arial" w:hAnsi="Arial" w:cs="Arial"/>
          <w:b/>
          <w:bCs/>
          <w:sz w:val="22"/>
          <w:szCs w:val="22"/>
        </w:rPr>
        <w:t xml:space="preserve">4. Havighurst, R.J. and Albrecht, R. (1953) ‘Activity theory and the ageing individual’, in </w:t>
      </w:r>
      <w:proofErr w:type="gramStart"/>
      <w:r w:rsidRPr="00431098">
        <w:rPr>
          <w:rFonts w:ascii="Arial" w:hAnsi="Arial" w:cs="Arial"/>
          <w:b/>
          <w:bCs/>
          <w:i/>
          <w:iCs/>
          <w:sz w:val="22"/>
          <w:szCs w:val="22"/>
        </w:rPr>
        <w:t>Older</w:t>
      </w:r>
      <w:proofErr w:type="gramEnd"/>
      <w:r w:rsidRPr="00431098">
        <w:rPr>
          <w:rFonts w:ascii="Arial" w:hAnsi="Arial" w:cs="Arial"/>
          <w:b/>
          <w:bCs/>
          <w:i/>
          <w:iCs/>
          <w:sz w:val="22"/>
          <w:szCs w:val="22"/>
        </w:rPr>
        <w:t xml:space="preserve"> people</w:t>
      </w:r>
      <w:r w:rsidRPr="00431098">
        <w:rPr>
          <w:rFonts w:ascii="Arial" w:hAnsi="Arial" w:cs="Arial"/>
          <w:b/>
          <w:bCs/>
          <w:sz w:val="22"/>
          <w:szCs w:val="22"/>
        </w:rPr>
        <w:t>. New York: Longmans, Green and Co., pp. 122-142.</w:t>
      </w:r>
    </w:p>
    <w:p w14:paraId="255D846F" w14:textId="77777777" w:rsidR="00431098" w:rsidRPr="00431098" w:rsidRDefault="00431098" w:rsidP="00431098">
      <w:pPr>
        <w:spacing w:line="360" w:lineRule="auto"/>
        <w:rPr>
          <w:rFonts w:ascii="Arial" w:hAnsi="Arial" w:cs="Arial"/>
          <w:sz w:val="22"/>
          <w:szCs w:val="22"/>
        </w:rPr>
      </w:pPr>
      <w:r w:rsidRPr="00431098">
        <w:rPr>
          <w:rFonts w:ascii="Arial" w:hAnsi="Arial" w:cs="Arial"/>
          <w:b/>
          <w:bCs/>
          <w:sz w:val="22"/>
          <w:szCs w:val="22"/>
        </w:rPr>
        <w:t>Summary:</w:t>
      </w:r>
      <w:r w:rsidRPr="00431098">
        <w:rPr>
          <w:rFonts w:ascii="Arial" w:hAnsi="Arial" w:cs="Arial"/>
          <w:sz w:val="22"/>
          <w:szCs w:val="22"/>
        </w:rPr>
        <w:t xml:space="preserve"> This classic book chapter originally formulates the Activity theory of ageing, which posits that successful ageing requires maintaining physical, social, and psychological activities to preserve identity and life satisfaction. Havighurst and Albrecht argue that older adults who replace lost roles (e.g., employment, parenting) with new meaningful activities (e.g., volunteering, hobbies, grandparenting) experience higher wellbeing than those who withdraw. Based on a study of 300 community-dwelling older adults, the authors found that subjective life satisfaction correlated more strongly with current activity levels than with chronological age or health status.</w:t>
      </w:r>
    </w:p>
    <w:p w14:paraId="0FAE6261" w14:textId="77777777" w:rsidR="00431098" w:rsidRPr="00431098" w:rsidRDefault="00431098" w:rsidP="00431098">
      <w:pPr>
        <w:spacing w:line="360" w:lineRule="auto"/>
        <w:rPr>
          <w:rFonts w:ascii="Arial" w:hAnsi="Arial" w:cs="Arial"/>
          <w:sz w:val="22"/>
          <w:szCs w:val="22"/>
        </w:rPr>
      </w:pPr>
      <w:r w:rsidRPr="00431098">
        <w:rPr>
          <w:rFonts w:ascii="Arial" w:hAnsi="Arial" w:cs="Arial"/>
          <w:b/>
          <w:bCs/>
          <w:sz w:val="22"/>
          <w:szCs w:val="22"/>
        </w:rPr>
        <w:lastRenderedPageBreak/>
        <w:t>Critical comment:</w:t>
      </w:r>
      <w:r w:rsidRPr="00431098">
        <w:rPr>
          <w:rFonts w:ascii="Arial" w:hAnsi="Arial" w:cs="Arial"/>
          <w:sz w:val="22"/>
          <w:szCs w:val="22"/>
        </w:rPr>
        <w:t xml:space="preserve"> Activity theory remains foundational in UK health and social care policy, underpinning reablement programmes, day centres, and social prescribing. Its strength is providing a positive, empowering alternative to disengagement theories. However, from a critical perspective, it can inadvertently blame older adults who prefer quieter, contemplative lives or who have severe fatigue or pain. For example, an older adult with advanced COPD may be unable to sustain the level of activity the theory prescribes, leading to feelings of failure. In practice, practitioners should integrate Activity theory with person-centred care, prioritising </w:t>
      </w:r>
      <w:r w:rsidRPr="00431098">
        <w:rPr>
          <w:rFonts w:ascii="Arial" w:hAnsi="Arial" w:cs="Arial"/>
          <w:i/>
          <w:iCs/>
          <w:sz w:val="22"/>
          <w:szCs w:val="22"/>
        </w:rPr>
        <w:t>meaningful</w:t>
      </w:r>
      <w:r w:rsidRPr="00431098">
        <w:rPr>
          <w:rFonts w:ascii="Arial" w:hAnsi="Arial" w:cs="Arial"/>
          <w:sz w:val="22"/>
          <w:szCs w:val="22"/>
        </w:rPr>
        <w:t xml:space="preserve"> activity over </w:t>
      </w:r>
      <w:r w:rsidRPr="00431098">
        <w:rPr>
          <w:rFonts w:ascii="Arial" w:hAnsi="Arial" w:cs="Arial"/>
          <w:i/>
          <w:iCs/>
          <w:sz w:val="22"/>
          <w:szCs w:val="22"/>
        </w:rPr>
        <w:t>any</w:t>
      </w:r>
      <w:r w:rsidRPr="00431098">
        <w:rPr>
          <w:rFonts w:ascii="Arial" w:hAnsi="Arial" w:cs="Arial"/>
          <w:sz w:val="22"/>
          <w:szCs w:val="22"/>
        </w:rPr>
        <w:t xml:space="preserve"> activity. Combining it with Ryff’s model of well-being (source 2) allows for diversity in what constitutes a ‘good’ old age.</w:t>
      </w:r>
    </w:p>
    <w:p w14:paraId="3000E4BA"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pict w14:anchorId="7C76F400">
          <v:rect id="_x0000_i1031" style="width:0;height:1.5pt" o:hralign="center" o:hrstd="t" o:hr="t" fillcolor="#a0a0a0" stroked="f"/>
        </w:pict>
      </w:r>
    </w:p>
    <w:p w14:paraId="2D5383F8" w14:textId="77777777" w:rsidR="00431098" w:rsidRPr="00431098" w:rsidRDefault="00431098" w:rsidP="00431098">
      <w:pPr>
        <w:spacing w:line="360" w:lineRule="auto"/>
        <w:rPr>
          <w:rFonts w:ascii="Arial" w:hAnsi="Arial" w:cs="Arial"/>
          <w:b/>
          <w:bCs/>
          <w:sz w:val="22"/>
          <w:szCs w:val="22"/>
        </w:rPr>
      </w:pPr>
      <w:r w:rsidRPr="00431098">
        <w:rPr>
          <w:rFonts w:ascii="Arial" w:hAnsi="Arial" w:cs="Arial"/>
          <w:b/>
          <w:bCs/>
          <w:sz w:val="22"/>
          <w:szCs w:val="22"/>
        </w:rPr>
        <w:t>Summary Table for Reference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52"/>
        <w:gridCol w:w="2191"/>
        <w:gridCol w:w="4483"/>
      </w:tblGrid>
      <w:tr w:rsidR="00431098" w:rsidRPr="00431098" w14:paraId="35E8DFCC" w14:textId="77777777">
        <w:trPr>
          <w:tblHeader/>
          <w:tblCellSpacing w:w="15" w:type="dxa"/>
        </w:trPr>
        <w:tc>
          <w:tcPr>
            <w:tcW w:w="0" w:type="auto"/>
            <w:vAlign w:val="center"/>
            <w:hideMark/>
          </w:tcPr>
          <w:p w14:paraId="77FA971C" w14:textId="77777777" w:rsidR="00431098" w:rsidRPr="00431098" w:rsidRDefault="00431098" w:rsidP="00431098">
            <w:pPr>
              <w:spacing w:line="360" w:lineRule="auto"/>
              <w:rPr>
                <w:rFonts w:ascii="Arial" w:hAnsi="Arial" w:cs="Arial"/>
                <w:b/>
                <w:bCs/>
                <w:sz w:val="22"/>
                <w:szCs w:val="22"/>
              </w:rPr>
            </w:pPr>
            <w:r w:rsidRPr="00431098">
              <w:rPr>
                <w:rFonts w:ascii="Arial" w:hAnsi="Arial" w:cs="Arial"/>
                <w:b/>
                <w:bCs/>
                <w:sz w:val="22"/>
                <w:szCs w:val="22"/>
              </w:rPr>
              <w:t>Theory</w:t>
            </w:r>
          </w:p>
        </w:tc>
        <w:tc>
          <w:tcPr>
            <w:tcW w:w="0" w:type="auto"/>
            <w:vAlign w:val="center"/>
            <w:hideMark/>
          </w:tcPr>
          <w:p w14:paraId="6383FB17" w14:textId="77777777" w:rsidR="00431098" w:rsidRPr="00431098" w:rsidRDefault="00431098" w:rsidP="00431098">
            <w:pPr>
              <w:spacing w:line="360" w:lineRule="auto"/>
              <w:rPr>
                <w:rFonts w:ascii="Arial" w:hAnsi="Arial" w:cs="Arial"/>
                <w:b/>
                <w:bCs/>
                <w:sz w:val="22"/>
                <w:szCs w:val="22"/>
              </w:rPr>
            </w:pPr>
            <w:r w:rsidRPr="00431098">
              <w:rPr>
                <w:rFonts w:ascii="Arial" w:hAnsi="Arial" w:cs="Arial"/>
                <w:b/>
                <w:bCs/>
                <w:sz w:val="22"/>
                <w:szCs w:val="22"/>
              </w:rPr>
              <w:t>Source</w:t>
            </w:r>
          </w:p>
        </w:tc>
        <w:tc>
          <w:tcPr>
            <w:tcW w:w="0" w:type="auto"/>
            <w:vAlign w:val="center"/>
            <w:hideMark/>
          </w:tcPr>
          <w:p w14:paraId="59448D2D" w14:textId="77777777" w:rsidR="00431098" w:rsidRPr="00431098" w:rsidRDefault="00431098" w:rsidP="00431098">
            <w:pPr>
              <w:spacing w:line="360" w:lineRule="auto"/>
              <w:rPr>
                <w:rFonts w:ascii="Arial" w:hAnsi="Arial" w:cs="Arial"/>
                <w:b/>
                <w:bCs/>
                <w:sz w:val="22"/>
                <w:szCs w:val="22"/>
              </w:rPr>
            </w:pPr>
            <w:r w:rsidRPr="00431098">
              <w:rPr>
                <w:rFonts w:ascii="Arial" w:hAnsi="Arial" w:cs="Arial"/>
                <w:b/>
                <w:bCs/>
                <w:sz w:val="22"/>
                <w:szCs w:val="22"/>
              </w:rPr>
              <w:t>Key Application in Health &amp; Social Care</w:t>
            </w:r>
          </w:p>
        </w:tc>
      </w:tr>
      <w:tr w:rsidR="00431098" w:rsidRPr="00431098" w14:paraId="1A1573D8" w14:textId="77777777">
        <w:trPr>
          <w:tblCellSpacing w:w="15" w:type="dxa"/>
        </w:trPr>
        <w:tc>
          <w:tcPr>
            <w:tcW w:w="0" w:type="auto"/>
            <w:vAlign w:val="center"/>
            <w:hideMark/>
          </w:tcPr>
          <w:p w14:paraId="41DE76E4"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Erikson’s psychosocial stages</w:t>
            </w:r>
          </w:p>
        </w:tc>
        <w:tc>
          <w:tcPr>
            <w:tcW w:w="0" w:type="auto"/>
            <w:vAlign w:val="center"/>
            <w:hideMark/>
          </w:tcPr>
          <w:p w14:paraId="0E83E43E"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Erikson &amp; Erikson (1998)</w:t>
            </w:r>
          </w:p>
        </w:tc>
        <w:tc>
          <w:tcPr>
            <w:tcW w:w="0" w:type="auto"/>
            <w:vAlign w:val="center"/>
            <w:hideMark/>
          </w:tcPr>
          <w:p w14:paraId="74D7E913"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Life review therapy, dignity in end-of-life care</w:t>
            </w:r>
          </w:p>
        </w:tc>
      </w:tr>
      <w:tr w:rsidR="00431098" w:rsidRPr="00431098" w14:paraId="65027E98" w14:textId="77777777">
        <w:trPr>
          <w:tblCellSpacing w:w="15" w:type="dxa"/>
        </w:trPr>
        <w:tc>
          <w:tcPr>
            <w:tcW w:w="0" w:type="auto"/>
            <w:vAlign w:val="center"/>
            <w:hideMark/>
          </w:tcPr>
          <w:p w14:paraId="4409D559"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Positive psychology</w:t>
            </w:r>
          </w:p>
        </w:tc>
        <w:tc>
          <w:tcPr>
            <w:tcW w:w="0" w:type="auto"/>
            <w:vAlign w:val="center"/>
            <w:hideMark/>
          </w:tcPr>
          <w:p w14:paraId="484A93CB"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Ryff (2014)</w:t>
            </w:r>
          </w:p>
        </w:tc>
        <w:tc>
          <w:tcPr>
            <w:tcW w:w="0" w:type="auto"/>
            <w:vAlign w:val="center"/>
            <w:hideMark/>
          </w:tcPr>
          <w:p w14:paraId="7014B221"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Strengths-based care plans, wellbeing outcome measures</w:t>
            </w:r>
          </w:p>
        </w:tc>
      </w:tr>
      <w:tr w:rsidR="00431098" w:rsidRPr="00431098" w14:paraId="20C13AF3" w14:textId="77777777">
        <w:trPr>
          <w:tblCellSpacing w:w="15" w:type="dxa"/>
        </w:trPr>
        <w:tc>
          <w:tcPr>
            <w:tcW w:w="0" w:type="auto"/>
            <w:vAlign w:val="center"/>
            <w:hideMark/>
          </w:tcPr>
          <w:p w14:paraId="2BBF688F"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Bowlby’s attachment theory</w:t>
            </w:r>
          </w:p>
        </w:tc>
        <w:tc>
          <w:tcPr>
            <w:tcW w:w="0" w:type="auto"/>
            <w:vAlign w:val="center"/>
            <w:hideMark/>
          </w:tcPr>
          <w:p w14:paraId="691AF988"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 xml:space="preserve">Browne &amp; </w:t>
            </w:r>
            <w:proofErr w:type="spellStart"/>
            <w:r w:rsidRPr="00431098">
              <w:rPr>
                <w:rFonts w:ascii="Arial" w:hAnsi="Arial" w:cs="Arial"/>
                <w:sz w:val="22"/>
                <w:szCs w:val="22"/>
              </w:rPr>
              <w:t>Shlosberg</w:t>
            </w:r>
            <w:proofErr w:type="spellEnd"/>
            <w:r w:rsidRPr="00431098">
              <w:rPr>
                <w:rFonts w:ascii="Arial" w:hAnsi="Arial" w:cs="Arial"/>
                <w:sz w:val="22"/>
                <w:szCs w:val="22"/>
              </w:rPr>
              <w:t xml:space="preserve"> (2020)</w:t>
            </w:r>
          </w:p>
        </w:tc>
        <w:tc>
          <w:tcPr>
            <w:tcW w:w="0" w:type="auto"/>
            <w:vAlign w:val="center"/>
            <w:hideMark/>
          </w:tcPr>
          <w:p w14:paraId="4AE3D077"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Consistent staffing, trauma-informed transitions to residential care</w:t>
            </w:r>
          </w:p>
        </w:tc>
      </w:tr>
      <w:tr w:rsidR="00431098" w:rsidRPr="00431098" w14:paraId="4D2AC52C" w14:textId="77777777">
        <w:trPr>
          <w:tblCellSpacing w:w="15" w:type="dxa"/>
        </w:trPr>
        <w:tc>
          <w:tcPr>
            <w:tcW w:w="0" w:type="auto"/>
            <w:vAlign w:val="center"/>
            <w:hideMark/>
          </w:tcPr>
          <w:p w14:paraId="2FFF4E53"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Havighurst’s Activity theory</w:t>
            </w:r>
          </w:p>
        </w:tc>
        <w:tc>
          <w:tcPr>
            <w:tcW w:w="0" w:type="auto"/>
            <w:vAlign w:val="center"/>
            <w:hideMark/>
          </w:tcPr>
          <w:p w14:paraId="706C9C04"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Havighurst &amp; Albrecht (1953)</w:t>
            </w:r>
          </w:p>
        </w:tc>
        <w:tc>
          <w:tcPr>
            <w:tcW w:w="0" w:type="auto"/>
            <w:vAlign w:val="center"/>
            <w:hideMark/>
          </w:tcPr>
          <w:p w14:paraId="11AA4BCD"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Reablement, social prescribing, day centre provision</w:t>
            </w:r>
          </w:p>
        </w:tc>
      </w:tr>
    </w:tbl>
    <w:p w14:paraId="6C95897B" w14:textId="77777777" w:rsidR="002A0019" w:rsidRDefault="002A0019" w:rsidP="00431098">
      <w:pPr>
        <w:spacing w:line="360" w:lineRule="auto"/>
        <w:rPr>
          <w:rFonts w:ascii="Arial" w:hAnsi="Arial" w:cs="Arial"/>
          <w:sz w:val="22"/>
          <w:szCs w:val="22"/>
        </w:rPr>
      </w:pPr>
    </w:p>
    <w:p w14:paraId="1F1969C0" w14:textId="77777777" w:rsidR="00431098" w:rsidRDefault="00431098" w:rsidP="00431098">
      <w:pPr>
        <w:spacing w:line="360" w:lineRule="auto"/>
        <w:rPr>
          <w:rFonts w:ascii="Arial" w:hAnsi="Arial" w:cs="Arial"/>
          <w:sz w:val="22"/>
          <w:szCs w:val="22"/>
        </w:rPr>
      </w:pPr>
    </w:p>
    <w:p w14:paraId="2774F326" w14:textId="77777777" w:rsidR="00431098" w:rsidRDefault="00431098" w:rsidP="00431098">
      <w:pPr>
        <w:spacing w:line="360" w:lineRule="auto"/>
        <w:rPr>
          <w:rFonts w:ascii="Arial" w:hAnsi="Arial" w:cs="Arial"/>
          <w:sz w:val="22"/>
          <w:szCs w:val="22"/>
        </w:rPr>
      </w:pPr>
    </w:p>
    <w:p w14:paraId="4B45F498" w14:textId="77777777" w:rsidR="00431098" w:rsidRDefault="00431098" w:rsidP="00431098">
      <w:pPr>
        <w:spacing w:line="360" w:lineRule="auto"/>
        <w:rPr>
          <w:rFonts w:ascii="Arial" w:hAnsi="Arial" w:cs="Arial"/>
          <w:sz w:val="22"/>
          <w:szCs w:val="22"/>
        </w:rPr>
      </w:pPr>
    </w:p>
    <w:p w14:paraId="0DB4AE14" w14:textId="77777777" w:rsidR="00431098" w:rsidRDefault="00431098" w:rsidP="00431098">
      <w:pPr>
        <w:spacing w:line="360" w:lineRule="auto"/>
        <w:rPr>
          <w:rFonts w:ascii="Arial" w:hAnsi="Arial" w:cs="Arial"/>
          <w:sz w:val="22"/>
          <w:szCs w:val="22"/>
        </w:rPr>
      </w:pPr>
    </w:p>
    <w:p w14:paraId="3F8CDC52" w14:textId="77777777" w:rsidR="00431098" w:rsidRDefault="00431098" w:rsidP="00431098">
      <w:pPr>
        <w:spacing w:line="360" w:lineRule="auto"/>
        <w:rPr>
          <w:rFonts w:ascii="Arial" w:hAnsi="Arial" w:cs="Arial"/>
          <w:sz w:val="22"/>
          <w:szCs w:val="22"/>
        </w:rPr>
      </w:pPr>
    </w:p>
    <w:p w14:paraId="38D06A64" w14:textId="77777777" w:rsidR="00431098" w:rsidRDefault="00431098" w:rsidP="00431098">
      <w:pPr>
        <w:spacing w:line="360" w:lineRule="auto"/>
        <w:rPr>
          <w:rFonts w:ascii="Arial" w:hAnsi="Arial" w:cs="Arial"/>
          <w:sz w:val="22"/>
          <w:szCs w:val="22"/>
        </w:rPr>
      </w:pPr>
    </w:p>
    <w:p w14:paraId="246C2BB8" w14:textId="77777777" w:rsidR="00431098" w:rsidRDefault="00431098" w:rsidP="00431098">
      <w:pPr>
        <w:spacing w:line="360" w:lineRule="auto"/>
        <w:rPr>
          <w:rFonts w:ascii="Arial" w:hAnsi="Arial" w:cs="Arial"/>
          <w:sz w:val="22"/>
          <w:szCs w:val="22"/>
        </w:rPr>
      </w:pPr>
    </w:p>
    <w:p w14:paraId="006BC2B1" w14:textId="77777777" w:rsidR="00431098" w:rsidRDefault="00431098" w:rsidP="00431098">
      <w:pPr>
        <w:spacing w:line="360" w:lineRule="auto"/>
        <w:rPr>
          <w:rFonts w:ascii="Arial" w:hAnsi="Arial" w:cs="Arial"/>
          <w:sz w:val="22"/>
          <w:szCs w:val="22"/>
        </w:rPr>
      </w:pPr>
    </w:p>
    <w:p w14:paraId="42AE3F3B" w14:textId="77777777" w:rsidR="00431098" w:rsidRPr="00431098" w:rsidRDefault="00431098" w:rsidP="00431098">
      <w:pPr>
        <w:spacing w:line="360" w:lineRule="auto"/>
        <w:jc w:val="center"/>
        <w:rPr>
          <w:rFonts w:ascii="Arial" w:hAnsi="Arial" w:cs="Arial"/>
          <w:b/>
          <w:bCs/>
          <w:sz w:val="22"/>
          <w:szCs w:val="22"/>
        </w:rPr>
      </w:pPr>
      <w:r w:rsidRPr="00431098">
        <w:rPr>
          <w:rFonts w:ascii="Arial" w:hAnsi="Arial" w:cs="Arial"/>
          <w:b/>
          <w:bCs/>
          <w:sz w:val="22"/>
          <w:szCs w:val="22"/>
        </w:rPr>
        <w:lastRenderedPageBreak/>
        <w:t>Short Report</w:t>
      </w:r>
    </w:p>
    <w:p w14:paraId="28F8E578" w14:textId="77777777" w:rsidR="00431098" w:rsidRPr="00431098" w:rsidRDefault="00431098" w:rsidP="00431098">
      <w:pPr>
        <w:spacing w:line="360" w:lineRule="auto"/>
        <w:rPr>
          <w:rFonts w:ascii="Arial" w:hAnsi="Arial" w:cs="Arial"/>
          <w:sz w:val="22"/>
          <w:szCs w:val="22"/>
        </w:rPr>
      </w:pPr>
      <w:r w:rsidRPr="00431098">
        <w:rPr>
          <w:rFonts w:ascii="Arial" w:hAnsi="Arial" w:cs="Arial"/>
          <w:b/>
          <w:bCs/>
          <w:sz w:val="22"/>
          <w:szCs w:val="22"/>
        </w:rPr>
        <w:t>To:</w:t>
      </w:r>
      <w:r w:rsidRPr="00431098">
        <w:rPr>
          <w:rFonts w:ascii="Arial" w:hAnsi="Arial" w:cs="Arial"/>
          <w:sz w:val="22"/>
          <w:szCs w:val="22"/>
        </w:rPr>
        <w:t xml:space="preserve"> Health and social care professionals, Oakwood Care Home</w:t>
      </w:r>
      <w:r w:rsidRPr="00431098">
        <w:rPr>
          <w:rFonts w:ascii="Arial" w:hAnsi="Arial" w:cs="Arial"/>
          <w:sz w:val="22"/>
          <w:szCs w:val="22"/>
        </w:rPr>
        <w:br/>
      </w:r>
      <w:r w:rsidRPr="00431098">
        <w:rPr>
          <w:rFonts w:ascii="Arial" w:hAnsi="Arial" w:cs="Arial"/>
          <w:b/>
          <w:bCs/>
          <w:sz w:val="22"/>
          <w:szCs w:val="22"/>
        </w:rPr>
        <w:t>From:</w:t>
      </w:r>
      <w:r w:rsidRPr="00431098">
        <w:rPr>
          <w:rFonts w:ascii="Arial" w:hAnsi="Arial" w:cs="Arial"/>
          <w:sz w:val="22"/>
          <w:szCs w:val="22"/>
        </w:rPr>
        <w:t xml:space="preserve"> Psychological Wellbeing Lead</w:t>
      </w:r>
      <w:r w:rsidRPr="00431098">
        <w:rPr>
          <w:rFonts w:ascii="Arial" w:hAnsi="Arial" w:cs="Arial"/>
          <w:sz w:val="22"/>
          <w:szCs w:val="22"/>
        </w:rPr>
        <w:br/>
      </w:r>
      <w:r w:rsidRPr="00431098">
        <w:rPr>
          <w:rFonts w:ascii="Arial" w:hAnsi="Arial" w:cs="Arial"/>
          <w:b/>
          <w:bCs/>
          <w:sz w:val="22"/>
          <w:szCs w:val="22"/>
        </w:rPr>
        <w:t>Date:</w:t>
      </w:r>
      <w:r w:rsidRPr="00431098">
        <w:rPr>
          <w:rFonts w:ascii="Arial" w:hAnsi="Arial" w:cs="Arial"/>
          <w:sz w:val="22"/>
          <w:szCs w:val="22"/>
        </w:rPr>
        <w:t xml:space="preserve"> 28 April 2026</w:t>
      </w:r>
      <w:r w:rsidRPr="00431098">
        <w:rPr>
          <w:rFonts w:ascii="Arial" w:hAnsi="Arial" w:cs="Arial"/>
          <w:sz w:val="22"/>
          <w:szCs w:val="22"/>
        </w:rPr>
        <w:br/>
      </w:r>
      <w:r w:rsidRPr="00431098">
        <w:rPr>
          <w:rFonts w:ascii="Arial" w:hAnsi="Arial" w:cs="Arial"/>
          <w:b/>
          <w:bCs/>
          <w:sz w:val="22"/>
          <w:szCs w:val="22"/>
        </w:rPr>
        <w:t>Subject:</w:t>
      </w:r>
      <w:r w:rsidRPr="00431098">
        <w:rPr>
          <w:rFonts w:ascii="Arial" w:hAnsi="Arial" w:cs="Arial"/>
          <w:sz w:val="22"/>
          <w:szCs w:val="22"/>
        </w:rPr>
        <w:t xml:space="preserve"> Applying attachment theory to improve psychological wellbeing in older adults living in residential care</w:t>
      </w:r>
    </w:p>
    <w:p w14:paraId="6F87E95C" w14:textId="77777777" w:rsidR="00431098" w:rsidRPr="00431098" w:rsidRDefault="00431098" w:rsidP="00431098">
      <w:pPr>
        <w:spacing w:line="360" w:lineRule="auto"/>
        <w:rPr>
          <w:rFonts w:ascii="Arial" w:hAnsi="Arial" w:cs="Arial"/>
          <w:b/>
          <w:bCs/>
          <w:sz w:val="22"/>
          <w:szCs w:val="22"/>
        </w:rPr>
      </w:pPr>
      <w:r w:rsidRPr="00431098">
        <w:rPr>
          <w:rFonts w:ascii="Arial" w:hAnsi="Arial" w:cs="Arial"/>
          <w:b/>
          <w:bCs/>
          <w:sz w:val="22"/>
          <w:szCs w:val="22"/>
        </w:rPr>
        <w:t>1. Introduction</w:t>
      </w:r>
    </w:p>
    <w:p w14:paraId="4C10542D"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 xml:space="preserve">This report explains how Bowlby’s attachment theory, as discussed by Browne and </w:t>
      </w:r>
      <w:proofErr w:type="spellStart"/>
      <w:r w:rsidRPr="00431098">
        <w:rPr>
          <w:rFonts w:ascii="Arial" w:hAnsi="Arial" w:cs="Arial"/>
          <w:sz w:val="22"/>
          <w:szCs w:val="22"/>
        </w:rPr>
        <w:t>Shlosberg</w:t>
      </w:r>
      <w:proofErr w:type="spellEnd"/>
      <w:r w:rsidRPr="00431098">
        <w:rPr>
          <w:rFonts w:ascii="Arial" w:hAnsi="Arial" w:cs="Arial"/>
          <w:sz w:val="22"/>
          <w:szCs w:val="22"/>
        </w:rPr>
        <w:t xml:space="preserve"> (2020) in the annotated bibliography, can be applied to enhance psychological wellbeing among older adults in residential care settings. The report provides a real</w:t>
      </w:r>
      <w:r w:rsidRPr="00431098">
        <w:rPr>
          <w:rFonts w:ascii="Arial" w:hAnsi="Arial" w:cs="Arial"/>
          <w:sz w:val="22"/>
          <w:szCs w:val="22"/>
        </w:rPr>
        <w:noBreakHyphen/>
        <w:t>world case scenario and addresses one key implementation challenge with a practical strategy.</w:t>
      </w:r>
    </w:p>
    <w:p w14:paraId="297A0F9A" w14:textId="77777777" w:rsidR="00431098" w:rsidRPr="00431098" w:rsidRDefault="00431098" w:rsidP="00431098">
      <w:pPr>
        <w:spacing w:line="360" w:lineRule="auto"/>
        <w:rPr>
          <w:rFonts w:ascii="Arial" w:hAnsi="Arial" w:cs="Arial"/>
          <w:b/>
          <w:bCs/>
          <w:sz w:val="22"/>
          <w:szCs w:val="22"/>
        </w:rPr>
      </w:pPr>
      <w:r w:rsidRPr="00431098">
        <w:rPr>
          <w:rFonts w:ascii="Arial" w:hAnsi="Arial" w:cs="Arial"/>
          <w:b/>
          <w:bCs/>
          <w:sz w:val="22"/>
          <w:szCs w:val="22"/>
        </w:rPr>
        <w:t>2. Summary of Attachment Theory relevant to residential care</w:t>
      </w:r>
    </w:p>
    <w:p w14:paraId="4AB544D6"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Bowlby’s attachment theory proposes that humans have an innate need to form close, enduring bonds with caregivers who provide safety, comfort and security. While originally developed for infant</w:t>
      </w:r>
      <w:r w:rsidRPr="00431098">
        <w:rPr>
          <w:rFonts w:ascii="Arial" w:hAnsi="Arial" w:cs="Arial"/>
          <w:sz w:val="22"/>
          <w:szCs w:val="22"/>
        </w:rPr>
        <w:noBreakHyphen/>
        <w:t xml:space="preserve">carer relationships, Browne and </w:t>
      </w:r>
      <w:proofErr w:type="spellStart"/>
      <w:r w:rsidRPr="00431098">
        <w:rPr>
          <w:rFonts w:ascii="Arial" w:hAnsi="Arial" w:cs="Arial"/>
          <w:sz w:val="22"/>
          <w:szCs w:val="22"/>
        </w:rPr>
        <w:t>Shlosberg</w:t>
      </w:r>
      <w:proofErr w:type="spellEnd"/>
      <w:r w:rsidRPr="00431098">
        <w:rPr>
          <w:rFonts w:ascii="Arial" w:hAnsi="Arial" w:cs="Arial"/>
          <w:sz w:val="22"/>
          <w:szCs w:val="22"/>
        </w:rPr>
        <w:t xml:space="preserve"> (2020) demonstrate that the attachment system remains active throughout life and becomes particularly salient during transitions, illness or dependency – all common experiences for care home residents.</w:t>
      </w:r>
    </w:p>
    <w:p w14:paraId="271EA0EF"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 xml:space="preserve">In a care home, staff effectively become ‘attachment </w:t>
      </w:r>
      <w:proofErr w:type="gramStart"/>
      <w:r w:rsidRPr="00431098">
        <w:rPr>
          <w:rFonts w:ascii="Arial" w:hAnsi="Arial" w:cs="Arial"/>
          <w:sz w:val="22"/>
          <w:szCs w:val="22"/>
        </w:rPr>
        <w:t>figures’</w:t>
      </w:r>
      <w:proofErr w:type="gramEnd"/>
      <w:r w:rsidRPr="00431098">
        <w:rPr>
          <w:rFonts w:ascii="Arial" w:hAnsi="Arial" w:cs="Arial"/>
          <w:sz w:val="22"/>
          <w:szCs w:val="22"/>
        </w:rPr>
        <w:t>. Residents may show attachment behaviours such as seeking proximity (following staff), using a ‘safe haven’ (returning to a familiar carer when distressed), and experiencing separation anxiety (upset when a favourite carer goes off shift). Secure attachment promotes feelings of safety, reduces anxiety and supports engagement in daily activities. Insecure attachment (anxious or avoidant styles) can lead to resistance to care, withdrawal, or excessive reassurance</w:t>
      </w:r>
      <w:r w:rsidRPr="00431098">
        <w:rPr>
          <w:rFonts w:ascii="Arial" w:hAnsi="Arial" w:cs="Arial"/>
          <w:sz w:val="22"/>
          <w:szCs w:val="22"/>
        </w:rPr>
        <w:noBreakHyphen/>
        <w:t>seeking.</w:t>
      </w:r>
    </w:p>
    <w:p w14:paraId="5D10A679"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 xml:space="preserve">Applying attachment theory means structuring care environments and staff interactions to meet residents’ underlying needs for </w:t>
      </w:r>
      <w:r w:rsidRPr="00431098">
        <w:rPr>
          <w:rFonts w:ascii="Arial" w:hAnsi="Arial" w:cs="Arial"/>
          <w:b/>
          <w:bCs/>
          <w:sz w:val="22"/>
          <w:szCs w:val="22"/>
        </w:rPr>
        <w:t>security, consistency and emotional availability</w:t>
      </w:r>
      <w:r w:rsidRPr="00431098">
        <w:rPr>
          <w:rFonts w:ascii="Arial" w:hAnsi="Arial" w:cs="Arial"/>
          <w:sz w:val="22"/>
          <w:szCs w:val="22"/>
        </w:rPr>
        <w:t xml:space="preserve"> – not merely physical care.</w:t>
      </w:r>
    </w:p>
    <w:p w14:paraId="62CF4BE4" w14:textId="77777777" w:rsidR="00431098" w:rsidRPr="00431098" w:rsidRDefault="00431098" w:rsidP="00431098">
      <w:pPr>
        <w:spacing w:line="360" w:lineRule="auto"/>
        <w:rPr>
          <w:rFonts w:ascii="Arial" w:hAnsi="Arial" w:cs="Arial"/>
          <w:b/>
          <w:bCs/>
          <w:sz w:val="22"/>
          <w:szCs w:val="22"/>
        </w:rPr>
      </w:pPr>
      <w:r w:rsidRPr="00431098">
        <w:rPr>
          <w:rFonts w:ascii="Arial" w:hAnsi="Arial" w:cs="Arial"/>
          <w:b/>
          <w:bCs/>
          <w:sz w:val="22"/>
          <w:szCs w:val="22"/>
        </w:rPr>
        <w:t>3. Real</w:t>
      </w:r>
      <w:r w:rsidRPr="00431098">
        <w:rPr>
          <w:rFonts w:ascii="Arial" w:hAnsi="Arial" w:cs="Arial"/>
          <w:b/>
          <w:bCs/>
          <w:sz w:val="22"/>
          <w:szCs w:val="22"/>
        </w:rPr>
        <w:noBreakHyphen/>
        <w:t>world case scenario: Mrs Patel</w:t>
      </w:r>
    </w:p>
    <w:p w14:paraId="0EF8AEFD"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Mrs Patel, aged 84, moved to the care home following a fall and worsening mobility. In her first two weeks, she repeatedly pressed her call bell, demanded specific staff members, and became tearful when night staff relieved her preferred daytime carer. Superficially, her behaviour seemed ‘demanding’ or ‘anxious’.</w:t>
      </w:r>
    </w:p>
    <w:p w14:paraId="755DD242"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lastRenderedPageBreak/>
        <w:t>Using an attachment lens, the home’s psychologist assessed that Mrs Patel had a history of early loss (both parents died when she was young) and had relied heavily on her late husband as an attachment figure. The move to residential care had activated her attachment system – she was seeking a new ‘safe haven’. The home implemented three attachment</w:t>
      </w:r>
      <w:r w:rsidRPr="00431098">
        <w:rPr>
          <w:rFonts w:ascii="Arial" w:hAnsi="Arial" w:cs="Arial"/>
          <w:sz w:val="22"/>
          <w:szCs w:val="22"/>
        </w:rPr>
        <w:noBreakHyphen/>
        <w:t>informed interventions:</w:t>
      </w:r>
    </w:p>
    <w:p w14:paraId="2B583094" w14:textId="77777777" w:rsidR="00431098" w:rsidRPr="00431098" w:rsidRDefault="00431098" w:rsidP="00431098">
      <w:pPr>
        <w:numPr>
          <w:ilvl w:val="0"/>
          <w:numId w:val="1"/>
        </w:numPr>
        <w:spacing w:line="360" w:lineRule="auto"/>
        <w:rPr>
          <w:rFonts w:ascii="Arial" w:hAnsi="Arial" w:cs="Arial"/>
          <w:sz w:val="22"/>
          <w:szCs w:val="22"/>
        </w:rPr>
      </w:pPr>
      <w:r w:rsidRPr="00431098">
        <w:rPr>
          <w:rFonts w:ascii="Arial" w:hAnsi="Arial" w:cs="Arial"/>
          <w:b/>
          <w:bCs/>
          <w:sz w:val="22"/>
          <w:szCs w:val="22"/>
        </w:rPr>
        <w:t>Key worker consistency:</w:t>
      </w:r>
      <w:r w:rsidRPr="00431098">
        <w:rPr>
          <w:rFonts w:ascii="Arial" w:hAnsi="Arial" w:cs="Arial"/>
          <w:sz w:val="22"/>
          <w:szCs w:val="22"/>
        </w:rPr>
        <w:t xml:space="preserve"> Maria, a calm, predictable carer, was allocated as Mrs Patel’s primary attachment figure, working the same shifts for four weeks.</w:t>
      </w:r>
    </w:p>
    <w:p w14:paraId="714C6851" w14:textId="77777777" w:rsidR="00431098" w:rsidRPr="00431098" w:rsidRDefault="00431098" w:rsidP="00431098">
      <w:pPr>
        <w:numPr>
          <w:ilvl w:val="0"/>
          <w:numId w:val="1"/>
        </w:numPr>
        <w:spacing w:line="360" w:lineRule="auto"/>
        <w:rPr>
          <w:rFonts w:ascii="Arial" w:hAnsi="Arial" w:cs="Arial"/>
          <w:sz w:val="22"/>
          <w:szCs w:val="22"/>
        </w:rPr>
      </w:pPr>
      <w:r w:rsidRPr="00431098">
        <w:rPr>
          <w:rFonts w:ascii="Arial" w:hAnsi="Arial" w:cs="Arial"/>
          <w:b/>
          <w:bCs/>
          <w:sz w:val="22"/>
          <w:szCs w:val="22"/>
        </w:rPr>
        <w:t>Transitional object:</w:t>
      </w:r>
      <w:r w:rsidRPr="00431098">
        <w:rPr>
          <w:rFonts w:ascii="Arial" w:hAnsi="Arial" w:cs="Arial"/>
          <w:sz w:val="22"/>
          <w:szCs w:val="22"/>
        </w:rPr>
        <w:t xml:space="preserve"> Mrs Patel was encouraged to keep a photo of her husband and a familiar blanket in her room as ‘proximity substitutes’.</w:t>
      </w:r>
    </w:p>
    <w:p w14:paraId="1B4AE15E" w14:textId="77777777" w:rsidR="00431098" w:rsidRPr="00431098" w:rsidRDefault="00431098" w:rsidP="00431098">
      <w:pPr>
        <w:numPr>
          <w:ilvl w:val="0"/>
          <w:numId w:val="1"/>
        </w:numPr>
        <w:spacing w:line="360" w:lineRule="auto"/>
        <w:rPr>
          <w:rFonts w:ascii="Arial" w:hAnsi="Arial" w:cs="Arial"/>
          <w:sz w:val="22"/>
          <w:szCs w:val="22"/>
        </w:rPr>
      </w:pPr>
      <w:r w:rsidRPr="00431098">
        <w:rPr>
          <w:rFonts w:ascii="Arial" w:hAnsi="Arial" w:cs="Arial"/>
          <w:b/>
          <w:bCs/>
          <w:sz w:val="22"/>
          <w:szCs w:val="22"/>
        </w:rPr>
        <w:t>Sensitive responsiveness:</w:t>
      </w:r>
      <w:r w:rsidRPr="00431098">
        <w:rPr>
          <w:rFonts w:ascii="Arial" w:hAnsi="Arial" w:cs="Arial"/>
          <w:sz w:val="22"/>
          <w:szCs w:val="22"/>
        </w:rPr>
        <w:t xml:space="preserve"> Staff were trained to respond to call bell use with gentle reassurance (‘I’m here, you are safe’) rather than efficiency</w:t>
      </w:r>
      <w:r w:rsidRPr="00431098">
        <w:rPr>
          <w:rFonts w:ascii="Arial" w:hAnsi="Arial" w:cs="Arial"/>
          <w:sz w:val="22"/>
          <w:szCs w:val="22"/>
        </w:rPr>
        <w:noBreakHyphen/>
        <w:t>focused ‘What do you need?’</w:t>
      </w:r>
    </w:p>
    <w:p w14:paraId="22B48308"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After six weeks, Mrs Patel’s call bell use reduced by 70%. She voluntarily joined the home’s coffee morning, using Maria as a secure base from which to explore social activities. Her wellbeing scores (PHQ</w:t>
      </w:r>
      <w:r w:rsidRPr="00431098">
        <w:rPr>
          <w:rFonts w:ascii="Arial" w:hAnsi="Arial" w:cs="Arial"/>
          <w:sz w:val="22"/>
          <w:szCs w:val="22"/>
        </w:rPr>
        <w:noBreakHyphen/>
        <w:t>9 and GAD</w:t>
      </w:r>
      <w:r w:rsidRPr="00431098">
        <w:rPr>
          <w:rFonts w:ascii="Arial" w:hAnsi="Arial" w:cs="Arial"/>
          <w:sz w:val="22"/>
          <w:szCs w:val="22"/>
        </w:rPr>
        <w:noBreakHyphen/>
        <w:t>7) moved from moderate depression/anxiety to subclinical range.</w:t>
      </w:r>
    </w:p>
    <w:p w14:paraId="02138002" w14:textId="77777777" w:rsidR="00431098" w:rsidRPr="00431098" w:rsidRDefault="00431098" w:rsidP="00431098">
      <w:pPr>
        <w:spacing w:line="360" w:lineRule="auto"/>
        <w:rPr>
          <w:rFonts w:ascii="Arial" w:hAnsi="Arial" w:cs="Arial"/>
          <w:b/>
          <w:bCs/>
          <w:sz w:val="22"/>
          <w:szCs w:val="22"/>
        </w:rPr>
      </w:pPr>
      <w:r w:rsidRPr="00431098">
        <w:rPr>
          <w:rFonts w:ascii="Arial" w:hAnsi="Arial" w:cs="Arial"/>
          <w:b/>
          <w:bCs/>
          <w:sz w:val="22"/>
          <w:szCs w:val="22"/>
        </w:rPr>
        <w:t>4. Challenge: Staff turnover and inconsistent attachment figures</w:t>
      </w:r>
    </w:p>
    <w:p w14:paraId="412285BF"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 xml:space="preserve">A significant challenge in applying attachment theory is </w:t>
      </w:r>
      <w:r w:rsidRPr="00431098">
        <w:rPr>
          <w:rFonts w:ascii="Arial" w:hAnsi="Arial" w:cs="Arial"/>
          <w:b/>
          <w:bCs/>
          <w:sz w:val="22"/>
          <w:szCs w:val="22"/>
        </w:rPr>
        <w:t>high staff turnover</w:t>
      </w:r>
      <w:r w:rsidRPr="00431098">
        <w:rPr>
          <w:rFonts w:ascii="Arial" w:hAnsi="Arial" w:cs="Arial"/>
          <w:sz w:val="22"/>
          <w:szCs w:val="22"/>
        </w:rPr>
        <w:t xml:space="preserve"> – agency workers, rotating shifts, or staff sickness prevent the formation of stable resident</w:t>
      </w:r>
      <w:r w:rsidRPr="00431098">
        <w:rPr>
          <w:rFonts w:ascii="Arial" w:hAnsi="Arial" w:cs="Arial"/>
          <w:sz w:val="22"/>
          <w:szCs w:val="22"/>
        </w:rPr>
        <w:noBreakHyphen/>
        <w:t>carer attachment relationships. Insecure attachment behaviours may worsen when residents repeatedly lose ‘their’ key worker, reinforcing fears of abandonment.</w:t>
      </w:r>
    </w:p>
    <w:p w14:paraId="6471D2FE" w14:textId="77777777" w:rsidR="00431098" w:rsidRPr="00431098" w:rsidRDefault="00431098" w:rsidP="00431098">
      <w:pPr>
        <w:spacing w:line="360" w:lineRule="auto"/>
        <w:rPr>
          <w:rFonts w:ascii="Arial" w:hAnsi="Arial" w:cs="Arial"/>
          <w:sz w:val="22"/>
          <w:szCs w:val="22"/>
        </w:rPr>
      </w:pPr>
      <w:r w:rsidRPr="00431098">
        <w:rPr>
          <w:rFonts w:ascii="Arial" w:hAnsi="Arial" w:cs="Arial"/>
          <w:b/>
          <w:bCs/>
          <w:sz w:val="22"/>
          <w:szCs w:val="22"/>
        </w:rPr>
        <w:t>Proposed strategy:</w:t>
      </w:r>
      <w:r w:rsidRPr="00431098">
        <w:rPr>
          <w:rFonts w:ascii="Arial" w:hAnsi="Arial" w:cs="Arial"/>
          <w:sz w:val="22"/>
          <w:szCs w:val="22"/>
        </w:rPr>
        <w:t xml:space="preserve"> Implement a </w:t>
      </w:r>
      <w:r w:rsidRPr="00431098">
        <w:rPr>
          <w:rFonts w:ascii="Arial" w:hAnsi="Arial" w:cs="Arial"/>
          <w:b/>
          <w:bCs/>
          <w:sz w:val="22"/>
          <w:szCs w:val="22"/>
        </w:rPr>
        <w:t>team attachment model</w:t>
      </w:r>
      <w:r w:rsidRPr="00431098">
        <w:rPr>
          <w:rFonts w:ascii="Arial" w:hAnsi="Arial" w:cs="Arial"/>
          <w:sz w:val="22"/>
          <w:szCs w:val="22"/>
        </w:rPr>
        <w:t xml:space="preserve"> rather than relying on a single individual. This involves:</w:t>
      </w:r>
    </w:p>
    <w:p w14:paraId="7DB84C9C" w14:textId="77777777" w:rsidR="00431098" w:rsidRPr="00431098" w:rsidRDefault="00431098" w:rsidP="00431098">
      <w:pPr>
        <w:numPr>
          <w:ilvl w:val="0"/>
          <w:numId w:val="2"/>
        </w:numPr>
        <w:spacing w:line="360" w:lineRule="auto"/>
        <w:rPr>
          <w:rFonts w:ascii="Arial" w:hAnsi="Arial" w:cs="Arial"/>
          <w:sz w:val="22"/>
          <w:szCs w:val="22"/>
        </w:rPr>
      </w:pPr>
      <w:r w:rsidRPr="00431098">
        <w:rPr>
          <w:rFonts w:ascii="Arial" w:hAnsi="Arial" w:cs="Arial"/>
          <w:sz w:val="22"/>
          <w:szCs w:val="22"/>
        </w:rPr>
        <w:t>Training all permanent staff as a ‘network of attachment figures’ using consistent verbal scripts and predictable routines.</w:t>
      </w:r>
    </w:p>
    <w:p w14:paraId="226003EB" w14:textId="77777777" w:rsidR="00431098" w:rsidRPr="00431098" w:rsidRDefault="00431098" w:rsidP="00431098">
      <w:pPr>
        <w:numPr>
          <w:ilvl w:val="0"/>
          <w:numId w:val="2"/>
        </w:numPr>
        <w:spacing w:line="360" w:lineRule="auto"/>
        <w:rPr>
          <w:rFonts w:ascii="Arial" w:hAnsi="Arial" w:cs="Arial"/>
          <w:sz w:val="22"/>
          <w:szCs w:val="22"/>
        </w:rPr>
      </w:pPr>
      <w:r w:rsidRPr="00431098">
        <w:rPr>
          <w:rFonts w:ascii="Arial" w:hAnsi="Arial" w:cs="Arial"/>
          <w:sz w:val="22"/>
          <w:szCs w:val="22"/>
        </w:rPr>
        <w:t xml:space="preserve">Using a handover protocol </w:t>
      </w:r>
      <w:proofErr w:type="gramStart"/>
      <w:r w:rsidRPr="00431098">
        <w:rPr>
          <w:rFonts w:ascii="Arial" w:hAnsi="Arial" w:cs="Arial"/>
          <w:sz w:val="22"/>
          <w:szCs w:val="22"/>
        </w:rPr>
        <w:t>where</w:t>
      </w:r>
      <w:proofErr w:type="gramEnd"/>
      <w:r w:rsidRPr="00431098">
        <w:rPr>
          <w:rFonts w:ascii="Arial" w:hAnsi="Arial" w:cs="Arial"/>
          <w:sz w:val="22"/>
          <w:szCs w:val="22"/>
        </w:rPr>
        <w:t xml:space="preserve"> leaving staff formally introduce the incoming worker to residents (e.g., ‘This is James. He knows all about your garden photos. I have told him how much you enjoy your morning cup of tea.’).</w:t>
      </w:r>
    </w:p>
    <w:p w14:paraId="588322F7" w14:textId="77777777" w:rsidR="00431098" w:rsidRPr="00431098" w:rsidRDefault="00431098" w:rsidP="00431098">
      <w:pPr>
        <w:numPr>
          <w:ilvl w:val="0"/>
          <w:numId w:val="2"/>
        </w:numPr>
        <w:spacing w:line="360" w:lineRule="auto"/>
        <w:rPr>
          <w:rFonts w:ascii="Arial" w:hAnsi="Arial" w:cs="Arial"/>
          <w:sz w:val="22"/>
          <w:szCs w:val="22"/>
        </w:rPr>
      </w:pPr>
      <w:r w:rsidRPr="00431098">
        <w:rPr>
          <w:rFonts w:ascii="Arial" w:hAnsi="Arial" w:cs="Arial"/>
          <w:sz w:val="22"/>
          <w:szCs w:val="22"/>
        </w:rPr>
        <w:t xml:space="preserve">Introducing </w:t>
      </w:r>
      <w:r w:rsidRPr="00431098">
        <w:rPr>
          <w:rFonts w:ascii="Arial" w:hAnsi="Arial" w:cs="Arial"/>
          <w:b/>
          <w:bCs/>
          <w:sz w:val="22"/>
          <w:szCs w:val="22"/>
        </w:rPr>
        <w:t>attachment</w:t>
      </w:r>
      <w:r w:rsidRPr="00431098">
        <w:rPr>
          <w:rFonts w:ascii="Arial" w:hAnsi="Arial" w:cs="Arial"/>
          <w:b/>
          <w:bCs/>
          <w:sz w:val="22"/>
          <w:szCs w:val="22"/>
        </w:rPr>
        <w:noBreakHyphen/>
        <w:t>sensitive recruitment</w:t>
      </w:r>
      <w:r w:rsidRPr="00431098">
        <w:rPr>
          <w:rFonts w:ascii="Arial" w:hAnsi="Arial" w:cs="Arial"/>
          <w:sz w:val="22"/>
          <w:szCs w:val="22"/>
        </w:rPr>
        <w:t xml:space="preserve"> – selecting staff for emotional availability and reflective capacity, not only technical skills.</w:t>
      </w:r>
    </w:p>
    <w:p w14:paraId="39E13A58" w14:textId="77777777" w:rsidR="00431098" w:rsidRPr="00431098" w:rsidRDefault="00431098" w:rsidP="00431098">
      <w:pPr>
        <w:numPr>
          <w:ilvl w:val="0"/>
          <w:numId w:val="2"/>
        </w:numPr>
        <w:spacing w:line="360" w:lineRule="auto"/>
        <w:rPr>
          <w:rFonts w:ascii="Arial" w:hAnsi="Arial" w:cs="Arial"/>
          <w:sz w:val="22"/>
          <w:szCs w:val="22"/>
        </w:rPr>
      </w:pPr>
      <w:r w:rsidRPr="00431098">
        <w:rPr>
          <w:rFonts w:ascii="Arial" w:hAnsi="Arial" w:cs="Arial"/>
          <w:sz w:val="22"/>
          <w:szCs w:val="22"/>
        </w:rPr>
        <w:lastRenderedPageBreak/>
        <w:t>Creating a ‘resident life story passport’ that highlights attachment history (e.g., ‘prefers female carers’, ‘became distressed after previous home move’) to inform agency workers.</w:t>
      </w:r>
    </w:p>
    <w:p w14:paraId="4DCB4676"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This strategy reduces reliance on any one person while preserving the psychological function of the attachment system – felt security and predictable comfort.</w:t>
      </w:r>
    </w:p>
    <w:p w14:paraId="0A5AF8F5" w14:textId="77777777" w:rsidR="00431098" w:rsidRPr="00431098" w:rsidRDefault="00431098" w:rsidP="00431098">
      <w:pPr>
        <w:spacing w:line="360" w:lineRule="auto"/>
        <w:rPr>
          <w:rFonts w:ascii="Arial" w:hAnsi="Arial" w:cs="Arial"/>
          <w:b/>
          <w:bCs/>
          <w:sz w:val="22"/>
          <w:szCs w:val="22"/>
        </w:rPr>
      </w:pPr>
      <w:r w:rsidRPr="00431098">
        <w:rPr>
          <w:rFonts w:ascii="Arial" w:hAnsi="Arial" w:cs="Arial"/>
          <w:b/>
          <w:bCs/>
          <w:sz w:val="22"/>
          <w:szCs w:val="22"/>
        </w:rPr>
        <w:t>5. Conclusion</w:t>
      </w:r>
    </w:p>
    <w:p w14:paraId="5F0D8B8B"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Attachment theory offers a powerful, evidence</w:t>
      </w:r>
      <w:r w:rsidRPr="00431098">
        <w:rPr>
          <w:rFonts w:ascii="Arial" w:hAnsi="Arial" w:cs="Arial"/>
          <w:sz w:val="22"/>
          <w:szCs w:val="22"/>
        </w:rPr>
        <w:noBreakHyphen/>
        <w:t xml:space="preserve">based framework for understanding and responding to the emotional needs of older adults in residential care. The case of Mrs Patel illustrates </w:t>
      </w:r>
      <w:proofErr w:type="gramStart"/>
      <w:r w:rsidRPr="00431098">
        <w:rPr>
          <w:rFonts w:ascii="Arial" w:hAnsi="Arial" w:cs="Arial"/>
          <w:sz w:val="22"/>
          <w:szCs w:val="22"/>
        </w:rPr>
        <w:t>that small changes</w:t>
      </w:r>
      <w:proofErr w:type="gramEnd"/>
      <w:r w:rsidRPr="00431098">
        <w:rPr>
          <w:rFonts w:ascii="Arial" w:hAnsi="Arial" w:cs="Arial"/>
          <w:sz w:val="22"/>
          <w:szCs w:val="22"/>
        </w:rPr>
        <w:t xml:space="preserve"> – consistent key workers, transitional objects, sensitive responsiveness – can transform psychological wellbeing. The main barrier of staff turnover can be mitigated through team attachment models and robust handover protocols. Health and social care professionals are encouraged to integrate attachment principles into daily practice, shifting from a purely task</w:t>
      </w:r>
      <w:r w:rsidRPr="00431098">
        <w:rPr>
          <w:rFonts w:ascii="Arial" w:hAnsi="Arial" w:cs="Arial"/>
          <w:sz w:val="22"/>
          <w:szCs w:val="22"/>
        </w:rPr>
        <w:noBreakHyphen/>
        <w:t>focused to a relationship</w:t>
      </w:r>
      <w:r w:rsidRPr="00431098">
        <w:rPr>
          <w:rFonts w:ascii="Arial" w:hAnsi="Arial" w:cs="Arial"/>
          <w:sz w:val="22"/>
          <w:szCs w:val="22"/>
        </w:rPr>
        <w:noBreakHyphen/>
        <w:t>centred culture.</w:t>
      </w:r>
    </w:p>
    <w:p w14:paraId="25AF4AB5" w14:textId="77777777" w:rsidR="00431098" w:rsidRPr="00431098" w:rsidRDefault="00431098" w:rsidP="00431098">
      <w:pPr>
        <w:spacing w:line="360" w:lineRule="auto"/>
        <w:rPr>
          <w:rFonts w:ascii="Arial" w:hAnsi="Arial" w:cs="Arial"/>
          <w:b/>
          <w:bCs/>
          <w:sz w:val="22"/>
          <w:szCs w:val="22"/>
        </w:rPr>
      </w:pPr>
      <w:r w:rsidRPr="00431098">
        <w:rPr>
          <w:rFonts w:ascii="Arial" w:hAnsi="Arial" w:cs="Arial"/>
          <w:b/>
          <w:bCs/>
          <w:sz w:val="22"/>
          <w:szCs w:val="22"/>
        </w:rPr>
        <w:t>Reference</w:t>
      </w:r>
    </w:p>
    <w:p w14:paraId="50D1DB38" w14:textId="77777777" w:rsidR="00431098" w:rsidRPr="00431098" w:rsidRDefault="00431098" w:rsidP="00431098">
      <w:pPr>
        <w:spacing w:line="360" w:lineRule="auto"/>
        <w:rPr>
          <w:rFonts w:ascii="Arial" w:hAnsi="Arial" w:cs="Arial"/>
          <w:sz w:val="22"/>
          <w:szCs w:val="22"/>
        </w:rPr>
      </w:pPr>
      <w:r w:rsidRPr="00431098">
        <w:rPr>
          <w:rFonts w:ascii="Arial" w:hAnsi="Arial" w:cs="Arial"/>
          <w:sz w:val="22"/>
          <w:szCs w:val="22"/>
        </w:rPr>
        <w:t xml:space="preserve">Browne, C.J. and Shlosberg, M. (2020) ‘Attachment theory and the transition to residential aged care: clinical implications for older adults’, </w:t>
      </w:r>
      <w:r w:rsidRPr="00431098">
        <w:rPr>
          <w:rFonts w:ascii="Arial" w:hAnsi="Arial" w:cs="Arial"/>
          <w:i/>
          <w:iCs/>
          <w:sz w:val="22"/>
          <w:szCs w:val="22"/>
        </w:rPr>
        <w:t>Clinical Gerontologist</w:t>
      </w:r>
      <w:r w:rsidRPr="00431098">
        <w:rPr>
          <w:rFonts w:ascii="Arial" w:hAnsi="Arial" w:cs="Arial"/>
          <w:sz w:val="22"/>
          <w:szCs w:val="22"/>
        </w:rPr>
        <w:t>, 43(5), pp. 487-499.</w:t>
      </w:r>
    </w:p>
    <w:p w14:paraId="6D61F7B2" w14:textId="77777777" w:rsidR="00431098" w:rsidRPr="00431098" w:rsidRDefault="00431098" w:rsidP="00431098">
      <w:pPr>
        <w:spacing w:line="360" w:lineRule="auto"/>
        <w:rPr>
          <w:rFonts w:ascii="Arial" w:hAnsi="Arial" w:cs="Arial"/>
          <w:sz w:val="22"/>
          <w:szCs w:val="22"/>
        </w:rPr>
      </w:pPr>
    </w:p>
    <w:sectPr w:rsidR="00431098" w:rsidRPr="00431098" w:rsidSect="00431098">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A67AA5" w14:textId="77777777" w:rsidR="008B7517" w:rsidRDefault="008B7517" w:rsidP="00431098">
      <w:pPr>
        <w:spacing w:after="0" w:line="240" w:lineRule="auto"/>
      </w:pPr>
      <w:r>
        <w:separator/>
      </w:r>
    </w:p>
  </w:endnote>
  <w:endnote w:type="continuationSeparator" w:id="0">
    <w:p w14:paraId="53519F05" w14:textId="77777777" w:rsidR="008B7517" w:rsidRDefault="008B7517" w:rsidP="00431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9221633"/>
      <w:docPartObj>
        <w:docPartGallery w:val="Page Numbers (Bottom of Page)"/>
        <w:docPartUnique/>
      </w:docPartObj>
    </w:sdtPr>
    <w:sdtEndPr>
      <w:rPr>
        <w:noProof/>
      </w:rPr>
    </w:sdtEndPr>
    <w:sdtContent>
      <w:p w14:paraId="3778CE5C" w14:textId="6D432C34" w:rsidR="00431098" w:rsidRDefault="004310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0B0A08" w14:textId="77777777" w:rsidR="00431098" w:rsidRDefault="00431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C9E464" w14:textId="77777777" w:rsidR="008B7517" w:rsidRDefault="008B7517" w:rsidP="00431098">
      <w:pPr>
        <w:spacing w:after="0" w:line="240" w:lineRule="auto"/>
      </w:pPr>
      <w:r>
        <w:separator/>
      </w:r>
    </w:p>
  </w:footnote>
  <w:footnote w:type="continuationSeparator" w:id="0">
    <w:p w14:paraId="405F213A" w14:textId="77777777" w:rsidR="008B7517" w:rsidRDefault="008B7517" w:rsidP="004310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9706BC"/>
    <w:multiLevelType w:val="multilevel"/>
    <w:tmpl w:val="F07EC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CF0060B"/>
    <w:multiLevelType w:val="multilevel"/>
    <w:tmpl w:val="21FAE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2294919">
    <w:abstractNumId w:val="0"/>
  </w:num>
  <w:num w:numId="2" w16cid:durableId="8166541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E9F"/>
    <w:rsid w:val="002A0019"/>
    <w:rsid w:val="002C5A61"/>
    <w:rsid w:val="00431098"/>
    <w:rsid w:val="00800D75"/>
    <w:rsid w:val="008B7517"/>
    <w:rsid w:val="00B02CA0"/>
    <w:rsid w:val="00C77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AC79F"/>
  <w15:chartTrackingRefBased/>
  <w15:docId w15:val="{6ED3FF97-ACB5-4A54-9AB4-C51FB0B5B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E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7E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7E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7E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7E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7E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E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E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E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E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7E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7E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7E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7E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7E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E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E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E9F"/>
    <w:rPr>
      <w:rFonts w:eastAsiaTheme="majorEastAsia" w:cstheme="majorBidi"/>
      <w:color w:val="272727" w:themeColor="text1" w:themeTint="D8"/>
    </w:rPr>
  </w:style>
  <w:style w:type="paragraph" w:styleId="Title">
    <w:name w:val="Title"/>
    <w:basedOn w:val="Normal"/>
    <w:next w:val="Normal"/>
    <w:link w:val="TitleChar"/>
    <w:uiPriority w:val="10"/>
    <w:qFormat/>
    <w:rsid w:val="00C77E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E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E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E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E9F"/>
    <w:pPr>
      <w:spacing w:before="160"/>
      <w:jc w:val="center"/>
    </w:pPr>
    <w:rPr>
      <w:i/>
      <w:iCs/>
      <w:color w:val="404040" w:themeColor="text1" w:themeTint="BF"/>
    </w:rPr>
  </w:style>
  <w:style w:type="character" w:customStyle="1" w:styleId="QuoteChar">
    <w:name w:val="Quote Char"/>
    <w:basedOn w:val="DefaultParagraphFont"/>
    <w:link w:val="Quote"/>
    <w:uiPriority w:val="29"/>
    <w:rsid w:val="00C77E9F"/>
    <w:rPr>
      <w:i/>
      <w:iCs/>
      <w:color w:val="404040" w:themeColor="text1" w:themeTint="BF"/>
    </w:rPr>
  </w:style>
  <w:style w:type="paragraph" w:styleId="ListParagraph">
    <w:name w:val="List Paragraph"/>
    <w:basedOn w:val="Normal"/>
    <w:uiPriority w:val="34"/>
    <w:qFormat/>
    <w:rsid w:val="00C77E9F"/>
    <w:pPr>
      <w:ind w:left="720"/>
      <w:contextualSpacing/>
    </w:pPr>
  </w:style>
  <w:style w:type="character" w:styleId="IntenseEmphasis">
    <w:name w:val="Intense Emphasis"/>
    <w:basedOn w:val="DefaultParagraphFont"/>
    <w:uiPriority w:val="21"/>
    <w:qFormat/>
    <w:rsid w:val="00C77E9F"/>
    <w:rPr>
      <w:i/>
      <w:iCs/>
      <w:color w:val="0F4761" w:themeColor="accent1" w:themeShade="BF"/>
    </w:rPr>
  </w:style>
  <w:style w:type="paragraph" w:styleId="IntenseQuote">
    <w:name w:val="Intense Quote"/>
    <w:basedOn w:val="Normal"/>
    <w:next w:val="Normal"/>
    <w:link w:val="IntenseQuoteChar"/>
    <w:uiPriority w:val="30"/>
    <w:qFormat/>
    <w:rsid w:val="00C77E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7E9F"/>
    <w:rPr>
      <w:i/>
      <w:iCs/>
      <w:color w:val="0F4761" w:themeColor="accent1" w:themeShade="BF"/>
    </w:rPr>
  </w:style>
  <w:style w:type="character" w:styleId="IntenseReference">
    <w:name w:val="Intense Reference"/>
    <w:basedOn w:val="DefaultParagraphFont"/>
    <w:uiPriority w:val="32"/>
    <w:qFormat/>
    <w:rsid w:val="00C77E9F"/>
    <w:rPr>
      <w:b/>
      <w:bCs/>
      <w:smallCaps/>
      <w:color w:val="0F4761" w:themeColor="accent1" w:themeShade="BF"/>
      <w:spacing w:val="5"/>
    </w:rPr>
  </w:style>
  <w:style w:type="paragraph" w:styleId="Header">
    <w:name w:val="header"/>
    <w:basedOn w:val="Normal"/>
    <w:link w:val="HeaderChar"/>
    <w:uiPriority w:val="99"/>
    <w:unhideWhenUsed/>
    <w:rsid w:val="004310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098"/>
  </w:style>
  <w:style w:type="paragraph" w:styleId="Footer">
    <w:name w:val="footer"/>
    <w:basedOn w:val="Normal"/>
    <w:link w:val="FooterChar"/>
    <w:uiPriority w:val="99"/>
    <w:unhideWhenUsed/>
    <w:rsid w:val="004310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0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1876</Words>
  <Characters>10696</Characters>
  <Application>Microsoft Office Word</Application>
  <DocSecurity>0</DocSecurity>
  <Lines>89</Lines>
  <Paragraphs>25</Paragraphs>
  <ScaleCrop>false</ScaleCrop>
  <Company/>
  <LinksUpToDate>false</LinksUpToDate>
  <CharactersWithSpaces>12547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Reshad</dc:creator>
  <cp:keywords/>
  <dc:description/>
  <cp:lastModifiedBy>Reshad</cp:lastModifiedBy>
  <cp:revision>2</cp:revision>
  <dcterms:created xsi:type="dcterms:W3CDTF">2026-04-28T17:27:00Z</dcterms:created>
  <dcterms:modified xsi:type="dcterms:W3CDTF">2026-04-28T17:35:00Z</dcterms:modified>
</cp:coreProperties>
</file>