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16159" w:rsidP="2DAF78FE" w:rsidRDefault="6C4604F4" w14:paraId="5E5787A5" w14:textId="49F0F9F7">
      <w:pPr>
        <w:rPr>
          <w:sz w:val="28"/>
          <w:szCs w:val="28"/>
        </w:rPr>
      </w:pPr>
      <w:r w:rsidRPr="2DAF78FE" w:rsidR="2EF63939">
        <w:rPr>
          <w:sz w:val="28"/>
          <w:szCs w:val="28"/>
        </w:rPr>
        <w:t>Health promotion event report</w:t>
      </w:r>
    </w:p>
    <w:p w:rsidR="66F0B6DD" w:rsidRDefault="66F0B6DD" w14:paraId="1F957209" w14:textId="4A8F6C7C"/>
    <w:p w:rsidR="66F0B6DD" w:rsidP="296D41EC" w:rsidRDefault="5E67BF7B" w14:paraId="5296C7C4" w14:textId="6F05CB45">
      <w:r>
        <w:t xml:space="preserve">Health promotion event </w:t>
      </w:r>
    </w:p>
    <w:p w:rsidR="66F0B6DD" w:rsidP="296D41EC" w:rsidRDefault="7C25AF7D" w14:paraId="60BE0CDB" w14:textId="7C7A7EC9">
      <w:pPr>
        <w:spacing w:line="360" w:lineRule="auto"/>
      </w:pPr>
      <w:r w:rsidR="2B4D3224">
        <w:rPr/>
        <w:t xml:space="preserve">A health promotion event was undertaken to </w:t>
      </w:r>
      <w:r w:rsidR="122018F6">
        <w:rPr/>
        <w:t>assess</w:t>
      </w:r>
      <w:r w:rsidR="2B4D3224">
        <w:rPr/>
        <w:t xml:space="preserve"> the knowledge of fibre within </w:t>
      </w:r>
      <w:r w:rsidR="0541C97D">
        <w:rPr/>
        <w:t>a university.</w:t>
      </w:r>
      <w:r w:rsidR="4BAC5F3A">
        <w:rPr/>
        <w:t xml:space="preserve"> A stand was created to </w:t>
      </w:r>
      <w:r w:rsidR="4BAC5F3A">
        <w:rPr/>
        <w:t>demonstrate</w:t>
      </w:r>
      <w:r w:rsidR="4BAC5F3A">
        <w:rPr/>
        <w:t xml:space="preserve"> the crucial information on fibre</w:t>
      </w:r>
      <w:r w:rsidR="0541C97D">
        <w:rPr/>
        <w:t xml:space="preserve"> </w:t>
      </w:r>
      <w:r w:rsidR="38132783">
        <w:rPr/>
        <w:t xml:space="preserve">to increase awareness on this under consumed nutrient. </w:t>
      </w:r>
      <w:r w:rsidR="289A1EDB">
        <w:rPr/>
        <w:t>When deciding a topic for the stand,</w:t>
      </w:r>
      <w:r w:rsidR="289A1EDB">
        <w:rPr/>
        <w:t xml:space="preserve"> it was vital that the topic was suitable for the environment and a topic that could raise a lot of awareness. Fibre is a hot topic within society, but for the wrong reasons. Many people do not understand fibre for what it is and fibre with holds many misconceptions (Barret, </w:t>
      </w:r>
      <w:bookmarkStart w:name="_Int_TkjiAyMS" w:id="1380236687"/>
      <w:r w:rsidR="289A1EDB">
        <w:rPr/>
        <w:t>Foster</w:t>
      </w:r>
      <w:bookmarkEnd w:id="1380236687"/>
      <w:r w:rsidR="289A1EDB">
        <w:rPr/>
        <w:t xml:space="preserve"> and Beck, 2020). The fibre stand was placed within a university cafe as it was a busy area, especially during peak lunch time hours and other people including staff and visitors often passed through. This allow</w:t>
      </w:r>
      <w:r w:rsidR="289A1EDB">
        <w:rPr/>
        <w:t>ed</w:t>
      </w:r>
      <w:r w:rsidR="27629AF0">
        <w:rPr/>
        <w:t xml:space="preserve"> more individuals to be </w:t>
      </w:r>
      <w:r w:rsidR="289A1EDB">
        <w:rPr/>
        <w:t>sp</w:t>
      </w:r>
      <w:r w:rsidR="36804172">
        <w:rPr/>
        <w:t>oken</w:t>
      </w:r>
      <w:r w:rsidR="289A1EDB">
        <w:rPr/>
        <w:t xml:space="preserve"> to</w:t>
      </w:r>
      <w:r w:rsidR="61A53042">
        <w:rPr/>
        <w:t>, to</w:t>
      </w:r>
      <w:r w:rsidR="289A1EDB">
        <w:rPr/>
        <w:t xml:space="preserve"> </w:t>
      </w:r>
      <w:r w:rsidR="289A1EDB">
        <w:rPr/>
        <w:t xml:space="preserve">raise awareness to all </w:t>
      </w:r>
      <w:r w:rsidR="5534FE8F">
        <w:rPr/>
        <w:t>possible</w:t>
      </w:r>
      <w:r w:rsidR="289A1EDB">
        <w:rPr/>
        <w:t xml:space="preserve"> on this vital topic.</w:t>
      </w:r>
    </w:p>
    <w:p w:rsidR="66F0B6DD" w:rsidP="296D41EC" w:rsidRDefault="7C25AF7D" w14:paraId="3B05B605" w14:textId="3BB8E9E5">
      <w:pPr>
        <w:spacing w:line="360" w:lineRule="auto"/>
      </w:pPr>
      <w:r>
        <w:t xml:space="preserve">Fibre plays a crucial role in maintaining digestive health and preventing long terms illnesses such as colorectal cancer as well as regulating body weight, influences immune function and contributes to the control of diabetes (Ljubicic </w:t>
      </w:r>
      <w:r w:rsidRPr="296D41EC">
        <w:rPr>
          <w:i/>
          <w:iCs/>
        </w:rPr>
        <w:t>et al</w:t>
      </w:r>
      <w:r>
        <w:t>., 2017). Increasing the knowledge of fibre will allow for the students and people in and surrounding area to prevent themselves of developing any illness through low intake of fibre as the majority of the population within the UK and the world do not meet the recommended intake for fibre (Gressier and Frost, 2021).</w:t>
      </w:r>
    </w:p>
    <w:p w:rsidR="66F0B6DD" w:rsidP="296D41EC" w:rsidRDefault="7C25AF7D" w14:paraId="2F50BE04" w14:textId="28FC909B">
      <w:pPr>
        <w:spacing w:line="360" w:lineRule="auto"/>
      </w:pPr>
      <w:r w:rsidR="289A1EDB">
        <w:rPr/>
        <w:t>The main aim for the event was to raise awareness of fibre. Through explaining what fibre is and explaining the Dietary Reference Values (DRV) (Dietary Reference Values, 1991</w:t>
      </w:r>
      <w:r w:rsidR="289A1EDB">
        <w:rPr/>
        <w:t xml:space="preserve">) </w:t>
      </w:r>
      <w:r w:rsidR="0D56870B">
        <w:rPr/>
        <w:t>a game was conducted with fake foods and props to guess the amount of fibre in each</w:t>
      </w:r>
      <w:r w:rsidR="289A1EDB">
        <w:rPr/>
        <w:t>. There were props such as fake foods in front of the stand and the attendees had to guess which one had the highest fibre content. As fibre holds a massive role is digestive health,  the attendees</w:t>
      </w:r>
      <w:r w:rsidR="58BB1C60">
        <w:rPr/>
        <w:t xml:space="preserve"> were asked</w:t>
      </w:r>
      <w:r w:rsidR="289A1EDB">
        <w:rPr/>
        <w:t xml:space="preserve"> if they know what a healthy colour of urine should look like and what type of stool is classified as healthy through using urine chart and the Bristol stool chart (Bristol Stool Chart, 2023) on the board. Overall, </w:t>
      </w:r>
      <w:r w:rsidR="72C9AA8A">
        <w:rPr/>
        <w:t>assessing</w:t>
      </w:r>
      <w:r w:rsidR="289A1EDB">
        <w:rPr/>
        <w:t xml:space="preserve"> the attendee's knowledge through asking </w:t>
      </w:r>
      <w:bookmarkStart w:name="_Int_XJy4GNlw" w:id="19863989"/>
      <w:r w:rsidR="289A1EDB">
        <w:rPr/>
        <w:t>general questions</w:t>
      </w:r>
      <w:bookmarkEnd w:id="19863989"/>
      <w:r w:rsidR="289A1EDB">
        <w:rPr/>
        <w:t xml:space="preserve"> on fibre to then know what the most suitable way would be of </w:t>
      </w:r>
      <w:r w:rsidR="289A1EDB">
        <w:rPr/>
        <w:t>advising</w:t>
      </w:r>
      <w:r w:rsidR="289A1EDB">
        <w:rPr/>
        <w:t xml:space="preserve"> them on their own fibre intake</w:t>
      </w:r>
      <w:r w:rsidR="166F5BC0">
        <w:rPr/>
        <w:t xml:space="preserve"> was crucial</w:t>
      </w:r>
      <w:r w:rsidR="289A1EDB">
        <w:rPr/>
        <w:t>.</w:t>
      </w:r>
    </w:p>
    <w:p w:rsidR="66F0B6DD" w:rsidP="296D41EC" w:rsidRDefault="7C25AF7D" w14:paraId="528AF4BA" w14:textId="4C1636BD">
      <w:pPr>
        <w:spacing w:line="360" w:lineRule="auto"/>
      </w:pPr>
      <w:r w:rsidR="289A1EDB">
        <w:rPr/>
        <w:t xml:space="preserve">This event took thorough planning such as meetings once a week to plan and prepare </w:t>
      </w:r>
      <w:r w:rsidR="18410DFE">
        <w:rPr/>
        <w:t>the</w:t>
      </w:r>
      <w:r w:rsidR="289A1EDB">
        <w:rPr/>
        <w:t xml:space="preserve"> stand. Discussion took place on how to speak about fibre in the most efficient way while ensuring the correct information gets across to the attendees. When the event took place,</w:t>
      </w:r>
      <w:r w:rsidR="740620A0">
        <w:rPr/>
        <w:t xml:space="preserve"> each attendee</w:t>
      </w:r>
      <w:r w:rsidR="289A1EDB">
        <w:rPr/>
        <w:t xml:space="preserve"> </w:t>
      </w:r>
      <w:r w:rsidR="1CFDD605">
        <w:rPr/>
        <w:t>was spoken to for</w:t>
      </w:r>
      <w:r w:rsidR="289A1EDB">
        <w:rPr/>
        <w:t xml:space="preserve"> 2</w:t>
      </w:r>
      <w:r w:rsidR="289A1EDB">
        <w:rPr/>
        <w:t>-5 minutes going through everything they knew as well as speaking about the information on the board. All were asked to complete a digital or paper copy of the questionnaire that was made to assess their knowledge on fibre after. Once completed the form they were allowed to choose a prize of their choice ranging from highlighters to water bottles to bags with some informative letters to read in their own time.</w:t>
      </w:r>
    </w:p>
    <w:p w:rsidR="66F0B6DD" w:rsidRDefault="66F0B6DD" w14:paraId="01B61E7F" w14:textId="12C810A8"/>
    <w:p w:rsidR="66F0B6DD" w:rsidP="296D41EC" w:rsidRDefault="5E67BF7B" w14:paraId="0DDD50FC" w14:textId="056AE376">
      <w:pPr>
        <w:spacing w:line="360" w:lineRule="auto"/>
      </w:pPr>
      <w:r>
        <w:t xml:space="preserve">Assess the effectiveness of the health promotion event </w:t>
      </w:r>
    </w:p>
    <w:p w:rsidR="66F0B6DD" w:rsidP="296D41EC" w:rsidRDefault="2CFC4E98" w14:paraId="7CC0066D" w14:textId="34BCEB96">
      <w:pPr>
        <w:spacing w:line="360" w:lineRule="auto"/>
      </w:pPr>
      <w:bookmarkStart w:name="_Int_uWCYmsE0" w:id="616295582"/>
      <w:r w:rsidR="0F0FD499">
        <w:rPr/>
        <w:t>In order to</w:t>
      </w:r>
      <w:bookmarkEnd w:id="616295582"/>
      <w:r w:rsidR="0F0FD499">
        <w:rPr/>
        <w:t xml:space="preserve"> </w:t>
      </w:r>
      <w:r w:rsidR="2C447AD6">
        <w:rPr/>
        <w:t>assess the effectiveness of the health promotion initiative a questionnaire was provided to the attendees to complete once fibre</w:t>
      </w:r>
      <w:r w:rsidR="42592D6D">
        <w:rPr/>
        <w:t xml:space="preserve"> was discussed</w:t>
      </w:r>
      <w:r w:rsidR="2C447AD6">
        <w:rPr/>
        <w:t xml:space="preserve">. The data provided from the questionnaire was analysed through Microsoft excel and graphs were provided to </w:t>
      </w:r>
      <w:r w:rsidR="2C447AD6">
        <w:rPr/>
        <w:t>demonstrate</w:t>
      </w:r>
      <w:r w:rsidR="2C447AD6">
        <w:rPr/>
        <w:t xml:space="preserve"> the data. </w:t>
      </w:r>
    </w:p>
    <w:p w:rsidR="66F0B6DD" w:rsidP="296D41EC" w:rsidRDefault="2CFC4E98" w14:paraId="79392289" w14:textId="28034749">
      <w:pPr>
        <w:spacing w:line="360" w:lineRule="auto"/>
      </w:pPr>
      <w:r w:rsidR="2C447AD6">
        <w:rPr/>
        <w:t xml:space="preserve">When first speaking to the attendees the </w:t>
      </w:r>
      <w:bookmarkStart w:name="_Int_ThYC1hwj" w:id="0"/>
      <w:r w:rsidR="2C447AD6">
        <w:rPr/>
        <w:t>general consensus</w:t>
      </w:r>
      <w:bookmarkEnd w:id="0"/>
      <w:r w:rsidR="2C447AD6">
        <w:rPr/>
        <w:t xml:space="preserve"> on their knowledge of fibre was poor. This made a foundation for to work on to ensure </w:t>
      </w:r>
      <w:r w:rsidR="657CDAAB">
        <w:rPr/>
        <w:t xml:space="preserve">all information is </w:t>
      </w:r>
      <w:r w:rsidR="064A6B8B">
        <w:rPr/>
        <w:t>provided</w:t>
      </w:r>
      <w:r w:rsidR="657CDAAB">
        <w:rPr/>
        <w:t xml:space="preserve"> to the attendees</w:t>
      </w:r>
      <w:r w:rsidR="2C447AD6">
        <w:rPr/>
        <w:t xml:space="preserve">. As </w:t>
      </w:r>
      <w:r w:rsidR="2BC3CFF6">
        <w:rPr/>
        <w:t xml:space="preserve">each attendee </w:t>
      </w:r>
      <w:r w:rsidR="2C447AD6">
        <w:rPr/>
        <w:t xml:space="preserve">only had around 2-5 minutes, </w:t>
      </w:r>
      <w:r w:rsidR="2C447AD6">
        <w:rPr/>
        <w:t>remain</w:t>
      </w:r>
      <w:r w:rsidR="2F00B40E">
        <w:rPr/>
        <w:t>ing</w:t>
      </w:r>
      <w:r w:rsidR="2C447AD6">
        <w:rPr/>
        <w:t xml:space="preserve"> </w:t>
      </w:r>
      <w:r w:rsidR="2C447AD6">
        <w:rPr/>
        <w:t>concise</w:t>
      </w:r>
      <w:r w:rsidR="57F68BCD">
        <w:rPr/>
        <w:t xml:space="preserve"> was important</w:t>
      </w:r>
      <w:r w:rsidR="2C447AD6">
        <w:rPr/>
        <w:t xml:space="preserve">. </w:t>
      </w:r>
    </w:p>
    <w:p w:rsidR="66F0B6DD" w:rsidP="296D41EC" w:rsidRDefault="2CFC4E98" w14:paraId="76A2C7D0" w14:textId="3D8A9996">
      <w:pPr>
        <w:spacing w:line="360" w:lineRule="auto"/>
      </w:pPr>
      <w:r w:rsidR="2C447AD6">
        <w:rPr/>
        <w:t xml:space="preserve">Referring to </w:t>
      </w:r>
      <w:r w:rsidR="5179B83B">
        <w:rPr/>
        <w:t xml:space="preserve">Figure </w:t>
      </w:r>
      <w:r w:rsidR="2C447AD6">
        <w:rPr/>
        <w:t>1 below, over 80% of the attendees were able to correctly answer how much fibre an adult should consume a day. This highlights the positive influence the health promotion event had on the attendee's knowled</w:t>
      </w:r>
      <w:r w:rsidR="2C447AD6">
        <w:rPr/>
        <w:t xml:space="preserve">ge of fibre intake. </w:t>
      </w:r>
    </w:p>
    <w:p w:rsidR="66F0B6DD" w:rsidP="2DAF78FE" w:rsidRDefault="2CFC4E98" w14:paraId="3336EADA" w14:textId="1F38F062">
      <w:pPr>
        <w:pStyle w:val="Normal"/>
        <w:spacing w:line="360" w:lineRule="auto"/>
      </w:pPr>
      <w:r w:rsidR="011CEF6D">
        <w:drawing>
          <wp:inline wp14:editId="3590E34B" wp14:anchorId="466B7FDB">
            <wp:extent cx="5086350" cy="2471238"/>
            <wp:effectExtent l="0" t="0" r="0" b="0"/>
            <wp:docPr id="471993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1993623" name="Picture 471993623"/>
                    <pic:cNvPicPr/>
                  </pic:nvPicPr>
                  <pic:blipFill>
                    <a:blip xmlns:r="http://schemas.openxmlformats.org/officeDocument/2006/relationships" r:embed="rId1011963641">
                      <a:extLst>
                        <a:ext uri="{28A0092B-C50C-407E-A947-70E740481C1C}">
                          <a14:useLocalDpi xmlns:a14="http://schemas.microsoft.com/office/drawing/2010/main"/>
                        </a:ext>
                      </a:extLst>
                    </a:blip>
                    <a:stretch>
                      <a:fillRect/>
                    </a:stretch>
                  </pic:blipFill>
                  <pic:spPr>
                    <a:xfrm rot="0">
                      <a:off x="0" y="0"/>
                      <a:ext cx="5086350" cy="2471238"/>
                    </a:xfrm>
                    <a:prstGeom prst="rect">
                      <a:avLst/>
                    </a:prstGeom>
                  </pic:spPr>
                </pic:pic>
              </a:graphicData>
            </a:graphic>
          </wp:inline>
        </w:drawing>
      </w:r>
    </w:p>
    <w:p w:rsidR="66F0B6DD" w:rsidP="296D41EC" w:rsidRDefault="2CFC4E98" w14:paraId="5AA9BD94" w14:textId="2C433562">
      <w:pPr>
        <w:spacing w:line="360" w:lineRule="auto"/>
      </w:pPr>
      <w:r w:rsidR="2C447AD6">
        <w:rPr/>
        <w:t xml:space="preserve">When referring to </w:t>
      </w:r>
      <w:r w:rsidR="5970E379">
        <w:rPr/>
        <w:t xml:space="preserve">Figure </w:t>
      </w:r>
      <w:r w:rsidR="2C447AD6">
        <w:rPr/>
        <w:t xml:space="preserve">2, the question was based on foods that are high in fibre and multiple answers were correct. 93% of attendees guessed the correct foods and only 7% chose foods lower in fibre. Using visual props and replica foods allowed for the experience to become more interactive and engaging to bring in more people and keep them interested. This physical approach supported memory retention and linking new knowledge to a physical item rather than verbally. </w:t>
      </w:r>
    </w:p>
    <w:p w:rsidR="66F0B6DD" w:rsidP="2DAF78FE" w:rsidRDefault="2CFC4E98" w14:paraId="3C571B15" w14:textId="36208891">
      <w:pPr>
        <w:pStyle w:val="Normal"/>
        <w:spacing w:line="360" w:lineRule="auto"/>
      </w:pPr>
      <w:r w:rsidR="0CA4D9E5">
        <w:drawing>
          <wp:inline wp14:editId="2F18E868" wp14:anchorId="78C799EA">
            <wp:extent cx="5267325" cy="2392645"/>
            <wp:effectExtent l="0" t="0" r="0" b="0"/>
            <wp:docPr id="12035291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3529165" name="Picture 1203529165"/>
                    <pic:cNvPicPr/>
                  </pic:nvPicPr>
                  <pic:blipFill>
                    <a:blip xmlns:r="http://schemas.openxmlformats.org/officeDocument/2006/relationships" r:embed="rId1005065154">
                      <a:extLst>
                        <a:ext uri="{28A0092B-C50C-407E-A947-70E740481C1C}">
                          <a14:useLocalDpi xmlns:a14="http://schemas.microsoft.com/office/drawing/2010/main"/>
                        </a:ext>
                      </a:extLst>
                    </a:blip>
                    <a:stretch>
                      <a:fillRect/>
                    </a:stretch>
                  </pic:blipFill>
                  <pic:spPr>
                    <a:xfrm rot="0">
                      <a:off x="0" y="0"/>
                      <a:ext cx="5267325" cy="2392645"/>
                    </a:xfrm>
                    <a:prstGeom prst="rect">
                      <a:avLst/>
                    </a:prstGeom>
                  </pic:spPr>
                </pic:pic>
              </a:graphicData>
            </a:graphic>
          </wp:inline>
        </w:drawing>
      </w:r>
    </w:p>
    <w:p w:rsidR="66F0B6DD" w:rsidP="296D41EC" w:rsidRDefault="2CFC4E98" w14:paraId="484BD170" w14:textId="3D8959F1">
      <w:pPr>
        <w:spacing w:line="360" w:lineRule="auto"/>
      </w:pPr>
      <w:r w:rsidR="2C447AD6">
        <w:rPr/>
        <w:t>Understanding that an increase in fibre must have an increase in water intake due to the gastrointestinal complication</w:t>
      </w:r>
      <w:r w:rsidR="3A42BB45">
        <w:rPr/>
        <w:t>s</w:t>
      </w:r>
      <w:r w:rsidR="2C447AD6">
        <w:rPr/>
        <w:t xml:space="preserve"> it could cause such as constipation. This was well understood by the attendees as 85% of the attendees answered correctly, refer to </w:t>
      </w:r>
      <w:r w:rsidR="0FFE506B">
        <w:rPr/>
        <w:t xml:space="preserve">Figure </w:t>
      </w:r>
      <w:r w:rsidR="2C447AD6">
        <w:rPr/>
        <w:t>3.</w:t>
      </w:r>
      <w:r w:rsidR="1BE35076">
        <w:rPr/>
        <w:t xml:space="preserve"> </w:t>
      </w:r>
    </w:p>
    <w:p w:rsidR="66F0B6DD" w:rsidP="2DAF78FE" w:rsidRDefault="2CFC4E98" w14:paraId="084E4558" w14:textId="1368B6F5">
      <w:pPr>
        <w:pStyle w:val="Normal"/>
        <w:spacing w:line="360" w:lineRule="auto"/>
      </w:pPr>
      <w:r w:rsidR="1ADBBB3D">
        <w:drawing>
          <wp:inline wp14:editId="0AA6B997" wp14:anchorId="6FE71A80">
            <wp:extent cx="4819650" cy="2285525"/>
            <wp:effectExtent l="0" t="0" r="0" b="0"/>
            <wp:docPr id="19004644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464413" name="Picture 1900464413"/>
                    <pic:cNvPicPr/>
                  </pic:nvPicPr>
                  <pic:blipFill>
                    <a:blip xmlns:r="http://schemas.openxmlformats.org/officeDocument/2006/relationships" r:embed="rId1006419762">
                      <a:extLst>
                        <a:ext uri="{28A0092B-C50C-407E-A947-70E740481C1C}">
                          <a14:useLocalDpi xmlns:a14="http://schemas.microsoft.com/office/drawing/2010/main"/>
                        </a:ext>
                      </a:extLst>
                    </a:blip>
                    <a:stretch>
                      <a:fillRect/>
                    </a:stretch>
                  </pic:blipFill>
                  <pic:spPr>
                    <a:xfrm rot="0">
                      <a:off x="0" y="0"/>
                      <a:ext cx="4819650" cy="2285525"/>
                    </a:xfrm>
                    <a:prstGeom prst="rect">
                      <a:avLst/>
                    </a:prstGeom>
                  </pic:spPr>
                </pic:pic>
              </a:graphicData>
            </a:graphic>
          </wp:inline>
        </w:drawing>
      </w:r>
    </w:p>
    <w:p w:rsidR="66F0B6DD" w:rsidP="296D41EC" w:rsidRDefault="2CFC4E98" w14:paraId="26963C80" w14:textId="7B0AFB17">
      <w:pPr>
        <w:spacing w:line="360" w:lineRule="auto"/>
      </w:pPr>
      <w:r w:rsidR="538E1D07">
        <w:rPr/>
        <w:t xml:space="preserve">As common as the public think the colour of urine should be clear, it is classified as overhydrated if urine is clear, therefore pale yellow is a more </w:t>
      </w:r>
      <w:r w:rsidR="538E1D07">
        <w:rPr/>
        <w:t>accurate</w:t>
      </w:r>
      <w:r w:rsidR="538E1D07">
        <w:rPr/>
        <w:t xml:space="preserve"> visual to follow</w:t>
      </w:r>
      <w:r w:rsidR="7F11A1F9">
        <w:rPr/>
        <w:t xml:space="preserve">. 83% of the attendees were able to choose correctly for this question, referring to </w:t>
      </w:r>
      <w:r w:rsidR="50320DDD">
        <w:rPr/>
        <w:t xml:space="preserve">Figure </w:t>
      </w:r>
      <w:r w:rsidR="7F11A1F9">
        <w:rPr/>
        <w:t xml:space="preserve">4, </w:t>
      </w:r>
      <w:r w:rsidR="7F11A1F9">
        <w:rPr/>
        <w:t>demonstrating</w:t>
      </w:r>
      <w:r w:rsidR="7F11A1F9">
        <w:rPr/>
        <w:t xml:space="preserve"> the understanding of the urine chart provided </w:t>
      </w:r>
      <w:r w:rsidR="03277CBB">
        <w:rPr/>
        <w:t xml:space="preserve">within the health promotion event. </w:t>
      </w:r>
    </w:p>
    <w:p w:rsidR="66F0B6DD" w:rsidP="2DAF78FE" w:rsidRDefault="2CFC4E98" w14:paraId="4E4DD68E" w14:textId="3D36BB11">
      <w:pPr>
        <w:pStyle w:val="Normal"/>
        <w:spacing w:line="360" w:lineRule="auto"/>
      </w:pPr>
      <w:r w:rsidR="09583D33">
        <w:drawing>
          <wp:inline wp14:editId="5BD7483C" wp14:anchorId="7254535C">
            <wp:extent cx="4733925" cy="2402408"/>
            <wp:effectExtent l="0" t="0" r="0" b="0"/>
            <wp:docPr id="15344195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4419514" name="Picture 1534419514"/>
                    <pic:cNvPicPr/>
                  </pic:nvPicPr>
                  <pic:blipFill>
                    <a:blip xmlns:r="http://schemas.openxmlformats.org/officeDocument/2006/relationships" r:embed="rId503151087">
                      <a:extLst>
                        <a:ext uri="{28A0092B-C50C-407E-A947-70E740481C1C}">
                          <a14:useLocalDpi xmlns:a14="http://schemas.microsoft.com/office/drawing/2010/main"/>
                        </a:ext>
                      </a:extLst>
                    </a:blip>
                    <a:stretch>
                      <a:fillRect/>
                    </a:stretch>
                  </pic:blipFill>
                  <pic:spPr>
                    <a:xfrm rot="0">
                      <a:off x="0" y="0"/>
                      <a:ext cx="4733925" cy="2402408"/>
                    </a:xfrm>
                    <a:prstGeom prst="rect">
                      <a:avLst/>
                    </a:prstGeom>
                  </pic:spPr>
                </pic:pic>
              </a:graphicData>
            </a:graphic>
          </wp:inline>
        </w:drawing>
      </w:r>
    </w:p>
    <w:p w:rsidR="66F0B6DD" w:rsidP="296D41EC" w:rsidRDefault="2CFC4E98" w14:paraId="0C795E4F" w14:textId="0379D670">
      <w:pPr>
        <w:spacing w:line="360" w:lineRule="auto"/>
      </w:pPr>
      <w:r w:rsidR="03277CBB">
        <w:rPr/>
        <w:t xml:space="preserve">Similarly, stool is a </w:t>
      </w:r>
      <w:r w:rsidR="4F674610">
        <w:rPr/>
        <w:t xml:space="preserve">subject where many people feel they understand what health stool looks like. This is well proven in the results of the questionnaire as </w:t>
      </w:r>
      <w:r w:rsidR="332DA635">
        <w:rPr/>
        <w:t>93% of attendees answered correctly</w:t>
      </w:r>
      <w:r w:rsidR="487370CC">
        <w:rPr/>
        <w:t>, refer to Figure 5</w:t>
      </w:r>
      <w:r w:rsidR="332DA635">
        <w:rPr/>
        <w:t>. The Bristol Stool Chart (Bristol Stool Chart, 2023) played a vital role in visualising and memory recognition</w:t>
      </w:r>
      <w:r w:rsidR="1D4B9C05">
        <w:rPr/>
        <w:t xml:space="preserve"> allowing for a clearer understanding of healthy stool.</w:t>
      </w:r>
    </w:p>
    <w:p w:rsidR="66F0B6DD" w:rsidP="2DAF78FE" w:rsidRDefault="3D6CD277" w14:paraId="1A852AFE" w14:textId="714417E2">
      <w:pPr>
        <w:pStyle w:val="Normal"/>
      </w:pPr>
      <w:r w:rsidR="24EA82F9">
        <w:drawing>
          <wp:inline wp14:editId="7302C6F3" wp14:anchorId="6FA80F20">
            <wp:extent cx="4953000" cy="2628963"/>
            <wp:effectExtent l="0" t="0" r="0" b="0"/>
            <wp:docPr id="9573119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7311953" name="Picture 957311953"/>
                    <pic:cNvPicPr/>
                  </pic:nvPicPr>
                  <pic:blipFill>
                    <a:blip xmlns:r="http://schemas.openxmlformats.org/officeDocument/2006/relationships" r:embed="rId1092823442">
                      <a:extLst>
                        <a:ext uri="{28A0092B-C50C-407E-A947-70E740481C1C}">
                          <a14:useLocalDpi xmlns:a14="http://schemas.microsoft.com/office/drawing/2010/main"/>
                        </a:ext>
                      </a:extLst>
                    </a:blip>
                    <a:stretch>
                      <a:fillRect/>
                    </a:stretch>
                  </pic:blipFill>
                  <pic:spPr>
                    <a:xfrm rot="0">
                      <a:off x="0" y="0"/>
                      <a:ext cx="4953000" cy="2628963"/>
                    </a:xfrm>
                    <a:prstGeom prst="rect">
                      <a:avLst/>
                    </a:prstGeom>
                  </pic:spPr>
                </pic:pic>
              </a:graphicData>
            </a:graphic>
          </wp:inline>
        </w:drawing>
      </w:r>
    </w:p>
    <w:p w:rsidR="66F0B6DD" w:rsidP="296D41EC" w:rsidRDefault="66F0B6DD" w14:paraId="31C2E96D" w14:textId="6FD0B116"/>
    <w:p w:rsidR="2DAF78FE" w:rsidP="2DAF78FE" w:rsidRDefault="2DAF78FE" w14:paraId="495F0540" w14:textId="32CBE9DD">
      <w:pPr>
        <w:spacing w:line="360" w:lineRule="auto"/>
      </w:pPr>
    </w:p>
    <w:p w:rsidR="2DAF78FE" w:rsidP="2DAF78FE" w:rsidRDefault="2DAF78FE" w14:paraId="2B7EF942" w14:textId="2712C52D">
      <w:pPr>
        <w:spacing w:line="360" w:lineRule="auto"/>
      </w:pPr>
    </w:p>
    <w:p w:rsidR="66F0B6DD" w:rsidP="31EB2A05" w:rsidRDefault="7A67F1F3" w14:paraId="64C3E512" w14:textId="31C048E5">
      <w:pPr>
        <w:spacing w:line="360" w:lineRule="auto"/>
      </w:pPr>
      <w:r>
        <w:t xml:space="preserve">Critically evaluate the theories of health promotion </w:t>
      </w:r>
    </w:p>
    <w:p w:rsidR="6D9AE5C8" w:rsidP="31EB2A05" w:rsidRDefault="6D9AE5C8" w14:paraId="25586B46" w14:textId="0C0A4519">
      <w:pPr>
        <w:spacing w:after="0" w:line="360" w:lineRule="auto"/>
      </w:pPr>
      <w:r w:rsidR="51FC3073">
        <w:rPr/>
        <w:t>Health promotion theories provide structured approaches to improving health, yet all theories come with limitations as well as strengths. The Ottawa Charter for Heal</w:t>
      </w:r>
      <w:r w:rsidR="43F52557">
        <w:rPr/>
        <w:t>th promotion</w:t>
      </w:r>
      <w:r w:rsidR="43F52557">
        <w:rPr/>
        <w:t xml:space="preserve"> (</w:t>
      </w:r>
      <w:r w:rsidRPr="2DAF78FE" w:rsidR="43F52557">
        <w:rPr>
          <w:color w:val="000000" w:themeColor="text1" w:themeTint="FF" w:themeShade="FF"/>
        </w:rPr>
        <w:t>The Health Belief Model, Becker, 1974)</w:t>
      </w:r>
      <w:r w:rsidRPr="2DAF78FE" w:rsidR="01FC3686">
        <w:rPr>
          <w:color w:val="000000" w:themeColor="text1" w:themeTint="FF" w:themeShade="FF"/>
        </w:rPr>
        <w:t xml:space="preserve"> provides five action areas including; </w:t>
      </w:r>
      <w:r w:rsidRPr="2DAF78FE" w:rsidR="4F46FBB3">
        <w:rPr>
          <w:color w:val="000000" w:themeColor="text1" w:themeTint="FF" w:themeShade="FF"/>
        </w:rPr>
        <w:t>building</w:t>
      </w:r>
      <w:r w:rsidRPr="2DAF78FE" w:rsidR="01FC3686">
        <w:rPr>
          <w:color w:val="000000" w:themeColor="text1" w:themeTint="FF" w:themeShade="FF"/>
        </w:rPr>
        <w:t xml:space="preserve"> healthy public policy</w:t>
      </w:r>
      <w:r w:rsidRPr="2DAF78FE" w:rsidR="00F18BBC">
        <w:rPr>
          <w:color w:val="000000" w:themeColor="text1" w:themeTint="FF" w:themeShade="FF"/>
        </w:rPr>
        <w:t xml:space="preserve">, creating supportive environments, strengthening community action, developing personal skills and re-orientating health care services toward prevention of illness and promotion of health. </w:t>
      </w:r>
      <w:r w:rsidRPr="2DAF78FE" w:rsidR="54F2D2BC">
        <w:rPr>
          <w:color w:val="000000" w:themeColor="text1" w:themeTint="FF" w:themeShade="FF"/>
        </w:rPr>
        <w:t xml:space="preserve">This model focuses on the ability to use other sectors such as social and economic sectors to help improve and encourage the </w:t>
      </w:r>
      <w:r w:rsidRPr="2DAF78FE" w:rsidR="0AE492F6">
        <w:rPr>
          <w:color w:val="000000" w:themeColor="text1" w:themeTint="FF" w:themeShade="FF"/>
        </w:rPr>
        <w:t xml:space="preserve">individual as they need to become empowered enough to control the determinants that effect their health, to ensure they have </w:t>
      </w:r>
      <w:r w:rsidRPr="2DAF78FE" w:rsidR="140D78CF">
        <w:rPr>
          <w:color w:val="000000" w:themeColor="text1" w:themeTint="FF" w:themeShade="FF"/>
        </w:rPr>
        <w:t>an excellent quality</w:t>
      </w:r>
      <w:r w:rsidRPr="2DAF78FE" w:rsidR="0AE492F6">
        <w:rPr>
          <w:color w:val="000000" w:themeColor="text1" w:themeTint="FF" w:themeShade="FF"/>
        </w:rPr>
        <w:t xml:space="preserve"> of life.</w:t>
      </w:r>
    </w:p>
    <w:p w:rsidR="31EB2A05" w:rsidP="31EB2A05" w:rsidRDefault="31EB2A05" w14:paraId="4331ED34" w14:textId="7244A2BF">
      <w:pPr>
        <w:spacing w:after="0" w:line="360" w:lineRule="auto"/>
        <w:rPr>
          <w:color w:val="000000" w:themeColor="text1"/>
        </w:rPr>
      </w:pPr>
    </w:p>
    <w:p w:rsidR="5CF72AAC" w:rsidP="31EB2A05" w:rsidRDefault="5CF72AAC" w14:paraId="603583C1" w14:textId="186F43B9">
      <w:pPr>
        <w:spacing w:after="0" w:line="360" w:lineRule="auto"/>
      </w:pPr>
      <w:r w:rsidRPr="2DAF78FE" w:rsidR="0AE492F6">
        <w:rPr>
          <w:color w:val="000000" w:themeColor="text1" w:themeTint="FF" w:themeShade="FF"/>
        </w:rPr>
        <w:t>Yet, the Health Belief Model (Becker, 1974) suggests that</w:t>
      </w:r>
      <w:r w:rsidRPr="2DAF78FE" w:rsidR="40B716E1">
        <w:rPr>
          <w:color w:val="000000" w:themeColor="text1" w:themeTint="FF" w:themeShade="FF"/>
        </w:rPr>
        <w:t xml:space="preserve"> behaviours are dependent on how the individual </w:t>
      </w:r>
      <w:r w:rsidRPr="2DAF78FE" w:rsidR="424EADF9">
        <w:rPr>
          <w:color w:val="000000" w:themeColor="text1" w:themeTint="FF" w:themeShade="FF"/>
        </w:rPr>
        <w:t>judges a situation and how conse</w:t>
      </w:r>
      <w:r w:rsidRPr="2DAF78FE" w:rsidR="728F1ADC">
        <w:rPr>
          <w:color w:val="000000" w:themeColor="text1" w:themeTint="FF" w:themeShade="FF"/>
        </w:rPr>
        <w:t>quences of an action in related to health can be weighted up when compared to the gains</w:t>
      </w:r>
      <w:r w:rsidRPr="2DAF78FE" w:rsidR="0206B268">
        <w:rPr>
          <w:color w:val="000000" w:themeColor="text1" w:themeTint="FF" w:themeShade="FF"/>
        </w:rPr>
        <w:t>. This model believes that individuals must understand that h</w:t>
      </w:r>
      <w:r w:rsidRPr="2DAF78FE" w:rsidR="47C61E0D">
        <w:rPr>
          <w:color w:val="000000" w:themeColor="text1" w:themeTint="FF" w:themeShade="FF"/>
        </w:rPr>
        <w:t xml:space="preserve">ealth problems can cause consequences before a change is willing to happen. Understandably, Becker (1974) </w:t>
      </w:r>
      <w:r w:rsidRPr="2DAF78FE" w:rsidR="47C61E0D">
        <w:rPr>
          <w:color w:val="000000" w:themeColor="text1" w:themeTint="FF" w:themeShade="FF"/>
        </w:rPr>
        <w:t>stated</w:t>
      </w:r>
      <w:r w:rsidRPr="2DAF78FE" w:rsidR="47C61E0D">
        <w:rPr>
          <w:color w:val="000000" w:themeColor="text1" w:themeTint="FF" w:themeShade="FF"/>
        </w:rPr>
        <w:t xml:space="preserve"> that individuals must believe that health complications can be prevented, delated or minimis</w:t>
      </w:r>
      <w:r w:rsidRPr="2DAF78FE" w:rsidR="64FB12AA">
        <w:rPr>
          <w:color w:val="000000" w:themeColor="text1" w:themeTint="FF" w:themeShade="FF"/>
        </w:rPr>
        <w:t>ed if acted appropriately.</w:t>
      </w:r>
      <w:r w:rsidRPr="2DAF78FE" w:rsidR="77AAC10C">
        <w:rPr>
          <w:color w:val="000000" w:themeColor="text1" w:themeTint="FF" w:themeShade="FF"/>
        </w:rPr>
        <w:t xml:space="preserve"> An example of this model is vaccination campaigns as it </w:t>
      </w:r>
      <w:r w:rsidRPr="2DAF78FE" w:rsidR="786A909A">
        <w:rPr>
          <w:color w:val="000000" w:themeColor="text1" w:themeTint="FF" w:themeShade="FF"/>
        </w:rPr>
        <w:t>allows</w:t>
      </w:r>
      <w:r w:rsidRPr="2DAF78FE" w:rsidR="77AAC10C">
        <w:rPr>
          <w:color w:val="000000" w:themeColor="text1" w:themeTint="FF" w:themeShade="FF"/>
        </w:rPr>
        <w:t xml:space="preserve"> the choice of vaccinations or not, yet the consequences and </w:t>
      </w:r>
      <w:r w:rsidRPr="2DAF78FE" w:rsidR="62C0EAF2">
        <w:rPr>
          <w:color w:val="000000" w:themeColor="text1" w:themeTint="FF" w:themeShade="FF"/>
        </w:rPr>
        <w:t xml:space="preserve">gains are weighted up with the opinions and choice of the individual. This model has been thought of as individualistic as it </w:t>
      </w:r>
      <w:r w:rsidRPr="2DAF78FE" w:rsidR="62C0EAF2">
        <w:rPr>
          <w:color w:val="000000" w:themeColor="text1" w:themeTint="FF" w:themeShade="FF"/>
        </w:rPr>
        <w:t>largel</w:t>
      </w:r>
      <w:r w:rsidRPr="2DAF78FE" w:rsidR="528E38AF">
        <w:rPr>
          <w:color w:val="000000" w:themeColor="text1" w:themeTint="FF" w:themeShade="FF"/>
        </w:rPr>
        <w:t>y</w:t>
      </w:r>
      <w:r w:rsidRPr="2DAF78FE" w:rsidR="62C0EAF2">
        <w:rPr>
          <w:color w:val="000000" w:themeColor="text1" w:themeTint="FF" w:themeShade="FF"/>
        </w:rPr>
        <w:t xml:space="preserve"> ignores</w:t>
      </w:r>
      <w:r w:rsidRPr="2DAF78FE" w:rsidR="62C0EAF2">
        <w:rPr>
          <w:color w:val="000000" w:themeColor="text1" w:themeTint="FF" w:themeShade="FF"/>
        </w:rPr>
        <w:t xml:space="preserve"> socie</w:t>
      </w:r>
      <w:r w:rsidRPr="2DAF78FE" w:rsidR="166CBC31">
        <w:rPr>
          <w:color w:val="000000" w:themeColor="text1" w:themeTint="FF" w:themeShade="FF"/>
        </w:rPr>
        <w:t>ty, cultural</w:t>
      </w:r>
      <w:r w:rsidRPr="2DAF78FE" w:rsidR="5175860F">
        <w:rPr>
          <w:color w:val="000000" w:themeColor="text1" w:themeTint="FF" w:themeShade="FF"/>
        </w:rPr>
        <w:t xml:space="preserve"> and </w:t>
      </w:r>
      <w:r w:rsidRPr="2DAF78FE" w:rsidR="7257636B">
        <w:rPr>
          <w:color w:val="000000" w:themeColor="text1" w:themeTint="FF" w:themeShade="FF"/>
        </w:rPr>
        <w:t>economic</w:t>
      </w:r>
      <w:r w:rsidRPr="2DAF78FE" w:rsidR="5175860F">
        <w:rPr>
          <w:color w:val="000000" w:themeColor="text1" w:themeTint="FF" w:themeShade="FF"/>
        </w:rPr>
        <w:t xml:space="preserve"> influences</w:t>
      </w:r>
      <w:r w:rsidRPr="2DAF78FE" w:rsidR="2200429B">
        <w:rPr>
          <w:color w:val="000000" w:themeColor="text1" w:themeTint="FF" w:themeShade="FF"/>
        </w:rPr>
        <w:t xml:space="preserve">, which creates concerns for the validity in predicating behaviour changes in others </w:t>
      </w:r>
      <w:r w:rsidRPr="2DAF78FE" w:rsidR="5175860F">
        <w:rPr>
          <w:color w:val="000000" w:themeColor="text1" w:themeTint="FF" w:themeShade="FF"/>
        </w:rPr>
        <w:t>(</w:t>
      </w:r>
      <w:r w:rsidRPr="2DAF78FE" w:rsidR="6C48086D">
        <w:rPr>
          <w:color w:val="000000" w:themeColor="text1" w:themeTint="FF" w:themeShade="FF"/>
        </w:rPr>
        <w:t xml:space="preserve">Sulat </w:t>
      </w:r>
      <w:r w:rsidRPr="2DAF78FE" w:rsidR="6C48086D">
        <w:rPr>
          <w:i w:val="1"/>
          <w:iCs w:val="1"/>
          <w:color w:val="000000" w:themeColor="text1" w:themeTint="FF" w:themeShade="FF"/>
        </w:rPr>
        <w:t>et al</w:t>
      </w:r>
      <w:r w:rsidRPr="2DAF78FE" w:rsidR="6C48086D">
        <w:rPr>
          <w:color w:val="000000" w:themeColor="text1" w:themeTint="FF" w:themeShade="FF"/>
        </w:rPr>
        <w:t>., 2018).</w:t>
      </w:r>
    </w:p>
    <w:p w:rsidR="31EB2A05" w:rsidP="31EB2A05" w:rsidRDefault="31EB2A05" w14:paraId="13298D52" w14:textId="52C6F1E2">
      <w:pPr>
        <w:spacing w:after="0" w:line="360" w:lineRule="auto"/>
        <w:rPr>
          <w:color w:val="000000" w:themeColor="text1"/>
        </w:rPr>
      </w:pPr>
    </w:p>
    <w:p w:rsidR="25969244" w:rsidP="31EB2A05" w:rsidRDefault="25969244" w14:paraId="042381F6" w14:textId="5390B383">
      <w:pPr>
        <w:spacing w:after="0" w:line="360" w:lineRule="auto"/>
      </w:pPr>
      <w:r w:rsidR="510066E4">
        <w:rPr/>
        <w:t xml:space="preserve">The Social Determinants of Health Model (Dalgren and Whitehead, 1991) highlights how lifestyle factors such as income, education, </w:t>
      </w:r>
      <w:r w:rsidR="510066E4">
        <w:rPr/>
        <w:t>housing</w:t>
      </w:r>
      <w:r w:rsidR="510066E4">
        <w:rPr/>
        <w:t xml:space="preserve"> and social condition can shape the </w:t>
      </w:r>
      <w:r w:rsidR="643C4694">
        <w:rPr/>
        <w:t>life</w:t>
      </w:r>
      <w:r w:rsidR="13B7BED6">
        <w:rPr/>
        <w:t xml:space="preserve"> of an</w:t>
      </w:r>
      <w:r w:rsidR="76D4A8A7">
        <w:rPr/>
        <w:t xml:space="preserve"> </w:t>
      </w:r>
      <w:r w:rsidR="510066E4">
        <w:rPr/>
        <w:t>indiv</w:t>
      </w:r>
      <w:r w:rsidR="3E7FB35C">
        <w:rPr/>
        <w:t>idual</w:t>
      </w:r>
      <w:r w:rsidR="27117F5C">
        <w:rPr/>
        <w:t xml:space="preserve">s </w:t>
      </w:r>
      <w:r w:rsidR="3E7FB35C">
        <w:rPr/>
        <w:t>including the</w:t>
      </w:r>
      <w:r w:rsidR="58B4B6C1">
        <w:rPr/>
        <w:t>ir</w:t>
      </w:r>
      <w:r w:rsidR="3E7FB35C">
        <w:rPr/>
        <w:t xml:space="preserve"> health. </w:t>
      </w:r>
      <w:r w:rsidR="3E7FB35C">
        <w:rPr/>
        <w:t>It</w:t>
      </w:r>
      <w:r w:rsidR="3E7FB35C">
        <w:rPr/>
        <w:t xml:space="preserve"> emphasises on health inequalities</w:t>
      </w:r>
      <w:r w:rsidR="462D7BA0">
        <w:rPr/>
        <w:t xml:space="preserve"> and how childhood can influence health later in life. This allows the model to become highly relevant for </w:t>
      </w:r>
      <w:r w:rsidR="2296FF10">
        <w:rPr/>
        <w:t>policy</w:t>
      </w:r>
      <w:r w:rsidR="462D7BA0">
        <w:rPr/>
        <w:t xml:space="preserve"> development and interventions to</w:t>
      </w:r>
      <w:r w:rsidR="1F0077F0">
        <w:rPr/>
        <w:t xml:space="preserve"> support the population. </w:t>
      </w:r>
      <w:r w:rsidR="70C03A61">
        <w:rPr/>
        <w:t xml:space="preserve">This is supported by Lee </w:t>
      </w:r>
      <w:r w:rsidRPr="2DAF78FE" w:rsidR="70C03A61">
        <w:rPr>
          <w:i w:val="1"/>
          <w:iCs w:val="1"/>
        </w:rPr>
        <w:t xml:space="preserve">et al. </w:t>
      </w:r>
      <w:r w:rsidR="70C03A61">
        <w:rPr/>
        <w:t xml:space="preserve">(2018) who </w:t>
      </w:r>
      <w:r w:rsidR="70C03A61">
        <w:rPr/>
        <w:t>s</w:t>
      </w:r>
      <w:r w:rsidR="70C03A61">
        <w:rPr/>
        <w:t>tated</w:t>
      </w:r>
      <w:r w:rsidR="70C03A61">
        <w:rPr/>
        <w:t xml:space="preserve"> </w:t>
      </w:r>
      <w:r w:rsidR="70C03A61">
        <w:rPr/>
        <w:t xml:space="preserve">that public policies targeting social </w:t>
      </w:r>
      <w:r w:rsidR="72446E5A">
        <w:rPr/>
        <w:t>conditions such as housing and income are increasingly being used to improve and support population health.</w:t>
      </w:r>
    </w:p>
    <w:p w:rsidR="31EB2A05" w:rsidP="2DAF78FE" w:rsidRDefault="31EB2A05" w14:paraId="402AC29A" w14:textId="13B8906D">
      <w:pPr>
        <w:pStyle w:val="Normal"/>
        <w:spacing w:after="0" w:line="360" w:lineRule="auto"/>
      </w:pPr>
    </w:p>
    <w:p w:rsidR="2DAF78FE" w:rsidP="2DAF78FE" w:rsidRDefault="2DAF78FE" w14:paraId="23AAE340" w14:textId="0DF6E932">
      <w:pPr>
        <w:spacing w:after="0" w:line="360" w:lineRule="auto"/>
      </w:pPr>
    </w:p>
    <w:p w:rsidR="5E67BF7B" w:rsidRDefault="5E67BF7B" w14:paraId="6B7114FF" w14:textId="43CFCF90">
      <w:r>
        <w:t xml:space="preserve">Evaluate the role of partnership </w:t>
      </w:r>
    </w:p>
    <w:p w:rsidR="279D4C15" w:rsidP="31EB2A05" w:rsidRDefault="279D4C15" w14:paraId="38E7A95B" w14:textId="762EF448">
      <w:pPr>
        <w:spacing w:line="360" w:lineRule="auto"/>
      </w:pPr>
      <w:r w:rsidR="7F2CE5C5">
        <w:rPr/>
        <w:t xml:space="preserve">Partnership can be described as cooperative working which individuals can achieve better results together than working alone (Corbin, </w:t>
      </w:r>
      <w:r w:rsidR="7F2CE5C5">
        <w:rPr/>
        <w:t>Jones</w:t>
      </w:r>
      <w:r w:rsidR="7F2CE5C5">
        <w:rPr/>
        <w:t xml:space="preserve"> and Barry, 2016). </w:t>
      </w:r>
      <w:r w:rsidR="50042A8A">
        <w:rPr/>
        <w:t xml:space="preserve">When partnership is effective, it can create work through combining different skills, resources, </w:t>
      </w:r>
      <w:r w:rsidR="50042A8A">
        <w:rPr/>
        <w:t>perspectives</w:t>
      </w:r>
      <w:r w:rsidR="50042A8A">
        <w:rPr/>
        <w:t xml:space="preserve"> and knowledge to allo</w:t>
      </w:r>
      <w:r w:rsidR="68AA5370">
        <w:rPr/>
        <w:t xml:space="preserve">w for a greater outcome more efficiently. Yet, according to Corbin, Jones and Barry (2016) partnership is not always effective. They </w:t>
      </w:r>
      <w:r w:rsidR="68AA5370">
        <w:rPr/>
        <w:t>state</w:t>
      </w:r>
      <w:r w:rsidR="0018C861">
        <w:rPr/>
        <w:t>d</w:t>
      </w:r>
      <w:r w:rsidR="0018C861">
        <w:rPr/>
        <w:t xml:space="preserve"> that difference of opinions, conflict and various challenges could cause for failure within the partnership</w:t>
      </w:r>
      <w:r w:rsidR="246E4FDD">
        <w:rPr/>
        <w:t xml:space="preserve">. As of this, it was a </w:t>
      </w:r>
      <w:r w:rsidR="587A8233">
        <w:rPr/>
        <w:t>crucial</w:t>
      </w:r>
      <w:r w:rsidR="246E4FDD">
        <w:rPr/>
        <w:t xml:space="preserve"> step </w:t>
      </w:r>
      <w:r w:rsidR="080C48AA">
        <w:rPr/>
        <w:t>for the Health Promotion event to ensure that all partnership work is based on existing knowledge and provide work that makes the work successful.</w:t>
      </w:r>
      <w:r w:rsidR="0CD25BB3">
        <w:rPr/>
        <w:t xml:space="preserve"> To ensure there no conflict or friction between the group</w:t>
      </w:r>
      <w:r w:rsidR="77728B6A">
        <w:rPr/>
        <w:t xml:space="preserve">, assigned roles were set to understand </w:t>
      </w:r>
      <w:r w:rsidR="3C335276">
        <w:rPr/>
        <w:t>everyone</w:t>
      </w:r>
      <w:r w:rsidR="77728B6A">
        <w:rPr/>
        <w:t xml:space="preserve"> role and needed participation, </w:t>
      </w:r>
      <w:r w:rsidR="07E8B8DB">
        <w:rPr/>
        <w:t>therefore</w:t>
      </w:r>
      <w:r w:rsidR="77728B6A">
        <w:rPr/>
        <w:t xml:space="preserve"> when the event took place</w:t>
      </w:r>
      <w:r w:rsidR="12E57588">
        <w:rPr/>
        <w:t xml:space="preserve">, all </w:t>
      </w:r>
      <w:r w:rsidR="12E57588">
        <w:rPr/>
        <w:t>participants</w:t>
      </w:r>
      <w:r w:rsidR="77728B6A">
        <w:rPr/>
        <w:t xml:space="preserve"> had a part and vital role in the design and s</w:t>
      </w:r>
      <w:r w:rsidR="3C48835A">
        <w:rPr/>
        <w:t>tructure to the event.</w:t>
      </w:r>
      <w:r w:rsidR="6D9C04F6">
        <w:rPr/>
        <w:t xml:space="preserve"> This is further supported by Flynn </w:t>
      </w:r>
      <w:r w:rsidRPr="2DAF78FE" w:rsidR="6D9C04F6">
        <w:rPr>
          <w:i w:val="1"/>
          <w:iCs w:val="1"/>
        </w:rPr>
        <w:t>et al</w:t>
      </w:r>
      <w:r w:rsidR="6D9C04F6">
        <w:rPr/>
        <w:t xml:space="preserve">., (2022) who </w:t>
      </w:r>
      <w:r w:rsidR="6D9C04F6">
        <w:rPr/>
        <w:t>stated</w:t>
      </w:r>
      <w:r w:rsidR="6D9C04F6">
        <w:rPr/>
        <w:t xml:space="preserve"> that </w:t>
      </w:r>
      <w:r w:rsidR="4EF97782">
        <w:rPr/>
        <w:t xml:space="preserve">implementing organisational structures to support the partnership will allow for maximising the capacity of knowledge, </w:t>
      </w:r>
      <w:r w:rsidR="4EF97782">
        <w:rPr/>
        <w:t>exchange</w:t>
      </w:r>
      <w:r w:rsidR="4EF97782">
        <w:rPr/>
        <w:t xml:space="preserve"> and </w:t>
      </w:r>
      <w:r w:rsidR="3923C805">
        <w:rPr/>
        <w:t>effectiveness</w:t>
      </w:r>
      <w:r w:rsidR="4EF97782">
        <w:rPr/>
        <w:t>.</w:t>
      </w:r>
    </w:p>
    <w:p w:rsidR="030B3810" w:rsidP="31EB2A05" w:rsidRDefault="030B3810" w14:paraId="57ADA233" w14:textId="17C41DC5">
      <w:pPr>
        <w:spacing w:line="360" w:lineRule="auto"/>
      </w:pPr>
      <w:r w:rsidR="13461D1F">
        <w:rPr/>
        <w:t>Within the group for the health promotion event, all individuals were assigned a role. For example, creating a questionnaire, creating a ga</w:t>
      </w:r>
      <w:r w:rsidR="578B5501">
        <w:rPr/>
        <w:t xml:space="preserve">me, finding relevant fact sheets and papers to hand </w:t>
      </w:r>
      <w:r w:rsidR="578B5501">
        <w:rPr/>
        <w:t>out</w:t>
      </w:r>
      <w:r w:rsidR="578B5501">
        <w:rPr/>
        <w:t xml:space="preserve"> and gathering prizes were all some tasks set for </w:t>
      </w:r>
      <w:r w:rsidR="6BDA6DFD">
        <w:rPr/>
        <w:t xml:space="preserve">individuals to complete. However, there were two individuals who did not </w:t>
      </w:r>
      <w:r w:rsidR="6BDA6DFD">
        <w:rPr/>
        <w:t>participate</w:t>
      </w:r>
      <w:r w:rsidR="6BDA6DFD">
        <w:rPr/>
        <w:t xml:space="preserve"> in weekly meetings and their share of the </w:t>
      </w:r>
      <w:r w:rsidR="046C4986">
        <w:rPr/>
        <w:t>workload</w:t>
      </w:r>
      <w:r w:rsidR="6BDA6DFD">
        <w:rPr/>
        <w:t xml:space="preserve">, therefore this </w:t>
      </w:r>
      <w:r w:rsidR="4612EF63">
        <w:rPr/>
        <w:t>workload</w:t>
      </w:r>
      <w:r w:rsidR="6BDA6DFD">
        <w:rPr/>
        <w:t xml:space="preserve"> was put onto the active </w:t>
      </w:r>
      <w:r w:rsidR="65D122F5">
        <w:rPr/>
        <w:t>participating</w:t>
      </w:r>
      <w:r w:rsidR="6BDA6DFD">
        <w:rPr/>
        <w:t xml:space="preserve"> </w:t>
      </w:r>
      <w:r w:rsidR="724E2AA1">
        <w:rPr/>
        <w:t>individuals.</w:t>
      </w:r>
      <w:r w:rsidR="2DC5B436">
        <w:rPr/>
        <w:t xml:space="preserve"> According to Strode, </w:t>
      </w:r>
      <w:r w:rsidR="2DC5B436">
        <w:rPr/>
        <w:t>Dingsoyr</w:t>
      </w:r>
      <w:r w:rsidR="2DC5B436">
        <w:rPr/>
        <w:t xml:space="preserve"> and </w:t>
      </w:r>
      <w:r w:rsidR="2DC5B436">
        <w:rPr/>
        <w:t>Lindsjorn</w:t>
      </w:r>
      <w:r w:rsidR="2DC5B436">
        <w:rPr/>
        <w:t xml:space="preserve"> (2022) the main complication with partnership can come through communication, coordination, </w:t>
      </w:r>
      <w:r w:rsidR="2DC5B436">
        <w:rPr/>
        <w:t>prioritie</w:t>
      </w:r>
      <w:r w:rsidR="36D02C56">
        <w:rPr/>
        <w:t>s</w:t>
      </w:r>
      <w:r w:rsidR="36D02C56">
        <w:rPr/>
        <w:t xml:space="preserve"> and team orientation. </w:t>
      </w:r>
      <w:r w:rsidR="7A446389">
        <w:rPr/>
        <w:t xml:space="preserve">During the meetings and planning phase of the event, it was </w:t>
      </w:r>
      <w:r w:rsidR="7A446389">
        <w:rPr/>
        <w:t>evident</w:t>
      </w:r>
      <w:r w:rsidR="7A446389">
        <w:rPr/>
        <w:t xml:space="preserve"> that many induvial has different priorities and did not complete any work tow</w:t>
      </w:r>
      <w:r w:rsidR="0270020C">
        <w:rPr/>
        <w:t xml:space="preserve">ards the event. This massively effected the rest of the team as all others must double up on workload, creating more stress and worry as time was limited. </w:t>
      </w:r>
    </w:p>
    <w:p w:rsidR="0C144CD7" w:rsidP="31EB2A05" w:rsidRDefault="0C144CD7" w14:paraId="20D96841" w14:textId="159C66B4">
      <w:pPr>
        <w:spacing w:line="360" w:lineRule="auto"/>
      </w:pPr>
      <w:r w:rsidR="66FA8C98">
        <w:rPr/>
        <w:t xml:space="preserve">Overall, the </w:t>
      </w:r>
      <w:r w:rsidR="50F7CE5A">
        <w:rPr/>
        <w:t>induvials</w:t>
      </w:r>
      <w:r w:rsidR="66FA8C98">
        <w:rPr/>
        <w:t xml:space="preserve"> in the team who </w:t>
      </w:r>
      <w:r w:rsidR="66FA8C98">
        <w:rPr/>
        <w:t>participated</w:t>
      </w:r>
      <w:r w:rsidR="66FA8C98">
        <w:rPr/>
        <w:t xml:space="preserve"> within the planning worked extremely well together and provided knowledge, past </w:t>
      </w:r>
      <w:r w:rsidR="66FA8C98">
        <w:rPr/>
        <w:t>experiences</w:t>
      </w:r>
      <w:r w:rsidR="66FA8C98">
        <w:rPr/>
        <w:t xml:space="preserve"> and encouragement to allow for a successful event.</w:t>
      </w:r>
    </w:p>
    <w:p w:rsidR="66F0B6DD" w:rsidP="296D41EC" w:rsidRDefault="66F0B6DD" w14:paraId="3E36E3CB" w14:textId="3B43C645"/>
    <w:p w:rsidR="66F0B6DD" w:rsidP="296D41EC" w:rsidRDefault="5E67BF7B" w14:paraId="36646F2C" w14:textId="3D2C194C">
      <w:r>
        <w:t xml:space="preserve">The findings </w:t>
      </w:r>
    </w:p>
    <w:p w:rsidR="0BC2E110" w:rsidP="31EB2A05" w:rsidRDefault="0BC2E110" w14:paraId="48BABA75" w14:textId="2BF193CE">
      <w:pPr>
        <w:spacing w:line="360" w:lineRule="auto"/>
      </w:pPr>
      <w:r w:rsidR="00E8DD67">
        <w:rPr/>
        <w:t xml:space="preserve">Overall, the health promotion event was successful. </w:t>
      </w:r>
      <w:r w:rsidR="3D395770">
        <w:rPr/>
        <w:t xml:space="preserve">Creating the questionnaire was </w:t>
      </w:r>
      <w:r w:rsidR="3D395770">
        <w:rPr/>
        <w:t>a great way</w:t>
      </w:r>
      <w:r w:rsidR="3D395770">
        <w:rPr/>
        <w:t xml:space="preserve"> to analyse how well </w:t>
      </w:r>
      <w:r w:rsidR="053B142B">
        <w:rPr/>
        <w:t xml:space="preserve">the attendees responded to the event and </w:t>
      </w:r>
      <w:r w:rsidR="7435CE8F">
        <w:rPr/>
        <w:t>grasp</w:t>
      </w:r>
      <w:r w:rsidR="053B142B">
        <w:rPr/>
        <w:t xml:space="preserve"> the information given to them. </w:t>
      </w:r>
      <w:r w:rsidR="053B142B">
        <w:rPr/>
        <w:t>From analysing the results of the questionnaire, it</w:t>
      </w:r>
      <w:r w:rsidR="053B142B">
        <w:rPr/>
        <w:t xml:space="preserve"> is </w:t>
      </w:r>
      <w:r w:rsidR="053B142B">
        <w:rPr/>
        <w:t>evident</w:t>
      </w:r>
      <w:r w:rsidR="053B142B">
        <w:rPr/>
        <w:t xml:space="preserve"> that all attendees </w:t>
      </w:r>
      <w:r w:rsidR="7878B667">
        <w:rPr/>
        <w:t xml:space="preserve">learnt from the event and all </w:t>
      </w:r>
      <w:r w:rsidR="3C9B9C9F">
        <w:rPr/>
        <w:t>w</w:t>
      </w:r>
      <w:r w:rsidR="17997902">
        <w:rPr/>
        <w:t>ere</w:t>
      </w:r>
      <w:r w:rsidR="7878B667">
        <w:rPr/>
        <w:t xml:space="preserve"> </w:t>
      </w:r>
      <w:r w:rsidR="46CCE04C">
        <w:rPr/>
        <w:t>extremely interested</w:t>
      </w:r>
      <w:r w:rsidR="7878B667">
        <w:rPr/>
        <w:t xml:space="preserve"> and satisfied with the information and how</w:t>
      </w:r>
      <w:r w:rsidR="0A7214D5">
        <w:rPr/>
        <w:t xml:space="preserve"> it was relayed </w:t>
      </w:r>
      <w:r w:rsidR="7878B667">
        <w:rPr/>
        <w:t xml:space="preserve">to them. </w:t>
      </w:r>
      <w:r w:rsidR="63232700">
        <w:rPr/>
        <w:t xml:space="preserve">As the stand </w:t>
      </w:r>
      <w:r w:rsidR="5DF7B4A1">
        <w:rPr/>
        <w:t xml:space="preserve">was made to be </w:t>
      </w:r>
      <w:r w:rsidR="63232700">
        <w:rPr/>
        <w:t xml:space="preserve">as engaging and interactive as possible it really showed in the results how well the attendees took the information in and really understood it. </w:t>
      </w:r>
    </w:p>
    <w:p w:rsidR="0BC2E110" w:rsidP="31EB2A05" w:rsidRDefault="0BC2E110" w14:paraId="1E842763" w14:textId="613D79B7">
      <w:pPr>
        <w:spacing w:line="360" w:lineRule="auto"/>
      </w:pPr>
      <w:r w:rsidR="00E8DD67">
        <w:rPr/>
        <w:t xml:space="preserve">All </w:t>
      </w:r>
      <w:r w:rsidR="0668E6AC">
        <w:rPr/>
        <w:t>members of the group were nervous and feeling very shy to begin with, yet after speaking to a few individuals all</w:t>
      </w:r>
      <w:r w:rsidR="1789402D">
        <w:rPr/>
        <w:t xml:space="preserve"> participants</w:t>
      </w:r>
      <w:r w:rsidR="0668E6AC">
        <w:rPr/>
        <w:t xml:space="preserve"> became much more confident and were able to </w:t>
      </w:r>
      <w:r w:rsidR="4EDD832F">
        <w:rPr/>
        <w:t>provide a better experience for ourselves and the attendees.</w:t>
      </w:r>
      <w:r w:rsidR="219C16A3">
        <w:rPr/>
        <w:t xml:space="preserve"> A</w:t>
      </w:r>
      <w:r w:rsidR="4EDD832F">
        <w:rPr/>
        <w:t>ll</w:t>
      </w:r>
      <w:r w:rsidR="1573D757">
        <w:rPr/>
        <w:t xml:space="preserve"> participants</w:t>
      </w:r>
      <w:r w:rsidR="4EDD832F">
        <w:rPr/>
        <w:t xml:space="preserve"> remained very professional </w:t>
      </w:r>
      <w:r w:rsidR="5687E62E">
        <w:rPr/>
        <w:t xml:space="preserve">throughout and </w:t>
      </w:r>
      <w:r w:rsidR="5687E62E">
        <w:rPr/>
        <w:t>truly believed</w:t>
      </w:r>
      <w:r w:rsidR="5687E62E">
        <w:rPr/>
        <w:t xml:space="preserve"> </w:t>
      </w:r>
      <w:r w:rsidR="6E012AF9">
        <w:rPr/>
        <w:t>the stand was</w:t>
      </w:r>
      <w:r w:rsidR="5687E62E">
        <w:rPr/>
        <w:t xml:space="preserve"> de</w:t>
      </w:r>
      <w:r w:rsidR="0DFA8B3C">
        <w:rPr/>
        <w:t>livere</w:t>
      </w:r>
      <w:r w:rsidR="5687E62E">
        <w:rPr/>
        <w:t>d</w:t>
      </w:r>
      <w:r w:rsidR="65C730B2">
        <w:rPr/>
        <w:t xml:space="preserve"> and it was</w:t>
      </w:r>
      <w:r w:rsidR="5687E62E">
        <w:rPr/>
        <w:t xml:space="preserve"> a well-produced health promotion event and </w:t>
      </w:r>
      <w:r w:rsidR="3E31B3BA">
        <w:rPr/>
        <w:t xml:space="preserve">the participants were </w:t>
      </w:r>
      <w:r w:rsidR="5687E62E">
        <w:rPr/>
        <w:t xml:space="preserve">able to get the message across well. </w:t>
      </w:r>
      <w:r w:rsidR="3499B3B5">
        <w:rPr/>
        <w:t xml:space="preserve">If another event </w:t>
      </w:r>
      <w:r w:rsidR="26419D9F">
        <w:rPr/>
        <w:t>were</w:t>
      </w:r>
      <w:r w:rsidR="3499B3B5">
        <w:rPr/>
        <w:t xml:space="preserve"> to take place, all of us would feel at ease and more confident in ourselves and the stand itself</w:t>
      </w:r>
      <w:r w:rsidR="1956A261">
        <w:rPr/>
        <w:t xml:space="preserve"> to provide a well designed and produced events for all.</w:t>
      </w:r>
    </w:p>
    <w:p w:rsidR="774D707E" w:rsidP="774D707E" w:rsidRDefault="774D707E" w14:paraId="08829168" w14:textId="6E152E56">
      <w:pPr>
        <w:spacing w:line="360" w:lineRule="auto"/>
      </w:pPr>
    </w:p>
    <w:p w:rsidR="774D707E" w:rsidP="774D707E" w:rsidRDefault="774D707E" w14:paraId="29F75012" w14:textId="3EA01D3A">
      <w:pPr>
        <w:spacing w:line="360" w:lineRule="auto"/>
      </w:pPr>
    </w:p>
    <w:p w:rsidR="66F0B6DD" w:rsidP="296D41EC" w:rsidRDefault="5E67BF7B" w14:paraId="0D6A5BC8" w14:textId="7DE2B5D9">
      <w:r>
        <w:t xml:space="preserve">Resources used for the event </w:t>
      </w:r>
    </w:p>
    <w:p w:rsidR="4E3971EE" w:rsidP="774D707E" w:rsidRDefault="4E3971EE" w14:paraId="53DBFE43" w14:textId="75E5B49A">
      <w:pPr>
        <w:spacing w:line="360" w:lineRule="auto"/>
      </w:pPr>
      <w:r w:rsidR="5FBD33C1">
        <w:rPr/>
        <w:t>Over the planning phase for the event</w:t>
      </w:r>
      <w:r w:rsidR="13F4A4FB">
        <w:rPr/>
        <w:t>,</w:t>
      </w:r>
      <w:r w:rsidR="5FBD33C1">
        <w:rPr/>
        <w:t xml:space="preserve"> </w:t>
      </w:r>
      <w:r w:rsidR="2852A616">
        <w:rPr/>
        <w:t xml:space="preserve">weekly meeting </w:t>
      </w:r>
      <w:r w:rsidR="70C09649">
        <w:rPr/>
        <w:t>was</w:t>
      </w:r>
      <w:r w:rsidR="2852A616">
        <w:rPr/>
        <w:t xml:space="preserve"> held</w:t>
      </w:r>
      <w:r w:rsidR="5FBD33C1">
        <w:rPr/>
        <w:t xml:space="preserve"> </w:t>
      </w:r>
      <w:r w:rsidR="5FBD33C1">
        <w:rPr/>
        <w:t xml:space="preserve">to plan and </w:t>
      </w:r>
      <w:r w:rsidR="047B58AA">
        <w:rPr/>
        <w:t>discuses</w:t>
      </w:r>
      <w:r w:rsidR="429A47A8">
        <w:rPr/>
        <w:t xml:space="preserve">, refer to Figure 7 and Figure 8. Every time </w:t>
      </w:r>
      <w:r w:rsidR="61A9A73E">
        <w:rPr/>
        <w:t>a meeting would take place</w:t>
      </w:r>
      <w:r w:rsidR="429A47A8">
        <w:rPr/>
        <w:t xml:space="preserve"> for the event, </w:t>
      </w:r>
      <w:r w:rsidR="7BF995C5">
        <w:rPr/>
        <w:t xml:space="preserve">all </w:t>
      </w:r>
      <w:r w:rsidR="429A47A8">
        <w:rPr/>
        <w:t>meeting minutes</w:t>
      </w:r>
      <w:r w:rsidR="164DDC37">
        <w:rPr/>
        <w:t xml:space="preserve"> and meeting notes</w:t>
      </w:r>
      <w:r w:rsidR="774C86B7">
        <w:rPr/>
        <w:t xml:space="preserve"> were recorded</w:t>
      </w:r>
      <w:r w:rsidR="164DDC37">
        <w:rPr/>
        <w:t xml:space="preserve">, refer to Figure </w:t>
      </w:r>
      <w:r w:rsidR="05413C31">
        <w:rPr/>
        <w:t>9 and Figure 10. This was to ensure there was a record of who was attending the meetings</w:t>
      </w:r>
      <w:r w:rsidR="396CDCBF">
        <w:rPr/>
        <w:t>, for how long</w:t>
      </w:r>
      <w:r w:rsidR="05413C31">
        <w:rPr/>
        <w:t xml:space="preserve"> and what was </w:t>
      </w:r>
      <w:r w:rsidR="05413C31">
        <w:rPr/>
        <w:t>accomplished</w:t>
      </w:r>
      <w:r w:rsidR="05413C31">
        <w:rPr/>
        <w:t xml:space="preserve"> in every meeting. </w:t>
      </w:r>
      <w:r w:rsidR="28DDB338">
        <w:rPr/>
        <w:t>This was vital to remain organised and ensure no work missing, as time was limited.</w:t>
      </w:r>
    </w:p>
    <w:p w:rsidR="054B68D2" w:rsidP="774D707E" w:rsidRDefault="054B68D2" w14:paraId="3FAA6B8F" w14:textId="3996FED6">
      <w:pPr>
        <w:spacing w:line="360" w:lineRule="auto"/>
      </w:pPr>
      <w:r w:rsidR="4AA4A72F">
        <w:rPr/>
        <w:t xml:space="preserve">When the time came for the event, as a group </w:t>
      </w:r>
      <w:r w:rsidR="309C23E8">
        <w:rPr/>
        <w:t xml:space="preserve">all participants </w:t>
      </w:r>
      <w:r w:rsidR="4AA4A72F">
        <w:rPr/>
        <w:t>had collected freebies and prizes for anyone who complete</w:t>
      </w:r>
      <w:r w:rsidR="6450F9B6">
        <w:rPr/>
        <w:t>d</w:t>
      </w:r>
      <w:r w:rsidR="4AA4A72F">
        <w:rPr/>
        <w:t xml:space="preserve"> the questionnaire refer to Figure 6 to view the prizes. These were collect</w:t>
      </w:r>
      <w:r w:rsidR="2AEC8D99">
        <w:rPr/>
        <w:t xml:space="preserve">ed from staff or given to us to use within the stand. The Bristol Stool Chart </w:t>
      </w:r>
      <w:r w:rsidR="12A5D863">
        <w:rPr/>
        <w:t xml:space="preserve">(Bristol Stool Chart, 2023) </w:t>
      </w:r>
      <w:r w:rsidR="2AEC8D99">
        <w:rPr/>
        <w:t xml:space="preserve">was used in the stand to </w:t>
      </w:r>
      <w:r w:rsidR="27CEEDD7">
        <w:rPr/>
        <w:t>demonstrate</w:t>
      </w:r>
      <w:r w:rsidR="27CEEDD7">
        <w:rPr/>
        <w:t xml:space="preserve"> </w:t>
      </w:r>
      <w:r w:rsidR="2AEC8D99">
        <w:rPr/>
        <w:t>healthy and u</w:t>
      </w:r>
      <w:r w:rsidR="2BA33DD0">
        <w:rPr/>
        <w:t>nhealthy stool</w:t>
      </w:r>
      <w:r w:rsidR="3BC35C07">
        <w:rPr/>
        <w:t xml:space="preserve"> as well as fake foods and props</w:t>
      </w:r>
      <w:r w:rsidR="4091525C">
        <w:rPr/>
        <w:t xml:space="preserve"> to play the fibre game with attendees</w:t>
      </w:r>
      <w:r w:rsidR="3BC35C07">
        <w:rPr/>
        <w:t xml:space="preserve">, refer to Figure 6. </w:t>
      </w:r>
      <w:r w:rsidR="29C73C09">
        <w:rPr/>
        <w:t>Food fact sheets from the BDA</w:t>
      </w:r>
      <w:r w:rsidR="6FF08776">
        <w:rPr/>
        <w:t xml:space="preserve"> were used on the stand and handed out to attendees to allow for detailed information (BDA Fibre, 2021</w:t>
      </w:r>
      <w:r w:rsidR="5C59687B">
        <w:rPr/>
        <w:t>)</w:t>
      </w:r>
      <w:r w:rsidR="03D85450">
        <w:rPr/>
        <w:t xml:space="preserve">, refer to Figure 6. </w:t>
      </w:r>
    </w:p>
    <w:p w:rsidR="774D707E" w:rsidP="2DAF78FE" w:rsidRDefault="774D707E" w14:paraId="0D520C11" w14:textId="4CFAE299">
      <w:pPr>
        <w:pStyle w:val="Normal"/>
      </w:pPr>
      <w:r w:rsidR="74CD72FD">
        <w:drawing>
          <wp:inline wp14:editId="1FFE5E76" wp14:anchorId="5C514F4E">
            <wp:extent cx="4432667" cy="3534268"/>
            <wp:effectExtent l="0" t="0" r="0" b="0"/>
            <wp:docPr id="227006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7006843" name="Picture 227006843"/>
                    <pic:cNvPicPr/>
                  </pic:nvPicPr>
                  <pic:blipFill>
                    <a:blip xmlns:r="http://schemas.openxmlformats.org/officeDocument/2006/relationships" r:embed="rId844895821">
                      <a:extLst>
                        <a:ext uri="{28A0092B-C50C-407E-A947-70E740481C1C}">
                          <a14:useLocalDpi xmlns:a14="http://schemas.microsoft.com/office/drawing/2010/main"/>
                        </a:ext>
                      </a:extLst>
                    </a:blip>
                    <a:stretch>
                      <a:fillRect/>
                    </a:stretch>
                  </pic:blipFill>
                  <pic:spPr>
                    <a:xfrm rot="0">
                      <a:off x="0" y="0"/>
                      <a:ext cx="4432667" cy="3534268"/>
                    </a:xfrm>
                    <a:prstGeom prst="rect">
                      <a:avLst/>
                    </a:prstGeom>
                  </pic:spPr>
                </pic:pic>
              </a:graphicData>
            </a:graphic>
          </wp:inline>
        </w:drawing>
      </w:r>
    </w:p>
    <w:p w:rsidR="774D707E" w:rsidP="2DAF78FE" w:rsidRDefault="774D707E" w14:paraId="02135939" w14:textId="4C8CB158">
      <w:pPr>
        <w:pStyle w:val="Normal"/>
      </w:pPr>
      <w:r w:rsidR="74CD72FD">
        <w:drawing>
          <wp:inline wp14:editId="1BEB1B12" wp14:anchorId="3A6945B4">
            <wp:extent cx="3191836" cy="3953427"/>
            <wp:effectExtent l="0" t="0" r="0" b="0"/>
            <wp:docPr id="797404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40479" name="Picture 79740479"/>
                    <pic:cNvPicPr/>
                  </pic:nvPicPr>
                  <pic:blipFill>
                    <a:blip xmlns:r="http://schemas.openxmlformats.org/officeDocument/2006/relationships" r:embed="rId1788784157">
                      <a:extLst>
                        <a:ext uri="{28A0092B-C50C-407E-A947-70E740481C1C}">
                          <a14:useLocalDpi xmlns:a14="http://schemas.microsoft.com/office/drawing/2010/main"/>
                        </a:ext>
                      </a:extLst>
                    </a:blip>
                    <a:stretch>
                      <a:fillRect/>
                    </a:stretch>
                  </pic:blipFill>
                  <pic:spPr>
                    <a:xfrm rot="0">
                      <a:off x="0" y="0"/>
                      <a:ext cx="3191836" cy="3953427"/>
                    </a:xfrm>
                    <a:prstGeom prst="rect">
                      <a:avLst/>
                    </a:prstGeom>
                  </pic:spPr>
                </pic:pic>
              </a:graphicData>
            </a:graphic>
          </wp:inline>
        </w:drawing>
      </w:r>
    </w:p>
    <w:p w:rsidR="774D707E" w:rsidP="2DAF78FE" w:rsidRDefault="774D707E" w14:paraId="254FEB71" w14:textId="0D9F5BF3">
      <w:pPr>
        <w:pStyle w:val="Normal"/>
      </w:pPr>
      <w:r w:rsidR="74CD72FD">
        <w:drawing>
          <wp:inline wp14:editId="5D0E6D84" wp14:anchorId="55B050CC">
            <wp:extent cx="3543795" cy="4023865"/>
            <wp:effectExtent l="0" t="0" r="0" b="0"/>
            <wp:docPr id="359224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922429" name="Picture 35922429"/>
                    <pic:cNvPicPr/>
                  </pic:nvPicPr>
                  <pic:blipFill>
                    <a:blip xmlns:r="http://schemas.openxmlformats.org/officeDocument/2006/relationships" r:embed="rId1084758822">
                      <a:extLst>
                        <a:ext uri="{28A0092B-C50C-407E-A947-70E740481C1C}">
                          <a14:useLocalDpi xmlns:a14="http://schemas.microsoft.com/office/drawing/2010/main"/>
                        </a:ext>
                      </a:extLst>
                    </a:blip>
                    <a:stretch>
                      <a:fillRect/>
                    </a:stretch>
                  </pic:blipFill>
                  <pic:spPr>
                    <a:xfrm rot="0">
                      <a:off x="0" y="0"/>
                      <a:ext cx="3543795" cy="4023865"/>
                    </a:xfrm>
                    <a:prstGeom prst="rect">
                      <a:avLst/>
                    </a:prstGeom>
                  </pic:spPr>
                </pic:pic>
              </a:graphicData>
            </a:graphic>
          </wp:inline>
        </w:drawing>
      </w:r>
    </w:p>
    <w:p w:rsidR="774D707E" w:rsidP="2DAF78FE" w:rsidRDefault="774D707E" w14:paraId="1503CD3A" w14:textId="2D212B29">
      <w:pPr>
        <w:pStyle w:val="Normal"/>
        <w:spacing w:line="360" w:lineRule="auto"/>
      </w:pPr>
      <w:r w:rsidR="74CD72FD">
        <w:drawing>
          <wp:inline wp14:editId="574F8BFC" wp14:anchorId="3D0A0004">
            <wp:extent cx="3374979" cy="3591426"/>
            <wp:effectExtent l="0" t="0" r="0" b="0"/>
            <wp:docPr id="14750170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5017009" name="Picture 1475017009"/>
                    <pic:cNvPicPr/>
                  </pic:nvPicPr>
                  <pic:blipFill>
                    <a:blip xmlns:r="http://schemas.openxmlformats.org/officeDocument/2006/relationships" r:embed="rId1005264480">
                      <a:extLst>
                        <a:ext uri="{28A0092B-C50C-407E-A947-70E740481C1C}">
                          <a14:useLocalDpi xmlns:a14="http://schemas.microsoft.com/office/drawing/2010/main"/>
                        </a:ext>
                      </a:extLst>
                    </a:blip>
                    <a:stretch>
                      <a:fillRect/>
                    </a:stretch>
                  </pic:blipFill>
                  <pic:spPr>
                    <a:xfrm rot="0">
                      <a:off x="0" y="0"/>
                      <a:ext cx="3374979" cy="3591426"/>
                    </a:xfrm>
                    <a:prstGeom prst="rect">
                      <a:avLst/>
                    </a:prstGeom>
                  </pic:spPr>
                </pic:pic>
              </a:graphicData>
            </a:graphic>
          </wp:inline>
        </w:drawing>
      </w:r>
    </w:p>
    <w:p w:rsidR="774D707E" w:rsidP="2DAF78FE" w:rsidRDefault="774D707E" w14:paraId="702A4C17" w14:textId="4DD8D3AC">
      <w:pPr>
        <w:pStyle w:val="Normal"/>
        <w:spacing w:line="360" w:lineRule="auto"/>
      </w:pPr>
      <w:r w:rsidR="74CD72FD">
        <w:drawing>
          <wp:inline wp14:editId="573795A7" wp14:anchorId="275DC7F5">
            <wp:extent cx="2791214" cy="3609184"/>
            <wp:effectExtent l="0" t="0" r="0" b="0"/>
            <wp:docPr id="675288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5288765" name="Picture 675288765"/>
                    <pic:cNvPicPr/>
                  </pic:nvPicPr>
                  <pic:blipFill>
                    <a:blip xmlns:r="http://schemas.openxmlformats.org/officeDocument/2006/relationships" r:embed="rId1489160860">
                      <a:extLst>
                        <a:ext uri="{28A0092B-C50C-407E-A947-70E740481C1C}">
                          <a14:useLocalDpi xmlns:a14="http://schemas.microsoft.com/office/drawing/2010/main"/>
                        </a:ext>
                      </a:extLst>
                    </a:blip>
                    <a:stretch>
                      <a:fillRect/>
                    </a:stretch>
                  </pic:blipFill>
                  <pic:spPr>
                    <a:xfrm rot="0">
                      <a:off x="0" y="0"/>
                      <a:ext cx="2791214" cy="3609184"/>
                    </a:xfrm>
                    <a:prstGeom prst="rect">
                      <a:avLst/>
                    </a:prstGeom>
                  </pic:spPr>
                </pic:pic>
              </a:graphicData>
            </a:graphic>
          </wp:inline>
        </w:drawing>
      </w:r>
    </w:p>
    <w:p w:rsidR="46D27EDB" w:rsidP="774D707E" w:rsidRDefault="46D27EDB" w14:paraId="4838376A" w14:textId="183C493C">
      <w:pPr>
        <w:spacing w:line="240" w:lineRule="auto"/>
      </w:pPr>
      <w:r>
        <w:t>Word count:</w:t>
      </w:r>
    </w:p>
    <w:p w:rsidR="46D27EDB" w:rsidP="774D707E" w:rsidRDefault="46D27EDB" w14:paraId="1B0446CB" w14:textId="5DB337B4">
      <w:pPr>
        <w:spacing w:line="240" w:lineRule="auto"/>
      </w:pPr>
      <w:r w:rsidR="3249736B">
        <w:rPr/>
        <w:t>2,007</w:t>
      </w:r>
    </w:p>
    <w:p w:rsidR="774D707E" w:rsidP="774D707E" w:rsidRDefault="774D707E" w14:paraId="169F3944" w14:textId="0683FED7">
      <w:pPr>
        <w:spacing w:line="360" w:lineRule="auto"/>
      </w:pPr>
    </w:p>
    <w:p w:rsidR="2DAF78FE" w:rsidP="2DAF78FE" w:rsidRDefault="2DAF78FE" w14:paraId="331E0112" w14:textId="71198416">
      <w:pPr>
        <w:spacing w:line="360" w:lineRule="auto"/>
      </w:pPr>
    </w:p>
    <w:p w:rsidR="2DAF78FE" w:rsidP="2DAF78FE" w:rsidRDefault="2DAF78FE" w14:paraId="0D4C47B4" w14:textId="3E68BFDF">
      <w:pPr>
        <w:spacing w:line="360" w:lineRule="auto"/>
      </w:pPr>
    </w:p>
    <w:p w:rsidR="2DAF78FE" w:rsidP="2DAF78FE" w:rsidRDefault="2DAF78FE" w14:paraId="3B9C75BA" w14:textId="66385DBF">
      <w:pPr>
        <w:spacing w:line="360" w:lineRule="auto"/>
      </w:pPr>
    </w:p>
    <w:p w:rsidR="2DAF78FE" w:rsidP="2DAF78FE" w:rsidRDefault="2DAF78FE" w14:paraId="5FBB3A55" w14:textId="1ED3A73B">
      <w:pPr>
        <w:spacing w:line="360" w:lineRule="auto"/>
      </w:pPr>
    </w:p>
    <w:p w:rsidR="2DAF78FE" w:rsidP="2DAF78FE" w:rsidRDefault="2DAF78FE" w14:paraId="65ED5B03" w14:textId="10285A01">
      <w:pPr>
        <w:spacing w:line="360" w:lineRule="auto"/>
      </w:pPr>
    </w:p>
    <w:p w:rsidR="2DAF78FE" w:rsidP="2DAF78FE" w:rsidRDefault="2DAF78FE" w14:paraId="494F9317" w14:textId="1920127A">
      <w:pPr>
        <w:spacing w:line="360" w:lineRule="auto"/>
      </w:pPr>
    </w:p>
    <w:p w:rsidR="2DAF78FE" w:rsidP="2DAF78FE" w:rsidRDefault="2DAF78FE" w14:paraId="4022371E" w14:textId="0EC8EE4A">
      <w:pPr>
        <w:spacing w:line="360" w:lineRule="auto"/>
      </w:pPr>
    </w:p>
    <w:p w:rsidR="2DAF78FE" w:rsidP="2DAF78FE" w:rsidRDefault="2DAF78FE" w14:paraId="2DFFB244" w14:textId="00D43425">
      <w:pPr>
        <w:spacing w:line="360" w:lineRule="auto"/>
      </w:pPr>
    </w:p>
    <w:p w:rsidR="2DAF78FE" w:rsidP="2DAF78FE" w:rsidRDefault="2DAF78FE" w14:paraId="572B7175" w14:textId="68321619">
      <w:pPr>
        <w:pStyle w:val="Normal"/>
        <w:spacing w:line="360" w:lineRule="auto"/>
      </w:pPr>
    </w:p>
    <w:p w:rsidR="2DAF78FE" w:rsidP="2DAF78FE" w:rsidRDefault="2DAF78FE" w14:paraId="053FB011" w14:textId="1ABDB84C">
      <w:pPr>
        <w:pStyle w:val="Normal"/>
        <w:spacing w:line="360" w:lineRule="auto"/>
      </w:pPr>
    </w:p>
    <w:p w:rsidR="5E67BF7B" w:rsidP="296D41EC" w:rsidRDefault="5E67BF7B" w14:paraId="40640834" w14:textId="1992D870">
      <w:pPr>
        <w:spacing w:line="360" w:lineRule="auto"/>
      </w:pPr>
      <w:r w:rsidR="31BAC4B0">
        <w:rPr/>
        <w:t>Reference list</w:t>
      </w:r>
      <w:r w:rsidR="29226113">
        <w:rPr/>
        <w:t xml:space="preserve"> </w:t>
      </w:r>
    </w:p>
    <w:p w:rsidR="31EB2A05" w:rsidP="2DAF78FE" w:rsidRDefault="31EB2A05" w14:paraId="0BA8A951" w14:textId="2EA18473">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 xml:space="preserve">Barret, E.M, Foster, S.I and Beck, E.J (2020) ‘Whole grain and high fibre grain foods: how do knowledge, perceptions and attitudes affect food choice?’, </w:t>
      </w:r>
      <w:r w:rsidRPr="2DAF78FE" w:rsidR="1F887AC7">
        <w:rPr>
          <w:rFonts w:ascii="Times New Roman" w:hAnsi="Times New Roman" w:eastAsia="Times New Roman" w:cs="Times New Roman"/>
          <w:i w:val="1"/>
          <w:iCs w:val="1"/>
          <w:noProof w:val="0"/>
          <w:sz w:val="24"/>
          <w:szCs w:val="24"/>
          <w:lang w:val="en-GB"/>
        </w:rPr>
        <w:t>Appetite</w:t>
      </w:r>
      <w:r w:rsidRPr="2DAF78FE" w:rsidR="1F887AC7">
        <w:rPr>
          <w:rFonts w:ascii="Times New Roman" w:hAnsi="Times New Roman" w:eastAsia="Times New Roman" w:cs="Times New Roman"/>
          <w:noProof w:val="0"/>
          <w:sz w:val="24"/>
          <w:szCs w:val="24"/>
          <w:lang w:val="en-GB"/>
        </w:rPr>
        <w:t xml:space="preserve">, Vol 149, p. 104630. </w:t>
      </w:r>
      <w:r w:rsidRPr="2DAF78FE" w:rsidR="1F887AC7">
        <w:rPr>
          <w:rFonts w:ascii="Times New Roman" w:hAnsi="Times New Roman" w:eastAsia="Times New Roman" w:cs="Times New Roman"/>
          <w:noProof w:val="0"/>
          <w:sz w:val="24"/>
          <w:szCs w:val="24"/>
          <w:lang w:val="fr"/>
        </w:rPr>
        <w:t>DOI:</w:t>
      </w:r>
      <w:r w:rsidRPr="2DAF78FE" w:rsidR="1F887AC7">
        <w:rPr>
          <w:rFonts w:ascii="Times New Roman" w:hAnsi="Times New Roman" w:eastAsia="Times New Roman" w:cs="Times New Roman"/>
          <w:noProof w:val="0"/>
          <w:sz w:val="24"/>
          <w:szCs w:val="24"/>
          <w:lang w:val="fr"/>
        </w:rPr>
        <w:t xml:space="preserve"> </w:t>
      </w:r>
      <w:hyperlink r:id="R7309caa1ccd745f7">
        <w:r w:rsidRPr="2DAF78FE" w:rsidR="1F887AC7">
          <w:rPr>
            <w:rStyle w:val="Hyperlink"/>
            <w:rFonts w:ascii="Times New Roman" w:hAnsi="Times New Roman" w:eastAsia="Times New Roman" w:cs="Times New Roman"/>
            <w:strike w:val="0"/>
            <w:dstrike w:val="0"/>
            <w:noProof w:val="0"/>
            <w:color w:val="467886"/>
            <w:sz w:val="24"/>
            <w:szCs w:val="24"/>
            <w:u w:val="single"/>
            <w:lang w:val="fr"/>
          </w:rPr>
          <w:t>https://doi.org/10.1016/j.appet.2020.104630</w:t>
        </w:r>
      </w:hyperlink>
      <w:r w:rsidRPr="2DAF78FE" w:rsidR="1F887AC7">
        <w:rPr>
          <w:rFonts w:ascii="Times New Roman" w:hAnsi="Times New Roman" w:eastAsia="Times New Roman" w:cs="Times New Roman"/>
          <w:noProof w:val="0"/>
          <w:color w:val="467886"/>
          <w:sz w:val="24"/>
          <w:szCs w:val="24"/>
          <w:lang w:val="fr"/>
        </w:rPr>
        <w:t xml:space="preserve"> </w:t>
      </w:r>
    </w:p>
    <w:p w:rsidR="31EB2A05" w:rsidP="2DAF78FE" w:rsidRDefault="31EB2A05" w14:paraId="2779E828" w14:textId="2779AD82">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fr-FR"/>
        </w:rPr>
        <w:t xml:space="preserve">BDA (2021) ‘Fibre’. </w:t>
      </w:r>
      <w:r w:rsidRPr="2DAF78FE" w:rsidR="1F887AC7">
        <w:rPr>
          <w:rFonts w:ascii="Times New Roman" w:hAnsi="Times New Roman" w:eastAsia="Times New Roman" w:cs="Times New Roman"/>
          <w:noProof w:val="0"/>
          <w:sz w:val="24"/>
          <w:szCs w:val="24"/>
          <w:lang w:val="fr-FR"/>
        </w:rPr>
        <w:t>Available</w:t>
      </w:r>
      <w:r w:rsidRPr="2DAF78FE" w:rsidR="1F887AC7">
        <w:rPr>
          <w:rFonts w:ascii="Times New Roman" w:hAnsi="Times New Roman" w:eastAsia="Times New Roman" w:cs="Times New Roman"/>
          <w:noProof w:val="0"/>
          <w:sz w:val="24"/>
          <w:szCs w:val="24"/>
          <w:lang w:val="fr-FR"/>
        </w:rPr>
        <w:t xml:space="preserve"> </w:t>
      </w:r>
      <w:r w:rsidRPr="2DAF78FE" w:rsidR="1F887AC7">
        <w:rPr>
          <w:rFonts w:ascii="Times New Roman" w:hAnsi="Times New Roman" w:eastAsia="Times New Roman" w:cs="Times New Roman"/>
          <w:noProof w:val="0"/>
          <w:sz w:val="24"/>
          <w:szCs w:val="24"/>
          <w:lang w:val="fr-FR"/>
        </w:rPr>
        <w:t>at:</w:t>
      </w:r>
      <w:r w:rsidRPr="2DAF78FE" w:rsidR="1F887AC7">
        <w:rPr>
          <w:rFonts w:ascii="Times New Roman" w:hAnsi="Times New Roman" w:eastAsia="Times New Roman" w:cs="Times New Roman"/>
          <w:noProof w:val="0"/>
          <w:color w:val="467886"/>
          <w:sz w:val="24"/>
          <w:szCs w:val="24"/>
          <w:lang w:val="fr-FR"/>
        </w:rPr>
        <w:t xml:space="preserve"> </w:t>
      </w:r>
      <w:hyperlink r:id="R81e63b4083504571">
        <w:r w:rsidRPr="2DAF78FE" w:rsidR="1F887AC7">
          <w:rPr>
            <w:rStyle w:val="Hyperlink"/>
            <w:rFonts w:ascii="Times New Roman" w:hAnsi="Times New Roman" w:eastAsia="Times New Roman" w:cs="Times New Roman"/>
            <w:strike w:val="0"/>
            <w:dstrike w:val="0"/>
            <w:noProof w:val="0"/>
            <w:color w:val="467886"/>
            <w:sz w:val="24"/>
            <w:szCs w:val="24"/>
            <w:u w:val="single"/>
            <w:lang w:val="fr-FR"/>
          </w:rPr>
          <w:t>https://www.bda.uk.com/static/f602fc35-ff7f-4d2c-90c89b145c43396c/d1e5de73-14ad-4d53-a9a79d1f66f0e7f8/Fibre-food-fact-sheet.pdf</w:t>
        </w:r>
      </w:hyperlink>
      <w:r w:rsidRPr="2DAF78FE" w:rsidR="1F887AC7">
        <w:rPr>
          <w:rFonts w:ascii="Times New Roman" w:hAnsi="Times New Roman" w:eastAsia="Times New Roman" w:cs="Times New Roman"/>
          <w:noProof w:val="0"/>
          <w:color w:val="467886"/>
          <w:sz w:val="24"/>
          <w:szCs w:val="24"/>
          <w:lang w:val="fr-FR"/>
        </w:rPr>
        <w:t xml:space="preserve"> </w:t>
      </w:r>
      <w:r w:rsidRPr="2DAF78FE" w:rsidR="1F887AC7">
        <w:rPr>
          <w:rFonts w:ascii="Times New Roman" w:hAnsi="Times New Roman" w:eastAsia="Times New Roman" w:cs="Times New Roman"/>
          <w:noProof w:val="0"/>
          <w:sz w:val="24"/>
          <w:szCs w:val="24"/>
          <w:lang w:val="fr-FR"/>
        </w:rPr>
        <w:t>(</w:t>
      </w:r>
      <w:r w:rsidRPr="2DAF78FE" w:rsidR="1F887AC7">
        <w:rPr>
          <w:rFonts w:ascii="Times New Roman" w:hAnsi="Times New Roman" w:eastAsia="Times New Roman" w:cs="Times New Roman"/>
          <w:noProof w:val="0"/>
          <w:sz w:val="24"/>
          <w:szCs w:val="24"/>
          <w:lang w:val="fr-FR"/>
        </w:rPr>
        <w:t>Accessed</w:t>
      </w:r>
      <w:r w:rsidRPr="2DAF78FE" w:rsidR="1F887AC7">
        <w:rPr>
          <w:rFonts w:ascii="Times New Roman" w:hAnsi="Times New Roman" w:eastAsia="Times New Roman" w:cs="Times New Roman"/>
          <w:noProof w:val="0"/>
          <w:sz w:val="24"/>
          <w:szCs w:val="24"/>
          <w:lang w:val="fr-FR"/>
        </w:rPr>
        <w:t>: 20 April 2026)</w:t>
      </w:r>
    </w:p>
    <w:p w:rsidR="31EB2A05" w:rsidP="2DAF78FE" w:rsidRDefault="31EB2A05" w14:paraId="48EAAECB" w14:textId="3F012A8F">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Corbin, J.H, Jones, J and Barry, M.M (2016) ‘What makes intersectoral partnership for health promotion work? A review of the international literature</w:t>
      </w:r>
      <w:r w:rsidRPr="2DAF78FE" w:rsidR="1F887AC7">
        <w:rPr>
          <w:rFonts w:ascii="Times New Roman" w:hAnsi="Times New Roman" w:eastAsia="Times New Roman" w:cs="Times New Roman"/>
          <w:noProof w:val="0"/>
          <w:sz w:val="24"/>
          <w:szCs w:val="24"/>
          <w:lang w:val="en-GB"/>
        </w:rPr>
        <w:t>’,</w:t>
      </w:r>
      <w:r w:rsidRPr="2DAF78FE" w:rsidR="1F887AC7">
        <w:rPr>
          <w:rFonts w:ascii="Times New Roman" w:hAnsi="Times New Roman" w:eastAsia="Times New Roman" w:cs="Times New Roman"/>
          <w:noProof w:val="0"/>
          <w:sz w:val="24"/>
          <w:szCs w:val="24"/>
          <w:lang w:val="en-GB"/>
        </w:rPr>
        <w:t xml:space="preserve"> </w:t>
      </w:r>
      <w:r w:rsidRPr="2DAF78FE" w:rsidR="1F887AC7">
        <w:rPr>
          <w:rFonts w:ascii="Times New Roman" w:hAnsi="Times New Roman" w:eastAsia="Times New Roman" w:cs="Times New Roman"/>
          <w:i w:val="1"/>
          <w:iCs w:val="1"/>
          <w:noProof w:val="0"/>
          <w:sz w:val="24"/>
          <w:szCs w:val="24"/>
          <w:lang w:val="en-GB"/>
        </w:rPr>
        <w:t>Health Promotion International</w:t>
      </w:r>
      <w:r w:rsidRPr="2DAF78FE" w:rsidR="1F887AC7">
        <w:rPr>
          <w:rFonts w:ascii="Times New Roman" w:hAnsi="Times New Roman" w:eastAsia="Times New Roman" w:cs="Times New Roman"/>
          <w:noProof w:val="0"/>
          <w:sz w:val="24"/>
          <w:szCs w:val="24"/>
          <w:lang w:val="en-GB"/>
        </w:rPr>
        <w:t xml:space="preserve">, Vol 33(1), pp. 4-26. </w:t>
      </w:r>
      <w:r w:rsidRPr="2DAF78FE" w:rsidR="1F887AC7">
        <w:rPr>
          <w:rFonts w:ascii="Times New Roman" w:hAnsi="Times New Roman" w:eastAsia="Times New Roman" w:cs="Times New Roman"/>
          <w:noProof w:val="0"/>
          <w:sz w:val="24"/>
          <w:szCs w:val="24"/>
          <w:lang w:val="fr"/>
        </w:rPr>
        <w:t>DOI:</w:t>
      </w:r>
      <w:r w:rsidRPr="2DAF78FE" w:rsidR="1F887AC7">
        <w:rPr>
          <w:rFonts w:ascii="Times New Roman" w:hAnsi="Times New Roman" w:eastAsia="Times New Roman" w:cs="Times New Roman"/>
          <w:noProof w:val="0"/>
          <w:sz w:val="24"/>
          <w:szCs w:val="24"/>
          <w:lang w:val="fr"/>
        </w:rPr>
        <w:t xml:space="preserve"> </w:t>
      </w:r>
      <w:hyperlink r:id="Ra5dcb0e7177d4d60">
        <w:r w:rsidRPr="2DAF78FE" w:rsidR="1F887AC7">
          <w:rPr>
            <w:rStyle w:val="Hyperlink"/>
            <w:rFonts w:ascii="Times New Roman" w:hAnsi="Times New Roman" w:eastAsia="Times New Roman" w:cs="Times New Roman"/>
            <w:strike w:val="0"/>
            <w:dstrike w:val="0"/>
            <w:noProof w:val="0"/>
            <w:color w:val="467886"/>
            <w:sz w:val="24"/>
            <w:szCs w:val="24"/>
            <w:u w:val="single"/>
            <w:lang w:val="fr"/>
          </w:rPr>
          <w:t>https://doi.org/10.1093/heapro/daw061</w:t>
        </w:r>
      </w:hyperlink>
      <w:r w:rsidRPr="2DAF78FE" w:rsidR="1F887AC7">
        <w:rPr>
          <w:rFonts w:ascii="Times New Roman" w:hAnsi="Times New Roman" w:eastAsia="Times New Roman" w:cs="Times New Roman"/>
          <w:noProof w:val="0"/>
          <w:color w:val="467886"/>
          <w:sz w:val="24"/>
          <w:szCs w:val="24"/>
          <w:lang w:val="fr"/>
        </w:rPr>
        <w:t xml:space="preserve"> </w:t>
      </w:r>
    </w:p>
    <w:p w:rsidR="31EB2A05" w:rsidP="2DAF78FE" w:rsidRDefault="31EB2A05" w14:paraId="140FFD22" w14:textId="67575478">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 xml:space="preserve">Dietary Reference Vales (1991) </w:t>
      </w:r>
      <w:r w:rsidRPr="2DAF78FE" w:rsidR="1F887AC7">
        <w:rPr>
          <w:rFonts w:ascii="Times New Roman" w:hAnsi="Times New Roman" w:eastAsia="Times New Roman" w:cs="Times New Roman"/>
          <w:i w:val="1"/>
          <w:iCs w:val="1"/>
          <w:noProof w:val="0"/>
          <w:sz w:val="24"/>
          <w:szCs w:val="24"/>
          <w:lang w:val="en-GB"/>
        </w:rPr>
        <w:t>Dietary Reference Vales A Guide</w:t>
      </w:r>
      <w:r w:rsidRPr="2DAF78FE" w:rsidR="1F887AC7">
        <w:rPr>
          <w:rFonts w:ascii="Times New Roman" w:hAnsi="Times New Roman" w:eastAsia="Times New Roman" w:cs="Times New Roman"/>
          <w:noProof w:val="0"/>
          <w:sz w:val="24"/>
          <w:szCs w:val="24"/>
          <w:lang w:val="en-GB"/>
        </w:rPr>
        <w:t xml:space="preserve">. Available at: </w:t>
      </w:r>
      <w:hyperlink r:id="Rc67cec2f44cd4b3e">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https://assets.publishing.service.gov.uk/media/5bab995240f0b607130bd49d/Dietary_Reference_Values_-_A_Guide__1991_.pdf</w:t>
        </w:r>
      </w:hyperlink>
      <w:r w:rsidRPr="2DAF78FE" w:rsidR="1F887AC7">
        <w:rPr>
          <w:rFonts w:ascii="Times New Roman" w:hAnsi="Times New Roman" w:eastAsia="Times New Roman" w:cs="Times New Roman"/>
          <w:noProof w:val="0"/>
          <w:color w:val="467886"/>
          <w:sz w:val="24"/>
          <w:szCs w:val="24"/>
          <w:lang w:val="en-GB"/>
        </w:rPr>
        <w:t xml:space="preserve"> </w:t>
      </w:r>
      <w:r w:rsidRPr="2DAF78FE" w:rsidR="1F887AC7">
        <w:rPr>
          <w:rFonts w:ascii="Times New Roman" w:hAnsi="Times New Roman" w:eastAsia="Times New Roman" w:cs="Times New Roman"/>
          <w:noProof w:val="0"/>
          <w:sz w:val="24"/>
          <w:szCs w:val="24"/>
          <w:lang w:val="en-GB"/>
        </w:rPr>
        <w:t xml:space="preserve">(Accessed: 17 April 2026)   </w:t>
      </w:r>
    </w:p>
    <w:p w:rsidR="31EB2A05" w:rsidP="2DAF78FE" w:rsidRDefault="31EB2A05" w14:paraId="585B30E8" w14:textId="7A605F2B">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fr"/>
        </w:rPr>
        <w:t xml:space="preserve">Flynn, J.F et al. </w:t>
      </w:r>
      <w:r w:rsidRPr="2DAF78FE" w:rsidR="1F887AC7">
        <w:rPr>
          <w:rFonts w:ascii="Times New Roman" w:hAnsi="Times New Roman" w:eastAsia="Times New Roman" w:cs="Times New Roman"/>
          <w:noProof w:val="0"/>
          <w:sz w:val="24"/>
          <w:szCs w:val="24"/>
          <w:lang w:val="en-GB"/>
        </w:rPr>
        <w:t>(2022) ‘A model for effective partnership working to support programme evaluation’,</w:t>
      </w:r>
      <w:r w:rsidRPr="2DAF78FE" w:rsidR="1F887AC7">
        <w:rPr>
          <w:rFonts w:ascii="Times New Roman" w:hAnsi="Times New Roman" w:eastAsia="Times New Roman" w:cs="Times New Roman"/>
          <w:i w:val="1"/>
          <w:iCs w:val="1"/>
          <w:noProof w:val="0"/>
          <w:sz w:val="24"/>
          <w:szCs w:val="24"/>
          <w:lang w:val="en-GB"/>
        </w:rPr>
        <w:t xml:space="preserve"> Evaluation</w:t>
      </w:r>
      <w:r w:rsidRPr="2DAF78FE" w:rsidR="1F887AC7">
        <w:rPr>
          <w:rFonts w:ascii="Times New Roman" w:hAnsi="Times New Roman" w:eastAsia="Times New Roman" w:cs="Times New Roman"/>
          <w:noProof w:val="0"/>
          <w:sz w:val="24"/>
          <w:szCs w:val="24"/>
          <w:lang w:val="en-GB"/>
        </w:rPr>
        <w:t>, Vol 28(3). DOI:</w:t>
      </w:r>
      <w:r w:rsidRPr="2DAF78FE" w:rsidR="1F887AC7">
        <w:rPr>
          <w:rFonts w:ascii="Times New Roman" w:hAnsi="Times New Roman" w:eastAsia="Times New Roman" w:cs="Times New Roman"/>
          <w:noProof w:val="0"/>
          <w:color w:val="467886"/>
          <w:sz w:val="24"/>
          <w:szCs w:val="24"/>
          <w:lang w:val="en-GB"/>
        </w:rPr>
        <w:t xml:space="preserve"> </w:t>
      </w:r>
      <w:hyperlink r:id="R3e10de5307c545f7">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https://doi.org/10.1177/13563890221096178</w:t>
        </w:r>
      </w:hyperlink>
      <w:r w:rsidRPr="2DAF78FE" w:rsidR="1F887AC7">
        <w:rPr>
          <w:rFonts w:ascii="Times New Roman" w:hAnsi="Times New Roman" w:eastAsia="Times New Roman" w:cs="Times New Roman"/>
          <w:noProof w:val="0"/>
          <w:color w:val="467886"/>
          <w:sz w:val="24"/>
          <w:szCs w:val="24"/>
          <w:lang w:val="en-GB"/>
        </w:rPr>
        <w:t xml:space="preserve"> </w:t>
      </w:r>
    </w:p>
    <w:p w:rsidR="31EB2A05" w:rsidP="2DAF78FE" w:rsidRDefault="31EB2A05" w14:paraId="49D32ED3" w14:textId="10688730">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Gressier</w:t>
      </w:r>
      <w:r w:rsidRPr="2DAF78FE" w:rsidR="1F887AC7">
        <w:rPr>
          <w:rFonts w:ascii="Times New Roman" w:hAnsi="Times New Roman" w:eastAsia="Times New Roman" w:cs="Times New Roman"/>
          <w:noProof w:val="0"/>
          <w:sz w:val="24"/>
          <w:szCs w:val="24"/>
          <w:lang w:val="en-GB"/>
        </w:rPr>
        <w:t>, M and Frost, G (2021) ‘Minor changes in fibre intake in the UK population between 2008/2009 and 2016/2017’,</w:t>
      </w:r>
      <w:r w:rsidRPr="2DAF78FE" w:rsidR="1F887AC7">
        <w:rPr>
          <w:rFonts w:ascii="Times New Roman" w:hAnsi="Times New Roman" w:eastAsia="Times New Roman" w:cs="Times New Roman"/>
          <w:i w:val="1"/>
          <w:iCs w:val="1"/>
          <w:noProof w:val="0"/>
          <w:sz w:val="24"/>
          <w:szCs w:val="24"/>
          <w:lang w:val="en-GB"/>
        </w:rPr>
        <w:t xml:space="preserve"> European Journal of Clinical Nutrition</w:t>
      </w:r>
      <w:r w:rsidRPr="2DAF78FE" w:rsidR="1F887AC7">
        <w:rPr>
          <w:rFonts w:ascii="Times New Roman" w:hAnsi="Times New Roman" w:eastAsia="Times New Roman" w:cs="Times New Roman"/>
          <w:noProof w:val="0"/>
          <w:sz w:val="24"/>
          <w:szCs w:val="24"/>
          <w:lang w:val="en-GB"/>
        </w:rPr>
        <w:t xml:space="preserve">, Vol 76(2), pp. 322-327. DOI: </w:t>
      </w:r>
      <w:hyperlink r:id="R8c396383a8e240c5">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https://doi.org/10.1038/s41430-021-00933-2</w:t>
        </w:r>
      </w:hyperlink>
      <w:r w:rsidRPr="2DAF78FE" w:rsidR="1F887AC7">
        <w:rPr>
          <w:rFonts w:ascii="Times New Roman" w:hAnsi="Times New Roman" w:eastAsia="Times New Roman" w:cs="Times New Roman"/>
          <w:noProof w:val="0"/>
          <w:color w:val="467886"/>
          <w:sz w:val="24"/>
          <w:szCs w:val="24"/>
          <w:lang w:val="en-GB"/>
        </w:rPr>
        <w:t xml:space="preserve"> </w:t>
      </w:r>
    </w:p>
    <w:p w:rsidR="31EB2A05" w:rsidP="2DAF78FE" w:rsidRDefault="31EB2A05" w14:paraId="774516F6" w14:textId="112683AB">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 xml:space="preserve">Lee, J et al. (2018) ‘Addressing health equity through action on the social determinants of health: a global review of policy outcome evaluation methods’, </w:t>
      </w:r>
      <w:r w:rsidRPr="2DAF78FE" w:rsidR="1F887AC7">
        <w:rPr>
          <w:rFonts w:ascii="Times New Roman" w:hAnsi="Times New Roman" w:eastAsia="Times New Roman" w:cs="Times New Roman"/>
          <w:i w:val="1"/>
          <w:iCs w:val="1"/>
          <w:noProof w:val="0"/>
          <w:sz w:val="24"/>
          <w:szCs w:val="24"/>
          <w:lang w:val="en-GB"/>
        </w:rPr>
        <w:t>International Journal of Health, Policy and Management</w:t>
      </w:r>
      <w:r w:rsidRPr="2DAF78FE" w:rsidR="1F887AC7">
        <w:rPr>
          <w:rFonts w:ascii="Times New Roman" w:hAnsi="Times New Roman" w:eastAsia="Times New Roman" w:cs="Times New Roman"/>
          <w:noProof w:val="0"/>
          <w:sz w:val="24"/>
          <w:szCs w:val="24"/>
          <w:lang w:val="en-GB"/>
        </w:rPr>
        <w:t xml:space="preserve">, Vol 7(7), pp. 581-592, DOI: </w:t>
      </w:r>
      <w:hyperlink r:id="R2a08cdebce4340fc">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10.15171/ijhpm.2018.04</w:t>
        </w:r>
      </w:hyperlink>
      <w:r w:rsidRPr="2DAF78FE" w:rsidR="1F887AC7">
        <w:rPr>
          <w:rFonts w:ascii="Times New Roman" w:hAnsi="Times New Roman" w:eastAsia="Times New Roman" w:cs="Times New Roman"/>
          <w:noProof w:val="0"/>
          <w:color w:val="467886"/>
          <w:sz w:val="24"/>
          <w:szCs w:val="24"/>
          <w:lang w:val="en-GB"/>
        </w:rPr>
        <w:t xml:space="preserve"> </w:t>
      </w:r>
    </w:p>
    <w:p w:rsidR="31EB2A05" w:rsidP="2DAF78FE" w:rsidRDefault="31EB2A05" w14:paraId="351AC585" w14:textId="74E65B44">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fr"/>
        </w:rPr>
        <w:t>Ljubicic</w:t>
      </w:r>
      <w:r w:rsidRPr="2DAF78FE" w:rsidR="1F887AC7">
        <w:rPr>
          <w:rFonts w:ascii="Times New Roman" w:hAnsi="Times New Roman" w:eastAsia="Times New Roman" w:cs="Times New Roman"/>
          <w:noProof w:val="0"/>
          <w:sz w:val="24"/>
          <w:szCs w:val="24"/>
          <w:lang w:val="fr"/>
        </w:rPr>
        <w:t xml:space="preserve">, M et al. </w:t>
      </w:r>
      <w:r w:rsidRPr="2DAF78FE" w:rsidR="1F887AC7">
        <w:rPr>
          <w:rFonts w:ascii="Times New Roman" w:hAnsi="Times New Roman" w:eastAsia="Times New Roman" w:cs="Times New Roman"/>
          <w:noProof w:val="0"/>
          <w:sz w:val="24"/>
          <w:szCs w:val="24"/>
          <w:lang w:val="en-GB"/>
        </w:rPr>
        <w:t xml:space="preserve">(2017) ‘Knowledge about dietary fibre and its health benefits: a cross-sectional survey of 2536 residents from across Croatia’, </w:t>
      </w:r>
      <w:r w:rsidRPr="2DAF78FE" w:rsidR="1F887AC7">
        <w:rPr>
          <w:rFonts w:ascii="Times New Roman" w:hAnsi="Times New Roman" w:eastAsia="Times New Roman" w:cs="Times New Roman"/>
          <w:i w:val="1"/>
          <w:iCs w:val="1"/>
          <w:noProof w:val="0"/>
          <w:sz w:val="24"/>
          <w:szCs w:val="24"/>
          <w:lang w:val="en-GB"/>
        </w:rPr>
        <w:t>Medical Hypotheses</w:t>
      </w:r>
      <w:r w:rsidRPr="2DAF78FE" w:rsidR="1F887AC7">
        <w:rPr>
          <w:rFonts w:ascii="Times New Roman" w:hAnsi="Times New Roman" w:eastAsia="Times New Roman" w:cs="Times New Roman"/>
          <w:noProof w:val="0"/>
          <w:sz w:val="24"/>
          <w:szCs w:val="24"/>
          <w:lang w:val="en-GB"/>
        </w:rPr>
        <w:t xml:space="preserve">, Vol 105, pp. 25-31. DOI: </w:t>
      </w:r>
      <w:hyperlink r:id="R62b99098ec9945d6">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https://doi.org/10.1016/j.mehy.2017.06.019</w:t>
        </w:r>
      </w:hyperlink>
      <w:r w:rsidRPr="2DAF78FE" w:rsidR="1F887AC7">
        <w:rPr>
          <w:rFonts w:ascii="Times New Roman" w:hAnsi="Times New Roman" w:eastAsia="Times New Roman" w:cs="Times New Roman"/>
          <w:noProof w:val="0"/>
          <w:color w:val="467886"/>
          <w:sz w:val="24"/>
          <w:szCs w:val="24"/>
          <w:lang w:val="en-GB"/>
        </w:rPr>
        <w:t xml:space="preserve"> </w:t>
      </w:r>
    </w:p>
    <w:p w:rsidR="31EB2A05" w:rsidP="2DAF78FE" w:rsidRDefault="31EB2A05" w14:paraId="3292812F" w14:textId="3FA2D33C">
      <w:pPr>
        <w:spacing w:before="0" w:beforeAutospacing="off" w:after="160" w:afterAutospacing="off" w:line="360" w:lineRule="auto"/>
      </w:pPr>
      <w:r w:rsidRPr="2DAF78FE" w:rsidR="1F887AC7">
        <w:rPr>
          <w:rFonts w:ascii="Times New Roman" w:hAnsi="Times New Roman" w:eastAsia="Times New Roman" w:cs="Times New Roman"/>
          <w:noProof w:val="0"/>
          <w:sz w:val="24"/>
          <w:szCs w:val="24"/>
          <w:lang w:val="en-GB"/>
        </w:rPr>
        <w:t xml:space="preserve">Strode, D, </w:t>
      </w:r>
      <w:r w:rsidRPr="2DAF78FE" w:rsidR="1F887AC7">
        <w:rPr>
          <w:rFonts w:ascii="Times New Roman" w:hAnsi="Times New Roman" w:eastAsia="Times New Roman" w:cs="Times New Roman"/>
          <w:noProof w:val="0"/>
          <w:sz w:val="24"/>
          <w:szCs w:val="24"/>
          <w:lang w:val="en-GB"/>
        </w:rPr>
        <w:t>Dingsoyr</w:t>
      </w:r>
      <w:r w:rsidRPr="2DAF78FE" w:rsidR="1F887AC7">
        <w:rPr>
          <w:rFonts w:ascii="Times New Roman" w:hAnsi="Times New Roman" w:eastAsia="Times New Roman" w:cs="Times New Roman"/>
          <w:noProof w:val="0"/>
          <w:sz w:val="24"/>
          <w:szCs w:val="24"/>
          <w:lang w:val="en-GB"/>
        </w:rPr>
        <w:t xml:space="preserve">, T and </w:t>
      </w:r>
      <w:r w:rsidRPr="2DAF78FE" w:rsidR="1F887AC7">
        <w:rPr>
          <w:rFonts w:ascii="Times New Roman" w:hAnsi="Times New Roman" w:eastAsia="Times New Roman" w:cs="Times New Roman"/>
          <w:noProof w:val="0"/>
          <w:sz w:val="24"/>
          <w:szCs w:val="24"/>
          <w:lang w:val="en-GB"/>
        </w:rPr>
        <w:t>Lindsjorn</w:t>
      </w:r>
      <w:r w:rsidRPr="2DAF78FE" w:rsidR="1F887AC7">
        <w:rPr>
          <w:rFonts w:ascii="Times New Roman" w:hAnsi="Times New Roman" w:eastAsia="Times New Roman" w:cs="Times New Roman"/>
          <w:noProof w:val="0"/>
          <w:sz w:val="24"/>
          <w:szCs w:val="24"/>
          <w:lang w:val="en-GB"/>
        </w:rPr>
        <w:t xml:space="preserve">, Y (2022) ‘A teamwork effectiveness model for agile software development’, </w:t>
      </w:r>
      <w:r w:rsidRPr="2DAF78FE" w:rsidR="1F887AC7">
        <w:rPr>
          <w:rFonts w:ascii="Times New Roman" w:hAnsi="Times New Roman" w:eastAsia="Times New Roman" w:cs="Times New Roman"/>
          <w:i w:val="1"/>
          <w:iCs w:val="1"/>
          <w:noProof w:val="0"/>
          <w:sz w:val="24"/>
          <w:szCs w:val="24"/>
          <w:lang w:val="en-GB"/>
        </w:rPr>
        <w:t>Empirical Software Engineering</w:t>
      </w:r>
      <w:r w:rsidRPr="2DAF78FE" w:rsidR="1F887AC7">
        <w:rPr>
          <w:rFonts w:ascii="Times New Roman" w:hAnsi="Times New Roman" w:eastAsia="Times New Roman" w:cs="Times New Roman"/>
          <w:noProof w:val="0"/>
          <w:sz w:val="24"/>
          <w:szCs w:val="24"/>
          <w:lang w:val="en-GB"/>
        </w:rPr>
        <w:t xml:space="preserve">, Vol 27(2), pp. 1-50. </w:t>
      </w:r>
      <w:r w:rsidRPr="2DAF78FE" w:rsidR="1F887AC7">
        <w:rPr>
          <w:rFonts w:ascii="Times New Roman" w:hAnsi="Times New Roman" w:eastAsia="Times New Roman" w:cs="Times New Roman"/>
          <w:noProof w:val="0"/>
          <w:sz w:val="24"/>
          <w:szCs w:val="24"/>
          <w:lang w:val="fr"/>
        </w:rPr>
        <w:t>DOI:</w:t>
      </w:r>
      <w:r w:rsidRPr="2DAF78FE" w:rsidR="1F887AC7">
        <w:rPr>
          <w:rFonts w:ascii="Times New Roman" w:hAnsi="Times New Roman" w:eastAsia="Times New Roman" w:cs="Times New Roman"/>
          <w:noProof w:val="0"/>
          <w:sz w:val="24"/>
          <w:szCs w:val="24"/>
          <w:lang w:val="fr"/>
        </w:rPr>
        <w:t xml:space="preserve"> </w:t>
      </w:r>
      <w:hyperlink r:id="Rd3fa25fdfc924931">
        <w:r w:rsidRPr="2DAF78FE" w:rsidR="1F887AC7">
          <w:rPr>
            <w:rStyle w:val="Hyperlink"/>
            <w:rFonts w:ascii="Times New Roman" w:hAnsi="Times New Roman" w:eastAsia="Times New Roman" w:cs="Times New Roman"/>
            <w:strike w:val="0"/>
            <w:dstrike w:val="0"/>
            <w:noProof w:val="0"/>
            <w:color w:val="467886"/>
            <w:sz w:val="24"/>
            <w:szCs w:val="24"/>
            <w:u w:val="single"/>
            <w:lang w:val="fr"/>
          </w:rPr>
          <w:t>https://doi.org/10.1007/s10664-021-10115-0</w:t>
        </w:r>
      </w:hyperlink>
      <w:r w:rsidRPr="2DAF78FE" w:rsidR="1F887AC7">
        <w:rPr>
          <w:rFonts w:ascii="Times New Roman" w:hAnsi="Times New Roman" w:eastAsia="Times New Roman" w:cs="Times New Roman"/>
          <w:noProof w:val="0"/>
          <w:color w:val="467886"/>
          <w:sz w:val="24"/>
          <w:szCs w:val="24"/>
          <w:lang w:val="fr"/>
        </w:rPr>
        <w:t xml:space="preserve"> </w:t>
      </w:r>
    </w:p>
    <w:p w:rsidR="31EB2A05" w:rsidP="2DAF78FE" w:rsidRDefault="31EB2A05" w14:paraId="58DB4E9A" w14:textId="4555DDAA">
      <w:pPr>
        <w:spacing w:before="0" w:beforeAutospacing="off" w:after="160" w:afterAutospacing="off" w:line="360" w:lineRule="auto"/>
        <w:rPr>
          <w:rFonts w:ascii="Times New Roman" w:hAnsi="Times New Roman" w:eastAsia="Times New Roman" w:cs="Times New Roman"/>
          <w:noProof w:val="0"/>
          <w:sz w:val="24"/>
          <w:szCs w:val="24"/>
          <w:lang w:val="en-GB"/>
        </w:rPr>
      </w:pPr>
      <w:r w:rsidRPr="2DAF78FE" w:rsidR="1F887AC7">
        <w:rPr>
          <w:rFonts w:ascii="Times New Roman" w:hAnsi="Times New Roman" w:eastAsia="Times New Roman" w:cs="Times New Roman"/>
          <w:noProof w:val="0"/>
          <w:sz w:val="24"/>
          <w:szCs w:val="24"/>
          <w:lang w:val="fr"/>
        </w:rPr>
        <w:t>Sulat</w:t>
      </w:r>
      <w:r w:rsidRPr="2DAF78FE" w:rsidR="1F887AC7">
        <w:rPr>
          <w:rFonts w:ascii="Times New Roman" w:hAnsi="Times New Roman" w:eastAsia="Times New Roman" w:cs="Times New Roman"/>
          <w:noProof w:val="0"/>
          <w:sz w:val="24"/>
          <w:szCs w:val="24"/>
          <w:lang w:val="fr"/>
        </w:rPr>
        <w:t xml:space="preserve">, J.S et al. </w:t>
      </w:r>
      <w:r w:rsidRPr="2DAF78FE" w:rsidR="1F887AC7">
        <w:rPr>
          <w:rFonts w:ascii="Times New Roman" w:hAnsi="Times New Roman" w:eastAsia="Times New Roman" w:cs="Times New Roman"/>
          <w:noProof w:val="0"/>
          <w:sz w:val="24"/>
          <w:szCs w:val="24"/>
          <w:lang w:val="en-GB"/>
        </w:rPr>
        <w:t>(2018) ‘The validity of health belief model variables in predicating behavioural change’</w:t>
      </w:r>
      <w:r w:rsidRPr="2DAF78FE" w:rsidR="1F887AC7">
        <w:rPr>
          <w:rFonts w:ascii="Times New Roman" w:hAnsi="Times New Roman" w:eastAsia="Times New Roman" w:cs="Times New Roman"/>
          <w:i w:val="1"/>
          <w:iCs w:val="1"/>
          <w:noProof w:val="0"/>
          <w:sz w:val="24"/>
          <w:szCs w:val="24"/>
          <w:lang w:val="en-GB"/>
        </w:rPr>
        <w:t>, Health Education</w:t>
      </w:r>
      <w:r w:rsidRPr="2DAF78FE" w:rsidR="1F887AC7">
        <w:rPr>
          <w:rFonts w:ascii="Times New Roman" w:hAnsi="Times New Roman" w:eastAsia="Times New Roman" w:cs="Times New Roman"/>
          <w:noProof w:val="0"/>
          <w:sz w:val="24"/>
          <w:szCs w:val="24"/>
          <w:lang w:val="en-GB"/>
        </w:rPr>
        <w:t>, Vol 118(6), pp. 499.512. DOI:</w:t>
      </w:r>
      <w:r w:rsidRPr="2DAF78FE" w:rsidR="1F887AC7">
        <w:rPr>
          <w:rFonts w:ascii="Times New Roman" w:hAnsi="Times New Roman" w:eastAsia="Times New Roman" w:cs="Times New Roman"/>
          <w:noProof w:val="0"/>
          <w:color w:val="467886"/>
          <w:sz w:val="24"/>
          <w:szCs w:val="24"/>
          <w:lang w:val="en-GB"/>
        </w:rPr>
        <w:t xml:space="preserve"> </w:t>
      </w:r>
      <w:hyperlink r:id="R4ae60965916f4581">
        <w:r w:rsidRPr="2DAF78FE" w:rsidR="1F887AC7">
          <w:rPr>
            <w:rStyle w:val="Hyperlink"/>
            <w:rFonts w:ascii="Times New Roman" w:hAnsi="Times New Roman" w:eastAsia="Times New Roman" w:cs="Times New Roman"/>
            <w:strike w:val="0"/>
            <w:dstrike w:val="0"/>
            <w:noProof w:val="0"/>
            <w:color w:val="467886"/>
            <w:sz w:val="24"/>
            <w:szCs w:val="24"/>
            <w:u w:val="single"/>
            <w:lang w:val="en-GB"/>
          </w:rPr>
          <w:t>https://doi.org/10.1108/HE-05-2018-0027</w:t>
        </w:r>
      </w:hyperlink>
    </w:p>
    <w:p w:rsidR="31EB2A05" w:rsidP="31EB2A05" w:rsidRDefault="31EB2A05" w14:paraId="3CA338A5" w14:textId="2B4ED2FD"/>
    <w:p w:rsidR="774D707E" w:rsidRDefault="774D707E" w14:paraId="0DF60073" w14:textId="14216254"/>
    <w:p w:rsidR="774D707E" w:rsidRDefault="774D707E" w14:paraId="64E29EB6" w14:textId="4615DEE9"/>
    <w:p w:rsidR="774D707E" w:rsidRDefault="774D707E" w14:paraId="75BBAB53" w14:textId="7F91A09A"/>
    <w:p w:rsidR="774D707E" w:rsidRDefault="774D707E" w14:paraId="5E1BF251" w14:textId="5A5FEB10"/>
    <w:p w:rsidR="774D707E" w:rsidRDefault="774D707E" w14:paraId="02596F37" w14:textId="03575742"/>
    <w:p w:rsidR="774D707E" w:rsidRDefault="774D707E" w14:paraId="13743194" w14:textId="7A8EBDFD"/>
    <w:p w:rsidR="774D707E" w:rsidRDefault="774D707E" w14:paraId="4A3C30A4" w14:textId="246FF653"/>
    <w:p w:rsidR="774D707E" w:rsidRDefault="774D707E" w14:paraId="239A5039" w14:textId="778D081F"/>
    <w:p w:rsidR="774D707E" w:rsidRDefault="774D707E" w14:paraId="0256BD33" w14:textId="1F478D9D"/>
    <w:p w:rsidR="774D707E" w:rsidRDefault="774D707E" w14:paraId="31E03124" w14:textId="67A1308E"/>
    <w:p w:rsidR="774D707E" w:rsidRDefault="774D707E" w14:paraId="52900B2F" w14:textId="51AD3BBA"/>
    <w:p w:rsidR="774D707E" w:rsidRDefault="774D707E" w14:paraId="36A9748A" w14:textId="03879C44"/>
    <w:p w:rsidR="774D707E" w:rsidRDefault="774D707E" w14:paraId="05855E2E" w14:textId="56265C8F"/>
    <w:p w:rsidR="774D707E" w:rsidRDefault="774D707E" w14:paraId="59C93A5F" w14:textId="52036454"/>
    <w:p w:rsidR="774D707E" w:rsidRDefault="774D707E" w14:paraId="2E552AED" w14:textId="09CFF373"/>
    <w:p w:rsidR="774D707E" w:rsidRDefault="774D707E" w14:paraId="1AE7AA21" w14:textId="7B222E5F"/>
    <w:p w:rsidR="774D707E" w:rsidRDefault="774D707E" w14:paraId="1EF828D9" w14:textId="06C8DB4C"/>
    <w:p w:rsidR="774D707E" w:rsidRDefault="774D707E" w14:paraId="077E5099" w14:textId="059A61A8"/>
    <w:p w:rsidR="774D707E" w:rsidRDefault="774D707E" w14:paraId="0747B239" w14:textId="4EC31AEC"/>
    <w:p w:rsidR="774D707E" w:rsidRDefault="774D707E" w14:paraId="3A962889" w14:textId="68CA197B"/>
    <w:p w:rsidR="774D707E" w:rsidRDefault="774D707E" w14:paraId="464E2392" w14:textId="31F05805"/>
    <w:p w:rsidR="774D707E" w:rsidRDefault="774D707E" w14:paraId="28F1C5DE" w14:textId="0E17CD36"/>
    <w:p w:rsidR="774D707E" w:rsidRDefault="774D707E" w14:paraId="5AB9B202" w14:textId="6136FF06"/>
    <w:p w:rsidR="774D707E" w:rsidP="774D707E" w:rsidRDefault="774D707E" w14:paraId="3A67A7BA" w14:textId="4B5575AA"/>
    <w:p w:rsidR="5E67BF7B" w:rsidRDefault="5E67BF7B" w14:paraId="16BE95A1" w14:textId="33617E27">
      <w:r w:rsidR="31BAC4B0">
        <w:rPr/>
        <w:t>Appendix</w:t>
      </w:r>
    </w:p>
    <w:p w:rsidR="3AEF5523" w:rsidP="2DAF78FE" w:rsidRDefault="129319F3" w14:paraId="13DA3604" w14:textId="166E92E4">
      <w:pPr>
        <w:pStyle w:val="Normal"/>
      </w:pPr>
      <w:r w:rsidR="65128ABD">
        <w:drawing>
          <wp:inline wp14:editId="6A84047D" wp14:anchorId="4DC14D57">
            <wp:extent cx="5086350" cy="2471238"/>
            <wp:effectExtent l="0" t="0" r="0" b="0"/>
            <wp:docPr id="816983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1993623" name="Picture 471993623"/>
                    <pic:cNvPicPr/>
                  </pic:nvPicPr>
                  <pic:blipFill>
                    <a:blip xmlns:r="http://schemas.openxmlformats.org/officeDocument/2006/relationships" r:embed="rId1011963641">
                      <a:extLst>
                        <a:ext uri="{28A0092B-C50C-407E-A947-70E740481C1C}">
                          <a14:useLocalDpi xmlns:a14="http://schemas.microsoft.com/office/drawing/2010/main"/>
                        </a:ext>
                      </a:extLst>
                    </a:blip>
                    <a:stretch>
                      <a:fillRect/>
                    </a:stretch>
                  </pic:blipFill>
                  <pic:spPr>
                    <a:xfrm rot="0">
                      <a:off x="0" y="0"/>
                      <a:ext cx="5086350" cy="2471238"/>
                    </a:xfrm>
                    <a:prstGeom prst="rect">
                      <a:avLst/>
                    </a:prstGeom>
                  </pic:spPr>
                </pic:pic>
              </a:graphicData>
            </a:graphic>
          </wp:inline>
        </w:drawing>
      </w:r>
    </w:p>
    <w:p w:rsidR="5E67BF7B" w:rsidP="2DAF78FE" w:rsidRDefault="129319F3" w14:paraId="5FC6E7F2" w14:textId="25A921D1">
      <w:pPr>
        <w:pStyle w:val="Normal"/>
      </w:pPr>
      <w:r w:rsidR="65128ABD">
        <w:drawing>
          <wp:inline wp14:editId="7CEB1290" wp14:anchorId="42AA399B">
            <wp:extent cx="5267325" cy="2392645"/>
            <wp:effectExtent l="0" t="0" r="0" b="0"/>
            <wp:docPr id="618498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3529165" name="Picture 1203529165"/>
                    <pic:cNvPicPr/>
                  </pic:nvPicPr>
                  <pic:blipFill>
                    <a:blip xmlns:r="http://schemas.openxmlformats.org/officeDocument/2006/relationships" r:embed="rId1005065154">
                      <a:extLst>
                        <a:ext uri="{28A0092B-C50C-407E-A947-70E740481C1C}">
                          <a14:useLocalDpi xmlns:a14="http://schemas.microsoft.com/office/drawing/2010/main"/>
                        </a:ext>
                      </a:extLst>
                    </a:blip>
                    <a:stretch>
                      <a:fillRect/>
                    </a:stretch>
                  </pic:blipFill>
                  <pic:spPr>
                    <a:xfrm rot="0">
                      <a:off x="0" y="0"/>
                      <a:ext cx="5267325" cy="2392645"/>
                    </a:xfrm>
                    <a:prstGeom prst="rect">
                      <a:avLst/>
                    </a:prstGeom>
                  </pic:spPr>
                </pic:pic>
              </a:graphicData>
            </a:graphic>
          </wp:inline>
        </w:drawing>
      </w:r>
    </w:p>
    <w:p w:rsidR="5E67BF7B" w:rsidP="2DAF78FE" w:rsidRDefault="129319F3" w14:paraId="2735C296" w14:textId="473F6EEB">
      <w:pPr>
        <w:pStyle w:val="Normal"/>
      </w:pPr>
      <w:r w:rsidR="65128ABD">
        <w:drawing>
          <wp:inline wp14:editId="341524C0" wp14:anchorId="61D2F7B4">
            <wp:extent cx="4819650" cy="2285525"/>
            <wp:effectExtent l="0" t="0" r="0" b="0"/>
            <wp:docPr id="1462219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464413" name="Picture 1900464413"/>
                    <pic:cNvPicPr/>
                  </pic:nvPicPr>
                  <pic:blipFill>
                    <a:blip xmlns:r="http://schemas.openxmlformats.org/officeDocument/2006/relationships" r:embed="rId1006419762">
                      <a:extLst>
                        <a:ext uri="{28A0092B-C50C-407E-A947-70E740481C1C}">
                          <a14:useLocalDpi xmlns:a14="http://schemas.microsoft.com/office/drawing/2010/main"/>
                        </a:ext>
                      </a:extLst>
                    </a:blip>
                    <a:stretch>
                      <a:fillRect/>
                    </a:stretch>
                  </pic:blipFill>
                  <pic:spPr>
                    <a:xfrm rot="0">
                      <a:off x="0" y="0"/>
                      <a:ext cx="4819650" cy="2285525"/>
                    </a:xfrm>
                    <a:prstGeom prst="rect">
                      <a:avLst/>
                    </a:prstGeom>
                  </pic:spPr>
                </pic:pic>
              </a:graphicData>
            </a:graphic>
          </wp:inline>
        </w:drawing>
      </w:r>
    </w:p>
    <w:p w:rsidR="5E67BF7B" w:rsidP="2DAF78FE" w:rsidRDefault="129319F3" w14:paraId="1F63619B" w14:textId="108E49DD">
      <w:pPr>
        <w:pStyle w:val="Normal"/>
      </w:pPr>
      <w:r w:rsidR="65128ABD">
        <w:drawing>
          <wp:inline wp14:editId="110F7E25" wp14:anchorId="1543F3CF">
            <wp:extent cx="4733925" cy="2402408"/>
            <wp:effectExtent l="0" t="0" r="0" b="0"/>
            <wp:docPr id="5320351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4419514" name="Picture 1534419514"/>
                    <pic:cNvPicPr/>
                  </pic:nvPicPr>
                  <pic:blipFill>
                    <a:blip xmlns:r="http://schemas.openxmlformats.org/officeDocument/2006/relationships" r:embed="rId503151087">
                      <a:extLst>
                        <a:ext uri="{28A0092B-C50C-407E-A947-70E740481C1C}">
                          <a14:useLocalDpi xmlns:a14="http://schemas.microsoft.com/office/drawing/2010/main"/>
                        </a:ext>
                      </a:extLst>
                    </a:blip>
                    <a:stretch>
                      <a:fillRect/>
                    </a:stretch>
                  </pic:blipFill>
                  <pic:spPr>
                    <a:xfrm rot="0">
                      <a:off x="0" y="0"/>
                      <a:ext cx="4733925" cy="2402408"/>
                    </a:xfrm>
                    <a:prstGeom prst="rect">
                      <a:avLst/>
                    </a:prstGeom>
                  </pic:spPr>
                </pic:pic>
              </a:graphicData>
            </a:graphic>
          </wp:inline>
        </w:drawing>
      </w:r>
    </w:p>
    <w:p w:rsidR="5E67BF7B" w:rsidP="2DAF78FE" w:rsidRDefault="129319F3" w14:paraId="3D96B6BA" w14:textId="6C7116DA">
      <w:pPr>
        <w:pStyle w:val="Normal"/>
      </w:pPr>
      <w:r w:rsidR="64187ED5">
        <w:drawing>
          <wp:inline wp14:editId="59ADE1FD" wp14:anchorId="0C30B552">
            <wp:extent cx="4953000" cy="2628963"/>
            <wp:effectExtent l="0" t="0" r="0" b="0"/>
            <wp:docPr id="19954293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7311953" name="Picture 957311953"/>
                    <pic:cNvPicPr/>
                  </pic:nvPicPr>
                  <pic:blipFill>
                    <a:blip xmlns:r="http://schemas.openxmlformats.org/officeDocument/2006/relationships" r:embed="rId1092823442">
                      <a:extLst>
                        <a:ext uri="{28A0092B-C50C-407E-A947-70E740481C1C}">
                          <a14:useLocalDpi xmlns:a14="http://schemas.microsoft.com/office/drawing/2010/main"/>
                        </a:ext>
                      </a:extLst>
                    </a:blip>
                    <a:stretch>
                      <a:fillRect/>
                    </a:stretch>
                  </pic:blipFill>
                  <pic:spPr>
                    <a:xfrm rot="0">
                      <a:off x="0" y="0"/>
                      <a:ext cx="4953000" cy="2628963"/>
                    </a:xfrm>
                    <a:prstGeom prst="rect">
                      <a:avLst/>
                    </a:prstGeom>
                  </pic:spPr>
                </pic:pic>
              </a:graphicData>
            </a:graphic>
          </wp:inline>
        </w:drawing>
      </w:r>
    </w:p>
    <w:p w:rsidR="5E67BF7B" w:rsidP="774D707E" w:rsidRDefault="129319F3" w14:paraId="4807AF99" w14:textId="57EBD07B"/>
    <w:p w:rsidR="5E67BF7B" w:rsidP="2DAF78FE" w:rsidRDefault="129319F3" w14:paraId="2CB0D865" w14:textId="0EF058F8">
      <w:pPr>
        <w:pStyle w:val="Normal"/>
      </w:pPr>
      <w:r w:rsidR="64187ED5">
        <w:drawing>
          <wp:inline wp14:editId="6F611E49" wp14:anchorId="1BB3BB27">
            <wp:extent cx="4432667" cy="3534268"/>
            <wp:effectExtent l="0" t="0" r="0" b="0"/>
            <wp:docPr id="167408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7006843" name="Picture 227006843"/>
                    <pic:cNvPicPr/>
                  </pic:nvPicPr>
                  <pic:blipFill>
                    <a:blip xmlns:r="http://schemas.openxmlformats.org/officeDocument/2006/relationships" r:embed="rId844895821">
                      <a:extLst>
                        <a:ext uri="{28A0092B-C50C-407E-A947-70E740481C1C}">
                          <a14:useLocalDpi xmlns:a14="http://schemas.microsoft.com/office/drawing/2010/main"/>
                        </a:ext>
                      </a:extLst>
                    </a:blip>
                    <a:stretch>
                      <a:fillRect/>
                    </a:stretch>
                  </pic:blipFill>
                  <pic:spPr>
                    <a:xfrm rot="0">
                      <a:off x="0" y="0"/>
                      <a:ext cx="4432667" cy="3534268"/>
                    </a:xfrm>
                    <a:prstGeom prst="rect">
                      <a:avLst/>
                    </a:prstGeom>
                  </pic:spPr>
                </pic:pic>
              </a:graphicData>
            </a:graphic>
          </wp:inline>
        </w:drawing>
      </w:r>
    </w:p>
    <w:p w:rsidR="64187ED5" w:rsidP="2DAF78FE" w:rsidRDefault="64187ED5" w14:paraId="1C1A929B" w14:textId="5C41DF06">
      <w:pPr>
        <w:pStyle w:val="Normal"/>
      </w:pPr>
      <w:r w:rsidR="64187ED5">
        <w:drawing>
          <wp:inline wp14:editId="587B055A" wp14:anchorId="60C95FEC">
            <wp:extent cx="3191836" cy="3953427"/>
            <wp:effectExtent l="0" t="0" r="0" b="0"/>
            <wp:docPr id="14143695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40479" name="Picture 79740479"/>
                    <pic:cNvPicPr/>
                  </pic:nvPicPr>
                  <pic:blipFill>
                    <a:blip xmlns:r="http://schemas.openxmlformats.org/officeDocument/2006/relationships" r:embed="rId1788784157">
                      <a:extLst>
                        <a:ext uri="{28A0092B-C50C-407E-A947-70E740481C1C}">
                          <a14:useLocalDpi xmlns:a14="http://schemas.microsoft.com/office/drawing/2010/main"/>
                        </a:ext>
                      </a:extLst>
                    </a:blip>
                    <a:stretch>
                      <a:fillRect/>
                    </a:stretch>
                  </pic:blipFill>
                  <pic:spPr>
                    <a:xfrm rot="0">
                      <a:off x="0" y="0"/>
                      <a:ext cx="3191836" cy="3953427"/>
                    </a:xfrm>
                    <a:prstGeom prst="rect">
                      <a:avLst/>
                    </a:prstGeom>
                  </pic:spPr>
                </pic:pic>
              </a:graphicData>
            </a:graphic>
          </wp:inline>
        </w:drawing>
      </w:r>
    </w:p>
    <w:p w:rsidR="64187ED5" w:rsidP="2DAF78FE" w:rsidRDefault="64187ED5" w14:paraId="3949B2D0" w14:textId="3216E354">
      <w:pPr>
        <w:pStyle w:val="Normal"/>
      </w:pPr>
      <w:r w:rsidR="64187ED5">
        <w:drawing>
          <wp:inline wp14:editId="02AE05DD" wp14:anchorId="75D10734">
            <wp:extent cx="3543795" cy="4023865"/>
            <wp:effectExtent l="0" t="0" r="0" b="0"/>
            <wp:docPr id="1838155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922429" name="Picture 35922429"/>
                    <pic:cNvPicPr/>
                  </pic:nvPicPr>
                  <pic:blipFill>
                    <a:blip xmlns:r="http://schemas.openxmlformats.org/officeDocument/2006/relationships" r:embed="rId1084758822">
                      <a:extLst>
                        <a:ext uri="{28A0092B-C50C-407E-A947-70E740481C1C}">
                          <a14:useLocalDpi xmlns:a14="http://schemas.microsoft.com/office/drawing/2010/main"/>
                        </a:ext>
                      </a:extLst>
                    </a:blip>
                    <a:stretch>
                      <a:fillRect/>
                    </a:stretch>
                  </pic:blipFill>
                  <pic:spPr>
                    <a:xfrm rot="0">
                      <a:off x="0" y="0"/>
                      <a:ext cx="3543795" cy="4023865"/>
                    </a:xfrm>
                    <a:prstGeom prst="rect">
                      <a:avLst/>
                    </a:prstGeom>
                  </pic:spPr>
                </pic:pic>
              </a:graphicData>
            </a:graphic>
          </wp:inline>
        </w:drawing>
      </w:r>
    </w:p>
    <w:p w:rsidR="64187ED5" w:rsidP="2DAF78FE" w:rsidRDefault="64187ED5" w14:paraId="7E99ED9C" w14:textId="4CF6A40D">
      <w:pPr>
        <w:pStyle w:val="Normal"/>
      </w:pPr>
      <w:r w:rsidR="64187ED5">
        <w:drawing>
          <wp:inline wp14:editId="64DC35CA" wp14:anchorId="72C6E0F1">
            <wp:extent cx="3374979" cy="3591426"/>
            <wp:effectExtent l="0" t="0" r="0" b="0"/>
            <wp:docPr id="68946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5017009" name="Picture 1475017009"/>
                    <pic:cNvPicPr/>
                  </pic:nvPicPr>
                  <pic:blipFill>
                    <a:blip xmlns:r="http://schemas.openxmlformats.org/officeDocument/2006/relationships" r:embed="rId1005264480">
                      <a:extLst>
                        <a:ext uri="{28A0092B-C50C-407E-A947-70E740481C1C}">
                          <a14:useLocalDpi xmlns:a14="http://schemas.microsoft.com/office/drawing/2010/main"/>
                        </a:ext>
                      </a:extLst>
                    </a:blip>
                    <a:stretch>
                      <a:fillRect/>
                    </a:stretch>
                  </pic:blipFill>
                  <pic:spPr>
                    <a:xfrm rot="0">
                      <a:off x="0" y="0"/>
                      <a:ext cx="3374979" cy="3591426"/>
                    </a:xfrm>
                    <a:prstGeom prst="rect">
                      <a:avLst/>
                    </a:prstGeom>
                  </pic:spPr>
                </pic:pic>
              </a:graphicData>
            </a:graphic>
          </wp:inline>
        </w:drawing>
      </w:r>
    </w:p>
    <w:p w:rsidR="64187ED5" w:rsidP="2DAF78FE" w:rsidRDefault="64187ED5" w14:paraId="277BCA2C" w14:textId="2A7BA15E">
      <w:pPr>
        <w:pStyle w:val="Normal"/>
      </w:pPr>
      <w:r w:rsidR="64187ED5">
        <w:drawing>
          <wp:inline wp14:editId="65CAFFF0" wp14:anchorId="0B49C6FB">
            <wp:extent cx="2791214" cy="3609184"/>
            <wp:effectExtent l="0" t="0" r="0" b="0"/>
            <wp:docPr id="15506594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5288765" name="Picture 675288765"/>
                    <pic:cNvPicPr/>
                  </pic:nvPicPr>
                  <pic:blipFill>
                    <a:blip xmlns:r="http://schemas.openxmlformats.org/officeDocument/2006/relationships" r:embed="rId1489160860">
                      <a:extLst>
                        <a:ext uri="{28A0092B-C50C-407E-A947-70E740481C1C}">
                          <a14:useLocalDpi xmlns:a14="http://schemas.microsoft.com/office/drawing/2010/main"/>
                        </a:ext>
                      </a:extLst>
                    </a:blip>
                    <a:stretch>
                      <a:fillRect/>
                    </a:stretch>
                  </pic:blipFill>
                  <pic:spPr>
                    <a:xfrm rot="0">
                      <a:off x="0" y="0"/>
                      <a:ext cx="2791214" cy="3609184"/>
                    </a:xfrm>
                    <a:prstGeom prst="rect">
                      <a:avLst/>
                    </a:prstGeom>
                  </pic:spPr>
                </pic:pic>
              </a:graphicData>
            </a:graphic>
          </wp:inline>
        </w:drawing>
      </w:r>
    </w:p>
    <w:sectPr w:rsidR="5E67BF7B">
      <w:headerReference w:type="default" r:id="rId37"/>
      <w:footerReference w:type="default" r:id="rId3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44E4A" w:rsidRDefault="00544E4A" w14:paraId="297B4F26" w14:textId="77777777">
      <w:pPr>
        <w:spacing w:after="0" w:line="240" w:lineRule="auto"/>
      </w:pPr>
      <w:r>
        <w:separator/>
      </w:r>
    </w:p>
  </w:endnote>
  <w:endnote w:type="continuationSeparator" w:id="0">
    <w:p w:rsidR="00544E4A" w:rsidRDefault="00544E4A" w14:paraId="3C4C41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F0B6DD" w:rsidTr="66F0B6DD" w14:paraId="36805FCD" w14:textId="77777777">
      <w:trPr>
        <w:trHeight w:val="300"/>
      </w:trPr>
      <w:tc>
        <w:tcPr>
          <w:tcW w:w="3005" w:type="dxa"/>
        </w:tcPr>
        <w:p w:rsidR="66F0B6DD" w:rsidP="66F0B6DD" w:rsidRDefault="66F0B6DD" w14:paraId="37146BF0" w14:textId="3873EB70">
          <w:pPr>
            <w:pStyle w:val="Header"/>
            <w:ind w:left="-115"/>
          </w:pPr>
        </w:p>
      </w:tc>
      <w:tc>
        <w:tcPr>
          <w:tcW w:w="3005" w:type="dxa"/>
        </w:tcPr>
        <w:p w:rsidR="66F0B6DD" w:rsidP="66F0B6DD" w:rsidRDefault="66F0B6DD" w14:paraId="56D76585" w14:textId="7E7BD2D3">
          <w:pPr>
            <w:pStyle w:val="Header"/>
            <w:jc w:val="center"/>
          </w:pPr>
        </w:p>
      </w:tc>
      <w:tc>
        <w:tcPr>
          <w:tcW w:w="3005" w:type="dxa"/>
        </w:tcPr>
        <w:p w:rsidR="66F0B6DD" w:rsidP="66F0B6DD" w:rsidRDefault="66F0B6DD" w14:paraId="2FFC64B0" w14:textId="29DD3B60">
          <w:pPr>
            <w:pStyle w:val="Header"/>
            <w:ind w:right="-115"/>
            <w:jc w:val="right"/>
          </w:pPr>
        </w:p>
      </w:tc>
    </w:tr>
  </w:tbl>
  <w:p w:rsidR="66F0B6DD" w:rsidP="66F0B6DD" w:rsidRDefault="66F0B6DD" w14:paraId="1FAC7371" w14:textId="33BC2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44E4A" w:rsidRDefault="00544E4A" w14:paraId="2C14E329" w14:textId="77777777">
      <w:pPr>
        <w:spacing w:after="0" w:line="240" w:lineRule="auto"/>
      </w:pPr>
      <w:r>
        <w:separator/>
      </w:r>
    </w:p>
  </w:footnote>
  <w:footnote w:type="continuationSeparator" w:id="0">
    <w:p w:rsidR="00544E4A" w:rsidRDefault="00544E4A" w14:paraId="273F24C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2280"/>
      <w:gridCol w:w="3730"/>
    </w:tblGrid>
    <w:tr w:rsidR="66F0B6DD" w:rsidTr="66F0B6DD" w14:paraId="363A8F65" w14:textId="77777777">
      <w:trPr>
        <w:trHeight w:val="300"/>
      </w:trPr>
      <w:tc>
        <w:tcPr>
          <w:tcW w:w="3005" w:type="dxa"/>
        </w:tcPr>
        <w:p w:rsidR="66F0B6DD" w:rsidP="66F0B6DD" w:rsidRDefault="66F0B6DD" w14:paraId="29452469" w14:textId="4D8D8711">
          <w:pPr>
            <w:pStyle w:val="Header"/>
            <w:ind w:left="-115"/>
          </w:pPr>
        </w:p>
      </w:tc>
      <w:tc>
        <w:tcPr>
          <w:tcW w:w="2280" w:type="dxa"/>
        </w:tcPr>
        <w:p w:rsidR="66F0B6DD" w:rsidP="66F0B6DD" w:rsidRDefault="66F0B6DD" w14:paraId="367FD7D9" w14:textId="4D25A564">
          <w:pPr>
            <w:pStyle w:val="Header"/>
            <w:jc w:val="center"/>
          </w:pPr>
        </w:p>
      </w:tc>
      <w:tc>
        <w:tcPr>
          <w:tcW w:w="3730" w:type="dxa"/>
        </w:tcPr>
        <w:p w:rsidR="66F0B6DD" w:rsidP="66F0B6DD" w:rsidRDefault="66F0B6DD" w14:paraId="079B521D" w14:textId="2BB6ED42">
          <w:pPr>
            <w:pStyle w:val="Header"/>
            <w:ind w:right="-115"/>
            <w:jc w:val="right"/>
          </w:pPr>
          <w:r>
            <w:t>Amelie Preece</w:t>
          </w:r>
        </w:p>
        <w:p w:rsidR="66F0B6DD" w:rsidP="66F0B6DD" w:rsidRDefault="66F0B6DD" w14:paraId="1F2DBC80" w14:textId="4CC62519">
          <w:pPr>
            <w:pStyle w:val="Header"/>
            <w:ind w:right="-115"/>
            <w:jc w:val="right"/>
          </w:pPr>
          <w:r>
            <w:t>2400928</w:t>
          </w:r>
        </w:p>
        <w:p w:rsidR="66F0B6DD" w:rsidP="66F0B6DD" w:rsidRDefault="66F0B6DD" w14:paraId="193D51D3" w14:textId="6AD682E8">
          <w:pPr>
            <w:pStyle w:val="Header"/>
            <w:ind w:right="-115"/>
            <w:jc w:val="right"/>
          </w:pPr>
          <w:r>
            <w:t>Health, Nutrition and Lifestyle</w:t>
          </w:r>
        </w:p>
      </w:tc>
    </w:tr>
  </w:tbl>
  <w:p w:rsidR="66F0B6DD" w:rsidP="66F0B6DD" w:rsidRDefault="66F0B6DD" w14:paraId="06D803E4" w14:textId="29A0E76B">
    <w:pPr>
      <w:pStyle w:val="Header"/>
    </w:pPr>
  </w:p>
</w:hdr>
</file>

<file path=word/intelligence2.xml><?xml version="1.0" encoding="utf-8"?>
<int2:intelligence xmlns:int2="http://schemas.microsoft.com/office/intelligence/2020/intelligence" xmlns:oel="http://schemas.microsoft.com/office/2019/extlst">
  <int2:observations>
    <int2:textHash int2:hashCode="h7ojuZ//bnz2fW" int2:id="YzkjTdv4">
      <int2:state int2:type="spell" int2:value="Rejected"/>
    </int2:textHash>
    <int2:textHash int2:hashCode="jFSkBPeM+Ok0Zg" int2:id="oPnHDoXU">
      <int2:state int2:type="spell" int2:value="Rejected"/>
    </int2:textHash>
    <int2:textHash int2:hashCode="5po4N1AKo+dddc" int2:id="6isK0BCd">
      <int2:state int2:type="spell" int2:value="Rejected"/>
    </int2:textHash>
    <int2:textHash int2:hashCode="h7ojuZ//bnz2fW" int2:id="2oXSvpUr">
      <int2:state int2:type="spell" int2:value="Rejected"/>
    </int2:textHash>
    <int2:textHash int2:hashCode="NgJp1BhH6NpVkj" int2:id="DaDJBcFe">
      <int2:state int2:type="spell" int2:value="Rejected"/>
    </int2:textHash>
    <int2:textHash int2:hashCode="iI/DRHmcFgnU5e" int2:id="QaSCUc44">
      <int2:state int2:type="spell" int2:value="Rejected"/>
    </int2:textHash>
    <int2:textHash int2:hashCode="jFSkBPeM+Ok0Zg" int2:id="Rj1t3lGy">
      <int2:state int2:type="spell" int2:value="Rejected"/>
    </int2:textHash>
    <int2:textHash int2:hashCode="5po4N1AKo+dddc" int2:id="qNrNtYmT">
      <int2:state int2:type="spell" int2:value="Rejected"/>
    </int2:textHash>
    <int2:bookmark int2:bookmarkName="_Int_uWCYmsE0" int2:invalidationBookmarkName="" int2:hashCode="3KKjJeR/dxf+gy" int2:id="XmU2HVIc">
      <int2:state int2:type="style" int2:value="Rejected"/>
    </int2:bookmark>
    <int2:bookmark int2:bookmarkName="_Int_XJy4GNlw" int2:invalidationBookmarkName="" int2:hashCode="/K9Y+7/ibvahDW" int2:id="MJo0HRit">
      <int2:state int2:type="style" int2:value="Rejected"/>
    </int2:bookmark>
    <int2:bookmark int2:bookmarkName="_Int_TkjiAyMS" int2:invalidationBookmarkName="" int2:hashCode="a1zE4r6Tn7z3iF" int2:id="nGWm8I6R">
      <int2:state int2:type="style" int2:value="Rejected"/>
    </int2:bookmark>
    <int2:bookmark int2:bookmarkName="_Int_ThYC1hwj" int2:invalidationBookmarkName="" int2:hashCode="bIxpJDZBV3cVlX" int2:id="5fzLY2pp">
      <int2:state int2:type="style" int2:value="Rejected"/>
    </int2:bookmark>
    <int2:bookmark int2:bookmarkName="_Int_ThYC1hwj" int2:invalidationBookmarkName="" int2:hashCode="bIxpJDZBV3cVlX" int2:id="5oUkNOKi">
      <int2:state int2:type="style" int2:value="Rejected"/>
    </int2:bookmark>
    <int2:entireDocument int2:id="yogaewtZ">
      <int2:extLst>
        <oel:ext uri="E302BA01-7950-474C-9AD3-286E660C40A8">
          <int2:similaritySummary int2:version="1" int2:runId="1776682073706" int2:tilesCheckedInThisRun="48" int2:totalNumOfTiles="48" int2:similarityAnnotationCount="0" int2:numWords="2327" int2:numFlaggedWords="0"/>
        </oel:ext>
      </int2:extLst>
    </int2:entireDocument>
  </int2:observations>
  <int2:intelligenceSettings/>
  <int2:onDemandWorkflows>
    <int2:onDemandWorkflow int2:type="SimilarityCheck" int2:paragraphVersions="5E5787A5-49F0F9F7 1F957209-4A8F6C7C 5296C7C4-6F05CB45 60BE0CDB-765A1C57 3B05B605-3BB8E9E5 2F50BE04-110F0562 528AF4BA-19A53040 01B61E7F-12C810A8 0DDD50FC-056AE376 7CC0066D-43113559 79392289-6FE1E013 0C795E4F-29921095 0AAF0C04-170EDB4A 7F6B4AA0-19A01D05 579AD9A1-7ADB6CCA 6EDF8C2F-108E3AC2 16CCA560-0D444C53 55A32ADF-4B2A06F2 1A3A8233-3342976A 283D3834-45658998 48259AEB-1D47B94A 6EBBC638-7F69C34A 10B72377-09FA2A91 3F61DD46-1CF30F77 1A852AFE-521F38DF 31C2E96D-6FD0B116 64C3E512-31C048E5 25586B46-0C0A4519 4331ED34-7244A2BF 603583C1-186F43B9 13298D52-52C6F1E2 042381F6-5390B383 6CBAF67B-2610CC7C 402AC29A-149DA74B 6B7114FF-43CFCF90 38E7A95B-719DEB5E 57ADA233-17C41DC5 20D96841-159C66B4 3E36E3CB-3B43C645 36646F2C-3D2C194C 48BABA75-2731D399 1E842763-27F5B059 08829168-6E152E56 29F75012-3EA01D3A 0D6A5BC8-7DE2B5D9 53DBFE43-21CE4781 3FAA6B8F-2058D950 0C72D903-7C269E3D 4ADC0FEF-1BE8C671 4B5C7634-5EF878A5 127C0651-0B391600 758AC68F-1C890363 1E8EC274-10234AA8 56CF5989-28A31C3D 2A31AF6D-75A66501 254FEB71-2F3FB150 1C5AEDE0-2EB0DD1A 47AB0A38-75DB1663 2D59A7BA-2FAA9861 7DC574E2-5B88660E 702A4C17-0AE066F1 4838376A-183C493C 1B0446CB-12622D2E 169F3944-0683FED7 40640834-1992D870 062F337B-21D56965 74893BF9-00D177A0 1236E158-35227410 210517D7-1E434F77 51A359F6-6B4DE9DF 2ECE0ACA-2087525F 5188DD9A-0616C2BF 74716BA0-1B3DBC1F 52F3BB1B-5394AB4A 009CAEAA-41CA3495 3CA338A5-6F742645 0DF60073-14216254 64E29EB6-4615DEE9 75BBAB53-7F91A09A 5E1BF251-5A5FEB10 02596F37-03575742 13743194-7A8EBDFD 4A3C30A4-246FF653 239A5039-778D081F 0256BD33-1F478D9D 31E03124-67A1308E 52900B2F-51AD3BBA 36A9748A-03879C44 05855E2E-56265C8F 59C93A5F-52036454 2E552AED-09CFF373 1AE7AA21-7B222E5F 1EF828D9-06C8DB4C 077E5099-059A61A8 0747B239-4EC31AEC 3A962889-68CA197B 464E2392-31F05805 28F1C5DE-0E17CD36 5AB9B202-6136FF06 3A67A7BA-4B5575AA 16BE95A1-33617E27 13DA3604-4366DC4F 2849B752-44194A1C 10BED7A9-01E5DAE5 0FFF5595-1D69E3A8 2735C296-48600D0C 1F63619B-63C4D339 3D96B6BA-2D133B7D 4807AF99-0D20AF45 33693230-053DEF97 2CB0D865-0B094A69 29452469-4D8D8711 367FD7D9-4D25A564 079B521D-2BB6ED42 1F2DBC80-4CC62519 193D51D3-6AD682E8 06D803E4-29A0E76B 37146BF0-3873EB70 56D76585-7E7BD2D3 2FFC64B0-29DD3B60 1FAC7371-33BC24D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193A8"/>
    <w:multiLevelType w:val="hybridMultilevel"/>
    <w:tmpl w:val="FFFFFFFF"/>
    <w:lvl w:ilvl="0" w:tplc="7284C586">
      <w:start w:val="1"/>
      <w:numFmt w:val="bullet"/>
      <w:lvlText w:val="-"/>
      <w:lvlJc w:val="left"/>
      <w:pPr>
        <w:ind w:left="720" w:hanging="360"/>
      </w:pPr>
      <w:rPr>
        <w:rFonts w:hint="default" w:ascii="Aptos" w:hAnsi="Aptos"/>
      </w:rPr>
    </w:lvl>
    <w:lvl w:ilvl="1" w:tplc="1AEE700A">
      <w:start w:val="1"/>
      <w:numFmt w:val="bullet"/>
      <w:lvlText w:val="o"/>
      <w:lvlJc w:val="left"/>
      <w:pPr>
        <w:ind w:left="1440" w:hanging="360"/>
      </w:pPr>
      <w:rPr>
        <w:rFonts w:hint="default" w:ascii="Courier New" w:hAnsi="Courier New"/>
      </w:rPr>
    </w:lvl>
    <w:lvl w:ilvl="2" w:tplc="CDA6D038">
      <w:start w:val="1"/>
      <w:numFmt w:val="bullet"/>
      <w:lvlText w:val=""/>
      <w:lvlJc w:val="left"/>
      <w:pPr>
        <w:ind w:left="2160" w:hanging="360"/>
      </w:pPr>
      <w:rPr>
        <w:rFonts w:hint="default" w:ascii="Wingdings" w:hAnsi="Wingdings"/>
      </w:rPr>
    </w:lvl>
    <w:lvl w:ilvl="3" w:tplc="7C3A5FCC">
      <w:start w:val="1"/>
      <w:numFmt w:val="bullet"/>
      <w:lvlText w:val=""/>
      <w:lvlJc w:val="left"/>
      <w:pPr>
        <w:ind w:left="2880" w:hanging="360"/>
      </w:pPr>
      <w:rPr>
        <w:rFonts w:hint="default" w:ascii="Symbol" w:hAnsi="Symbol"/>
      </w:rPr>
    </w:lvl>
    <w:lvl w:ilvl="4" w:tplc="7758D17C">
      <w:start w:val="1"/>
      <w:numFmt w:val="bullet"/>
      <w:lvlText w:val="o"/>
      <w:lvlJc w:val="left"/>
      <w:pPr>
        <w:ind w:left="3600" w:hanging="360"/>
      </w:pPr>
      <w:rPr>
        <w:rFonts w:hint="default" w:ascii="Courier New" w:hAnsi="Courier New"/>
      </w:rPr>
    </w:lvl>
    <w:lvl w:ilvl="5" w:tplc="182229CA">
      <w:start w:val="1"/>
      <w:numFmt w:val="bullet"/>
      <w:lvlText w:val=""/>
      <w:lvlJc w:val="left"/>
      <w:pPr>
        <w:ind w:left="4320" w:hanging="360"/>
      </w:pPr>
      <w:rPr>
        <w:rFonts w:hint="default" w:ascii="Wingdings" w:hAnsi="Wingdings"/>
      </w:rPr>
    </w:lvl>
    <w:lvl w:ilvl="6" w:tplc="A2CCFDD2">
      <w:start w:val="1"/>
      <w:numFmt w:val="bullet"/>
      <w:lvlText w:val=""/>
      <w:lvlJc w:val="left"/>
      <w:pPr>
        <w:ind w:left="5040" w:hanging="360"/>
      </w:pPr>
      <w:rPr>
        <w:rFonts w:hint="default" w:ascii="Symbol" w:hAnsi="Symbol"/>
      </w:rPr>
    </w:lvl>
    <w:lvl w:ilvl="7" w:tplc="182EE1BC">
      <w:start w:val="1"/>
      <w:numFmt w:val="bullet"/>
      <w:lvlText w:val="o"/>
      <w:lvlJc w:val="left"/>
      <w:pPr>
        <w:ind w:left="5760" w:hanging="360"/>
      </w:pPr>
      <w:rPr>
        <w:rFonts w:hint="default" w:ascii="Courier New" w:hAnsi="Courier New"/>
      </w:rPr>
    </w:lvl>
    <w:lvl w:ilvl="8" w:tplc="8872F49E">
      <w:start w:val="1"/>
      <w:numFmt w:val="bullet"/>
      <w:lvlText w:val=""/>
      <w:lvlJc w:val="left"/>
      <w:pPr>
        <w:ind w:left="6480" w:hanging="360"/>
      </w:pPr>
      <w:rPr>
        <w:rFonts w:hint="default" w:ascii="Wingdings" w:hAnsi="Wingdings"/>
      </w:rPr>
    </w:lvl>
  </w:abstractNum>
  <w:abstractNum w:abstractNumId="1" w15:restartNumberingAfterBreak="0">
    <w:nsid w:val="77829595"/>
    <w:multiLevelType w:val="hybridMultilevel"/>
    <w:tmpl w:val="FFFFFFFF"/>
    <w:lvl w:ilvl="0" w:tplc="31D4EA24">
      <w:start w:val="1"/>
      <w:numFmt w:val="bullet"/>
      <w:lvlText w:val="-"/>
      <w:lvlJc w:val="left"/>
      <w:pPr>
        <w:ind w:left="720" w:hanging="360"/>
      </w:pPr>
      <w:rPr>
        <w:rFonts w:hint="default" w:ascii="Aptos" w:hAnsi="Aptos"/>
      </w:rPr>
    </w:lvl>
    <w:lvl w:ilvl="1" w:tplc="2C2A9546">
      <w:start w:val="1"/>
      <w:numFmt w:val="bullet"/>
      <w:lvlText w:val="o"/>
      <w:lvlJc w:val="left"/>
      <w:pPr>
        <w:ind w:left="1440" w:hanging="360"/>
      </w:pPr>
      <w:rPr>
        <w:rFonts w:hint="default" w:ascii="Courier New" w:hAnsi="Courier New"/>
      </w:rPr>
    </w:lvl>
    <w:lvl w:ilvl="2" w:tplc="0714E332">
      <w:start w:val="1"/>
      <w:numFmt w:val="bullet"/>
      <w:lvlText w:val=""/>
      <w:lvlJc w:val="left"/>
      <w:pPr>
        <w:ind w:left="2160" w:hanging="360"/>
      </w:pPr>
      <w:rPr>
        <w:rFonts w:hint="default" w:ascii="Wingdings" w:hAnsi="Wingdings"/>
      </w:rPr>
    </w:lvl>
    <w:lvl w:ilvl="3" w:tplc="9F74CF3A">
      <w:start w:val="1"/>
      <w:numFmt w:val="bullet"/>
      <w:lvlText w:val=""/>
      <w:lvlJc w:val="left"/>
      <w:pPr>
        <w:ind w:left="2880" w:hanging="360"/>
      </w:pPr>
      <w:rPr>
        <w:rFonts w:hint="default" w:ascii="Symbol" w:hAnsi="Symbol"/>
      </w:rPr>
    </w:lvl>
    <w:lvl w:ilvl="4" w:tplc="96EECC40">
      <w:start w:val="1"/>
      <w:numFmt w:val="bullet"/>
      <w:lvlText w:val="o"/>
      <w:lvlJc w:val="left"/>
      <w:pPr>
        <w:ind w:left="3600" w:hanging="360"/>
      </w:pPr>
      <w:rPr>
        <w:rFonts w:hint="default" w:ascii="Courier New" w:hAnsi="Courier New"/>
      </w:rPr>
    </w:lvl>
    <w:lvl w:ilvl="5" w:tplc="3DD23664">
      <w:start w:val="1"/>
      <w:numFmt w:val="bullet"/>
      <w:lvlText w:val=""/>
      <w:lvlJc w:val="left"/>
      <w:pPr>
        <w:ind w:left="4320" w:hanging="360"/>
      </w:pPr>
      <w:rPr>
        <w:rFonts w:hint="default" w:ascii="Wingdings" w:hAnsi="Wingdings"/>
      </w:rPr>
    </w:lvl>
    <w:lvl w:ilvl="6" w:tplc="27D6AFB6">
      <w:start w:val="1"/>
      <w:numFmt w:val="bullet"/>
      <w:lvlText w:val=""/>
      <w:lvlJc w:val="left"/>
      <w:pPr>
        <w:ind w:left="5040" w:hanging="360"/>
      </w:pPr>
      <w:rPr>
        <w:rFonts w:hint="default" w:ascii="Symbol" w:hAnsi="Symbol"/>
      </w:rPr>
    </w:lvl>
    <w:lvl w:ilvl="7" w:tplc="9052415C">
      <w:start w:val="1"/>
      <w:numFmt w:val="bullet"/>
      <w:lvlText w:val="o"/>
      <w:lvlJc w:val="left"/>
      <w:pPr>
        <w:ind w:left="5760" w:hanging="360"/>
      </w:pPr>
      <w:rPr>
        <w:rFonts w:hint="default" w:ascii="Courier New" w:hAnsi="Courier New"/>
      </w:rPr>
    </w:lvl>
    <w:lvl w:ilvl="8" w:tplc="CB8652A0">
      <w:start w:val="1"/>
      <w:numFmt w:val="bullet"/>
      <w:lvlText w:val=""/>
      <w:lvlJc w:val="left"/>
      <w:pPr>
        <w:ind w:left="6480" w:hanging="360"/>
      </w:pPr>
      <w:rPr>
        <w:rFonts w:hint="default" w:ascii="Wingdings" w:hAnsi="Wingdings"/>
      </w:rPr>
    </w:lvl>
  </w:abstractNum>
  <w:num w:numId="1" w16cid:durableId="36123042">
    <w:abstractNumId w:val="1"/>
  </w:num>
  <w:num w:numId="2" w16cid:durableId="2018070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8F2CF8"/>
    <w:rsid w:val="00015837"/>
    <w:rsid w:val="00062561"/>
    <w:rsid w:val="00093FAA"/>
    <w:rsid w:val="000A2E00"/>
    <w:rsid w:val="000B09E6"/>
    <w:rsid w:val="000F1879"/>
    <w:rsid w:val="00101834"/>
    <w:rsid w:val="0013868F"/>
    <w:rsid w:val="00155B39"/>
    <w:rsid w:val="0018C861"/>
    <w:rsid w:val="001B39D0"/>
    <w:rsid w:val="002309C6"/>
    <w:rsid w:val="00312A28"/>
    <w:rsid w:val="004E22DA"/>
    <w:rsid w:val="00544E4A"/>
    <w:rsid w:val="005B57D9"/>
    <w:rsid w:val="006266DC"/>
    <w:rsid w:val="00680D61"/>
    <w:rsid w:val="006C5E0E"/>
    <w:rsid w:val="006CBA59"/>
    <w:rsid w:val="007767B2"/>
    <w:rsid w:val="0095014B"/>
    <w:rsid w:val="009744C4"/>
    <w:rsid w:val="009E11D5"/>
    <w:rsid w:val="00A1277E"/>
    <w:rsid w:val="00A1C5CC"/>
    <w:rsid w:val="00A32F4C"/>
    <w:rsid w:val="00B16159"/>
    <w:rsid w:val="00BF780F"/>
    <w:rsid w:val="00C371B4"/>
    <w:rsid w:val="00D92CDA"/>
    <w:rsid w:val="00DB384E"/>
    <w:rsid w:val="00E13C85"/>
    <w:rsid w:val="00E672AC"/>
    <w:rsid w:val="00E8DD67"/>
    <w:rsid w:val="00F18BBC"/>
    <w:rsid w:val="00F5D09C"/>
    <w:rsid w:val="00F64BC5"/>
    <w:rsid w:val="00FA0CF9"/>
    <w:rsid w:val="0105B2D6"/>
    <w:rsid w:val="011CEF6D"/>
    <w:rsid w:val="017BC02B"/>
    <w:rsid w:val="01AEEA5A"/>
    <w:rsid w:val="01E4FE6D"/>
    <w:rsid w:val="01FC3686"/>
    <w:rsid w:val="0206B268"/>
    <w:rsid w:val="02530CD6"/>
    <w:rsid w:val="0270020C"/>
    <w:rsid w:val="0286F852"/>
    <w:rsid w:val="02919113"/>
    <w:rsid w:val="02B1BEAB"/>
    <w:rsid w:val="02B937F3"/>
    <w:rsid w:val="030B3810"/>
    <w:rsid w:val="032050EE"/>
    <w:rsid w:val="03277CBB"/>
    <w:rsid w:val="036C5D3A"/>
    <w:rsid w:val="03D85450"/>
    <w:rsid w:val="0400398F"/>
    <w:rsid w:val="0421619F"/>
    <w:rsid w:val="046C4986"/>
    <w:rsid w:val="04799658"/>
    <w:rsid w:val="047B58AA"/>
    <w:rsid w:val="04FBF6C2"/>
    <w:rsid w:val="050BB26D"/>
    <w:rsid w:val="053B142B"/>
    <w:rsid w:val="05413C31"/>
    <w:rsid w:val="0541C97D"/>
    <w:rsid w:val="054B68D2"/>
    <w:rsid w:val="057867D1"/>
    <w:rsid w:val="05F6E258"/>
    <w:rsid w:val="064A6B8B"/>
    <w:rsid w:val="0668E6AC"/>
    <w:rsid w:val="070A3FF7"/>
    <w:rsid w:val="072909EB"/>
    <w:rsid w:val="0749DC1D"/>
    <w:rsid w:val="0751E4DB"/>
    <w:rsid w:val="075AD846"/>
    <w:rsid w:val="0789A83F"/>
    <w:rsid w:val="07AC82BA"/>
    <w:rsid w:val="07E8B8DB"/>
    <w:rsid w:val="080C48AA"/>
    <w:rsid w:val="087A041E"/>
    <w:rsid w:val="088D82B2"/>
    <w:rsid w:val="089677A9"/>
    <w:rsid w:val="089A0983"/>
    <w:rsid w:val="08BCC7CF"/>
    <w:rsid w:val="08F57BEF"/>
    <w:rsid w:val="0947BCAE"/>
    <w:rsid w:val="09583D33"/>
    <w:rsid w:val="095CA96C"/>
    <w:rsid w:val="0A18A375"/>
    <w:rsid w:val="0A211A20"/>
    <w:rsid w:val="0A5764DC"/>
    <w:rsid w:val="0A5E3DCB"/>
    <w:rsid w:val="0A7214D5"/>
    <w:rsid w:val="0AA6A907"/>
    <w:rsid w:val="0AE492F6"/>
    <w:rsid w:val="0B2B5009"/>
    <w:rsid w:val="0B3C9E78"/>
    <w:rsid w:val="0B4D75BC"/>
    <w:rsid w:val="0B7D7923"/>
    <w:rsid w:val="0B917435"/>
    <w:rsid w:val="0BC2E110"/>
    <w:rsid w:val="0BEADA51"/>
    <w:rsid w:val="0C144CD7"/>
    <w:rsid w:val="0C42F8AC"/>
    <w:rsid w:val="0C63A10B"/>
    <w:rsid w:val="0C729807"/>
    <w:rsid w:val="0CA4D9E5"/>
    <w:rsid w:val="0CAA0ADC"/>
    <w:rsid w:val="0CACE2FE"/>
    <w:rsid w:val="0CB786A0"/>
    <w:rsid w:val="0CC25C51"/>
    <w:rsid w:val="0CD25BB3"/>
    <w:rsid w:val="0D4C22B6"/>
    <w:rsid w:val="0D56870B"/>
    <w:rsid w:val="0DC0DCE7"/>
    <w:rsid w:val="0DFA8B3C"/>
    <w:rsid w:val="0E074CD1"/>
    <w:rsid w:val="0E16532F"/>
    <w:rsid w:val="0E75CA88"/>
    <w:rsid w:val="0EA696AC"/>
    <w:rsid w:val="0EB4D830"/>
    <w:rsid w:val="0F0FD499"/>
    <w:rsid w:val="0F394341"/>
    <w:rsid w:val="0F536DC9"/>
    <w:rsid w:val="0F6C7970"/>
    <w:rsid w:val="0FFE506B"/>
    <w:rsid w:val="10220CC5"/>
    <w:rsid w:val="103AA364"/>
    <w:rsid w:val="107C8E9E"/>
    <w:rsid w:val="108B5CE0"/>
    <w:rsid w:val="11193B8A"/>
    <w:rsid w:val="1137028A"/>
    <w:rsid w:val="115D7EE8"/>
    <w:rsid w:val="11909BFF"/>
    <w:rsid w:val="11A49F77"/>
    <w:rsid w:val="11B88CE2"/>
    <w:rsid w:val="11E6B787"/>
    <w:rsid w:val="1205B8BA"/>
    <w:rsid w:val="121ED7D0"/>
    <w:rsid w:val="122018F6"/>
    <w:rsid w:val="125E0AE2"/>
    <w:rsid w:val="126CB55B"/>
    <w:rsid w:val="12760D7D"/>
    <w:rsid w:val="128AE821"/>
    <w:rsid w:val="129319F3"/>
    <w:rsid w:val="1296A0A5"/>
    <w:rsid w:val="12A5D863"/>
    <w:rsid w:val="12D2D579"/>
    <w:rsid w:val="12D4201C"/>
    <w:rsid w:val="12D57715"/>
    <w:rsid w:val="12E57588"/>
    <w:rsid w:val="13461D1F"/>
    <w:rsid w:val="1353469B"/>
    <w:rsid w:val="1376B5CC"/>
    <w:rsid w:val="1383595D"/>
    <w:rsid w:val="13908ED0"/>
    <w:rsid w:val="13B7BED6"/>
    <w:rsid w:val="13F4A4FB"/>
    <w:rsid w:val="1403373E"/>
    <w:rsid w:val="140C7042"/>
    <w:rsid w:val="140D78CF"/>
    <w:rsid w:val="141C4DBD"/>
    <w:rsid w:val="146486AE"/>
    <w:rsid w:val="1472F7F7"/>
    <w:rsid w:val="14C51590"/>
    <w:rsid w:val="153CD5BA"/>
    <w:rsid w:val="1573D757"/>
    <w:rsid w:val="15BEAAF1"/>
    <w:rsid w:val="15CE44E2"/>
    <w:rsid w:val="15F6DCE5"/>
    <w:rsid w:val="163CA7A7"/>
    <w:rsid w:val="164DDC37"/>
    <w:rsid w:val="16645446"/>
    <w:rsid w:val="166CBC31"/>
    <w:rsid w:val="166F5BC0"/>
    <w:rsid w:val="176C5193"/>
    <w:rsid w:val="17793C6E"/>
    <w:rsid w:val="1789402D"/>
    <w:rsid w:val="17997902"/>
    <w:rsid w:val="17A9D289"/>
    <w:rsid w:val="17CAF1BF"/>
    <w:rsid w:val="18410DFE"/>
    <w:rsid w:val="18A8C2BC"/>
    <w:rsid w:val="1956A261"/>
    <w:rsid w:val="19BEB140"/>
    <w:rsid w:val="19E0D59D"/>
    <w:rsid w:val="19FA8CBA"/>
    <w:rsid w:val="1A61AE3D"/>
    <w:rsid w:val="1A84F291"/>
    <w:rsid w:val="1AA7B168"/>
    <w:rsid w:val="1AB6F226"/>
    <w:rsid w:val="1AD78491"/>
    <w:rsid w:val="1ADBBB3D"/>
    <w:rsid w:val="1B3C52E2"/>
    <w:rsid w:val="1BD442BB"/>
    <w:rsid w:val="1BE35076"/>
    <w:rsid w:val="1C37432D"/>
    <w:rsid w:val="1CBCFB57"/>
    <w:rsid w:val="1CFDD605"/>
    <w:rsid w:val="1D4B9C05"/>
    <w:rsid w:val="1D77AFA1"/>
    <w:rsid w:val="1DD4980B"/>
    <w:rsid w:val="1DDF08E5"/>
    <w:rsid w:val="1E3A95BA"/>
    <w:rsid w:val="1E60B04F"/>
    <w:rsid w:val="1EC22E95"/>
    <w:rsid w:val="1EC5246F"/>
    <w:rsid w:val="1EC94FEE"/>
    <w:rsid w:val="1ED2F112"/>
    <w:rsid w:val="1F0077F0"/>
    <w:rsid w:val="1F4313AC"/>
    <w:rsid w:val="1F7DB9AF"/>
    <w:rsid w:val="1F887AC7"/>
    <w:rsid w:val="207A4871"/>
    <w:rsid w:val="2093BA7E"/>
    <w:rsid w:val="20959539"/>
    <w:rsid w:val="20A90F26"/>
    <w:rsid w:val="20BF6EA5"/>
    <w:rsid w:val="21755EB3"/>
    <w:rsid w:val="217B407A"/>
    <w:rsid w:val="219C16A3"/>
    <w:rsid w:val="21E09529"/>
    <w:rsid w:val="2200429B"/>
    <w:rsid w:val="22546DAC"/>
    <w:rsid w:val="22866C71"/>
    <w:rsid w:val="2296FF10"/>
    <w:rsid w:val="22A39E62"/>
    <w:rsid w:val="22CDCCAA"/>
    <w:rsid w:val="22ED67B7"/>
    <w:rsid w:val="23362CFE"/>
    <w:rsid w:val="2337AADB"/>
    <w:rsid w:val="239FEE0F"/>
    <w:rsid w:val="23D81908"/>
    <w:rsid w:val="2434D260"/>
    <w:rsid w:val="2437D268"/>
    <w:rsid w:val="24628FC3"/>
    <w:rsid w:val="2463DE0B"/>
    <w:rsid w:val="246E4FDD"/>
    <w:rsid w:val="248B3587"/>
    <w:rsid w:val="24987D9A"/>
    <w:rsid w:val="24BACB29"/>
    <w:rsid w:val="24EA82F9"/>
    <w:rsid w:val="25505BFC"/>
    <w:rsid w:val="256A28F4"/>
    <w:rsid w:val="257D51CE"/>
    <w:rsid w:val="257DC4C1"/>
    <w:rsid w:val="25969244"/>
    <w:rsid w:val="25FC2E46"/>
    <w:rsid w:val="261A0DDB"/>
    <w:rsid w:val="26419D9F"/>
    <w:rsid w:val="26C97490"/>
    <w:rsid w:val="26D56F38"/>
    <w:rsid w:val="26FCE3B6"/>
    <w:rsid w:val="27117F5C"/>
    <w:rsid w:val="274C6D48"/>
    <w:rsid w:val="27629AF0"/>
    <w:rsid w:val="2789C142"/>
    <w:rsid w:val="279D4C15"/>
    <w:rsid w:val="27CEEDD7"/>
    <w:rsid w:val="2843D2C1"/>
    <w:rsid w:val="2852A616"/>
    <w:rsid w:val="288DD5C8"/>
    <w:rsid w:val="289A1EDB"/>
    <w:rsid w:val="28C72D2C"/>
    <w:rsid w:val="28DDB338"/>
    <w:rsid w:val="29226113"/>
    <w:rsid w:val="296BC106"/>
    <w:rsid w:val="296D41EC"/>
    <w:rsid w:val="2974DC78"/>
    <w:rsid w:val="29AE9D50"/>
    <w:rsid w:val="29C73C09"/>
    <w:rsid w:val="29E79750"/>
    <w:rsid w:val="2A0081D6"/>
    <w:rsid w:val="2A235170"/>
    <w:rsid w:val="2A2CD001"/>
    <w:rsid w:val="2AE52DA9"/>
    <w:rsid w:val="2AEC8D99"/>
    <w:rsid w:val="2B18E7DE"/>
    <w:rsid w:val="2B3D3474"/>
    <w:rsid w:val="2B4B07BC"/>
    <w:rsid w:val="2B4D3224"/>
    <w:rsid w:val="2B5DA7B5"/>
    <w:rsid w:val="2B92952F"/>
    <w:rsid w:val="2BA33DD0"/>
    <w:rsid w:val="2BBC56C0"/>
    <w:rsid w:val="2BC3CFF6"/>
    <w:rsid w:val="2BD523C4"/>
    <w:rsid w:val="2BDF9F24"/>
    <w:rsid w:val="2C447AD6"/>
    <w:rsid w:val="2C76DC92"/>
    <w:rsid w:val="2CFC4E98"/>
    <w:rsid w:val="2D08BEE7"/>
    <w:rsid w:val="2D4D80AA"/>
    <w:rsid w:val="2D4EC94F"/>
    <w:rsid w:val="2D627E78"/>
    <w:rsid w:val="2D9EF55D"/>
    <w:rsid w:val="2DA089E5"/>
    <w:rsid w:val="2DAF78FE"/>
    <w:rsid w:val="2DC5B436"/>
    <w:rsid w:val="2DE77BB7"/>
    <w:rsid w:val="2E163079"/>
    <w:rsid w:val="2E199822"/>
    <w:rsid w:val="2E45087F"/>
    <w:rsid w:val="2E55D6C9"/>
    <w:rsid w:val="2E982CE1"/>
    <w:rsid w:val="2EC02118"/>
    <w:rsid w:val="2EDF3D48"/>
    <w:rsid w:val="2EF63939"/>
    <w:rsid w:val="2F00B40E"/>
    <w:rsid w:val="2F1738C9"/>
    <w:rsid w:val="2F19653D"/>
    <w:rsid w:val="2F269E4B"/>
    <w:rsid w:val="2F736965"/>
    <w:rsid w:val="2FD83AEF"/>
    <w:rsid w:val="2FE3FDDE"/>
    <w:rsid w:val="2FECEB3C"/>
    <w:rsid w:val="305A450B"/>
    <w:rsid w:val="305B90DD"/>
    <w:rsid w:val="309C23E8"/>
    <w:rsid w:val="30C4C404"/>
    <w:rsid w:val="31A3F859"/>
    <w:rsid w:val="31AC93AB"/>
    <w:rsid w:val="31BAC4B0"/>
    <w:rsid w:val="31EB2A05"/>
    <w:rsid w:val="31FD8B79"/>
    <w:rsid w:val="321799CC"/>
    <w:rsid w:val="32358C2F"/>
    <w:rsid w:val="3249736B"/>
    <w:rsid w:val="32600FD2"/>
    <w:rsid w:val="327C6178"/>
    <w:rsid w:val="328D5621"/>
    <w:rsid w:val="332DA635"/>
    <w:rsid w:val="33442CE1"/>
    <w:rsid w:val="3350F3E0"/>
    <w:rsid w:val="335C98E7"/>
    <w:rsid w:val="336A1E95"/>
    <w:rsid w:val="33BE9B06"/>
    <w:rsid w:val="33EA9EAB"/>
    <w:rsid w:val="33FD4D20"/>
    <w:rsid w:val="3400E488"/>
    <w:rsid w:val="3485D77E"/>
    <w:rsid w:val="3499B3B5"/>
    <w:rsid w:val="34A7C558"/>
    <w:rsid w:val="34BF8975"/>
    <w:rsid w:val="34F4A5F1"/>
    <w:rsid w:val="352B7952"/>
    <w:rsid w:val="355627FB"/>
    <w:rsid w:val="3581C04D"/>
    <w:rsid w:val="35ACC22C"/>
    <w:rsid w:val="36092FC1"/>
    <w:rsid w:val="360E8235"/>
    <w:rsid w:val="3620AB1A"/>
    <w:rsid w:val="366B4650"/>
    <w:rsid w:val="36804172"/>
    <w:rsid w:val="369EC883"/>
    <w:rsid w:val="36C7AE9A"/>
    <w:rsid w:val="36D02C56"/>
    <w:rsid w:val="37274174"/>
    <w:rsid w:val="37434B50"/>
    <w:rsid w:val="37648E0A"/>
    <w:rsid w:val="37670A44"/>
    <w:rsid w:val="37A4A031"/>
    <w:rsid w:val="37CF35F6"/>
    <w:rsid w:val="37EB1145"/>
    <w:rsid w:val="3804EC6E"/>
    <w:rsid w:val="38132783"/>
    <w:rsid w:val="3855A8BA"/>
    <w:rsid w:val="38B8D918"/>
    <w:rsid w:val="390B2271"/>
    <w:rsid w:val="3923C805"/>
    <w:rsid w:val="394E0DEA"/>
    <w:rsid w:val="396CDCBF"/>
    <w:rsid w:val="397809BC"/>
    <w:rsid w:val="39ED1FA4"/>
    <w:rsid w:val="3A0C49FA"/>
    <w:rsid w:val="3A42BB45"/>
    <w:rsid w:val="3A4AB4F3"/>
    <w:rsid w:val="3A7BFA3A"/>
    <w:rsid w:val="3A8A83E5"/>
    <w:rsid w:val="3ACDFFF1"/>
    <w:rsid w:val="3ACEBA67"/>
    <w:rsid w:val="3AE2CEB1"/>
    <w:rsid w:val="3AEF5523"/>
    <w:rsid w:val="3B232DCC"/>
    <w:rsid w:val="3B2501EE"/>
    <w:rsid w:val="3B3109C3"/>
    <w:rsid w:val="3B77E97C"/>
    <w:rsid w:val="3BAB9E58"/>
    <w:rsid w:val="3BC35C07"/>
    <w:rsid w:val="3C084C34"/>
    <w:rsid w:val="3C0DDDF4"/>
    <w:rsid w:val="3C2A3139"/>
    <w:rsid w:val="3C335276"/>
    <w:rsid w:val="3C48835A"/>
    <w:rsid w:val="3C5805A6"/>
    <w:rsid w:val="3C9B9C9F"/>
    <w:rsid w:val="3CA13971"/>
    <w:rsid w:val="3CDFAE44"/>
    <w:rsid w:val="3D24347D"/>
    <w:rsid w:val="3D395770"/>
    <w:rsid w:val="3D6CD277"/>
    <w:rsid w:val="3E31B3BA"/>
    <w:rsid w:val="3E5F6587"/>
    <w:rsid w:val="3E7828DA"/>
    <w:rsid w:val="3E7FB35C"/>
    <w:rsid w:val="3E814594"/>
    <w:rsid w:val="3E98839A"/>
    <w:rsid w:val="3EDB576C"/>
    <w:rsid w:val="3F0A4000"/>
    <w:rsid w:val="3F401F47"/>
    <w:rsid w:val="3F58BE19"/>
    <w:rsid w:val="3F94F900"/>
    <w:rsid w:val="3FB0A79B"/>
    <w:rsid w:val="4091525C"/>
    <w:rsid w:val="40B56BCC"/>
    <w:rsid w:val="40B716E1"/>
    <w:rsid w:val="40C9BF2B"/>
    <w:rsid w:val="41883B4C"/>
    <w:rsid w:val="4225480C"/>
    <w:rsid w:val="424EADF9"/>
    <w:rsid w:val="42592D6D"/>
    <w:rsid w:val="4278EFBA"/>
    <w:rsid w:val="429A47A8"/>
    <w:rsid w:val="42A44968"/>
    <w:rsid w:val="42BE62B2"/>
    <w:rsid w:val="431B7A8A"/>
    <w:rsid w:val="433AE3C5"/>
    <w:rsid w:val="434C8778"/>
    <w:rsid w:val="4385F7AA"/>
    <w:rsid w:val="43BF34BE"/>
    <w:rsid w:val="43E7980C"/>
    <w:rsid w:val="43F52557"/>
    <w:rsid w:val="43FD6C74"/>
    <w:rsid w:val="45519DB5"/>
    <w:rsid w:val="4612EF63"/>
    <w:rsid w:val="462D7BA0"/>
    <w:rsid w:val="4654F83F"/>
    <w:rsid w:val="467E462A"/>
    <w:rsid w:val="469891C7"/>
    <w:rsid w:val="46B03223"/>
    <w:rsid w:val="46CCE04C"/>
    <w:rsid w:val="46D27EDB"/>
    <w:rsid w:val="4720D6D3"/>
    <w:rsid w:val="47C61E0D"/>
    <w:rsid w:val="47E59F8D"/>
    <w:rsid w:val="4839A2B3"/>
    <w:rsid w:val="487370CC"/>
    <w:rsid w:val="4892B550"/>
    <w:rsid w:val="489E3E35"/>
    <w:rsid w:val="491D5426"/>
    <w:rsid w:val="4935138B"/>
    <w:rsid w:val="49386EC9"/>
    <w:rsid w:val="4943339D"/>
    <w:rsid w:val="4946775F"/>
    <w:rsid w:val="4985F31D"/>
    <w:rsid w:val="499268A7"/>
    <w:rsid w:val="49A7EBB5"/>
    <w:rsid w:val="49C6B3E6"/>
    <w:rsid w:val="49CBD336"/>
    <w:rsid w:val="4A1E97A3"/>
    <w:rsid w:val="4A2E31FD"/>
    <w:rsid w:val="4A3F4DAA"/>
    <w:rsid w:val="4A5B5E6B"/>
    <w:rsid w:val="4A62DE8C"/>
    <w:rsid w:val="4A69AA9C"/>
    <w:rsid w:val="4A93B250"/>
    <w:rsid w:val="4A96F613"/>
    <w:rsid w:val="4AA4A72F"/>
    <w:rsid w:val="4AAA054F"/>
    <w:rsid w:val="4B190C82"/>
    <w:rsid w:val="4B2FE8B8"/>
    <w:rsid w:val="4B49F2C0"/>
    <w:rsid w:val="4BAC5F3A"/>
    <w:rsid w:val="4CF296B4"/>
    <w:rsid w:val="4CFAC64E"/>
    <w:rsid w:val="4D043F74"/>
    <w:rsid w:val="4D07FA89"/>
    <w:rsid w:val="4D2782BF"/>
    <w:rsid w:val="4D469B19"/>
    <w:rsid w:val="4D750D5B"/>
    <w:rsid w:val="4D79F307"/>
    <w:rsid w:val="4D85EC87"/>
    <w:rsid w:val="4DC6810B"/>
    <w:rsid w:val="4E0CB02C"/>
    <w:rsid w:val="4E3971EE"/>
    <w:rsid w:val="4E9D9B92"/>
    <w:rsid w:val="4EBD123E"/>
    <w:rsid w:val="4EDD832F"/>
    <w:rsid w:val="4EF97782"/>
    <w:rsid w:val="4F46FBB3"/>
    <w:rsid w:val="4F674610"/>
    <w:rsid w:val="4F7DB2A2"/>
    <w:rsid w:val="4FB72728"/>
    <w:rsid w:val="50042A8A"/>
    <w:rsid w:val="50320DDD"/>
    <w:rsid w:val="50880A2B"/>
    <w:rsid w:val="50AE640A"/>
    <w:rsid w:val="50CF068C"/>
    <w:rsid w:val="50F7CE5A"/>
    <w:rsid w:val="510066E4"/>
    <w:rsid w:val="513C22DF"/>
    <w:rsid w:val="5175860F"/>
    <w:rsid w:val="5179B83B"/>
    <w:rsid w:val="5183CB5B"/>
    <w:rsid w:val="518B337A"/>
    <w:rsid w:val="51CF6116"/>
    <w:rsid w:val="51D8DE63"/>
    <w:rsid w:val="51FC3073"/>
    <w:rsid w:val="52176137"/>
    <w:rsid w:val="522DA183"/>
    <w:rsid w:val="525E35B5"/>
    <w:rsid w:val="526F3350"/>
    <w:rsid w:val="528E38AF"/>
    <w:rsid w:val="52BFB182"/>
    <w:rsid w:val="530176F7"/>
    <w:rsid w:val="533CDDB8"/>
    <w:rsid w:val="538E1D07"/>
    <w:rsid w:val="53B71D46"/>
    <w:rsid w:val="53B92988"/>
    <w:rsid w:val="53FB6E5F"/>
    <w:rsid w:val="542D8C0A"/>
    <w:rsid w:val="545D7809"/>
    <w:rsid w:val="54782D6C"/>
    <w:rsid w:val="547AF0ED"/>
    <w:rsid w:val="54B9A04C"/>
    <w:rsid w:val="54CEBAE7"/>
    <w:rsid w:val="54E6BEB3"/>
    <w:rsid w:val="54F2D2BC"/>
    <w:rsid w:val="551303C4"/>
    <w:rsid w:val="5534FE8F"/>
    <w:rsid w:val="553A4032"/>
    <w:rsid w:val="555610B4"/>
    <w:rsid w:val="5568F0E5"/>
    <w:rsid w:val="55B3654C"/>
    <w:rsid w:val="55BAA2C1"/>
    <w:rsid w:val="56290F67"/>
    <w:rsid w:val="565E1F44"/>
    <w:rsid w:val="56745103"/>
    <w:rsid w:val="567DF12D"/>
    <w:rsid w:val="5687E62E"/>
    <w:rsid w:val="56E79399"/>
    <w:rsid w:val="56EF709C"/>
    <w:rsid w:val="5753BDC3"/>
    <w:rsid w:val="578B5501"/>
    <w:rsid w:val="57C7555F"/>
    <w:rsid w:val="57F68BCD"/>
    <w:rsid w:val="5822B107"/>
    <w:rsid w:val="5832F901"/>
    <w:rsid w:val="58724C35"/>
    <w:rsid w:val="587A8233"/>
    <w:rsid w:val="587DD300"/>
    <w:rsid w:val="58A6ED07"/>
    <w:rsid w:val="58B4B6C1"/>
    <w:rsid w:val="58BB1C60"/>
    <w:rsid w:val="58ED6201"/>
    <w:rsid w:val="594766E6"/>
    <w:rsid w:val="5970E379"/>
    <w:rsid w:val="5A0C243A"/>
    <w:rsid w:val="5A667AB1"/>
    <w:rsid w:val="5A6771ED"/>
    <w:rsid w:val="5AB24DF5"/>
    <w:rsid w:val="5ABD9F26"/>
    <w:rsid w:val="5B402352"/>
    <w:rsid w:val="5B4B2347"/>
    <w:rsid w:val="5B62AA61"/>
    <w:rsid w:val="5BB48669"/>
    <w:rsid w:val="5BF1E026"/>
    <w:rsid w:val="5BF3BBE0"/>
    <w:rsid w:val="5C59687B"/>
    <w:rsid w:val="5C7D5774"/>
    <w:rsid w:val="5CE6AFC3"/>
    <w:rsid w:val="5CF72AAC"/>
    <w:rsid w:val="5D0A5DC0"/>
    <w:rsid w:val="5D7DE0CD"/>
    <w:rsid w:val="5DA21650"/>
    <w:rsid w:val="5DD6E336"/>
    <w:rsid w:val="5DF7B4A1"/>
    <w:rsid w:val="5E5918AD"/>
    <w:rsid w:val="5E67BF7B"/>
    <w:rsid w:val="5EC952E3"/>
    <w:rsid w:val="5F12635B"/>
    <w:rsid w:val="5F330F91"/>
    <w:rsid w:val="5F830687"/>
    <w:rsid w:val="5FB4F409"/>
    <w:rsid w:val="5FBD33C1"/>
    <w:rsid w:val="5FBF2E5F"/>
    <w:rsid w:val="5FF094F2"/>
    <w:rsid w:val="5FFBC019"/>
    <w:rsid w:val="6026754A"/>
    <w:rsid w:val="604EB11D"/>
    <w:rsid w:val="61A53042"/>
    <w:rsid w:val="61A9A73E"/>
    <w:rsid w:val="6204F699"/>
    <w:rsid w:val="62207965"/>
    <w:rsid w:val="62236408"/>
    <w:rsid w:val="62832A7C"/>
    <w:rsid w:val="629F6FBB"/>
    <w:rsid w:val="62A66FC0"/>
    <w:rsid w:val="62AC972B"/>
    <w:rsid w:val="62B8C244"/>
    <w:rsid w:val="62C0EAF2"/>
    <w:rsid w:val="63232700"/>
    <w:rsid w:val="632BE4FF"/>
    <w:rsid w:val="6367A5F8"/>
    <w:rsid w:val="64187ED5"/>
    <w:rsid w:val="643C4694"/>
    <w:rsid w:val="6450F9B6"/>
    <w:rsid w:val="64926D7A"/>
    <w:rsid w:val="64BA7F8C"/>
    <w:rsid w:val="64FB12AA"/>
    <w:rsid w:val="65009024"/>
    <w:rsid w:val="650795AD"/>
    <w:rsid w:val="65128ABD"/>
    <w:rsid w:val="656F3D05"/>
    <w:rsid w:val="657CDAAB"/>
    <w:rsid w:val="65C730B2"/>
    <w:rsid w:val="65D122F5"/>
    <w:rsid w:val="66056A43"/>
    <w:rsid w:val="66F0B6DD"/>
    <w:rsid w:val="66FA8C98"/>
    <w:rsid w:val="67686302"/>
    <w:rsid w:val="678FAD67"/>
    <w:rsid w:val="6883BA7C"/>
    <w:rsid w:val="68AA5370"/>
    <w:rsid w:val="68F44777"/>
    <w:rsid w:val="68F53F85"/>
    <w:rsid w:val="6937AADA"/>
    <w:rsid w:val="6940AF85"/>
    <w:rsid w:val="69608E99"/>
    <w:rsid w:val="6975247D"/>
    <w:rsid w:val="698EA70C"/>
    <w:rsid w:val="69A839BE"/>
    <w:rsid w:val="69AC5A80"/>
    <w:rsid w:val="69BE9D73"/>
    <w:rsid w:val="69C27FFA"/>
    <w:rsid w:val="69CB7767"/>
    <w:rsid w:val="69D78917"/>
    <w:rsid w:val="6A24897C"/>
    <w:rsid w:val="6A2CC434"/>
    <w:rsid w:val="6A623535"/>
    <w:rsid w:val="6AB4724D"/>
    <w:rsid w:val="6B463B79"/>
    <w:rsid w:val="6B5AEB91"/>
    <w:rsid w:val="6BBA175B"/>
    <w:rsid w:val="6BDA6DFD"/>
    <w:rsid w:val="6BEE35A9"/>
    <w:rsid w:val="6C00ED4E"/>
    <w:rsid w:val="6C165294"/>
    <w:rsid w:val="6C4604F4"/>
    <w:rsid w:val="6C48086D"/>
    <w:rsid w:val="6C7F06B4"/>
    <w:rsid w:val="6C975D57"/>
    <w:rsid w:val="6CF4C7B8"/>
    <w:rsid w:val="6D9AE5C8"/>
    <w:rsid w:val="6D9C04F6"/>
    <w:rsid w:val="6E012AF9"/>
    <w:rsid w:val="6E2B347C"/>
    <w:rsid w:val="6F2ED320"/>
    <w:rsid w:val="6F6CD944"/>
    <w:rsid w:val="6F8F2CF8"/>
    <w:rsid w:val="6F90FB3F"/>
    <w:rsid w:val="6FA031F7"/>
    <w:rsid w:val="6FDF2078"/>
    <w:rsid w:val="6FF08776"/>
    <w:rsid w:val="702110BE"/>
    <w:rsid w:val="70BFCE8D"/>
    <w:rsid w:val="70C03A61"/>
    <w:rsid w:val="70C09649"/>
    <w:rsid w:val="718A525C"/>
    <w:rsid w:val="71C89F2D"/>
    <w:rsid w:val="71EED5C8"/>
    <w:rsid w:val="71F3AEFB"/>
    <w:rsid w:val="72446E5A"/>
    <w:rsid w:val="7245EB06"/>
    <w:rsid w:val="724E2AA1"/>
    <w:rsid w:val="7257636B"/>
    <w:rsid w:val="728F1ADC"/>
    <w:rsid w:val="72C9AA8A"/>
    <w:rsid w:val="72EEFD30"/>
    <w:rsid w:val="73E23AF0"/>
    <w:rsid w:val="740620A0"/>
    <w:rsid w:val="7435CE8F"/>
    <w:rsid w:val="74635EF4"/>
    <w:rsid w:val="74CD72FD"/>
    <w:rsid w:val="74D36A9F"/>
    <w:rsid w:val="7568E90F"/>
    <w:rsid w:val="75BF9B21"/>
    <w:rsid w:val="76D4A8A7"/>
    <w:rsid w:val="770D21AD"/>
    <w:rsid w:val="773D7400"/>
    <w:rsid w:val="774C86B7"/>
    <w:rsid w:val="774D707E"/>
    <w:rsid w:val="77728B6A"/>
    <w:rsid w:val="77AAC10C"/>
    <w:rsid w:val="77DA6688"/>
    <w:rsid w:val="786A909A"/>
    <w:rsid w:val="7878B667"/>
    <w:rsid w:val="7967CB6A"/>
    <w:rsid w:val="796E9118"/>
    <w:rsid w:val="799A2160"/>
    <w:rsid w:val="7A37D1E3"/>
    <w:rsid w:val="7A446389"/>
    <w:rsid w:val="7A47E6A9"/>
    <w:rsid w:val="7A487F0D"/>
    <w:rsid w:val="7A5C5151"/>
    <w:rsid w:val="7A67F1F3"/>
    <w:rsid w:val="7A7497BA"/>
    <w:rsid w:val="7A7D2DD5"/>
    <w:rsid w:val="7A8E2D0D"/>
    <w:rsid w:val="7ABE6704"/>
    <w:rsid w:val="7ACF1F0C"/>
    <w:rsid w:val="7AD25EA1"/>
    <w:rsid w:val="7AE16C69"/>
    <w:rsid w:val="7B6AF7C7"/>
    <w:rsid w:val="7BB5409B"/>
    <w:rsid w:val="7BC671A7"/>
    <w:rsid w:val="7BF995C5"/>
    <w:rsid w:val="7C25AF7D"/>
    <w:rsid w:val="7C84652C"/>
    <w:rsid w:val="7CADCD4E"/>
    <w:rsid w:val="7CEF3D90"/>
    <w:rsid w:val="7D0B2628"/>
    <w:rsid w:val="7DF6371F"/>
    <w:rsid w:val="7E494600"/>
    <w:rsid w:val="7E5C9321"/>
    <w:rsid w:val="7EBBF56F"/>
    <w:rsid w:val="7EDC4C59"/>
    <w:rsid w:val="7F11A1F9"/>
    <w:rsid w:val="7F2CE5C5"/>
    <w:rsid w:val="7F6B8207"/>
    <w:rsid w:val="7F7061B9"/>
    <w:rsid w:val="7F750829"/>
    <w:rsid w:val="7F7751D3"/>
    <w:rsid w:val="7FAE04F3"/>
    <w:rsid w:val="7FD470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F2CF8"/>
  <w15:chartTrackingRefBased/>
  <w15:docId w15:val="{496FC15E-AB9E-48F7-8C89-259D330FD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66F0B6DD"/>
    <w:pPr>
      <w:tabs>
        <w:tab w:val="center" w:pos="4680"/>
        <w:tab w:val="right" w:pos="9360"/>
      </w:tabs>
      <w:spacing w:after="0" w:line="240" w:lineRule="auto"/>
    </w:pPr>
  </w:style>
  <w:style w:type="paragraph" w:styleId="Footer">
    <w:name w:val="footer"/>
    <w:basedOn w:val="Normal"/>
    <w:uiPriority w:val="99"/>
    <w:unhideWhenUsed/>
    <w:rsid w:val="66F0B6D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296D41EC"/>
    <w:pPr>
      <w:ind w:left="720"/>
      <w:contextualSpacing/>
    </w:pPr>
  </w:style>
  <w:style w:type="character" w:styleId="Hyperlink">
    <w:name w:val="Hyperlink"/>
    <w:basedOn w:val="DefaultParagraphFont"/>
    <w:uiPriority w:val="99"/>
    <w:unhideWhenUsed/>
    <w:rsid w:val="296D41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39" /><Relationship Type="http://schemas.openxmlformats.org/officeDocument/2006/relationships/styles" Target="styles.xml" Id="rId2" /><Relationship Type="http://schemas.microsoft.com/office/2020/10/relationships/intelligence" Target="intelligence2.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37" /><Relationship Type="http://schemas.openxmlformats.org/officeDocument/2006/relationships/theme" Target="theme/theme1.xml" Id="rId40"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settings" Target="settings.xml" Id="rId3" /><Relationship Type="http://schemas.openxmlformats.org/officeDocument/2006/relationships/footer" Target="footer1.xml" Id="rId38" /><Relationship Type="http://schemas.openxmlformats.org/officeDocument/2006/relationships/image" Target="/media/image15.png" Id="rId1011963641" /><Relationship Type="http://schemas.openxmlformats.org/officeDocument/2006/relationships/image" Target="/media/image16.png" Id="rId1005065154" /><Relationship Type="http://schemas.openxmlformats.org/officeDocument/2006/relationships/image" Target="/media/image17.png" Id="rId1006419762" /><Relationship Type="http://schemas.openxmlformats.org/officeDocument/2006/relationships/image" Target="/media/image18.png" Id="rId503151087" /><Relationship Type="http://schemas.openxmlformats.org/officeDocument/2006/relationships/image" Target="/media/image19.png" Id="rId1092823442" /><Relationship Type="http://schemas.openxmlformats.org/officeDocument/2006/relationships/image" Target="/media/image1a.png" Id="rId844895821" /><Relationship Type="http://schemas.openxmlformats.org/officeDocument/2006/relationships/image" Target="/media/image1b.png" Id="rId1788784157" /><Relationship Type="http://schemas.openxmlformats.org/officeDocument/2006/relationships/image" Target="/media/image1c.png" Id="rId1084758822" /><Relationship Type="http://schemas.openxmlformats.org/officeDocument/2006/relationships/image" Target="/media/image1d.png" Id="rId1005264480" /><Relationship Type="http://schemas.openxmlformats.org/officeDocument/2006/relationships/image" Target="/media/image1e.png" Id="rId1489160860" /><Relationship Type="http://schemas.openxmlformats.org/officeDocument/2006/relationships/hyperlink" Target="https://doi.org/10.1016/j.appet.2020.104630" TargetMode="External" Id="R7309caa1ccd745f7" /><Relationship Type="http://schemas.openxmlformats.org/officeDocument/2006/relationships/hyperlink" Target="https://www.bda.uk.com/static/f602fc35-ff7f-4d2c-90c89b145c43396c/d1e5de73-14ad-4d53-a9a79d1f66f0e7f8/Fibre-food-fact-sheet.pdf" TargetMode="External" Id="R81e63b4083504571" /><Relationship Type="http://schemas.openxmlformats.org/officeDocument/2006/relationships/hyperlink" Target="https://doi.org/10.1093/heapro/daw061" TargetMode="External" Id="Ra5dcb0e7177d4d60" /><Relationship Type="http://schemas.openxmlformats.org/officeDocument/2006/relationships/hyperlink" Target="https://assets.publishing.service.gov.uk/media/5bab995240f0b607130bd49d/Dietary_Reference_Values_-_A_Guide__1991_.pdf" TargetMode="External" Id="Rc67cec2f44cd4b3e" /><Relationship Type="http://schemas.openxmlformats.org/officeDocument/2006/relationships/hyperlink" Target="https://doi.org/10.1177/13563890221096178" TargetMode="External" Id="R3e10de5307c545f7" /><Relationship Type="http://schemas.openxmlformats.org/officeDocument/2006/relationships/hyperlink" Target="https://doi.org/10.1038/s41430-021-00933-2" TargetMode="External" Id="R8c396383a8e240c5" /><Relationship Type="http://schemas.openxmlformats.org/officeDocument/2006/relationships/hyperlink" Target="https://doi.org/10.15171/ijhpm.2018.04" TargetMode="External" Id="R2a08cdebce4340fc" /><Relationship Type="http://schemas.openxmlformats.org/officeDocument/2006/relationships/hyperlink" Target="https://doi.org/10.1016/j.mehy.2017.06.019" TargetMode="External" Id="R62b99098ec9945d6" /><Relationship Type="http://schemas.openxmlformats.org/officeDocument/2006/relationships/hyperlink" Target="https://doi.org/10.1007/s10664-021-10115-0" TargetMode="External" Id="Rd3fa25fdfc924931" /><Relationship Type="http://schemas.openxmlformats.org/officeDocument/2006/relationships/hyperlink" Target="https://doi.org/10.1108/HE-05-2018-0027" TargetMode="External" Id="R4ae60965916f45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12</revision>
  <dcterms:created xsi:type="dcterms:W3CDTF">2026-04-16T05:14:00.0000000Z</dcterms:created>
  <dcterms:modified xsi:type="dcterms:W3CDTF">2026-04-20T12:22:54.1058779Z</dcterms:modified>
</coreProperties>
</file>