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AFE0F" w14:textId="77777777" w:rsidR="00D722CE" w:rsidRDefault="00D722CE" w:rsidP="00D722CE">
      <w:pPr>
        <w:pStyle w:val="NormalWeb"/>
        <w:spacing w:before="0" w:beforeAutospacing="0" w:after="0" w:afterAutospacing="0"/>
        <w:ind w:left="-180" w:right="-334"/>
      </w:pPr>
      <w:bookmarkStart w:id="0" w:name="_Hlk526433641"/>
      <w:r>
        <w:rPr>
          <w:noProof/>
        </w:rPr>
        <w:drawing>
          <wp:inline distT="0" distB="0" distL="0" distR="0" wp14:anchorId="753775E8" wp14:editId="6BB34ACD">
            <wp:extent cx="1905000" cy="635000"/>
            <wp:effectExtent l="19050" t="1905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B016043" w14:textId="77777777" w:rsidR="00D722CE" w:rsidRDefault="00D722CE" w:rsidP="00D722CE">
      <w:pPr>
        <w:pStyle w:val="NormalWeb"/>
        <w:spacing w:before="0" w:beforeAutospacing="0" w:after="0" w:afterAutospacing="0"/>
        <w:ind w:left="-180" w:right="-334"/>
      </w:pPr>
    </w:p>
    <w:p w14:paraId="3ED6C9E0" w14:textId="77777777" w:rsidR="00D722CE" w:rsidRDefault="00D722CE" w:rsidP="00D722CE">
      <w:pPr>
        <w:pStyle w:val="NormalWeb"/>
        <w:spacing w:before="0" w:beforeAutospacing="0" w:after="0" w:afterAutospacing="0"/>
        <w:ind w:left="-180" w:right="-334"/>
      </w:pPr>
    </w:p>
    <w:p w14:paraId="510B608E" w14:textId="77777777" w:rsidR="00D722CE" w:rsidRDefault="00D722CE" w:rsidP="00D722C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C83FAAF" w14:textId="77777777" w:rsidR="00D722CE" w:rsidRPr="00230F35" w:rsidRDefault="00D722CE" w:rsidP="00D722C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E34CFE9" w14:textId="77777777" w:rsidR="00D722CE" w:rsidRPr="00230F35" w:rsidRDefault="00D722CE" w:rsidP="00D722CE">
      <w:pPr>
        <w:rPr>
          <w:rFonts w:ascii="Arial" w:hAnsi="Arial" w:cs="Arial"/>
          <w:sz w:val="28"/>
          <w:szCs w:val="28"/>
          <w:lang w:val="cy-GB"/>
        </w:rPr>
      </w:pPr>
    </w:p>
    <w:p w14:paraId="3B18EA4C" w14:textId="77777777" w:rsidR="00D722CE" w:rsidRDefault="00D722CE" w:rsidP="00D722CE">
      <w:pPr>
        <w:pStyle w:val="Heading3"/>
        <w:jc w:val="center"/>
        <w:rPr>
          <w:lang w:val="cy-GB"/>
        </w:rPr>
      </w:pPr>
      <w:r>
        <w:rPr>
          <w:lang w:val="cy-GB"/>
        </w:rPr>
        <w:t>THIS SHEET MUST BE THE FIRST PAGE OF THE ASSIGNMENT YOU ARE SUBMITTING  (DO NOT SEND AS A SEPARATE FILE)</w:t>
      </w:r>
    </w:p>
    <w:p w14:paraId="45E1387B" w14:textId="77777777" w:rsidR="00D722CE" w:rsidRDefault="00D722CE" w:rsidP="00D722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3"/>
        <w:gridCol w:w="423"/>
        <w:gridCol w:w="1503"/>
        <w:gridCol w:w="284"/>
        <w:gridCol w:w="1793"/>
      </w:tblGrid>
      <w:tr w:rsidR="00D722CE" w:rsidRPr="00230F35" w14:paraId="05BFCD57" w14:textId="77777777" w:rsidTr="007D394A">
        <w:trPr>
          <w:trHeight w:val="614"/>
        </w:trPr>
        <w:tc>
          <w:tcPr>
            <w:tcW w:w="8856" w:type="dxa"/>
            <w:gridSpan w:val="5"/>
          </w:tcPr>
          <w:p w14:paraId="6C409C79" w14:textId="77777777" w:rsidR="00D722CE" w:rsidRPr="00230F35"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722CE" w:rsidRPr="00230F35" w14:paraId="6694DC1C" w14:textId="77777777" w:rsidTr="007D394A">
        <w:trPr>
          <w:trHeight w:val="718"/>
        </w:trPr>
        <w:tc>
          <w:tcPr>
            <w:tcW w:w="8856" w:type="dxa"/>
            <w:gridSpan w:val="5"/>
          </w:tcPr>
          <w:p w14:paraId="2A352DFE" w14:textId="77777777"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b/>
                <w:sz w:val="22"/>
                <w:szCs w:val="22"/>
              </w:rPr>
              <w:t>Elizabeth Flynn</w:t>
            </w:r>
          </w:p>
          <w:p w14:paraId="55322344" w14:textId="77777777" w:rsidR="00D722CE" w:rsidRPr="00230F35" w:rsidRDefault="00D722CE" w:rsidP="007D394A">
            <w:pPr>
              <w:pStyle w:val="NormalWeb"/>
              <w:spacing w:before="0" w:beforeAutospacing="0" w:after="0" w:afterAutospacing="0"/>
              <w:ind w:right="34"/>
              <w:rPr>
                <w:rFonts w:ascii="Arial" w:hAnsi="Arial" w:cs="Arial"/>
                <w:sz w:val="22"/>
                <w:szCs w:val="22"/>
              </w:rPr>
            </w:pPr>
          </w:p>
          <w:p w14:paraId="7F7FD82B" w14:textId="77777777"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b/>
                <w:sz w:val="22"/>
                <w:szCs w:val="22"/>
              </w:rPr>
              <w:t>1805402@student.uwtsd.ac.uk</w:t>
            </w:r>
          </w:p>
        </w:tc>
      </w:tr>
      <w:tr w:rsidR="00D722CE" w:rsidRPr="00230F35" w14:paraId="455AC5AC" w14:textId="77777777" w:rsidTr="007D394A">
        <w:trPr>
          <w:trHeight w:val="849"/>
        </w:trPr>
        <w:tc>
          <w:tcPr>
            <w:tcW w:w="4788" w:type="dxa"/>
          </w:tcPr>
          <w:p w14:paraId="77CD0CFD" w14:textId="730AC4EB"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code:</w:t>
            </w:r>
            <w:r>
              <w:rPr>
                <w:rFonts w:ascii="Arial" w:hAnsi="Arial" w:cs="Arial"/>
                <w:sz w:val="22"/>
                <w:szCs w:val="22"/>
              </w:rPr>
              <w:t xml:space="preserve"> </w:t>
            </w:r>
            <w:r>
              <w:rPr>
                <w:rFonts w:ascii="Arial" w:hAnsi="Arial" w:cs="Arial"/>
                <w:b/>
                <w:sz w:val="22"/>
                <w:szCs w:val="22"/>
              </w:rPr>
              <w:t>HPCA700</w:t>
            </w:r>
            <w:r w:rsidR="009D0D46">
              <w:rPr>
                <w:rFonts w:ascii="Arial" w:hAnsi="Arial" w:cs="Arial"/>
                <w:b/>
                <w:sz w:val="22"/>
                <w:szCs w:val="22"/>
              </w:rPr>
              <w:t>9</w:t>
            </w:r>
          </w:p>
          <w:p w14:paraId="1078388E" w14:textId="77777777" w:rsidR="00D722CE" w:rsidRPr="00230F35" w:rsidRDefault="00D722CE" w:rsidP="007D394A">
            <w:pPr>
              <w:pStyle w:val="NormalWeb"/>
              <w:spacing w:before="0" w:beforeAutospacing="0" w:after="0" w:afterAutospacing="0"/>
              <w:ind w:right="34"/>
              <w:rPr>
                <w:rFonts w:ascii="Arial" w:hAnsi="Arial" w:cs="Arial"/>
                <w:sz w:val="22"/>
                <w:szCs w:val="22"/>
              </w:rPr>
            </w:pPr>
          </w:p>
          <w:p w14:paraId="78E6E42C" w14:textId="51EC330B" w:rsidR="00D722CE" w:rsidRPr="0063343F" w:rsidRDefault="00D722CE" w:rsidP="009D0D46">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title:</w:t>
            </w:r>
            <w:r>
              <w:rPr>
                <w:rFonts w:ascii="Arial" w:hAnsi="Arial" w:cs="Arial"/>
                <w:sz w:val="22"/>
                <w:szCs w:val="22"/>
              </w:rPr>
              <w:t xml:space="preserve"> </w:t>
            </w:r>
            <w:r w:rsidR="009D0D46">
              <w:rPr>
                <w:rFonts w:ascii="Arial" w:hAnsi="Arial" w:cs="Arial"/>
                <w:b/>
                <w:sz w:val="22"/>
                <w:szCs w:val="22"/>
              </w:rPr>
              <w:t xml:space="preserve">Skyscapes, Cosmology, and Archaeology </w:t>
            </w:r>
          </w:p>
          <w:p w14:paraId="4CCC6166" w14:textId="77777777" w:rsidR="00D722CE" w:rsidRPr="00230F35" w:rsidRDefault="00D722CE" w:rsidP="007D394A">
            <w:pPr>
              <w:pStyle w:val="NormalWeb"/>
              <w:spacing w:before="0" w:beforeAutospacing="0" w:after="0" w:afterAutospacing="0"/>
              <w:ind w:right="34"/>
              <w:rPr>
                <w:rFonts w:ascii="Arial" w:hAnsi="Arial" w:cs="Arial"/>
                <w:sz w:val="22"/>
                <w:szCs w:val="22"/>
              </w:rPr>
            </w:pPr>
          </w:p>
        </w:tc>
        <w:tc>
          <w:tcPr>
            <w:tcW w:w="2266" w:type="dxa"/>
            <w:gridSpan w:val="3"/>
          </w:tcPr>
          <w:p w14:paraId="57C151CE" w14:textId="77777777" w:rsidR="00D722CE"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E6C3E2E" w14:textId="77777777" w:rsidR="00D722CE" w:rsidRDefault="00D722CE" w:rsidP="007D394A"/>
          <w:p w14:paraId="099A253C" w14:textId="77777777" w:rsidR="00D722CE" w:rsidRPr="0063343F" w:rsidRDefault="00D722CE" w:rsidP="007D394A">
            <w:pPr>
              <w:rPr>
                <w:rFonts w:ascii="Arial" w:hAnsi="Arial" w:cs="Arial"/>
                <w:b/>
                <w:sz w:val="22"/>
                <w:szCs w:val="22"/>
              </w:rPr>
            </w:pPr>
            <w:r>
              <w:rPr>
                <w:rFonts w:ascii="Arial" w:hAnsi="Arial" w:cs="Arial"/>
                <w:b/>
                <w:sz w:val="22"/>
                <w:szCs w:val="22"/>
              </w:rPr>
              <w:t>1805402</w:t>
            </w:r>
          </w:p>
        </w:tc>
        <w:tc>
          <w:tcPr>
            <w:tcW w:w="1802" w:type="dxa"/>
          </w:tcPr>
          <w:p w14:paraId="79931CF3" w14:textId="77777777" w:rsidR="00D722CE" w:rsidRPr="00230F35"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BCA9249" w14:textId="77777777" w:rsidR="00D722CE" w:rsidRPr="0063343F" w:rsidRDefault="00D722CE" w:rsidP="007D394A">
            <w:pPr>
              <w:pStyle w:val="NormalWeb"/>
              <w:spacing w:before="0" w:beforeAutospacing="0" w:after="0" w:afterAutospacing="0"/>
              <w:ind w:right="34"/>
              <w:rPr>
                <w:rFonts w:ascii="Arial" w:hAnsi="Arial" w:cs="Arial"/>
                <w:b/>
                <w:sz w:val="22"/>
                <w:szCs w:val="22"/>
              </w:rPr>
            </w:pPr>
            <w:r w:rsidRPr="0063343F">
              <w:rPr>
                <w:rFonts w:ascii="Arial" w:hAnsi="Arial" w:cs="Arial"/>
                <w:b/>
                <w:sz w:val="22"/>
                <w:szCs w:val="22"/>
              </w:rPr>
              <w:t>No</w:t>
            </w:r>
          </w:p>
        </w:tc>
      </w:tr>
      <w:tr w:rsidR="00D722CE" w:rsidRPr="00230F35" w14:paraId="0AA2E498" w14:textId="77777777" w:rsidTr="007D394A">
        <w:trPr>
          <w:trHeight w:val="1139"/>
        </w:trPr>
        <w:tc>
          <w:tcPr>
            <w:tcW w:w="8856" w:type="dxa"/>
            <w:gridSpan w:val="5"/>
          </w:tcPr>
          <w:p w14:paraId="465E3871" w14:textId="20F86847"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title:</w:t>
            </w:r>
            <w:r>
              <w:rPr>
                <w:rFonts w:ascii="Arial" w:hAnsi="Arial" w:cs="Arial"/>
                <w:sz w:val="22"/>
                <w:szCs w:val="22"/>
              </w:rPr>
              <w:t xml:space="preserve"> </w:t>
            </w:r>
            <w:r w:rsidR="00F85504" w:rsidRPr="00F85504">
              <w:rPr>
                <w:rFonts w:ascii="Arial" w:hAnsi="Arial" w:cs="Arial"/>
                <w:b/>
                <w:sz w:val="22"/>
                <w:szCs w:val="22"/>
              </w:rPr>
              <w:t>A Critical Review of Two Papers Concerning Chankillo, Peru</w:t>
            </w:r>
          </w:p>
          <w:p w14:paraId="27A8228A" w14:textId="77777777" w:rsidR="00D722CE" w:rsidRPr="00230F35" w:rsidRDefault="00D722CE" w:rsidP="007D394A">
            <w:pPr>
              <w:pStyle w:val="NormalWeb"/>
              <w:spacing w:before="0" w:beforeAutospacing="0" w:after="0" w:afterAutospacing="0"/>
              <w:ind w:right="34"/>
              <w:rPr>
                <w:rFonts w:ascii="Arial" w:hAnsi="Arial" w:cs="Arial"/>
                <w:sz w:val="22"/>
                <w:szCs w:val="22"/>
              </w:rPr>
            </w:pPr>
          </w:p>
          <w:p w14:paraId="7841D9A7" w14:textId="77777777" w:rsidR="00D722CE" w:rsidRDefault="00D722CE" w:rsidP="007D394A">
            <w:pPr>
              <w:pStyle w:val="NormalWeb"/>
              <w:spacing w:before="0" w:beforeAutospacing="0" w:after="0" w:afterAutospacing="0"/>
              <w:ind w:right="34"/>
              <w:rPr>
                <w:rFonts w:ascii="Arial" w:hAnsi="Arial" w:cs="Arial"/>
                <w:sz w:val="22"/>
                <w:szCs w:val="22"/>
              </w:rPr>
            </w:pPr>
          </w:p>
          <w:p w14:paraId="1147CD7D" w14:textId="50CD9EFE"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due date:</w:t>
            </w:r>
            <w:r>
              <w:rPr>
                <w:rFonts w:ascii="Arial" w:hAnsi="Arial" w:cs="Arial"/>
                <w:sz w:val="22"/>
                <w:szCs w:val="22"/>
              </w:rPr>
              <w:t xml:space="preserve"> </w:t>
            </w:r>
            <w:r w:rsidR="009D0D46">
              <w:rPr>
                <w:rFonts w:ascii="Arial" w:hAnsi="Arial" w:cs="Arial"/>
                <w:b/>
                <w:sz w:val="22"/>
                <w:szCs w:val="22"/>
              </w:rPr>
              <w:t>4</w:t>
            </w:r>
            <w:r w:rsidR="009D0D46" w:rsidRPr="009D0D46">
              <w:rPr>
                <w:rFonts w:ascii="Arial" w:hAnsi="Arial" w:cs="Arial"/>
                <w:b/>
                <w:sz w:val="22"/>
                <w:szCs w:val="22"/>
                <w:vertAlign w:val="superscript"/>
              </w:rPr>
              <w:t>th</w:t>
            </w:r>
            <w:r w:rsidR="009D0D46">
              <w:rPr>
                <w:rFonts w:ascii="Arial" w:hAnsi="Arial" w:cs="Arial"/>
                <w:b/>
                <w:sz w:val="22"/>
                <w:szCs w:val="22"/>
              </w:rPr>
              <w:t xml:space="preserve"> March 2019</w:t>
            </w:r>
          </w:p>
        </w:tc>
      </w:tr>
      <w:tr w:rsidR="00D722CE" w:rsidRPr="00230F35" w14:paraId="723201EA" w14:textId="77777777" w:rsidTr="007D394A">
        <w:trPr>
          <w:trHeight w:val="978"/>
        </w:trPr>
        <w:tc>
          <w:tcPr>
            <w:tcW w:w="8856" w:type="dxa"/>
            <w:gridSpan w:val="5"/>
            <w:tcBorders>
              <w:bottom w:val="single" w:sz="4" w:space="0" w:color="000000"/>
            </w:tcBorders>
          </w:tcPr>
          <w:p w14:paraId="262846D4" w14:textId="39799AB9" w:rsidR="00D722CE" w:rsidRPr="00230F35" w:rsidRDefault="00D722CE" w:rsidP="007D394A">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Box>
                </w:ffData>
              </w:fldChar>
            </w:r>
            <w:bookmarkStart w:id="1" w:name="Check13"/>
            <w:r>
              <w:rPr>
                <w:rFonts w:ascii="Arial" w:hAnsi="Arial" w:cs="Arial"/>
                <w:sz w:val="22"/>
                <w:szCs w:val="22"/>
              </w:rPr>
              <w:instrText xml:space="preserve"> FORMCHECKBOX </w:instrText>
            </w:r>
            <w:r w:rsidR="00C27DCE">
              <w:rPr>
                <w:rFonts w:ascii="Arial" w:hAnsi="Arial" w:cs="Arial"/>
                <w:sz w:val="22"/>
                <w:szCs w:val="22"/>
              </w:rPr>
            </w:r>
            <w:r w:rsidR="00C27DCE">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E63BEB">
              <w:rPr>
                <w:rFonts w:ascii="Arial" w:hAnsi="Arial" w:cs="Arial"/>
                <w:sz w:val="22"/>
                <w:szCs w:val="22"/>
              </w:rPr>
              <w:fldChar w:fldCharType="begin">
                <w:ffData>
                  <w:name w:val="Check14"/>
                  <w:enabled/>
                  <w:calcOnExit w:val="0"/>
                  <w:checkBox>
                    <w:sizeAuto/>
                    <w:default w:val="1"/>
                  </w:checkBox>
                </w:ffData>
              </w:fldChar>
            </w:r>
            <w:bookmarkStart w:id="2" w:name="Check14"/>
            <w:r w:rsidR="00E63BEB">
              <w:rPr>
                <w:rFonts w:ascii="Arial" w:hAnsi="Arial" w:cs="Arial"/>
                <w:sz w:val="22"/>
                <w:szCs w:val="22"/>
              </w:rPr>
              <w:instrText xml:space="preserve"> FORMCHECKBOX </w:instrText>
            </w:r>
            <w:r w:rsidR="00C27DCE">
              <w:rPr>
                <w:rFonts w:ascii="Arial" w:hAnsi="Arial" w:cs="Arial"/>
                <w:sz w:val="22"/>
                <w:szCs w:val="22"/>
              </w:rPr>
            </w:r>
            <w:r w:rsidR="00C27DCE">
              <w:rPr>
                <w:rFonts w:ascii="Arial" w:hAnsi="Arial" w:cs="Arial"/>
                <w:sz w:val="22"/>
                <w:szCs w:val="22"/>
              </w:rPr>
              <w:fldChar w:fldCharType="separate"/>
            </w:r>
            <w:r w:rsidR="00E63BEB">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E63BEB">
              <w:rPr>
                <w:rFonts w:ascii="Arial" w:hAnsi="Arial" w:cs="Arial"/>
                <w:sz w:val="22"/>
                <w:szCs w:val="22"/>
              </w:rPr>
              <w:fldChar w:fldCharType="begin">
                <w:ffData>
                  <w:name w:val="Check15"/>
                  <w:enabled/>
                  <w:calcOnExit w:val="0"/>
                  <w:checkBox>
                    <w:sizeAuto/>
                    <w:default w:val="0"/>
                  </w:checkBox>
                </w:ffData>
              </w:fldChar>
            </w:r>
            <w:bookmarkStart w:id="3" w:name="Check15"/>
            <w:r w:rsidR="00E63BEB">
              <w:rPr>
                <w:rFonts w:ascii="Arial" w:hAnsi="Arial" w:cs="Arial"/>
                <w:sz w:val="22"/>
                <w:szCs w:val="22"/>
              </w:rPr>
              <w:instrText xml:space="preserve"> FORMCHECKBOX </w:instrText>
            </w:r>
            <w:r w:rsidR="00C27DCE">
              <w:rPr>
                <w:rFonts w:ascii="Arial" w:hAnsi="Arial" w:cs="Arial"/>
                <w:sz w:val="22"/>
                <w:szCs w:val="22"/>
              </w:rPr>
            </w:r>
            <w:r w:rsidR="00C27DCE">
              <w:rPr>
                <w:rFonts w:ascii="Arial" w:hAnsi="Arial" w:cs="Arial"/>
                <w:sz w:val="22"/>
                <w:szCs w:val="22"/>
              </w:rPr>
              <w:fldChar w:fldCharType="separate"/>
            </w:r>
            <w:r w:rsidR="00E63BEB">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4" w:name="Check16"/>
            <w:r w:rsidRPr="00230F35">
              <w:rPr>
                <w:rFonts w:ascii="Arial" w:hAnsi="Arial" w:cs="Arial"/>
                <w:sz w:val="22"/>
                <w:szCs w:val="22"/>
              </w:rPr>
              <w:instrText xml:space="preserve"> FORMCHECKBOX </w:instrText>
            </w:r>
            <w:r w:rsidR="00C27DCE">
              <w:rPr>
                <w:rFonts w:ascii="Arial" w:hAnsi="Arial" w:cs="Arial"/>
                <w:sz w:val="22"/>
                <w:szCs w:val="22"/>
              </w:rPr>
            </w:r>
            <w:r w:rsidR="00C27DCE">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5" w:name="Check17"/>
            <w:r w:rsidRPr="00230F35">
              <w:rPr>
                <w:rFonts w:ascii="Arial" w:hAnsi="Arial" w:cs="Arial"/>
                <w:sz w:val="22"/>
                <w:szCs w:val="22"/>
              </w:rPr>
              <w:instrText xml:space="preserve"> FORMCHECKBOX </w:instrText>
            </w:r>
            <w:r w:rsidR="00C27DCE">
              <w:rPr>
                <w:rFonts w:ascii="Arial" w:hAnsi="Arial" w:cs="Arial"/>
                <w:sz w:val="22"/>
                <w:szCs w:val="22"/>
              </w:rPr>
            </w:r>
            <w:r w:rsidR="00C27DCE">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6" w:name="Check18"/>
            <w:r w:rsidRPr="00230F35">
              <w:rPr>
                <w:rFonts w:ascii="Arial" w:hAnsi="Arial" w:cs="Arial"/>
                <w:sz w:val="22"/>
                <w:szCs w:val="22"/>
              </w:rPr>
              <w:instrText xml:space="preserve"> FORMCHECKBOX </w:instrText>
            </w:r>
            <w:r w:rsidR="00C27DCE">
              <w:rPr>
                <w:rFonts w:ascii="Arial" w:hAnsi="Arial" w:cs="Arial"/>
                <w:sz w:val="22"/>
                <w:szCs w:val="22"/>
              </w:rPr>
            </w:r>
            <w:r w:rsidR="00C27DCE">
              <w:rPr>
                <w:rFonts w:ascii="Arial" w:hAnsi="Arial" w:cs="Arial"/>
                <w:sz w:val="22"/>
                <w:szCs w:val="22"/>
              </w:rPr>
              <w:fldChar w:fldCharType="separate"/>
            </w:r>
            <w:r w:rsidRPr="00230F35">
              <w:rPr>
                <w:rFonts w:ascii="Arial" w:hAnsi="Arial" w:cs="Arial"/>
                <w:sz w:val="22"/>
                <w:szCs w:val="22"/>
              </w:rPr>
              <w:fldChar w:fldCharType="end"/>
            </w:r>
            <w:bookmarkEnd w:id="6"/>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D722CE" w:rsidRPr="00230F35" w14:paraId="64B04726" w14:textId="77777777" w:rsidTr="007D394A">
        <w:trPr>
          <w:trHeight w:val="978"/>
        </w:trPr>
        <w:tc>
          <w:tcPr>
            <w:tcW w:w="8856" w:type="dxa"/>
            <w:gridSpan w:val="5"/>
            <w:shd w:val="clear" w:color="auto" w:fill="D9D9D9"/>
          </w:tcPr>
          <w:p w14:paraId="0380521E" w14:textId="77777777" w:rsidR="00D722CE" w:rsidRPr="00230F35"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CDAEFC9" w14:textId="77777777" w:rsidR="00D722CE"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62DD647" w14:textId="1D2CE073" w:rsidR="00D722CE" w:rsidRDefault="00D722CE" w:rsidP="007D394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832490">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Pr>
                <w:rFonts w:ascii="Arial" w:hAnsi="Arial" w:cs="Arial"/>
                <w:sz w:val="22"/>
                <w:szCs w:val="22"/>
              </w:rPr>
              <w:fldChar w:fldCharType="begin">
                <w:ffData>
                  <w:name w:val=""/>
                  <w:enabled/>
                  <w:calcOnExit w:val="0"/>
                  <w:checkBox>
                    <w:sizeAuto/>
                    <w:default w:val="1"/>
                  </w:checkBox>
                </w:ffData>
              </w:fldChar>
            </w:r>
            <w:r>
              <w:rPr>
                <w:rFonts w:ascii="Arial" w:hAnsi="Arial" w:cs="Arial"/>
                <w:sz w:val="22"/>
                <w:szCs w:val="22"/>
              </w:rPr>
              <w:instrText xml:space="preserve"> FORMCHECKBOX </w:instrText>
            </w:r>
            <w:r w:rsidR="00C27DCE">
              <w:rPr>
                <w:rFonts w:ascii="Arial" w:hAnsi="Arial" w:cs="Arial"/>
                <w:sz w:val="22"/>
                <w:szCs w:val="22"/>
              </w:rPr>
            </w:r>
            <w:r w:rsidR="00C27DCE">
              <w:rPr>
                <w:rFonts w:ascii="Arial" w:hAnsi="Arial" w:cs="Arial"/>
                <w:sz w:val="22"/>
                <w:szCs w:val="22"/>
              </w:rPr>
              <w:fldChar w:fldCharType="separate"/>
            </w:r>
            <w:r>
              <w:rPr>
                <w:rFonts w:ascii="Arial" w:hAnsi="Arial" w:cs="Arial"/>
                <w:sz w:val="22"/>
                <w:szCs w:val="22"/>
              </w:rPr>
              <w:fldChar w:fldCharType="end"/>
            </w:r>
          </w:p>
          <w:p w14:paraId="478216C4" w14:textId="77777777" w:rsidR="00D722CE" w:rsidRPr="00230F35" w:rsidRDefault="00D722CE" w:rsidP="007D394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722CE" w:rsidRPr="00230F35" w14:paraId="3992CCE6" w14:textId="77777777" w:rsidTr="007D394A">
        <w:trPr>
          <w:trHeight w:val="3972"/>
        </w:trPr>
        <w:tc>
          <w:tcPr>
            <w:tcW w:w="8856" w:type="dxa"/>
            <w:gridSpan w:val="5"/>
          </w:tcPr>
          <w:p w14:paraId="59A676DD" w14:textId="77777777" w:rsidR="00D722CE" w:rsidRDefault="00D722CE" w:rsidP="007D394A">
            <w:pPr>
              <w:rPr>
                <w:rFonts w:ascii="Arial" w:hAnsi="Arial"/>
                <w:b/>
              </w:rPr>
            </w:pPr>
          </w:p>
          <w:p w14:paraId="622AD200" w14:textId="77777777" w:rsidR="00D722CE" w:rsidRPr="00116CE6" w:rsidRDefault="00D722CE" w:rsidP="007D394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D722CE" w:rsidRPr="00116CE6" w14:paraId="68E5B987" w14:textId="77777777" w:rsidTr="007D394A">
              <w:tc>
                <w:tcPr>
                  <w:tcW w:w="6970" w:type="dxa"/>
                </w:tcPr>
                <w:p w14:paraId="1FC74269" w14:textId="77777777" w:rsidR="00D722CE" w:rsidRPr="00116CE6" w:rsidRDefault="00D722CE" w:rsidP="007D394A">
                  <w:pPr>
                    <w:rPr>
                      <w:rFonts w:ascii="Arial" w:hAnsi="Arial"/>
                      <w:sz w:val="20"/>
                      <w:szCs w:val="20"/>
                    </w:rPr>
                  </w:pPr>
                </w:p>
                <w:p w14:paraId="3A4B8C03" w14:textId="77777777" w:rsidR="00D722CE" w:rsidRPr="00116CE6" w:rsidRDefault="00D722CE" w:rsidP="007D394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472F12" w14:textId="77777777" w:rsidR="00D722CE" w:rsidRPr="00116CE6" w:rsidRDefault="00D722CE" w:rsidP="007D394A">
                  <w:pPr>
                    <w:rPr>
                      <w:rFonts w:ascii="Arial" w:hAnsi="Arial"/>
                      <w:sz w:val="20"/>
                      <w:szCs w:val="20"/>
                    </w:rPr>
                  </w:pPr>
                </w:p>
              </w:tc>
            </w:tr>
            <w:tr w:rsidR="00D722CE" w:rsidRPr="00116CE6" w14:paraId="64D10FAB" w14:textId="77777777" w:rsidTr="007D394A">
              <w:tc>
                <w:tcPr>
                  <w:tcW w:w="6970" w:type="dxa"/>
                </w:tcPr>
                <w:p w14:paraId="500B50C6" w14:textId="77777777" w:rsidR="00D722CE" w:rsidRPr="00116CE6" w:rsidRDefault="00D722CE" w:rsidP="007D394A">
                  <w:pPr>
                    <w:rPr>
                      <w:rFonts w:ascii="Arial" w:hAnsi="Arial"/>
                      <w:sz w:val="20"/>
                      <w:szCs w:val="20"/>
                    </w:rPr>
                  </w:pPr>
                </w:p>
                <w:p w14:paraId="5D26A8E0" w14:textId="77777777" w:rsidR="00D722CE" w:rsidRPr="00116CE6" w:rsidRDefault="00D722CE" w:rsidP="007D394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F297743" w14:textId="77777777" w:rsidR="00D722CE" w:rsidRPr="00116CE6" w:rsidRDefault="00D722CE" w:rsidP="007D394A">
                  <w:pPr>
                    <w:rPr>
                      <w:rFonts w:ascii="Arial" w:hAnsi="Arial"/>
                      <w:sz w:val="20"/>
                      <w:szCs w:val="20"/>
                    </w:rPr>
                  </w:pPr>
                </w:p>
              </w:tc>
            </w:tr>
            <w:tr w:rsidR="00D722CE" w:rsidRPr="00116CE6" w14:paraId="034C1FE0" w14:textId="77777777" w:rsidTr="007D394A">
              <w:tc>
                <w:tcPr>
                  <w:tcW w:w="6970" w:type="dxa"/>
                </w:tcPr>
                <w:p w14:paraId="4352F427" w14:textId="77777777" w:rsidR="00D722CE" w:rsidRPr="00116CE6" w:rsidRDefault="00D722CE" w:rsidP="007D394A">
                  <w:pPr>
                    <w:rPr>
                      <w:rFonts w:ascii="Arial" w:hAnsi="Arial"/>
                      <w:sz w:val="20"/>
                      <w:szCs w:val="20"/>
                    </w:rPr>
                  </w:pPr>
                </w:p>
                <w:p w14:paraId="606D5E9F" w14:textId="77777777" w:rsidR="00D722CE" w:rsidRPr="00116CE6" w:rsidRDefault="00D722CE" w:rsidP="007D394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ED3ED86" w14:textId="77777777" w:rsidR="00D722CE" w:rsidRPr="00116CE6" w:rsidRDefault="00D722CE" w:rsidP="007D394A">
                  <w:pPr>
                    <w:rPr>
                      <w:rFonts w:ascii="Arial" w:hAnsi="Arial"/>
                      <w:sz w:val="20"/>
                      <w:szCs w:val="20"/>
                    </w:rPr>
                  </w:pPr>
                </w:p>
              </w:tc>
            </w:tr>
            <w:tr w:rsidR="00D722CE" w:rsidRPr="00116CE6" w14:paraId="49EE843C" w14:textId="77777777" w:rsidTr="007D394A">
              <w:tc>
                <w:tcPr>
                  <w:tcW w:w="6970" w:type="dxa"/>
                </w:tcPr>
                <w:p w14:paraId="1A6F80F6" w14:textId="77777777" w:rsidR="00D722CE" w:rsidRDefault="00D722CE" w:rsidP="007D394A">
                  <w:pPr>
                    <w:rPr>
                      <w:rFonts w:ascii="Arial" w:hAnsi="Arial"/>
                      <w:sz w:val="20"/>
                      <w:szCs w:val="20"/>
                    </w:rPr>
                  </w:pPr>
                </w:p>
                <w:p w14:paraId="42B313C5" w14:textId="77777777" w:rsidR="00D722CE" w:rsidRPr="00022345" w:rsidRDefault="00D722CE" w:rsidP="007D394A">
                  <w:pPr>
                    <w:rPr>
                      <w:rFonts w:ascii="Arial" w:hAnsi="Arial"/>
                      <w:b/>
                      <w:sz w:val="20"/>
                      <w:szCs w:val="20"/>
                    </w:rPr>
                  </w:pPr>
                  <w:r w:rsidRPr="00022345">
                    <w:rPr>
                      <w:rFonts w:ascii="Arial" w:hAnsi="Arial"/>
                      <w:b/>
                      <w:sz w:val="20"/>
                      <w:szCs w:val="20"/>
                    </w:rPr>
                    <w:t>Final Mark</w:t>
                  </w:r>
                </w:p>
                <w:p w14:paraId="6B0A3219" w14:textId="77777777" w:rsidR="00D722CE" w:rsidRPr="00116CE6" w:rsidRDefault="00D722CE" w:rsidP="007D394A">
                  <w:pPr>
                    <w:rPr>
                      <w:rFonts w:ascii="Arial" w:hAnsi="Arial"/>
                      <w:sz w:val="20"/>
                      <w:szCs w:val="20"/>
                    </w:rPr>
                  </w:pPr>
                </w:p>
              </w:tc>
              <w:tc>
                <w:tcPr>
                  <w:tcW w:w="1660" w:type="dxa"/>
                </w:tcPr>
                <w:p w14:paraId="0130D881" w14:textId="77777777" w:rsidR="00D722CE" w:rsidRPr="00116CE6" w:rsidRDefault="00D722CE" w:rsidP="007D394A">
                  <w:pPr>
                    <w:rPr>
                      <w:rFonts w:ascii="Arial" w:hAnsi="Arial"/>
                      <w:sz w:val="20"/>
                      <w:szCs w:val="20"/>
                    </w:rPr>
                  </w:pPr>
                </w:p>
              </w:tc>
            </w:tr>
          </w:tbl>
          <w:p w14:paraId="5E53D48D" w14:textId="77777777" w:rsidR="00D722CE" w:rsidRDefault="00D722CE" w:rsidP="007D394A">
            <w:pPr>
              <w:pStyle w:val="NormalWeb"/>
              <w:spacing w:before="0" w:beforeAutospacing="0" w:after="0" w:afterAutospacing="0"/>
              <w:ind w:left="142" w:right="34"/>
              <w:rPr>
                <w:rFonts w:ascii="Arial" w:hAnsi="Arial" w:cs="Arial"/>
                <w:b/>
                <w:sz w:val="22"/>
                <w:szCs w:val="22"/>
              </w:rPr>
            </w:pPr>
          </w:p>
          <w:p w14:paraId="510E19F6" w14:textId="77777777" w:rsidR="00D722CE" w:rsidRPr="00230F35" w:rsidRDefault="00D722CE" w:rsidP="007D394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506CC0F" w14:textId="77777777" w:rsidR="00D722CE" w:rsidRDefault="00D722CE" w:rsidP="007D394A">
            <w:pPr>
              <w:pStyle w:val="NormalWeb"/>
              <w:spacing w:before="0" w:beforeAutospacing="0" w:after="0" w:afterAutospacing="0"/>
              <w:rPr>
                <w:rFonts w:ascii="Arial" w:hAnsi="Arial" w:cs="Arial"/>
                <w:b/>
                <w:sz w:val="22"/>
                <w:szCs w:val="22"/>
              </w:rPr>
            </w:pPr>
          </w:p>
          <w:p w14:paraId="10CF1F30" w14:textId="77777777" w:rsidR="00D722CE" w:rsidRDefault="00D722CE" w:rsidP="007D394A">
            <w:pPr>
              <w:pStyle w:val="NormalWeb"/>
              <w:spacing w:before="0" w:beforeAutospacing="0" w:after="0" w:afterAutospacing="0"/>
              <w:rPr>
                <w:rFonts w:ascii="Arial" w:hAnsi="Arial" w:cs="Arial"/>
                <w:b/>
                <w:sz w:val="22"/>
                <w:szCs w:val="22"/>
              </w:rPr>
            </w:pPr>
          </w:p>
          <w:p w14:paraId="74EC2FB4" w14:textId="77777777" w:rsidR="00D722CE" w:rsidRDefault="00D722CE" w:rsidP="007D394A">
            <w:pPr>
              <w:pStyle w:val="NormalWeb"/>
              <w:spacing w:before="0" w:beforeAutospacing="0" w:after="0" w:afterAutospacing="0"/>
              <w:rPr>
                <w:rFonts w:ascii="Arial" w:hAnsi="Arial" w:cs="Arial"/>
                <w:b/>
                <w:sz w:val="22"/>
                <w:szCs w:val="22"/>
              </w:rPr>
            </w:pPr>
          </w:p>
          <w:p w14:paraId="23EF003B" w14:textId="77777777" w:rsidR="00D722CE" w:rsidRDefault="00D722CE" w:rsidP="007D394A">
            <w:pPr>
              <w:pStyle w:val="NormalWeb"/>
              <w:spacing w:before="0" w:beforeAutospacing="0" w:after="0" w:afterAutospacing="0"/>
              <w:rPr>
                <w:rFonts w:ascii="Arial" w:hAnsi="Arial" w:cs="Arial"/>
                <w:b/>
                <w:sz w:val="22"/>
                <w:szCs w:val="22"/>
              </w:rPr>
            </w:pPr>
          </w:p>
          <w:p w14:paraId="22E8AA62" w14:textId="77777777" w:rsidR="00D722CE" w:rsidRDefault="00D722CE" w:rsidP="007D394A">
            <w:pPr>
              <w:pStyle w:val="NormalWeb"/>
              <w:spacing w:before="0" w:beforeAutospacing="0" w:after="0" w:afterAutospacing="0"/>
              <w:rPr>
                <w:rFonts w:ascii="Arial" w:hAnsi="Arial" w:cs="Arial"/>
                <w:b/>
                <w:sz w:val="22"/>
                <w:szCs w:val="22"/>
              </w:rPr>
            </w:pPr>
          </w:p>
          <w:p w14:paraId="52DD2800" w14:textId="77777777" w:rsidR="00D722CE" w:rsidRPr="00230F35" w:rsidRDefault="00D722CE" w:rsidP="007D394A">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arker 1:</w:t>
            </w:r>
          </w:p>
          <w:p w14:paraId="09545CE6" w14:textId="77777777" w:rsidR="00D722CE" w:rsidRDefault="00D722CE" w:rsidP="007D394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47C8F51" w14:textId="77777777" w:rsidR="00D722CE" w:rsidRPr="00001C3B" w:rsidRDefault="00D722CE" w:rsidP="007D394A">
            <w:pPr>
              <w:pStyle w:val="NormalWeb"/>
              <w:rPr>
                <w:rFonts w:ascii="Arial" w:hAnsi="Arial" w:cs="Arial"/>
                <w:sz w:val="22"/>
                <w:szCs w:val="22"/>
              </w:rPr>
            </w:pPr>
          </w:p>
        </w:tc>
      </w:tr>
      <w:tr w:rsidR="00D722CE" w:rsidRPr="00230F35" w14:paraId="65192D38" w14:textId="77777777" w:rsidTr="007D394A">
        <w:trPr>
          <w:trHeight w:val="492"/>
        </w:trPr>
        <w:tc>
          <w:tcPr>
            <w:tcW w:w="6768" w:type="dxa"/>
            <w:gridSpan w:val="3"/>
          </w:tcPr>
          <w:p w14:paraId="4FCB6F6B" w14:textId="77777777" w:rsidR="00D722CE" w:rsidRPr="00230F35" w:rsidRDefault="00D722CE" w:rsidP="007D394A">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A7E29DF" w14:textId="77777777" w:rsidR="00D722CE" w:rsidRPr="00230F35" w:rsidRDefault="00D722CE" w:rsidP="007D394A">
            <w:pPr>
              <w:pStyle w:val="NormalWeb"/>
              <w:spacing w:after="0"/>
              <w:ind w:left="142" w:right="34"/>
              <w:rPr>
                <w:rFonts w:ascii="Arial" w:hAnsi="Arial" w:cs="Arial"/>
                <w:sz w:val="22"/>
                <w:szCs w:val="22"/>
              </w:rPr>
            </w:pPr>
            <w:r w:rsidRPr="00230F35">
              <w:rPr>
                <w:rFonts w:ascii="Arial" w:hAnsi="Arial" w:cs="Arial"/>
                <w:sz w:val="22"/>
                <w:szCs w:val="22"/>
              </w:rPr>
              <w:t>Date:</w:t>
            </w:r>
          </w:p>
        </w:tc>
      </w:tr>
      <w:tr w:rsidR="00D722CE" w:rsidRPr="002F467C" w14:paraId="3628FD33" w14:textId="77777777" w:rsidTr="007D394A">
        <w:tc>
          <w:tcPr>
            <w:tcW w:w="8856" w:type="dxa"/>
            <w:gridSpan w:val="5"/>
          </w:tcPr>
          <w:p w14:paraId="11E8BC0D" w14:textId="77777777" w:rsidR="00D722CE" w:rsidRPr="00230F35" w:rsidRDefault="00D722CE" w:rsidP="007D394A">
            <w:pPr>
              <w:pStyle w:val="NormalWeb"/>
              <w:spacing w:before="0" w:beforeAutospacing="0" w:after="0" w:afterAutospacing="0"/>
              <w:ind w:right="-334"/>
              <w:rPr>
                <w:rFonts w:ascii="Arial" w:hAnsi="Arial" w:cs="Arial"/>
                <w:bCs/>
                <w:i/>
                <w:sz w:val="22"/>
                <w:szCs w:val="22"/>
              </w:rPr>
            </w:pPr>
          </w:p>
          <w:p w14:paraId="2882F81F" w14:textId="77777777" w:rsidR="00D722CE" w:rsidRPr="00230F35" w:rsidRDefault="00D722CE" w:rsidP="007D394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37575FC" w14:textId="77777777" w:rsidR="00D722CE" w:rsidRPr="00230F35" w:rsidRDefault="00D722CE" w:rsidP="007D394A">
            <w:pPr>
              <w:pStyle w:val="NormalWeb"/>
              <w:spacing w:before="0" w:beforeAutospacing="0" w:after="0" w:afterAutospacing="0"/>
              <w:ind w:right="-334"/>
              <w:rPr>
                <w:rFonts w:ascii="Arial" w:hAnsi="Arial" w:cs="Arial"/>
                <w:b/>
                <w:bCs/>
                <w:sz w:val="22"/>
                <w:szCs w:val="22"/>
              </w:rPr>
            </w:pPr>
          </w:p>
          <w:p w14:paraId="0C3C0B48"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6898E9D"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1631057D"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1AC47FA"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9522B2B"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604EF972"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50C468C0"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19F35B87"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280B125A"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4BCBC509" w14:textId="77777777" w:rsidR="00D722CE" w:rsidRDefault="00D722CE" w:rsidP="007D394A">
            <w:pPr>
              <w:pStyle w:val="NormalWeb"/>
              <w:spacing w:before="0" w:beforeAutospacing="0" w:after="0" w:afterAutospacing="0"/>
              <w:ind w:right="-334"/>
              <w:rPr>
                <w:rFonts w:ascii="Arial" w:hAnsi="Arial" w:cs="Arial"/>
                <w:bCs/>
                <w:sz w:val="22"/>
                <w:szCs w:val="22"/>
              </w:rPr>
            </w:pPr>
          </w:p>
          <w:p w14:paraId="6352C8E7"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9F22F90"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5B17ABDC"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tc>
      </w:tr>
      <w:tr w:rsidR="00D722CE" w:rsidRPr="002F467C" w14:paraId="19474912" w14:textId="77777777" w:rsidTr="007D394A">
        <w:trPr>
          <w:trHeight w:val="720"/>
        </w:trPr>
        <w:tc>
          <w:tcPr>
            <w:tcW w:w="5211" w:type="dxa"/>
            <w:gridSpan w:val="2"/>
          </w:tcPr>
          <w:p w14:paraId="5D86650B"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7DF36D5"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722CE" w:rsidRPr="002F467C" w14:paraId="59307D10" w14:textId="77777777" w:rsidTr="007D394A">
        <w:trPr>
          <w:trHeight w:val="720"/>
        </w:trPr>
        <w:tc>
          <w:tcPr>
            <w:tcW w:w="8856" w:type="dxa"/>
            <w:gridSpan w:val="5"/>
          </w:tcPr>
          <w:p w14:paraId="5ECAFA26" w14:textId="77777777" w:rsidR="00D722CE" w:rsidRPr="00B34964" w:rsidRDefault="00D722CE" w:rsidP="007D394A">
            <w:pPr>
              <w:rPr>
                <w:rFonts w:ascii="Arial" w:hAnsi="Arial" w:cs="Arial"/>
                <w:b/>
                <w:sz w:val="22"/>
                <w:szCs w:val="22"/>
              </w:rPr>
            </w:pPr>
            <w:r w:rsidRPr="00B34964">
              <w:rPr>
                <w:rFonts w:ascii="Arial" w:hAnsi="Arial" w:cs="Arial"/>
                <w:b/>
                <w:sz w:val="22"/>
                <w:szCs w:val="22"/>
              </w:rPr>
              <w:t>External Examiner’s comments (if relevant)</w:t>
            </w:r>
          </w:p>
          <w:p w14:paraId="2BEB7001"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023494EF"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36423BA3"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25F6B981"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053759D1"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377D5322"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5DEB1FA2"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2029735A"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13B13F1" w14:textId="77777777" w:rsidR="00D722CE" w:rsidRDefault="00D722CE" w:rsidP="007D394A">
            <w:pPr>
              <w:pStyle w:val="NormalWeb"/>
              <w:spacing w:before="0" w:beforeAutospacing="0" w:after="0" w:afterAutospacing="0"/>
              <w:ind w:right="-334"/>
              <w:rPr>
                <w:rFonts w:ascii="Arial" w:hAnsi="Arial" w:cs="Arial"/>
                <w:bCs/>
                <w:sz w:val="22"/>
                <w:szCs w:val="22"/>
              </w:rPr>
            </w:pPr>
          </w:p>
          <w:p w14:paraId="0278F300"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50EF095"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tc>
      </w:tr>
      <w:tr w:rsidR="00D722CE" w:rsidRPr="002F467C" w14:paraId="765E3BEA" w14:textId="77777777" w:rsidTr="007D394A">
        <w:trPr>
          <w:trHeight w:val="720"/>
        </w:trPr>
        <w:tc>
          <w:tcPr>
            <w:tcW w:w="5211" w:type="dxa"/>
            <w:gridSpan w:val="2"/>
          </w:tcPr>
          <w:p w14:paraId="343AC62D" w14:textId="77777777" w:rsidR="00D722CE" w:rsidRPr="00230F35" w:rsidRDefault="00D722CE" w:rsidP="007D394A">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DD16D63" w14:textId="77777777" w:rsidR="00D722CE" w:rsidRPr="00230F35" w:rsidRDefault="00D722CE" w:rsidP="007D394A">
            <w:pPr>
              <w:rPr>
                <w:rFonts w:ascii="Arial" w:hAnsi="Arial" w:cs="Arial"/>
                <w:sz w:val="22"/>
                <w:szCs w:val="22"/>
              </w:rPr>
            </w:pPr>
            <w:r w:rsidRPr="00230F35">
              <w:rPr>
                <w:rFonts w:ascii="Arial" w:hAnsi="Arial" w:cs="Arial"/>
                <w:sz w:val="22"/>
                <w:szCs w:val="22"/>
              </w:rPr>
              <w:t>Date:</w:t>
            </w:r>
          </w:p>
        </w:tc>
      </w:tr>
    </w:tbl>
    <w:p w14:paraId="182D6EC1" w14:textId="77777777" w:rsidR="00D722CE" w:rsidRDefault="00D722CE" w:rsidP="00D722CE">
      <w:pPr>
        <w:pStyle w:val="NormalWeb"/>
        <w:spacing w:before="0" w:beforeAutospacing="0" w:after="0" w:afterAutospacing="0"/>
        <w:ind w:right="-334"/>
        <w:rPr>
          <w:rFonts w:ascii="Trebuchet MS" w:hAnsi="Trebuchet MS" w:cs="Tahoma"/>
          <w:bCs/>
          <w:sz w:val="24"/>
          <w:szCs w:val="24"/>
        </w:rPr>
      </w:pPr>
    </w:p>
    <w:p w14:paraId="21FEA793" w14:textId="77777777" w:rsidR="00D722CE" w:rsidRDefault="00D722CE" w:rsidP="00D722CE">
      <w:pPr>
        <w:pStyle w:val="NormalWeb"/>
        <w:spacing w:before="0" w:beforeAutospacing="0" w:after="0" w:afterAutospacing="0"/>
        <w:ind w:right="-334"/>
        <w:rPr>
          <w:rFonts w:ascii="Trebuchet MS" w:hAnsi="Trebuchet MS" w:cs="Tahoma"/>
          <w:bCs/>
          <w:sz w:val="24"/>
          <w:szCs w:val="24"/>
        </w:rPr>
      </w:pPr>
    </w:p>
    <w:p w14:paraId="416F747D" w14:textId="77777777" w:rsidR="00D722CE" w:rsidRDefault="00D722CE" w:rsidP="00D722CE">
      <w:pPr>
        <w:pStyle w:val="NormalWeb"/>
        <w:spacing w:before="0" w:beforeAutospacing="0" w:after="0" w:afterAutospacing="0"/>
        <w:ind w:right="-334"/>
        <w:rPr>
          <w:rFonts w:ascii="Trebuchet MS" w:hAnsi="Trebuchet MS" w:cs="Tahoma"/>
          <w:bCs/>
          <w:sz w:val="24"/>
          <w:szCs w:val="24"/>
        </w:rPr>
        <w:sectPr w:rsidR="00D722CE" w:rsidSect="007D394A">
          <w:footerReference w:type="default" r:id="rId9"/>
          <w:pgSz w:w="12240" w:h="15840"/>
          <w:pgMar w:top="567" w:right="1797" w:bottom="567" w:left="1797" w:header="567" w:footer="720" w:gutter="0"/>
          <w:pgNumType w:start="1"/>
          <w:cols w:space="720"/>
        </w:sectPr>
      </w:pPr>
    </w:p>
    <w:bookmarkEnd w:id="0"/>
    <w:p w14:paraId="6BD4C130" w14:textId="4DC7867D" w:rsidR="00D722CE" w:rsidRPr="0057238F" w:rsidRDefault="00F74C47" w:rsidP="00D722CE">
      <w:pPr>
        <w:pStyle w:val="NormalWeb"/>
        <w:spacing w:before="0" w:beforeAutospacing="0" w:after="0" w:afterAutospacing="0"/>
        <w:ind w:right="-334"/>
        <w:rPr>
          <w:rFonts w:ascii="Cambria-Italic" w:hAnsi="Cambria-Italic" w:hint="eastAsia"/>
          <w:i/>
          <w:iCs/>
          <w:sz w:val="24"/>
          <w:szCs w:val="24"/>
        </w:rPr>
      </w:pPr>
      <w:r w:rsidRPr="007661F3">
        <w:rPr>
          <w:rFonts w:ascii="Times New Roman" w:hAnsi="Times New Roman"/>
          <w:sz w:val="24"/>
        </w:rPr>
        <w:lastRenderedPageBreak/>
        <w:t>T</w:t>
      </w:r>
      <w:r w:rsidR="00F4294B" w:rsidRPr="007661F3">
        <w:rPr>
          <w:rFonts w:ascii="Times New Roman" w:hAnsi="Times New Roman"/>
          <w:sz w:val="24"/>
        </w:rPr>
        <w:t>itle</w:t>
      </w:r>
      <w:r w:rsidR="00466D96">
        <w:rPr>
          <w:rFonts w:ascii="Times New Roman" w:hAnsi="Times New Roman"/>
          <w:b/>
          <w:sz w:val="24"/>
        </w:rPr>
        <w:t>: A Critical Review of Two Papers Concerning Chankillo, Peru</w:t>
      </w:r>
    </w:p>
    <w:p w14:paraId="5C045036" w14:textId="51AF00E6" w:rsidR="00D722CE" w:rsidRPr="00F74C47" w:rsidRDefault="00D722CE" w:rsidP="00D722CE">
      <w:pPr>
        <w:pStyle w:val="NormalWeb"/>
        <w:spacing w:before="0" w:beforeAutospacing="0" w:after="0" w:afterAutospacing="0"/>
        <w:ind w:right="-334"/>
        <w:rPr>
          <w:rFonts w:ascii="Times New Roman" w:hAnsi="Times New Roman"/>
          <w:b/>
          <w:bCs/>
          <w:sz w:val="24"/>
          <w:szCs w:val="24"/>
        </w:rPr>
      </w:pPr>
      <w:r>
        <w:rPr>
          <w:rFonts w:ascii="Times New Roman" w:hAnsi="Times New Roman"/>
          <w:bCs/>
          <w:sz w:val="24"/>
          <w:szCs w:val="24"/>
        </w:rPr>
        <w:t xml:space="preserve">Word count: </w:t>
      </w:r>
      <w:r w:rsidR="00C619C9" w:rsidRPr="006B6734">
        <w:rPr>
          <w:rFonts w:ascii="Times New Roman" w:hAnsi="Times New Roman"/>
          <w:b/>
          <w:bCs/>
          <w:sz w:val="24"/>
          <w:szCs w:val="24"/>
        </w:rPr>
        <w:t>15</w:t>
      </w:r>
      <w:r w:rsidR="006B6F6F" w:rsidRPr="006B6734">
        <w:rPr>
          <w:rFonts w:ascii="Times New Roman" w:hAnsi="Times New Roman"/>
          <w:b/>
          <w:bCs/>
          <w:sz w:val="24"/>
          <w:szCs w:val="24"/>
        </w:rPr>
        <w:t>75</w:t>
      </w:r>
    </w:p>
    <w:p w14:paraId="2C861889" w14:textId="77777777" w:rsidR="00D722CE" w:rsidRDefault="00D722CE" w:rsidP="00D722CE">
      <w:pPr>
        <w:pStyle w:val="NormalWeb"/>
        <w:spacing w:before="0" w:beforeAutospacing="0" w:after="0" w:afterAutospacing="0"/>
        <w:ind w:right="-334"/>
        <w:rPr>
          <w:rFonts w:ascii="Times New Roman" w:hAnsi="Times New Roman"/>
          <w:bCs/>
          <w:sz w:val="24"/>
          <w:szCs w:val="24"/>
        </w:rPr>
      </w:pPr>
    </w:p>
    <w:p w14:paraId="1D62EF2B" w14:textId="5216F6FE" w:rsidR="0066788F" w:rsidRDefault="0066788F" w:rsidP="00F71829">
      <w:pPr>
        <w:pStyle w:val="NormalWeb"/>
        <w:spacing w:before="0" w:beforeAutospacing="0" w:after="0" w:afterAutospacing="0"/>
        <w:ind w:right="-334"/>
        <w:jc w:val="both"/>
        <w:rPr>
          <w:rFonts w:ascii="Times New Roman" w:hAnsi="Times New Roman"/>
          <w:b/>
          <w:bCs/>
          <w:sz w:val="24"/>
          <w:szCs w:val="24"/>
        </w:rPr>
      </w:pPr>
      <w:r w:rsidRPr="008E613B">
        <w:rPr>
          <w:rFonts w:ascii="Times New Roman" w:hAnsi="Times New Roman"/>
          <w:b/>
          <w:bCs/>
          <w:sz w:val="24"/>
          <w:szCs w:val="24"/>
        </w:rPr>
        <w:t>Introduction</w:t>
      </w:r>
    </w:p>
    <w:p w14:paraId="47F15F02" w14:textId="1244EF0B" w:rsidR="009F6E11" w:rsidRDefault="00E65D4B" w:rsidP="00F71829">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sz w:val="24"/>
          <w:szCs w:val="24"/>
        </w:rPr>
        <w:t>This essay will critically review the debate between the archaeoastronomical interpretations of Chankillo, Peru offered in the following papers:</w:t>
      </w:r>
      <w:r w:rsidR="00605B57">
        <w:rPr>
          <w:rFonts w:ascii="Times New Roman" w:hAnsi="Times New Roman"/>
          <w:bCs/>
          <w:sz w:val="24"/>
          <w:szCs w:val="24"/>
        </w:rPr>
        <w:t xml:space="preserve"> </w:t>
      </w:r>
      <w:r w:rsidR="00605B57" w:rsidRPr="00605B57">
        <w:rPr>
          <w:rFonts w:ascii="Times New Roman" w:hAnsi="Times New Roman"/>
          <w:bCs/>
          <w:sz w:val="24"/>
          <w:szCs w:val="24"/>
        </w:rPr>
        <w:t>‘The Social and Ritual Context of Horizon Astronomical Observations at Chankillo’</w:t>
      </w:r>
      <w:r w:rsidR="00605B57">
        <w:rPr>
          <w:rFonts w:ascii="Times New Roman" w:hAnsi="Times New Roman"/>
          <w:bCs/>
          <w:sz w:val="24"/>
          <w:szCs w:val="24"/>
        </w:rPr>
        <w:t xml:space="preserve"> by Iván Ghezzi and Clive L. N. Ruggles, and </w:t>
      </w:r>
      <w:r w:rsidR="00605B57" w:rsidRPr="00605B57">
        <w:rPr>
          <w:rFonts w:ascii="Times New Roman" w:hAnsi="Times New Roman"/>
          <w:bCs/>
          <w:sz w:val="24"/>
          <w:szCs w:val="24"/>
        </w:rPr>
        <w:t>‘Astronomy and Ceremony at Chankillo: an Andean Perspective’</w:t>
      </w:r>
      <w:r w:rsidR="00605B57">
        <w:rPr>
          <w:rFonts w:ascii="Times New Roman" w:hAnsi="Times New Roman"/>
          <w:bCs/>
          <w:sz w:val="24"/>
          <w:szCs w:val="24"/>
        </w:rPr>
        <w:t xml:space="preserve"> by J. McKim Malville.</w:t>
      </w:r>
      <w:r w:rsidR="0035613A">
        <w:rPr>
          <w:rStyle w:val="FootnoteReference"/>
          <w:rFonts w:ascii="Times New Roman" w:hAnsi="Times New Roman"/>
          <w:bCs/>
          <w:sz w:val="24"/>
          <w:szCs w:val="24"/>
        </w:rPr>
        <w:footnoteReference w:id="1"/>
      </w:r>
      <w:r w:rsidR="0035613A">
        <w:rPr>
          <w:rFonts w:ascii="Times New Roman" w:hAnsi="Times New Roman"/>
          <w:bCs/>
          <w:sz w:val="24"/>
          <w:szCs w:val="24"/>
        </w:rPr>
        <w:t xml:space="preserve"> Initial versions of each paper were presented at the ninth “Oxford” International Symposium on Archaeoastronomy, </w:t>
      </w:r>
      <w:r w:rsidR="00DB270B">
        <w:rPr>
          <w:rFonts w:ascii="Times New Roman" w:hAnsi="Times New Roman"/>
          <w:bCs/>
          <w:sz w:val="24"/>
          <w:szCs w:val="24"/>
        </w:rPr>
        <w:t>with</w:t>
      </w:r>
      <w:r w:rsidR="0035613A">
        <w:rPr>
          <w:rFonts w:ascii="Times New Roman" w:hAnsi="Times New Roman"/>
          <w:bCs/>
          <w:sz w:val="24"/>
          <w:szCs w:val="24"/>
        </w:rPr>
        <w:t xml:space="preserve"> Malville’s paper directly follow</w:t>
      </w:r>
      <w:r w:rsidR="00DB270B">
        <w:rPr>
          <w:rFonts w:ascii="Times New Roman" w:hAnsi="Times New Roman"/>
          <w:bCs/>
          <w:sz w:val="24"/>
          <w:szCs w:val="24"/>
        </w:rPr>
        <w:t>ing</w:t>
      </w:r>
      <w:r w:rsidR="0035613A">
        <w:rPr>
          <w:rFonts w:ascii="Times New Roman" w:hAnsi="Times New Roman"/>
          <w:bCs/>
          <w:sz w:val="24"/>
          <w:szCs w:val="24"/>
        </w:rPr>
        <w:t xml:space="preserve"> that of Ghezzi and Ruggles in th</w:t>
      </w:r>
      <w:r w:rsidR="008D22ED">
        <w:rPr>
          <w:rFonts w:ascii="Times New Roman" w:hAnsi="Times New Roman"/>
          <w:bCs/>
          <w:sz w:val="24"/>
          <w:szCs w:val="24"/>
        </w:rPr>
        <w:t>at</w:t>
      </w:r>
      <w:r w:rsidR="00B0446C">
        <w:rPr>
          <w:rFonts w:ascii="Times New Roman" w:hAnsi="Times New Roman"/>
          <w:bCs/>
          <w:sz w:val="24"/>
          <w:szCs w:val="24"/>
        </w:rPr>
        <w:t xml:space="preserve"> conference’s </w:t>
      </w:r>
      <w:r w:rsidR="009B6368">
        <w:rPr>
          <w:rFonts w:ascii="Times New Roman" w:hAnsi="Times New Roman"/>
          <w:bCs/>
          <w:sz w:val="24"/>
          <w:szCs w:val="24"/>
        </w:rPr>
        <w:t>edited</w:t>
      </w:r>
      <w:r w:rsidR="00C7003D">
        <w:rPr>
          <w:rFonts w:ascii="Times New Roman" w:hAnsi="Times New Roman"/>
          <w:bCs/>
          <w:sz w:val="24"/>
          <w:szCs w:val="24"/>
        </w:rPr>
        <w:t xml:space="preserve"> </w:t>
      </w:r>
      <w:r w:rsidR="0035613A">
        <w:rPr>
          <w:rFonts w:ascii="Times New Roman" w:hAnsi="Times New Roman"/>
          <w:bCs/>
          <w:sz w:val="24"/>
          <w:szCs w:val="24"/>
        </w:rPr>
        <w:t>volume of papers</w:t>
      </w:r>
      <w:r w:rsidR="00B0446C">
        <w:rPr>
          <w:rFonts w:ascii="Times New Roman" w:hAnsi="Times New Roman"/>
          <w:bCs/>
          <w:sz w:val="24"/>
          <w:szCs w:val="24"/>
        </w:rPr>
        <w:t xml:space="preserve">. </w:t>
      </w:r>
      <w:r w:rsidR="00AD21F8">
        <w:rPr>
          <w:rFonts w:ascii="Times New Roman" w:hAnsi="Times New Roman"/>
          <w:bCs/>
          <w:sz w:val="24"/>
          <w:szCs w:val="24"/>
        </w:rPr>
        <w:t xml:space="preserve">This essay will </w:t>
      </w:r>
      <w:r w:rsidR="00136956">
        <w:rPr>
          <w:rFonts w:ascii="Times New Roman" w:hAnsi="Times New Roman"/>
          <w:bCs/>
          <w:sz w:val="24"/>
          <w:szCs w:val="24"/>
        </w:rPr>
        <w:t xml:space="preserve">first </w:t>
      </w:r>
      <w:r w:rsidR="00AD21F8">
        <w:rPr>
          <w:rFonts w:ascii="Times New Roman" w:hAnsi="Times New Roman"/>
          <w:bCs/>
          <w:sz w:val="24"/>
          <w:szCs w:val="24"/>
        </w:rPr>
        <w:t>introduce Chankillo</w:t>
      </w:r>
      <w:r w:rsidR="008B14EC">
        <w:rPr>
          <w:rFonts w:ascii="Times New Roman" w:hAnsi="Times New Roman"/>
          <w:bCs/>
          <w:sz w:val="24"/>
          <w:szCs w:val="24"/>
        </w:rPr>
        <w:t xml:space="preserve">, recognising both public and academic </w:t>
      </w:r>
      <w:r w:rsidR="00AD21F8">
        <w:rPr>
          <w:rFonts w:ascii="Times New Roman" w:hAnsi="Times New Roman"/>
          <w:bCs/>
          <w:sz w:val="24"/>
          <w:szCs w:val="24"/>
        </w:rPr>
        <w:t xml:space="preserve">engagement with the site, before comparing Ghezzi and Ruggles’s </w:t>
      </w:r>
      <w:r w:rsidR="00A97BBE">
        <w:rPr>
          <w:rFonts w:ascii="Times New Roman" w:hAnsi="Times New Roman"/>
          <w:bCs/>
          <w:sz w:val="24"/>
          <w:szCs w:val="24"/>
        </w:rPr>
        <w:t xml:space="preserve">evidentiary </w:t>
      </w:r>
      <w:r w:rsidR="00AD21F8">
        <w:rPr>
          <w:rFonts w:ascii="Times New Roman" w:hAnsi="Times New Roman"/>
          <w:bCs/>
          <w:sz w:val="24"/>
          <w:szCs w:val="24"/>
        </w:rPr>
        <w:t xml:space="preserve">interpretation against Malville’s. </w:t>
      </w:r>
      <w:r w:rsidR="00F25F3E">
        <w:rPr>
          <w:rFonts w:ascii="Times New Roman" w:hAnsi="Times New Roman"/>
          <w:bCs/>
          <w:sz w:val="24"/>
          <w:szCs w:val="24"/>
        </w:rPr>
        <w:t xml:space="preserve">Taking a thematic approach, </w:t>
      </w:r>
      <w:r w:rsidR="00F25F3E" w:rsidRPr="00093B4B">
        <w:rPr>
          <w:rFonts w:ascii="Times New Roman" w:hAnsi="Times New Roman"/>
          <w:bCs/>
          <w:sz w:val="24"/>
          <w:szCs w:val="24"/>
        </w:rPr>
        <w:t>t</w:t>
      </w:r>
      <w:r w:rsidR="00FC34F1" w:rsidRPr="00093B4B">
        <w:rPr>
          <w:rFonts w:ascii="Times New Roman" w:hAnsi="Times New Roman"/>
          <w:bCs/>
          <w:sz w:val="24"/>
          <w:szCs w:val="24"/>
        </w:rPr>
        <w:t xml:space="preserve">he methodologies employed, </w:t>
      </w:r>
      <w:r w:rsidR="00093B4B" w:rsidRPr="00093B4B">
        <w:rPr>
          <w:rFonts w:ascii="Times New Roman" w:hAnsi="Times New Roman"/>
          <w:bCs/>
          <w:sz w:val="24"/>
          <w:szCs w:val="24"/>
        </w:rPr>
        <w:t xml:space="preserve">evidence </w:t>
      </w:r>
      <w:r w:rsidR="00093B4B">
        <w:rPr>
          <w:rFonts w:ascii="Times New Roman" w:hAnsi="Times New Roman"/>
          <w:bCs/>
          <w:sz w:val="24"/>
          <w:szCs w:val="24"/>
        </w:rPr>
        <w:t xml:space="preserve">offered </w:t>
      </w:r>
      <w:r w:rsidR="00093B4B" w:rsidRPr="00093B4B">
        <w:rPr>
          <w:rFonts w:ascii="Times New Roman" w:hAnsi="Times New Roman"/>
          <w:bCs/>
          <w:sz w:val="24"/>
          <w:szCs w:val="24"/>
        </w:rPr>
        <w:t>of calendrical significance</w:t>
      </w:r>
      <w:r w:rsidR="00FC34F1" w:rsidRPr="00093B4B">
        <w:rPr>
          <w:rFonts w:ascii="Times New Roman" w:hAnsi="Times New Roman"/>
          <w:bCs/>
          <w:sz w:val="24"/>
          <w:szCs w:val="24"/>
        </w:rPr>
        <w:t>, and</w:t>
      </w:r>
      <w:r w:rsidR="00B0446C">
        <w:rPr>
          <w:rFonts w:ascii="Times New Roman" w:hAnsi="Times New Roman"/>
          <w:bCs/>
          <w:sz w:val="24"/>
          <w:szCs w:val="24"/>
        </w:rPr>
        <w:t xml:space="preserve"> </w:t>
      </w:r>
      <w:r w:rsidR="00093B4B" w:rsidRPr="00093B4B">
        <w:rPr>
          <w:rFonts w:ascii="Times New Roman" w:hAnsi="Times New Roman"/>
          <w:bCs/>
          <w:sz w:val="24"/>
          <w:szCs w:val="24"/>
        </w:rPr>
        <w:t xml:space="preserve">conclusions drawn in </w:t>
      </w:r>
      <w:r w:rsidR="00F04294" w:rsidRPr="00093B4B">
        <w:rPr>
          <w:rFonts w:ascii="Times New Roman" w:hAnsi="Times New Roman"/>
          <w:bCs/>
          <w:sz w:val="24"/>
          <w:szCs w:val="24"/>
        </w:rPr>
        <w:t>each paper will be critically reviewed</w:t>
      </w:r>
      <w:r w:rsidR="00FC34F1" w:rsidRPr="00093B4B">
        <w:rPr>
          <w:rFonts w:ascii="Times New Roman" w:hAnsi="Times New Roman"/>
          <w:bCs/>
          <w:sz w:val="24"/>
          <w:szCs w:val="24"/>
        </w:rPr>
        <w:t>.</w:t>
      </w:r>
    </w:p>
    <w:p w14:paraId="2A38B258" w14:textId="77777777" w:rsidR="009F6E11" w:rsidRDefault="009F6E11" w:rsidP="00F71829">
      <w:pPr>
        <w:pStyle w:val="NormalWeb"/>
        <w:spacing w:before="0" w:beforeAutospacing="0" w:after="0" w:afterAutospacing="0"/>
        <w:ind w:right="-334"/>
        <w:jc w:val="both"/>
        <w:rPr>
          <w:rFonts w:ascii="Times New Roman" w:hAnsi="Times New Roman"/>
          <w:bCs/>
          <w:sz w:val="24"/>
          <w:szCs w:val="24"/>
        </w:rPr>
      </w:pPr>
    </w:p>
    <w:p w14:paraId="53674929" w14:textId="6BC44A0A" w:rsidR="00AD21F8" w:rsidRDefault="00C973AC" w:rsidP="00F71829">
      <w:pPr>
        <w:pStyle w:val="NormalWeb"/>
        <w:spacing w:before="0" w:beforeAutospacing="0" w:after="0" w:afterAutospacing="0"/>
        <w:ind w:right="-334"/>
        <w:jc w:val="both"/>
        <w:rPr>
          <w:rFonts w:ascii="Times New Roman" w:hAnsi="Times New Roman"/>
          <w:b/>
          <w:bCs/>
          <w:sz w:val="24"/>
          <w:szCs w:val="24"/>
        </w:rPr>
      </w:pPr>
      <w:r w:rsidRPr="008E613B">
        <w:rPr>
          <w:rFonts w:ascii="Times New Roman" w:hAnsi="Times New Roman"/>
          <w:b/>
          <w:bCs/>
          <w:sz w:val="24"/>
          <w:szCs w:val="24"/>
        </w:rPr>
        <w:t>Site Engagement</w:t>
      </w:r>
    </w:p>
    <w:p w14:paraId="28DEC856" w14:textId="3B17407E" w:rsidR="00C57FF3" w:rsidRPr="00F91FE3" w:rsidRDefault="009F6E11" w:rsidP="00C57FF3">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sz w:val="24"/>
          <w:szCs w:val="24"/>
        </w:rPr>
        <w:t xml:space="preserve">Chankillo, </w:t>
      </w:r>
      <w:r w:rsidR="009B6368">
        <w:rPr>
          <w:rFonts w:ascii="Times New Roman" w:hAnsi="Times New Roman"/>
          <w:bCs/>
          <w:sz w:val="24"/>
          <w:szCs w:val="24"/>
        </w:rPr>
        <w:t>whose enigmatic Thirteen Towers form only part of the ancient complex</w:t>
      </w:r>
      <w:r w:rsidR="00475949">
        <w:rPr>
          <w:rFonts w:ascii="Times New Roman" w:hAnsi="Times New Roman"/>
          <w:bCs/>
          <w:sz w:val="24"/>
          <w:szCs w:val="24"/>
        </w:rPr>
        <w:t xml:space="preserve"> </w:t>
      </w:r>
      <w:r w:rsidR="009B6368">
        <w:rPr>
          <w:rFonts w:ascii="Times New Roman" w:hAnsi="Times New Roman"/>
          <w:bCs/>
          <w:sz w:val="24"/>
          <w:szCs w:val="24"/>
        </w:rPr>
        <w:t xml:space="preserve">in Peru’s </w:t>
      </w:r>
      <w:r w:rsidR="00475949">
        <w:rPr>
          <w:rFonts w:ascii="Times New Roman" w:hAnsi="Times New Roman"/>
          <w:bCs/>
          <w:sz w:val="24"/>
          <w:szCs w:val="24"/>
        </w:rPr>
        <w:t>Casma Valley</w:t>
      </w:r>
      <w:r w:rsidR="0054241C">
        <w:rPr>
          <w:rFonts w:ascii="Times New Roman" w:hAnsi="Times New Roman"/>
          <w:bCs/>
          <w:sz w:val="24"/>
          <w:szCs w:val="24"/>
        </w:rPr>
        <w:t xml:space="preserve">, </w:t>
      </w:r>
      <w:r>
        <w:rPr>
          <w:rFonts w:ascii="Times New Roman" w:hAnsi="Times New Roman"/>
          <w:bCs/>
          <w:sz w:val="24"/>
          <w:szCs w:val="24"/>
        </w:rPr>
        <w:t xml:space="preserve">sparked international interest in 2007 when </w:t>
      </w:r>
      <w:r w:rsidR="00DB6E05">
        <w:rPr>
          <w:rFonts w:ascii="Times New Roman" w:hAnsi="Times New Roman"/>
          <w:bCs/>
          <w:sz w:val="24"/>
          <w:szCs w:val="24"/>
        </w:rPr>
        <w:t>those towers were collectively</w:t>
      </w:r>
      <w:r>
        <w:rPr>
          <w:rFonts w:ascii="Times New Roman" w:hAnsi="Times New Roman"/>
          <w:bCs/>
          <w:sz w:val="24"/>
          <w:szCs w:val="24"/>
        </w:rPr>
        <w:t xml:space="preserve"> heralded as</w:t>
      </w:r>
      <w:r w:rsidR="003B5AC6">
        <w:rPr>
          <w:rFonts w:ascii="Times New Roman" w:hAnsi="Times New Roman"/>
          <w:bCs/>
          <w:sz w:val="24"/>
          <w:szCs w:val="24"/>
        </w:rPr>
        <w:t xml:space="preserve"> the</w:t>
      </w:r>
      <w:r>
        <w:rPr>
          <w:rFonts w:ascii="Times New Roman" w:hAnsi="Times New Roman"/>
          <w:bCs/>
          <w:sz w:val="24"/>
          <w:szCs w:val="24"/>
        </w:rPr>
        <w:t xml:space="preserve"> ‘oldest solar observatory in the Americas’ by the BBC.</w:t>
      </w:r>
      <w:r>
        <w:rPr>
          <w:rStyle w:val="FootnoteReference"/>
          <w:rFonts w:ascii="Times New Roman" w:hAnsi="Times New Roman"/>
          <w:bCs/>
          <w:sz w:val="24"/>
          <w:szCs w:val="24"/>
        </w:rPr>
        <w:footnoteReference w:id="2"/>
      </w:r>
      <w:r>
        <w:rPr>
          <w:rFonts w:ascii="Times New Roman" w:hAnsi="Times New Roman"/>
          <w:bCs/>
          <w:sz w:val="24"/>
          <w:szCs w:val="24"/>
        </w:rPr>
        <w:t xml:space="preserve"> Th</w:t>
      </w:r>
      <w:r w:rsidR="007D394A">
        <w:rPr>
          <w:rFonts w:ascii="Times New Roman" w:hAnsi="Times New Roman"/>
          <w:bCs/>
          <w:sz w:val="24"/>
          <w:szCs w:val="24"/>
        </w:rPr>
        <w:t>at</w:t>
      </w:r>
      <w:r>
        <w:rPr>
          <w:rFonts w:ascii="Times New Roman" w:hAnsi="Times New Roman"/>
          <w:bCs/>
          <w:sz w:val="24"/>
          <w:szCs w:val="24"/>
        </w:rPr>
        <w:t xml:space="preserve"> report, amongst others, directly followed</w:t>
      </w:r>
      <w:r w:rsidR="00B47E65">
        <w:rPr>
          <w:rFonts w:ascii="Times New Roman" w:hAnsi="Times New Roman"/>
          <w:bCs/>
          <w:sz w:val="24"/>
          <w:szCs w:val="24"/>
        </w:rPr>
        <w:t xml:space="preserve"> the 2007 publication of Ghezzi and</w:t>
      </w:r>
      <w:r w:rsidR="00FE047B">
        <w:rPr>
          <w:rFonts w:ascii="Times New Roman" w:hAnsi="Times New Roman"/>
          <w:bCs/>
          <w:sz w:val="24"/>
          <w:szCs w:val="24"/>
        </w:rPr>
        <w:t xml:space="preserve"> Ruggles’s</w:t>
      </w:r>
      <w:r w:rsidR="00B47E65">
        <w:rPr>
          <w:rFonts w:ascii="Times New Roman" w:hAnsi="Times New Roman"/>
          <w:bCs/>
          <w:sz w:val="24"/>
          <w:szCs w:val="24"/>
        </w:rPr>
        <w:t xml:space="preserve"> </w:t>
      </w:r>
      <w:r w:rsidR="00BD5A46">
        <w:rPr>
          <w:rFonts w:ascii="Times New Roman" w:hAnsi="Times New Roman"/>
          <w:bCs/>
          <w:sz w:val="24"/>
          <w:szCs w:val="24"/>
        </w:rPr>
        <w:t xml:space="preserve">tantalisingly </w:t>
      </w:r>
      <w:r w:rsidR="007D394A">
        <w:rPr>
          <w:rFonts w:ascii="Times New Roman" w:hAnsi="Times New Roman"/>
          <w:bCs/>
          <w:sz w:val="24"/>
          <w:szCs w:val="24"/>
        </w:rPr>
        <w:t xml:space="preserve">entitled ‘Chankillo: A 2300-Year-Old </w:t>
      </w:r>
      <w:r w:rsidR="00BD5A46">
        <w:rPr>
          <w:rFonts w:ascii="Times New Roman" w:hAnsi="Times New Roman"/>
          <w:bCs/>
          <w:sz w:val="24"/>
          <w:szCs w:val="24"/>
        </w:rPr>
        <w:t>Solar Observatory in Coastal Peru’</w:t>
      </w:r>
      <w:r w:rsidR="00B47E65">
        <w:rPr>
          <w:rFonts w:ascii="Times New Roman" w:hAnsi="Times New Roman"/>
          <w:bCs/>
          <w:sz w:val="24"/>
          <w:szCs w:val="24"/>
        </w:rPr>
        <w:t xml:space="preserve"> in </w:t>
      </w:r>
      <w:r w:rsidR="00B47E65">
        <w:rPr>
          <w:rFonts w:ascii="Times New Roman" w:hAnsi="Times New Roman"/>
          <w:bCs/>
          <w:i/>
          <w:sz w:val="24"/>
          <w:szCs w:val="24"/>
        </w:rPr>
        <w:t>Science</w:t>
      </w:r>
      <w:r>
        <w:rPr>
          <w:rFonts w:ascii="Times New Roman" w:hAnsi="Times New Roman"/>
          <w:bCs/>
          <w:sz w:val="24"/>
          <w:szCs w:val="24"/>
        </w:rPr>
        <w:t>.</w:t>
      </w:r>
      <w:r>
        <w:rPr>
          <w:rStyle w:val="FootnoteReference"/>
          <w:rFonts w:ascii="Times New Roman" w:hAnsi="Times New Roman"/>
          <w:bCs/>
          <w:sz w:val="24"/>
          <w:szCs w:val="24"/>
        </w:rPr>
        <w:footnoteReference w:id="3"/>
      </w:r>
      <w:r>
        <w:rPr>
          <w:rFonts w:ascii="Times New Roman" w:hAnsi="Times New Roman"/>
          <w:bCs/>
          <w:sz w:val="24"/>
          <w:szCs w:val="24"/>
        </w:rPr>
        <w:t xml:space="preserve"> </w:t>
      </w:r>
      <w:r w:rsidR="003930B4">
        <w:rPr>
          <w:rFonts w:ascii="Times New Roman" w:hAnsi="Times New Roman"/>
          <w:bCs/>
          <w:sz w:val="24"/>
          <w:szCs w:val="24"/>
        </w:rPr>
        <w:t>Aside from the two papers</w:t>
      </w:r>
      <w:r w:rsidR="0051452F">
        <w:rPr>
          <w:rFonts w:ascii="Times New Roman" w:hAnsi="Times New Roman"/>
          <w:bCs/>
          <w:sz w:val="24"/>
          <w:szCs w:val="24"/>
        </w:rPr>
        <w:t xml:space="preserve"> that</w:t>
      </w:r>
      <w:r w:rsidR="003930B4">
        <w:rPr>
          <w:rFonts w:ascii="Times New Roman" w:hAnsi="Times New Roman"/>
          <w:bCs/>
          <w:sz w:val="24"/>
          <w:szCs w:val="24"/>
        </w:rPr>
        <w:t xml:space="preserve"> this essay directly compares, </w:t>
      </w:r>
      <w:r w:rsidR="00BD5A46">
        <w:rPr>
          <w:rFonts w:ascii="Times New Roman" w:hAnsi="Times New Roman"/>
          <w:bCs/>
          <w:sz w:val="24"/>
          <w:szCs w:val="24"/>
        </w:rPr>
        <w:t>Malville, Ghezzi, and Ruggles</w:t>
      </w:r>
      <w:r w:rsidR="00866F3B">
        <w:rPr>
          <w:rFonts w:ascii="Times New Roman" w:hAnsi="Times New Roman"/>
          <w:bCs/>
          <w:sz w:val="24"/>
          <w:szCs w:val="24"/>
        </w:rPr>
        <w:t xml:space="preserve"> have </w:t>
      </w:r>
      <w:r w:rsidR="00866F3B" w:rsidRPr="001A1CBC">
        <w:rPr>
          <w:rFonts w:ascii="Times New Roman" w:hAnsi="Times New Roman"/>
          <w:bCs/>
          <w:sz w:val="24"/>
          <w:szCs w:val="24"/>
        </w:rPr>
        <w:t xml:space="preserve">published </w:t>
      </w:r>
      <w:r w:rsidR="0051452F">
        <w:rPr>
          <w:rFonts w:ascii="Times New Roman" w:hAnsi="Times New Roman"/>
          <w:bCs/>
          <w:sz w:val="24"/>
          <w:szCs w:val="24"/>
        </w:rPr>
        <w:t xml:space="preserve">prolifically </w:t>
      </w:r>
      <w:r w:rsidR="00866F3B" w:rsidRPr="001A1CBC">
        <w:rPr>
          <w:rFonts w:ascii="Times New Roman" w:hAnsi="Times New Roman"/>
          <w:bCs/>
          <w:sz w:val="24"/>
          <w:szCs w:val="24"/>
        </w:rPr>
        <w:t>on Chankillo</w:t>
      </w:r>
      <w:r w:rsidRPr="001A1CBC">
        <w:rPr>
          <w:rFonts w:ascii="Times New Roman" w:hAnsi="Times New Roman"/>
          <w:bCs/>
          <w:sz w:val="24"/>
          <w:szCs w:val="24"/>
        </w:rPr>
        <w:t xml:space="preserve"> </w:t>
      </w:r>
      <w:r w:rsidR="001A1CBC" w:rsidRPr="001A1CBC">
        <w:rPr>
          <w:rFonts w:ascii="Times New Roman" w:hAnsi="Times New Roman"/>
          <w:bCs/>
          <w:sz w:val="24"/>
          <w:szCs w:val="24"/>
        </w:rPr>
        <w:t xml:space="preserve">since </w:t>
      </w:r>
      <w:r w:rsidR="00BB5577">
        <w:rPr>
          <w:rFonts w:ascii="Times New Roman" w:hAnsi="Times New Roman"/>
          <w:bCs/>
          <w:sz w:val="24"/>
          <w:szCs w:val="24"/>
        </w:rPr>
        <w:t>th</w:t>
      </w:r>
      <w:r w:rsidR="00C20726">
        <w:rPr>
          <w:rFonts w:ascii="Times New Roman" w:hAnsi="Times New Roman"/>
          <w:bCs/>
          <w:sz w:val="24"/>
          <w:szCs w:val="24"/>
        </w:rPr>
        <w:t>at first,</w:t>
      </w:r>
      <w:r w:rsidR="00BB5577">
        <w:rPr>
          <w:rFonts w:ascii="Times New Roman" w:hAnsi="Times New Roman"/>
          <w:bCs/>
          <w:sz w:val="24"/>
          <w:szCs w:val="24"/>
        </w:rPr>
        <w:t xml:space="preserve"> </w:t>
      </w:r>
      <w:r w:rsidR="00BF298F">
        <w:rPr>
          <w:rFonts w:ascii="Times New Roman" w:hAnsi="Times New Roman"/>
          <w:bCs/>
          <w:sz w:val="24"/>
          <w:szCs w:val="24"/>
        </w:rPr>
        <w:t xml:space="preserve">catalytical </w:t>
      </w:r>
      <w:r w:rsidR="00BF298F">
        <w:rPr>
          <w:rFonts w:ascii="Times New Roman" w:hAnsi="Times New Roman"/>
          <w:bCs/>
          <w:i/>
          <w:sz w:val="24"/>
          <w:szCs w:val="24"/>
        </w:rPr>
        <w:t xml:space="preserve">Science </w:t>
      </w:r>
      <w:r w:rsidR="00BF298F">
        <w:rPr>
          <w:rFonts w:ascii="Times New Roman" w:hAnsi="Times New Roman"/>
          <w:bCs/>
          <w:sz w:val="24"/>
          <w:szCs w:val="24"/>
        </w:rPr>
        <w:t>paper</w:t>
      </w:r>
      <w:r w:rsidR="003930B4">
        <w:rPr>
          <w:rFonts w:ascii="Times New Roman" w:hAnsi="Times New Roman"/>
          <w:bCs/>
          <w:sz w:val="24"/>
          <w:szCs w:val="24"/>
        </w:rPr>
        <w:t>.</w:t>
      </w:r>
      <w:r w:rsidR="004E2AC1">
        <w:rPr>
          <w:rStyle w:val="FootnoteReference"/>
          <w:rFonts w:ascii="Times New Roman" w:hAnsi="Times New Roman"/>
          <w:bCs/>
          <w:sz w:val="24"/>
          <w:szCs w:val="24"/>
        </w:rPr>
        <w:footnoteReference w:id="4"/>
      </w:r>
      <w:r w:rsidR="00F352FC">
        <w:rPr>
          <w:rFonts w:ascii="Times New Roman" w:hAnsi="Times New Roman"/>
          <w:bCs/>
          <w:sz w:val="24"/>
          <w:szCs w:val="24"/>
        </w:rPr>
        <w:t xml:space="preserve"> </w:t>
      </w:r>
      <w:r w:rsidR="004E2AC1">
        <w:rPr>
          <w:rFonts w:ascii="Times New Roman" w:hAnsi="Times New Roman"/>
          <w:bCs/>
          <w:sz w:val="24"/>
          <w:szCs w:val="24"/>
        </w:rPr>
        <w:t>Th</w:t>
      </w:r>
      <w:r w:rsidR="007661F3">
        <w:rPr>
          <w:rFonts w:ascii="Times New Roman" w:hAnsi="Times New Roman"/>
          <w:bCs/>
          <w:sz w:val="24"/>
          <w:szCs w:val="24"/>
        </w:rPr>
        <w:t>eir collective</w:t>
      </w:r>
      <w:r w:rsidR="004E2AC1">
        <w:rPr>
          <w:rFonts w:ascii="Times New Roman" w:hAnsi="Times New Roman"/>
          <w:bCs/>
          <w:sz w:val="24"/>
          <w:szCs w:val="24"/>
        </w:rPr>
        <w:t xml:space="preserve"> </w:t>
      </w:r>
      <w:r w:rsidR="00F11875">
        <w:rPr>
          <w:rFonts w:ascii="Times New Roman" w:hAnsi="Times New Roman"/>
          <w:bCs/>
          <w:sz w:val="24"/>
          <w:szCs w:val="24"/>
        </w:rPr>
        <w:t xml:space="preserve">publishing record </w:t>
      </w:r>
      <w:r w:rsidR="00C37B49" w:rsidRPr="00C37B49">
        <w:rPr>
          <w:rFonts w:ascii="Times New Roman" w:hAnsi="Times New Roman"/>
          <w:bCs/>
          <w:sz w:val="24"/>
          <w:szCs w:val="24"/>
        </w:rPr>
        <w:t>showcas</w:t>
      </w:r>
      <w:r w:rsidR="004E2AC1">
        <w:rPr>
          <w:rFonts w:ascii="Times New Roman" w:hAnsi="Times New Roman"/>
          <w:bCs/>
          <w:sz w:val="24"/>
          <w:szCs w:val="24"/>
        </w:rPr>
        <w:t>es</w:t>
      </w:r>
      <w:r w:rsidR="00866F3B">
        <w:rPr>
          <w:rFonts w:ascii="Times New Roman" w:hAnsi="Times New Roman"/>
          <w:bCs/>
          <w:sz w:val="24"/>
          <w:szCs w:val="24"/>
        </w:rPr>
        <w:t xml:space="preserve"> </w:t>
      </w:r>
      <w:r w:rsidR="00C37B49">
        <w:rPr>
          <w:rFonts w:ascii="Times New Roman" w:hAnsi="Times New Roman"/>
          <w:bCs/>
          <w:sz w:val="24"/>
          <w:szCs w:val="24"/>
        </w:rPr>
        <w:t>the</w:t>
      </w:r>
      <w:r w:rsidR="00866F3B">
        <w:rPr>
          <w:rFonts w:ascii="Times New Roman" w:hAnsi="Times New Roman"/>
          <w:bCs/>
          <w:sz w:val="24"/>
          <w:szCs w:val="24"/>
        </w:rPr>
        <w:t xml:space="preserve"> tight entanglement between a </w:t>
      </w:r>
      <w:r w:rsidR="00513212">
        <w:rPr>
          <w:rFonts w:ascii="Times New Roman" w:hAnsi="Times New Roman"/>
          <w:bCs/>
          <w:sz w:val="24"/>
          <w:szCs w:val="24"/>
        </w:rPr>
        <w:t>limited</w:t>
      </w:r>
      <w:r w:rsidR="00866F3B">
        <w:rPr>
          <w:rFonts w:ascii="Times New Roman" w:hAnsi="Times New Roman"/>
          <w:bCs/>
          <w:sz w:val="24"/>
          <w:szCs w:val="24"/>
        </w:rPr>
        <w:t xml:space="preserve"> </w:t>
      </w:r>
      <w:r w:rsidR="000B232A">
        <w:rPr>
          <w:rFonts w:ascii="Times New Roman" w:hAnsi="Times New Roman"/>
          <w:bCs/>
          <w:sz w:val="24"/>
          <w:szCs w:val="24"/>
        </w:rPr>
        <w:t>number</w:t>
      </w:r>
      <w:r w:rsidR="00866F3B">
        <w:rPr>
          <w:rFonts w:ascii="Times New Roman" w:hAnsi="Times New Roman"/>
          <w:bCs/>
          <w:sz w:val="24"/>
          <w:szCs w:val="24"/>
        </w:rPr>
        <w:t xml:space="preserve"> of researchers and </w:t>
      </w:r>
      <w:r w:rsidR="00513212">
        <w:rPr>
          <w:rFonts w:ascii="Times New Roman" w:hAnsi="Times New Roman"/>
          <w:bCs/>
          <w:sz w:val="24"/>
          <w:szCs w:val="24"/>
        </w:rPr>
        <w:t xml:space="preserve">significant </w:t>
      </w:r>
      <w:r w:rsidR="00866F3B">
        <w:rPr>
          <w:rFonts w:ascii="Times New Roman" w:hAnsi="Times New Roman"/>
          <w:bCs/>
          <w:sz w:val="24"/>
          <w:szCs w:val="24"/>
        </w:rPr>
        <w:t>sites which is</w:t>
      </w:r>
      <w:r w:rsidR="007661F3">
        <w:rPr>
          <w:rFonts w:ascii="Times New Roman" w:hAnsi="Times New Roman"/>
          <w:bCs/>
          <w:sz w:val="24"/>
          <w:szCs w:val="24"/>
        </w:rPr>
        <w:t xml:space="preserve"> </w:t>
      </w:r>
      <w:r w:rsidR="00866F3B">
        <w:rPr>
          <w:rFonts w:ascii="Times New Roman" w:hAnsi="Times New Roman"/>
          <w:bCs/>
          <w:sz w:val="24"/>
          <w:szCs w:val="24"/>
        </w:rPr>
        <w:t xml:space="preserve">indicative of </w:t>
      </w:r>
      <w:r w:rsidR="007661F3">
        <w:rPr>
          <w:rFonts w:ascii="Times New Roman" w:hAnsi="Times New Roman"/>
          <w:bCs/>
          <w:sz w:val="24"/>
          <w:szCs w:val="24"/>
        </w:rPr>
        <w:t xml:space="preserve">academic </w:t>
      </w:r>
      <w:r w:rsidR="00A97553">
        <w:rPr>
          <w:rFonts w:ascii="Times New Roman" w:hAnsi="Times New Roman"/>
          <w:bCs/>
          <w:sz w:val="24"/>
          <w:szCs w:val="24"/>
        </w:rPr>
        <w:t>arch</w:t>
      </w:r>
      <w:r w:rsidR="00712611">
        <w:rPr>
          <w:rFonts w:ascii="Times New Roman" w:hAnsi="Times New Roman"/>
          <w:bCs/>
          <w:sz w:val="24"/>
          <w:szCs w:val="24"/>
        </w:rPr>
        <w:t>aeoastronomy</w:t>
      </w:r>
      <w:r w:rsidR="00866F3B">
        <w:rPr>
          <w:rFonts w:ascii="Times New Roman" w:hAnsi="Times New Roman"/>
          <w:bCs/>
          <w:sz w:val="24"/>
          <w:szCs w:val="24"/>
        </w:rPr>
        <w:t>.</w:t>
      </w:r>
      <w:r w:rsidR="007661F3">
        <w:rPr>
          <w:rFonts w:ascii="Times New Roman" w:hAnsi="Times New Roman"/>
          <w:bCs/>
          <w:color w:val="auto"/>
          <w:sz w:val="24"/>
          <w:szCs w:val="24"/>
        </w:rPr>
        <w:t xml:space="preserve"> Within </w:t>
      </w:r>
      <w:r w:rsidR="001149F1">
        <w:rPr>
          <w:rFonts w:ascii="Times New Roman" w:hAnsi="Times New Roman"/>
          <w:bCs/>
          <w:color w:val="auto"/>
          <w:sz w:val="24"/>
          <w:szCs w:val="24"/>
        </w:rPr>
        <w:t xml:space="preserve">their publishing </w:t>
      </w:r>
      <w:r w:rsidR="000441BA">
        <w:rPr>
          <w:rFonts w:ascii="Times New Roman" w:hAnsi="Times New Roman"/>
          <w:bCs/>
          <w:color w:val="auto"/>
          <w:sz w:val="24"/>
          <w:szCs w:val="24"/>
        </w:rPr>
        <w:t>history</w:t>
      </w:r>
      <w:r w:rsidR="001149F1">
        <w:rPr>
          <w:rFonts w:ascii="Times New Roman" w:hAnsi="Times New Roman"/>
          <w:bCs/>
          <w:color w:val="auto"/>
          <w:sz w:val="24"/>
          <w:szCs w:val="24"/>
        </w:rPr>
        <w:t xml:space="preserve"> regarding Chankillo,</w:t>
      </w:r>
      <w:r w:rsidR="00F91FE3">
        <w:rPr>
          <w:rFonts w:ascii="Times New Roman" w:hAnsi="Times New Roman"/>
          <w:bCs/>
          <w:color w:val="auto"/>
          <w:sz w:val="24"/>
          <w:szCs w:val="24"/>
        </w:rPr>
        <w:t xml:space="preserve"> Ghezzi, Ruggles, and Malville</w:t>
      </w:r>
      <w:r w:rsidR="00C57FF3">
        <w:rPr>
          <w:rFonts w:ascii="Times New Roman" w:hAnsi="Times New Roman"/>
          <w:bCs/>
          <w:color w:val="auto"/>
          <w:sz w:val="24"/>
          <w:szCs w:val="24"/>
        </w:rPr>
        <w:t xml:space="preserve"> </w:t>
      </w:r>
      <w:r w:rsidR="001149F1">
        <w:rPr>
          <w:rFonts w:ascii="Times New Roman" w:hAnsi="Times New Roman"/>
          <w:bCs/>
          <w:color w:val="auto"/>
          <w:sz w:val="24"/>
          <w:szCs w:val="24"/>
        </w:rPr>
        <w:t>make</w:t>
      </w:r>
      <w:r w:rsidR="00C57FF3">
        <w:rPr>
          <w:rFonts w:ascii="Times New Roman" w:hAnsi="Times New Roman"/>
          <w:bCs/>
          <w:color w:val="auto"/>
          <w:sz w:val="24"/>
          <w:szCs w:val="24"/>
        </w:rPr>
        <w:t xml:space="preserve"> observations and </w:t>
      </w:r>
      <w:r w:rsidR="001149F1">
        <w:rPr>
          <w:rFonts w:ascii="Times New Roman" w:hAnsi="Times New Roman"/>
          <w:bCs/>
          <w:color w:val="auto"/>
          <w:sz w:val="24"/>
          <w:szCs w:val="24"/>
        </w:rPr>
        <w:t xml:space="preserve">draw </w:t>
      </w:r>
      <w:r w:rsidR="00C57FF3">
        <w:rPr>
          <w:rFonts w:ascii="Times New Roman" w:hAnsi="Times New Roman"/>
          <w:bCs/>
          <w:color w:val="auto"/>
          <w:sz w:val="24"/>
          <w:szCs w:val="24"/>
        </w:rPr>
        <w:t>conclusions</w:t>
      </w:r>
      <w:r w:rsidR="000441BA">
        <w:rPr>
          <w:rFonts w:ascii="Times New Roman" w:hAnsi="Times New Roman"/>
          <w:bCs/>
          <w:color w:val="auto"/>
          <w:sz w:val="24"/>
          <w:szCs w:val="24"/>
        </w:rPr>
        <w:t xml:space="preserve"> on</w:t>
      </w:r>
      <w:r w:rsidR="00C57FF3">
        <w:rPr>
          <w:rFonts w:ascii="Times New Roman" w:hAnsi="Times New Roman"/>
          <w:bCs/>
          <w:color w:val="auto"/>
          <w:sz w:val="24"/>
          <w:szCs w:val="24"/>
        </w:rPr>
        <w:t xml:space="preserve"> the function of the</w:t>
      </w:r>
      <w:r w:rsidR="001149F1">
        <w:rPr>
          <w:rFonts w:ascii="Times New Roman" w:hAnsi="Times New Roman"/>
          <w:bCs/>
          <w:color w:val="auto"/>
          <w:sz w:val="24"/>
          <w:szCs w:val="24"/>
        </w:rPr>
        <w:t xml:space="preserve"> </w:t>
      </w:r>
      <w:r w:rsidR="00C970CB">
        <w:rPr>
          <w:rFonts w:ascii="Times New Roman" w:hAnsi="Times New Roman"/>
          <w:bCs/>
          <w:color w:val="auto"/>
          <w:sz w:val="24"/>
          <w:szCs w:val="24"/>
        </w:rPr>
        <w:t>site, with particular attention paid to the</w:t>
      </w:r>
      <w:r w:rsidR="00C57FF3">
        <w:rPr>
          <w:rFonts w:ascii="Times New Roman" w:hAnsi="Times New Roman"/>
          <w:bCs/>
          <w:color w:val="auto"/>
          <w:sz w:val="24"/>
          <w:szCs w:val="24"/>
        </w:rPr>
        <w:t xml:space="preserve"> Thirteen Towers.</w:t>
      </w:r>
      <w:r w:rsidR="00C57FF3">
        <w:rPr>
          <w:rStyle w:val="FootnoteReference"/>
          <w:rFonts w:ascii="Times New Roman" w:hAnsi="Times New Roman"/>
          <w:bCs/>
          <w:color w:val="auto"/>
          <w:sz w:val="24"/>
          <w:szCs w:val="24"/>
        </w:rPr>
        <w:footnoteReference w:id="5"/>
      </w:r>
      <w:r w:rsidR="007661F3">
        <w:rPr>
          <w:rFonts w:ascii="Times New Roman" w:hAnsi="Times New Roman"/>
          <w:bCs/>
          <w:color w:val="auto"/>
          <w:sz w:val="24"/>
          <w:szCs w:val="24"/>
        </w:rPr>
        <w:t xml:space="preserve"> </w:t>
      </w:r>
      <w:r w:rsidR="00C57FF3">
        <w:rPr>
          <w:rFonts w:ascii="Times New Roman" w:hAnsi="Times New Roman"/>
          <w:bCs/>
          <w:color w:val="auto"/>
          <w:sz w:val="24"/>
          <w:szCs w:val="24"/>
        </w:rPr>
        <w:t xml:space="preserve">The </w:t>
      </w:r>
      <w:r w:rsidR="00F91FE3">
        <w:rPr>
          <w:rFonts w:ascii="Times New Roman" w:hAnsi="Times New Roman"/>
          <w:bCs/>
          <w:color w:val="auto"/>
          <w:sz w:val="24"/>
          <w:szCs w:val="24"/>
        </w:rPr>
        <w:t xml:space="preserve">two </w:t>
      </w:r>
      <w:r w:rsidR="00C57FF3">
        <w:rPr>
          <w:rFonts w:ascii="Times New Roman" w:hAnsi="Times New Roman"/>
          <w:bCs/>
          <w:color w:val="auto"/>
          <w:sz w:val="24"/>
          <w:szCs w:val="24"/>
        </w:rPr>
        <w:t xml:space="preserve">papers </w:t>
      </w:r>
      <w:r w:rsidR="00F91FE3">
        <w:rPr>
          <w:rFonts w:ascii="Times New Roman" w:hAnsi="Times New Roman"/>
          <w:bCs/>
          <w:color w:val="auto"/>
          <w:sz w:val="24"/>
          <w:szCs w:val="24"/>
        </w:rPr>
        <w:t>this essay will consider, therefore,</w:t>
      </w:r>
      <w:r w:rsidR="00C57FF3">
        <w:rPr>
          <w:rFonts w:ascii="Times New Roman" w:hAnsi="Times New Roman"/>
          <w:bCs/>
          <w:color w:val="auto"/>
          <w:sz w:val="24"/>
          <w:szCs w:val="24"/>
        </w:rPr>
        <w:t xml:space="preserve"> are very much the products of repeated and refined academic debate, </w:t>
      </w:r>
      <w:r w:rsidR="001149F1">
        <w:rPr>
          <w:rFonts w:ascii="Times New Roman" w:hAnsi="Times New Roman"/>
          <w:bCs/>
          <w:color w:val="auto"/>
          <w:sz w:val="24"/>
          <w:szCs w:val="24"/>
        </w:rPr>
        <w:t xml:space="preserve">albeit </w:t>
      </w:r>
      <w:r w:rsidR="00C57FF3">
        <w:rPr>
          <w:rFonts w:ascii="Times New Roman" w:hAnsi="Times New Roman"/>
          <w:bCs/>
          <w:color w:val="auto"/>
          <w:sz w:val="24"/>
          <w:szCs w:val="24"/>
        </w:rPr>
        <w:t xml:space="preserve">predominantly between Ghezzi and Ruggles versus Malville. </w:t>
      </w:r>
    </w:p>
    <w:p w14:paraId="433F9C69" w14:textId="7A6043A1" w:rsidR="005F58F8" w:rsidRDefault="005F58F8" w:rsidP="00F71829">
      <w:pPr>
        <w:pStyle w:val="NormalWeb"/>
        <w:spacing w:before="0" w:beforeAutospacing="0" w:after="0" w:afterAutospacing="0"/>
        <w:ind w:right="-334"/>
        <w:jc w:val="both"/>
        <w:rPr>
          <w:rFonts w:ascii="Times New Roman" w:hAnsi="Times New Roman"/>
          <w:b/>
          <w:bCs/>
          <w:color w:val="auto"/>
          <w:sz w:val="24"/>
          <w:szCs w:val="24"/>
        </w:rPr>
      </w:pPr>
    </w:p>
    <w:p w14:paraId="078453C8" w14:textId="34AE8D8D" w:rsidR="00D55354" w:rsidRPr="008E613B" w:rsidRDefault="0040449C" w:rsidP="00D55354">
      <w:pPr>
        <w:pStyle w:val="NormalWeb"/>
        <w:spacing w:before="0" w:beforeAutospacing="0" w:after="0" w:afterAutospacing="0"/>
        <w:ind w:right="-334"/>
        <w:jc w:val="both"/>
        <w:rPr>
          <w:rFonts w:ascii="Times New Roman" w:hAnsi="Times New Roman"/>
          <w:b/>
          <w:bCs/>
          <w:color w:val="auto"/>
          <w:sz w:val="24"/>
          <w:szCs w:val="24"/>
        </w:rPr>
      </w:pPr>
      <w:r w:rsidRPr="008E613B">
        <w:rPr>
          <w:rFonts w:ascii="Times New Roman" w:hAnsi="Times New Roman"/>
          <w:b/>
          <w:bCs/>
          <w:color w:val="auto"/>
          <w:sz w:val="24"/>
          <w:szCs w:val="24"/>
        </w:rPr>
        <w:t xml:space="preserve">Employed Methodologies </w:t>
      </w:r>
    </w:p>
    <w:p w14:paraId="4CA248C5" w14:textId="356B8573" w:rsidR="00932DA7" w:rsidRPr="00361E04" w:rsidRDefault="006F46FF" w:rsidP="00F71829">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color w:val="auto"/>
          <w:sz w:val="24"/>
          <w:szCs w:val="24"/>
        </w:rPr>
        <w:t>Neither set of m</w:t>
      </w:r>
      <w:r w:rsidR="00A94785">
        <w:rPr>
          <w:rFonts w:ascii="Times New Roman" w:hAnsi="Times New Roman"/>
          <w:bCs/>
          <w:color w:val="auto"/>
          <w:sz w:val="24"/>
          <w:szCs w:val="24"/>
        </w:rPr>
        <w:t xml:space="preserve">ethodologies employed in </w:t>
      </w:r>
      <w:r w:rsidR="000A75BC">
        <w:rPr>
          <w:rFonts w:ascii="Times New Roman" w:hAnsi="Times New Roman"/>
          <w:bCs/>
          <w:color w:val="auto"/>
          <w:sz w:val="24"/>
          <w:szCs w:val="24"/>
        </w:rPr>
        <w:t>the two papers</w:t>
      </w:r>
      <w:r>
        <w:rPr>
          <w:rFonts w:ascii="Times New Roman" w:hAnsi="Times New Roman"/>
          <w:bCs/>
          <w:color w:val="auto"/>
          <w:sz w:val="24"/>
          <w:szCs w:val="24"/>
        </w:rPr>
        <w:t xml:space="preserve"> fall</w:t>
      </w:r>
      <w:r w:rsidR="002E0349">
        <w:rPr>
          <w:rFonts w:ascii="Times New Roman" w:hAnsi="Times New Roman"/>
          <w:bCs/>
          <w:color w:val="auto"/>
          <w:sz w:val="24"/>
          <w:szCs w:val="24"/>
        </w:rPr>
        <w:t>s</w:t>
      </w:r>
      <w:r>
        <w:rPr>
          <w:rFonts w:ascii="Times New Roman" w:hAnsi="Times New Roman"/>
          <w:bCs/>
          <w:color w:val="auto"/>
          <w:sz w:val="24"/>
          <w:szCs w:val="24"/>
        </w:rPr>
        <w:t xml:space="preserve"> neatly in</w:t>
      </w:r>
      <w:r w:rsidR="000A75BC">
        <w:rPr>
          <w:rFonts w:ascii="Times New Roman" w:hAnsi="Times New Roman"/>
          <w:bCs/>
          <w:color w:val="auto"/>
          <w:sz w:val="24"/>
          <w:szCs w:val="24"/>
        </w:rPr>
        <w:t>to</w:t>
      </w:r>
      <w:r>
        <w:rPr>
          <w:rFonts w:ascii="Times New Roman" w:hAnsi="Times New Roman"/>
          <w:bCs/>
          <w:color w:val="auto"/>
          <w:sz w:val="24"/>
          <w:szCs w:val="24"/>
        </w:rPr>
        <w:t xml:space="preserve"> Anthony Aveni’s </w:t>
      </w:r>
      <w:r w:rsidR="00B759F3">
        <w:rPr>
          <w:rFonts w:ascii="Times New Roman" w:hAnsi="Times New Roman"/>
          <w:bCs/>
          <w:color w:val="auto"/>
          <w:sz w:val="24"/>
          <w:szCs w:val="24"/>
        </w:rPr>
        <w:t>camps of ‘brown’ and ‘green’ archaeoastronomy</w:t>
      </w:r>
      <w:r w:rsidR="002F48B8">
        <w:rPr>
          <w:rFonts w:ascii="Times New Roman" w:hAnsi="Times New Roman"/>
          <w:bCs/>
          <w:color w:val="auto"/>
          <w:sz w:val="24"/>
          <w:szCs w:val="24"/>
        </w:rPr>
        <w:t xml:space="preserve"> from the 1980s</w:t>
      </w:r>
      <w:r w:rsidR="00B759F3" w:rsidRPr="00D22AA3">
        <w:rPr>
          <w:rFonts w:ascii="Times New Roman" w:hAnsi="Times New Roman"/>
          <w:bCs/>
          <w:sz w:val="24"/>
          <w:szCs w:val="24"/>
        </w:rPr>
        <w:t>.</w:t>
      </w:r>
      <w:r w:rsidR="00D22AA3">
        <w:rPr>
          <w:rStyle w:val="FootnoteReference"/>
          <w:rFonts w:ascii="Times New Roman" w:hAnsi="Times New Roman"/>
          <w:bCs/>
          <w:sz w:val="24"/>
          <w:szCs w:val="24"/>
        </w:rPr>
        <w:footnoteReference w:id="6"/>
      </w:r>
      <w:r w:rsidR="00B759F3" w:rsidRPr="00D22AA3">
        <w:rPr>
          <w:rFonts w:ascii="Times New Roman" w:hAnsi="Times New Roman"/>
          <w:bCs/>
          <w:sz w:val="24"/>
          <w:szCs w:val="24"/>
        </w:rPr>
        <w:t xml:space="preserve"> </w:t>
      </w:r>
      <w:r w:rsidR="002F48B8">
        <w:rPr>
          <w:rFonts w:ascii="Times New Roman" w:hAnsi="Times New Roman"/>
          <w:bCs/>
          <w:sz w:val="24"/>
          <w:szCs w:val="24"/>
        </w:rPr>
        <w:t>In the intervening decades,</w:t>
      </w:r>
      <w:r w:rsidR="00806730">
        <w:rPr>
          <w:rFonts w:ascii="Times New Roman" w:hAnsi="Times New Roman"/>
          <w:bCs/>
          <w:sz w:val="24"/>
          <w:szCs w:val="24"/>
        </w:rPr>
        <w:t xml:space="preserve"> </w:t>
      </w:r>
      <w:r w:rsidR="003F42F8">
        <w:rPr>
          <w:rFonts w:ascii="Times New Roman" w:hAnsi="Times New Roman"/>
          <w:bCs/>
          <w:sz w:val="24"/>
          <w:szCs w:val="24"/>
        </w:rPr>
        <w:t>‘</w:t>
      </w:r>
      <w:r w:rsidR="00806730">
        <w:rPr>
          <w:rFonts w:ascii="Times New Roman" w:hAnsi="Times New Roman"/>
          <w:bCs/>
          <w:sz w:val="24"/>
          <w:szCs w:val="24"/>
        </w:rPr>
        <w:t>b</w:t>
      </w:r>
      <w:r w:rsidR="003F42F8">
        <w:rPr>
          <w:rFonts w:ascii="Times New Roman" w:hAnsi="Times New Roman"/>
          <w:bCs/>
          <w:sz w:val="24"/>
          <w:szCs w:val="24"/>
        </w:rPr>
        <w:t>rown’ culturally-embracing features have begun to mesh with ‘green’ alignment-seeking statistics</w:t>
      </w:r>
      <w:r w:rsidR="002E0349">
        <w:rPr>
          <w:rFonts w:ascii="Times New Roman" w:hAnsi="Times New Roman"/>
          <w:bCs/>
          <w:sz w:val="24"/>
          <w:szCs w:val="24"/>
        </w:rPr>
        <w:t xml:space="preserve"> to create a fuller picture of how cultures have interacted/are interacting with the sky</w:t>
      </w:r>
      <w:r w:rsidR="003F42F8">
        <w:rPr>
          <w:rFonts w:ascii="Times New Roman" w:hAnsi="Times New Roman"/>
          <w:bCs/>
          <w:sz w:val="24"/>
          <w:szCs w:val="24"/>
        </w:rPr>
        <w:t>. T</w:t>
      </w:r>
      <w:r w:rsidR="00C9642D">
        <w:rPr>
          <w:rFonts w:ascii="Times New Roman" w:hAnsi="Times New Roman"/>
          <w:bCs/>
          <w:sz w:val="24"/>
          <w:szCs w:val="24"/>
        </w:rPr>
        <w:t>o some extent, t</w:t>
      </w:r>
      <w:r w:rsidR="003F42F8">
        <w:rPr>
          <w:rFonts w:ascii="Times New Roman" w:hAnsi="Times New Roman"/>
          <w:bCs/>
          <w:sz w:val="24"/>
          <w:szCs w:val="24"/>
        </w:rPr>
        <w:t xml:space="preserve">he methodologies employed </w:t>
      </w:r>
      <w:r w:rsidR="002E0349">
        <w:rPr>
          <w:rFonts w:ascii="Times New Roman" w:hAnsi="Times New Roman"/>
          <w:bCs/>
          <w:sz w:val="24"/>
          <w:szCs w:val="24"/>
        </w:rPr>
        <w:t>in both papers</w:t>
      </w:r>
      <w:r w:rsidR="003F42F8">
        <w:rPr>
          <w:rFonts w:ascii="Times New Roman" w:hAnsi="Times New Roman"/>
          <w:bCs/>
          <w:sz w:val="24"/>
          <w:szCs w:val="24"/>
        </w:rPr>
        <w:t xml:space="preserve"> demonstrate this blend</w:t>
      </w:r>
      <w:r w:rsidR="00A248DA">
        <w:rPr>
          <w:rFonts w:ascii="Times New Roman" w:hAnsi="Times New Roman"/>
          <w:bCs/>
          <w:sz w:val="24"/>
          <w:szCs w:val="24"/>
        </w:rPr>
        <w:t>.</w:t>
      </w:r>
      <w:r w:rsidR="002D1556">
        <w:rPr>
          <w:rFonts w:ascii="Times New Roman" w:hAnsi="Times New Roman"/>
          <w:bCs/>
          <w:sz w:val="24"/>
          <w:szCs w:val="24"/>
        </w:rPr>
        <w:t xml:space="preserve"> </w:t>
      </w:r>
      <w:r w:rsidR="004849D2">
        <w:rPr>
          <w:rFonts w:ascii="Times New Roman" w:hAnsi="Times New Roman"/>
          <w:bCs/>
          <w:color w:val="auto"/>
          <w:sz w:val="24"/>
          <w:szCs w:val="24"/>
        </w:rPr>
        <w:t>Ruggles</w:t>
      </w:r>
      <w:r w:rsidR="00C9642D">
        <w:rPr>
          <w:rFonts w:ascii="Times New Roman" w:hAnsi="Times New Roman"/>
          <w:bCs/>
          <w:color w:val="auto"/>
          <w:sz w:val="24"/>
          <w:szCs w:val="24"/>
        </w:rPr>
        <w:t xml:space="preserve"> </w:t>
      </w:r>
      <w:r w:rsidR="00FE047B">
        <w:rPr>
          <w:rFonts w:ascii="Times New Roman" w:hAnsi="Times New Roman"/>
          <w:bCs/>
          <w:color w:val="auto"/>
          <w:sz w:val="24"/>
          <w:szCs w:val="24"/>
        </w:rPr>
        <w:t>has written t</w:t>
      </w:r>
      <w:r w:rsidR="004849D2">
        <w:rPr>
          <w:rFonts w:ascii="Times New Roman" w:hAnsi="Times New Roman"/>
          <w:bCs/>
          <w:color w:val="auto"/>
          <w:sz w:val="24"/>
          <w:szCs w:val="24"/>
        </w:rPr>
        <w:t>hat ‘Archaeoastronomy, like archaeology as a whole, is a science that asks social questions’</w:t>
      </w:r>
      <w:r w:rsidR="001E0D0D">
        <w:rPr>
          <w:rFonts w:ascii="Times New Roman" w:hAnsi="Times New Roman"/>
          <w:bCs/>
          <w:color w:val="auto"/>
          <w:sz w:val="24"/>
          <w:szCs w:val="24"/>
        </w:rPr>
        <w:t xml:space="preserve"> – firmly </w:t>
      </w:r>
      <w:r w:rsidR="00021878">
        <w:rPr>
          <w:rFonts w:ascii="Times New Roman" w:hAnsi="Times New Roman"/>
          <w:bCs/>
          <w:color w:val="auto"/>
          <w:sz w:val="24"/>
          <w:szCs w:val="24"/>
        </w:rPr>
        <w:t>orienting archaeoastronomy as a scientific branch of archaeology</w:t>
      </w:r>
      <w:r w:rsidR="004849D2">
        <w:rPr>
          <w:rFonts w:ascii="Times New Roman" w:hAnsi="Times New Roman"/>
          <w:bCs/>
          <w:color w:val="auto"/>
          <w:sz w:val="24"/>
          <w:szCs w:val="24"/>
        </w:rPr>
        <w:t>.</w:t>
      </w:r>
      <w:r w:rsidR="004849D2">
        <w:rPr>
          <w:rStyle w:val="FootnoteReference"/>
          <w:rFonts w:ascii="Times New Roman" w:hAnsi="Times New Roman"/>
          <w:bCs/>
          <w:color w:val="auto"/>
          <w:sz w:val="24"/>
          <w:szCs w:val="24"/>
        </w:rPr>
        <w:footnoteReference w:id="7"/>
      </w:r>
      <w:r w:rsidR="004849D2">
        <w:rPr>
          <w:rFonts w:ascii="Times New Roman" w:hAnsi="Times New Roman"/>
          <w:bCs/>
          <w:color w:val="auto"/>
          <w:sz w:val="24"/>
          <w:szCs w:val="24"/>
        </w:rPr>
        <w:t xml:space="preserve"> </w:t>
      </w:r>
      <w:r w:rsidR="00C316EF">
        <w:rPr>
          <w:rFonts w:ascii="Times New Roman" w:hAnsi="Times New Roman"/>
          <w:bCs/>
          <w:color w:val="auto"/>
          <w:sz w:val="24"/>
          <w:szCs w:val="24"/>
        </w:rPr>
        <w:t>Ghezzi, usefully, is an archaeologist.</w:t>
      </w:r>
      <w:r w:rsidR="00C316EF">
        <w:rPr>
          <w:rStyle w:val="FootnoteReference"/>
          <w:rFonts w:ascii="Times New Roman" w:hAnsi="Times New Roman"/>
          <w:bCs/>
          <w:color w:val="auto"/>
          <w:sz w:val="24"/>
          <w:szCs w:val="24"/>
        </w:rPr>
        <w:footnoteReference w:id="8"/>
      </w:r>
      <w:r w:rsidR="00C316EF">
        <w:rPr>
          <w:rFonts w:ascii="Times New Roman" w:hAnsi="Times New Roman"/>
          <w:bCs/>
          <w:color w:val="auto"/>
          <w:sz w:val="24"/>
          <w:szCs w:val="24"/>
        </w:rPr>
        <w:t xml:space="preserve"> </w:t>
      </w:r>
      <w:r w:rsidR="00561589">
        <w:rPr>
          <w:rFonts w:ascii="Times New Roman" w:hAnsi="Times New Roman"/>
          <w:bCs/>
          <w:color w:val="auto"/>
          <w:sz w:val="24"/>
          <w:szCs w:val="24"/>
        </w:rPr>
        <w:t>Perversely, Ruggles later</w:t>
      </w:r>
      <w:r w:rsidR="006F327B">
        <w:rPr>
          <w:rFonts w:ascii="Times New Roman" w:hAnsi="Times New Roman"/>
          <w:bCs/>
          <w:color w:val="auto"/>
          <w:sz w:val="24"/>
          <w:szCs w:val="24"/>
        </w:rPr>
        <w:t xml:space="preserve"> </w:t>
      </w:r>
      <w:r w:rsidR="0040449C">
        <w:rPr>
          <w:rFonts w:ascii="Times New Roman" w:hAnsi="Times New Roman"/>
          <w:bCs/>
          <w:color w:val="auto"/>
          <w:sz w:val="24"/>
          <w:szCs w:val="24"/>
        </w:rPr>
        <w:t xml:space="preserve">questions </w:t>
      </w:r>
      <w:r w:rsidR="006F327B">
        <w:rPr>
          <w:rFonts w:ascii="Times New Roman" w:hAnsi="Times New Roman"/>
          <w:bCs/>
          <w:color w:val="auto"/>
          <w:sz w:val="24"/>
          <w:szCs w:val="24"/>
        </w:rPr>
        <w:t xml:space="preserve">whether archaeoastronomy is a </w:t>
      </w:r>
      <w:r w:rsidR="00DB003F">
        <w:rPr>
          <w:rFonts w:ascii="Times New Roman" w:hAnsi="Times New Roman"/>
          <w:bCs/>
          <w:color w:val="auto"/>
          <w:sz w:val="24"/>
          <w:szCs w:val="24"/>
        </w:rPr>
        <w:t>‘</w:t>
      </w:r>
      <w:r w:rsidR="006F327B">
        <w:rPr>
          <w:rFonts w:ascii="Times New Roman" w:hAnsi="Times New Roman"/>
          <w:bCs/>
          <w:color w:val="auto"/>
          <w:sz w:val="24"/>
          <w:szCs w:val="24"/>
        </w:rPr>
        <w:t>valid subdiscipline of anthropology</w:t>
      </w:r>
      <w:r w:rsidR="003B5AC6">
        <w:rPr>
          <w:rFonts w:ascii="Times New Roman" w:hAnsi="Times New Roman"/>
          <w:bCs/>
          <w:color w:val="auto"/>
          <w:sz w:val="24"/>
          <w:szCs w:val="24"/>
        </w:rPr>
        <w:t>’ necessitating a theoretically</w:t>
      </w:r>
      <w:r w:rsidR="007031F3">
        <w:rPr>
          <w:rFonts w:ascii="Times New Roman" w:hAnsi="Times New Roman"/>
          <w:bCs/>
          <w:color w:val="auto"/>
          <w:sz w:val="24"/>
          <w:szCs w:val="24"/>
        </w:rPr>
        <w:t>-</w:t>
      </w:r>
      <w:r w:rsidR="003B5AC6">
        <w:rPr>
          <w:rFonts w:ascii="Times New Roman" w:hAnsi="Times New Roman"/>
          <w:bCs/>
          <w:color w:val="auto"/>
          <w:sz w:val="24"/>
          <w:szCs w:val="24"/>
        </w:rPr>
        <w:t>sound foundation</w:t>
      </w:r>
      <w:r w:rsidR="006F327B">
        <w:rPr>
          <w:rFonts w:ascii="Times New Roman" w:hAnsi="Times New Roman"/>
          <w:bCs/>
          <w:color w:val="auto"/>
          <w:sz w:val="24"/>
          <w:szCs w:val="24"/>
        </w:rPr>
        <w:t>.</w:t>
      </w:r>
      <w:r w:rsidR="006F327B">
        <w:rPr>
          <w:rStyle w:val="FootnoteReference"/>
          <w:rFonts w:ascii="Times New Roman" w:hAnsi="Times New Roman"/>
          <w:bCs/>
          <w:color w:val="auto"/>
          <w:sz w:val="24"/>
          <w:szCs w:val="24"/>
        </w:rPr>
        <w:footnoteReference w:id="9"/>
      </w:r>
      <w:r w:rsidR="00306ACC">
        <w:rPr>
          <w:rFonts w:ascii="Times New Roman" w:hAnsi="Times New Roman"/>
          <w:bCs/>
          <w:color w:val="auto"/>
          <w:sz w:val="24"/>
          <w:szCs w:val="24"/>
        </w:rPr>
        <w:t xml:space="preserve"> Wh</w:t>
      </w:r>
      <w:r w:rsidR="00151B78">
        <w:rPr>
          <w:rFonts w:ascii="Times New Roman" w:hAnsi="Times New Roman"/>
          <w:bCs/>
          <w:color w:val="auto"/>
          <w:sz w:val="24"/>
          <w:szCs w:val="24"/>
        </w:rPr>
        <w:t>atever its academic classification,</w:t>
      </w:r>
      <w:r w:rsidR="001213A0">
        <w:rPr>
          <w:rFonts w:ascii="Times New Roman" w:hAnsi="Times New Roman"/>
          <w:bCs/>
          <w:color w:val="auto"/>
          <w:sz w:val="24"/>
          <w:szCs w:val="24"/>
        </w:rPr>
        <w:t xml:space="preserve"> </w:t>
      </w:r>
      <w:r w:rsidR="00843568">
        <w:rPr>
          <w:rFonts w:ascii="Times New Roman" w:hAnsi="Times New Roman"/>
          <w:bCs/>
          <w:color w:val="auto"/>
          <w:sz w:val="24"/>
          <w:szCs w:val="24"/>
        </w:rPr>
        <w:t>it is clear</w:t>
      </w:r>
      <w:r w:rsidR="00306ACC">
        <w:rPr>
          <w:rFonts w:ascii="Times New Roman" w:hAnsi="Times New Roman"/>
          <w:bCs/>
          <w:color w:val="auto"/>
          <w:sz w:val="24"/>
          <w:szCs w:val="24"/>
        </w:rPr>
        <w:t xml:space="preserve"> that archaeoastronomy must somehow collect data about the sky and the archaeological record before applying that </w:t>
      </w:r>
      <w:r w:rsidR="00843568">
        <w:rPr>
          <w:rFonts w:ascii="Times New Roman" w:hAnsi="Times New Roman"/>
          <w:bCs/>
          <w:color w:val="auto"/>
          <w:sz w:val="24"/>
          <w:szCs w:val="24"/>
        </w:rPr>
        <w:t xml:space="preserve">composite </w:t>
      </w:r>
      <w:r w:rsidR="00306ACC">
        <w:rPr>
          <w:rFonts w:ascii="Times New Roman" w:hAnsi="Times New Roman"/>
          <w:bCs/>
          <w:color w:val="auto"/>
          <w:sz w:val="24"/>
          <w:szCs w:val="24"/>
        </w:rPr>
        <w:t xml:space="preserve">data to the cultural context of the </w:t>
      </w:r>
      <w:r w:rsidR="00C9642D">
        <w:rPr>
          <w:rFonts w:ascii="Times New Roman" w:hAnsi="Times New Roman"/>
          <w:bCs/>
          <w:color w:val="auto"/>
          <w:sz w:val="24"/>
          <w:szCs w:val="24"/>
        </w:rPr>
        <w:t>community</w:t>
      </w:r>
      <w:r w:rsidR="00306ACC">
        <w:rPr>
          <w:rFonts w:ascii="Times New Roman" w:hAnsi="Times New Roman"/>
          <w:bCs/>
          <w:color w:val="auto"/>
          <w:sz w:val="24"/>
          <w:szCs w:val="24"/>
        </w:rPr>
        <w:t xml:space="preserve"> who initially linked the two. </w:t>
      </w:r>
      <w:r w:rsidR="00B34183">
        <w:rPr>
          <w:rFonts w:ascii="Times New Roman" w:hAnsi="Times New Roman"/>
          <w:bCs/>
          <w:color w:val="auto"/>
          <w:sz w:val="24"/>
          <w:szCs w:val="24"/>
        </w:rPr>
        <w:t xml:space="preserve">It is </w:t>
      </w:r>
      <w:r w:rsidR="001D2544">
        <w:rPr>
          <w:rFonts w:ascii="Times New Roman" w:hAnsi="Times New Roman"/>
          <w:bCs/>
          <w:color w:val="auto"/>
          <w:sz w:val="24"/>
          <w:szCs w:val="24"/>
        </w:rPr>
        <w:t>with</w:t>
      </w:r>
      <w:r w:rsidR="00B34183">
        <w:rPr>
          <w:rFonts w:ascii="Times New Roman" w:hAnsi="Times New Roman"/>
          <w:bCs/>
          <w:color w:val="auto"/>
          <w:sz w:val="24"/>
          <w:szCs w:val="24"/>
        </w:rPr>
        <w:t xml:space="preserve">in that ‘somehow’ that </w:t>
      </w:r>
      <w:r w:rsidR="00843568">
        <w:rPr>
          <w:rFonts w:ascii="Times New Roman" w:hAnsi="Times New Roman"/>
          <w:bCs/>
          <w:color w:val="auto"/>
          <w:sz w:val="24"/>
          <w:szCs w:val="24"/>
        </w:rPr>
        <w:t>methodological divergence exists</w:t>
      </w:r>
      <w:r w:rsidR="00B34183">
        <w:rPr>
          <w:rFonts w:ascii="Times New Roman" w:hAnsi="Times New Roman"/>
          <w:bCs/>
          <w:color w:val="auto"/>
          <w:sz w:val="24"/>
          <w:szCs w:val="24"/>
        </w:rPr>
        <w:t>.</w:t>
      </w:r>
    </w:p>
    <w:p w14:paraId="771EE796" w14:textId="536A8A89" w:rsidR="00932DA7" w:rsidRDefault="00932DA7" w:rsidP="00F71829">
      <w:pPr>
        <w:pStyle w:val="NormalWeb"/>
        <w:spacing w:before="0" w:beforeAutospacing="0" w:after="0" w:afterAutospacing="0"/>
        <w:ind w:right="-334"/>
        <w:jc w:val="both"/>
        <w:rPr>
          <w:rFonts w:ascii="Times New Roman" w:hAnsi="Times New Roman"/>
          <w:bCs/>
          <w:color w:val="auto"/>
          <w:sz w:val="24"/>
          <w:szCs w:val="24"/>
        </w:rPr>
      </w:pPr>
    </w:p>
    <w:p w14:paraId="1B09AEA2" w14:textId="05ADBDC6" w:rsidR="00156A1A" w:rsidRDefault="000C725F" w:rsidP="00F7182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During their previous collaborations at Chankillo, Ghezzi and Ruggles surveyed the site using GPS units and compass-clinometer equipment to determine ‘azimuth and altitudes, calibrate</w:t>
      </w:r>
      <w:r w:rsidR="00B16279">
        <w:rPr>
          <w:rFonts w:ascii="Times New Roman" w:hAnsi="Times New Roman"/>
          <w:bCs/>
          <w:color w:val="auto"/>
          <w:sz w:val="24"/>
          <w:szCs w:val="24"/>
        </w:rPr>
        <w:t>d’ through</w:t>
      </w:r>
      <w:r>
        <w:rPr>
          <w:rFonts w:ascii="Times New Roman" w:hAnsi="Times New Roman"/>
          <w:bCs/>
          <w:color w:val="auto"/>
          <w:sz w:val="24"/>
          <w:szCs w:val="24"/>
        </w:rPr>
        <w:t xml:space="preserve"> </w:t>
      </w:r>
      <w:r w:rsidR="00B16279">
        <w:rPr>
          <w:rFonts w:ascii="Times New Roman" w:hAnsi="Times New Roman"/>
          <w:bCs/>
          <w:color w:val="auto"/>
          <w:sz w:val="24"/>
          <w:szCs w:val="24"/>
        </w:rPr>
        <w:t>‘</w:t>
      </w:r>
      <w:r>
        <w:rPr>
          <w:rFonts w:ascii="Times New Roman" w:hAnsi="Times New Roman"/>
          <w:bCs/>
          <w:color w:val="auto"/>
          <w:sz w:val="24"/>
          <w:szCs w:val="24"/>
        </w:rPr>
        <w:t>direct observation of sunrise against the towers’.</w:t>
      </w:r>
      <w:r w:rsidR="00B16279">
        <w:rPr>
          <w:rStyle w:val="FootnoteReference"/>
          <w:rFonts w:ascii="Times New Roman" w:hAnsi="Times New Roman"/>
          <w:bCs/>
          <w:color w:val="auto"/>
          <w:sz w:val="24"/>
          <w:szCs w:val="24"/>
        </w:rPr>
        <w:footnoteReference w:id="10"/>
      </w:r>
      <w:r>
        <w:rPr>
          <w:rFonts w:ascii="Times New Roman" w:hAnsi="Times New Roman"/>
          <w:bCs/>
          <w:color w:val="auto"/>
          <w:sz w:val="24"/>
          <w:szCs w:val="24"/>
        </w:rPr>
        <w:t xml:space="preserve"> This time, a ‘Total Station survey’ was undertaken to extend and verify their dataset.</w:t>
      </w:r>
      <w:r w:rsidR="00B16279">
        <w:rPr>
          <w:rStyle w:val="FootnoteReference"/>
          <w:rFonts w:ascii="Times New Roman" w:hAnsi="Times New Roman"/>
          <w:bCs/>
          <w:color w:val="auto"/>
          <w:sz w:val="24"/>
          <w:szCs w:val="24"/>
        </w:rPr>
        <w:footnoteReference w:id="11"/>
      </w:r>
      <w:r w:rsidR="00B16279">
        <w:rPr>
          <w:rFonts w:ascii="Times New Roman" w:hAnsi="Times New Roman"/>
          <w:bCs/>
          <w:color w:val="auto"/>
          <w:sz w:val="24"/>
          <w:szCs w:val="24"/>
        </w:rPr>
        <w:t xml:space="preserve"> Accurate numerical measurements, then, are key to Ghezzi and Ruggles’s mathematically-based methodology: through </w:t>
      </w:r>
      <w:r w:rsidR="00BE256A">
        <w:rPr>
          <w:rFonts w:ascii="Times New Roman" w:hAnsi="Times New Roman"/>
          <w:bCs/>
          <w:color w:val="auto"/>
          <w:sz w:val="24"/>
          <w:szCs w:val="24"/>
        </w:rPr>
        <w:t>them,</w:t>
      </w:r>
      <w:r w:rsidR="00B16279">
        <w:rPr>
          <w:rFonts w:ascii="Times New Roman" w:hAnsi="Times New Roman"/>
          <w:bCs/>
          <w:color w:val="auto"/>
          <w:sz w:val="24"/>
          <w:szCs w:val="24"/>
        </w:rPr>
        <w:t xml:space="preserve"> legitimacy of proposed solar alignments </w:t>
      </w:r>
      <w:r w:rsidR="0038533D">
        <w:rPr>
          <w:rFonts w:ascii="Times New Roman" w:hAnsi="Times New Roman"/>
          <w:bCs/>
          <w:color w:val="auto"/>
          <w:sz w:val="24"/>
          <w:szCs w:val="24"/>
        </w:rPr>
        <w:t>may</w:t>
      </w:r>
      <w:r w:rsidR="00B16279">
        <w:rPr>
          <w:rFonts w:ascii="Times New Roman" w:hAnsi="Times New Roman"/>
          <w:bCs/>
          <w:color w:val="auto"/>
          <w:sz w:val="24"/>
          <w:szCs w:val="24"/>
        </w:rPr>
        <w:t xml:space="preserve"> be tested and quantitively ‘proved’. </w:t>
      </w:r>
      <w:r w:rsidR="006F5C84">
        <w:rPr>
          <w:rFonts w:ascii="Times New Roman" w:hAnsi="Times New Roman"/>
          <w:bCs/>
          <w:color w:val="auto"/>
          <w:sz w:val="24"/>
          <w:szCs w:val="24"/>
        </w:rPr>
        <w:t>Ruggles</w:t>
      </w:r>
      <w:r w:rsidR="008D06BC">
        <w:rPr>
          <w:rFonts w:ascii="Times New Roman" w:hAnsi="Times New Roman"/>
          <w:bCs/>
          <w:color w:val="auto"/>
          <w:sz w:val="24"/>
          <w:szCs w:val="24"/>
        </w:rPr>
        <w:t xml:space="preserve"> has </w:t>
      </w:r>
      <w:r w:rsidR="006F5C84">
        <w:rPr>
          <w:rFonts w:ascii="Times New Roman" w:hAnsi="Times New Roman"/>
          <w:bCs/>
          <w:color w:val="auto"/>
          <w:sz w:val="24"/>
          <w:szCs w:val="24"/>
        </w:rPr>
        <w:t>noted the difficulty in separating ‘alignment data</w:t>
      </w:r>
      <w:r w:rsidR="00B16279">
        <w:rPr>
          <w:rFonts w:ascii="Times New Roman" w:hAnsi="Times New Roman"/>
          <w:bCs/>
          <w:color w:val="auto"/>
          <w:sz w:val="24"/>
          <w:szCs w:val="24"/>
        </w:rPr>
        <w:t>’ from other data</w:t>
      </w:r>
      <w:r w:rsidR="00B37E8B">
        <w:rPr>
          <w:rFonts w:ascii="Times New Roman" w:hAnsi="Times New Roman"/>
          <w:bCs/>
          <w:color w:val="auto"/>
          <w:sz w:val="24"/>
          <w:szCs w:val="24"/>
        </w:rPr>
        <w:t>-</w:t>
      </w:r>
      <w:r w:rsidR="00B16279">
        <w:rPr>
          <w:rFonts w:ascii="Times New Roman" w:hAnsi="Times New Roman"/>
          <w:bCs/>
          <w:color w:val="auto"/>
          <w:sz w:val="24"/>
          <w:szCs w:val="24"/>
        </w:rPr>
        <w:t>types</w:t>
      </w:r>
      <w:r w:rsidR="006F5C84">
        <w:rPr>
          <w:rFonts w:ascii="Times New Roman" w:hAnsi="Times New Roman"/>
          <w:bCs/>
          <w:color w:val="auto"/>
          <w:sz w:val="24"/>
          <w:szCs w:val="24"/>
        </w:rPr>
        <w:t>, whilst cautioning against considering the former ‘in isolation from its cultural context’.</w:t>
      </w:r>
      <w:r w:rsidR="006F5C84">
        <w:rPr>
          <w:rStyle w:val="FootnoteReference"/>
          <w:rFonts w:ascii="Times New Roman" w:hAnsi="Times New Roman"/>
          <w:bCs/>
          <w:color w:val="auto"/>
          <w:sz w:val="24"/>
          <w:szCs w:val="24"/>
        </w:rPr>
        <w:footnoteReference w:id="12"/>
      </w:r>
      <w:r w:rsidR="00DB270B">
        <w:rPr>
          <w:rFonts w:ascii="Times New Roman" w:hAnsi="Times New Roman"/>
          <w:bCs/>
          <w:color w:val="auto"/>
          <w:sz w:val="24"/>
          <w:szCs w:val="24"/>
        </w:rPr>
        <w:t xml:space="preserve"> </w:t>
      </w:r>
      <w:r w:rsidR="00726551">
        <w:rPr>
          <w:rFonts w:ascii="Times New Roman" w:hAnsi="Times New Roman"/>
          <w:bCs/>
          <w:color w:val="auto"/>
          <w:sz w:val="24"/>
          <w:szCs w:val="24"/>
        </w:rPr>
        <w:t xml:space="preserve">By including archaeological finds, </w:t>
      </w:r>
      <w:r w:rsidR="002D737E">
        <w:rPr>
          <w:rFonts w:ascii="Times New Roman" w:hAnsi="Times New Roman"/>
          <w:bCs/>
          <w:color w:val="auto"/>
          <w:sz w:val="24"/>
          <w:szCs w:val="24"/>
        </w:rPr>
        <w:t xml:space="preserve">Ghezzi and Ruggles do offer a wider context for their theories, </w:t>
      </w:r>
      <w:r w:rsidR="006A12AB">
        <w:rPr>
          <w:rFonts w:ascii="Times New Roman" w:hAnsi="Times New Roman"/>
          <w:bCs/>
          <w:color w:val="auto"/>
          <w:sz w:val="24"/>
          <w:szCs w:val="24"/>
        </w:rPr>
        <w:t xml:space="preserve">yet </w:t>
      </w:r>
      <w:r w:rsidR="002D737E">
        <w:rPr>
          <w:rFonts w:ascii="Times New Roman" w:hAnsi="Times New Roman"/>
          <w:bCs/>
          <w:color w:val="auto"/>
          <w:sz w:val="24"/>
          <w:szCs w:val="24"/>
        </w:rPr>
        <w:t xml:space="preserve">their methodological approach </w:t>
      </w:r>
      <w:r w:rsidR="006A12AB">
        <w:rPr>
          <w:rFonts w:ascii="Times New Roman" w:hAnsi="Times New Roman"/>
          <w:bCs/>
          <w:color w:val="auto"/>
          <w:sz w:val="24"/>
          <w:szCs w:val="24"/>
        </w:rPr>
        <w:t xml:space="preserve">initially </w:t>
      </w:r>
      <w:r w:rsidR="002D737E">
        <w:rPr>
          <w:rFonts w:ascii="Times New Roman" w:hAnsi="Times New Roman"/>
          <w:bCs/>
          <w:color w:val="auto"/>
          <w:sz w:val="24"/>
          <w:szCs w:val="24"/>
        </w:rPr>
        <w:t>favour</w:t>
      </w:r>
      <w:r w:rsidR="006A12AB">
        <w:rPr>
          <w:rFonts w:ascii="Times New Roman" w:hAnsi="Times New Roman"/>
          <w:bCs/>
          <w:color w:val="auto"/>
          <w:sz w:val="24"/>
          <w:szCs w:val="24"/>
        </w:rPr>
        <w:t>s</w:t>
      </w:r>
      <w:r w:rsidR="002D737E">
        <w:rPr>
          <w:rFonts w:ascii="Times New Roman" w:hAnsi="Times New Roman"/>
          <w:bCs/>
          <w:color w:val="auto"/>
          <w:sz w:val="24"/>
          <w:szCs w:val="24"/>
        </w:rPr>
        <w:t xml:space="preserve"> scientific</w:t>
      </w:r>
      <w:r w:rsidR="00726551">
        <w:rPr>
          <w:rFonts w:ascii="Times New Roman" w:hAnsi="Times New Roman"/>
          <w:bCs/>
          <w:color w:val="auto"/>
          <w:sz w:val="24"/>
          <w:szCs w:val="24"/>
        </w:rPr>
        <w:t xml:space="preserve"> –</w:t>
      </w:r>
      <w:r w:rsidR="002D737E">
        <w:rPr>
          <w:rFonts w:ascii="Times New Roman" w:hAnsi="Times New Roman"/>
          <w:bCs/>
          <w:color w:val="auto"/>
          <w:sz w:val="24"/>
          <w:szCs w:val="24"/>
        </w:rPr>
        <w:t xml:space="preserve"> if avoiding statistical</w:t>
      </w:r>
      <w:r w:rsidR="00726551">
        <w:rPr>
          <w:rFonts w:ascii="Times New Roman" w:hAnsi="Times New Roman"/>
          <w:bCs/>
          <w:color w:val="auto"/>
          <w:sz w:val="24"/>
          <w:szCs w:val="24"/>
        </w:rPr>
        <w:t xml:space="preserve"> – site </w:t>
      </w:r>
      <w:r w:rsidR="002D737E">
        <w:rPr>
          <w:rFonts w:ascii="Times New Roman" w:hAnsi="Times New Roman"/>
          <w:bCs/>
          <w:color w:val="auto"/>
          <w:sz w:val="24"/>
          <w:szCs w:val="24"/>
        </w:rPr>
        <w:t>analysis.</w:t>
      </w:r>
    </w:p>
    <w:p w14:paraId="26B3D830" w14:textId="77777777" w:rsidR="00156A1A" w:rsidRDefault="00156A1A" w:rsidP="00F71829">
      <w:pPr>
        <w:pStyle w:val="NormalWeb"/>
        <w:spacing w:before="0" w:beforeAutospacing="0" w:after="0" w:afterAutospacing="0"/>
        <w:ind w:right="-334"/>
        <w:jc w:val="both"/>
        <w:rPr>
          <w:rFonts w:ascii="Times New Roman" w:hAnsi="Times New Roman"/>
          <w:bCs/>
          <w:color w:val="auto"/>
          <w:sz w:val="24"/>
          <w:szCs w:val="24"/>
        </w:rPr>
      </w:pPr>
    </w:p>
    <w:p w14:paraId="049E1C6B" w14:textId="7555FD9D" w:rsidR="002D77E8" w:rsidRDefault="005536DF" w:rsidP="00F7182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Like  Ruggles</w:t>
      </w:r>
      <w:r w:rsidR="00C316EF">
        <w:rPr>
          <w:rFonts w:ascii="Times New Roman" w:hAnsi="Times New Roman"/>
          <w:bCs/>
          <w:color w:val="auto"/>
          <w:sz w:val="24"/>
          <w:szCs w:val="24"/>
        </w:rPr>
        <w:t xml:space="preserve"> and Ghezzi</w:t>
      </w:r>
      <w:r>
        <w:rPr>
          <w:rFonts w:ascii="Times New Roman" w:hAnsi="Times New Roman"/>
          <w:bCs/>
          <w:color w:val="auto"/>
          <w:sz w:val="24"/>
          <w:szCs w:val="24"/>
        </w:rPr>
        <w:t>, Malville’s academic background lies firmly in the sciences, yet it is the cultural context of Chankillo’s architecture upon which he builds his interpretation of the site.</w:t>
      </w:r>
      <w:r>
        <w:rPr>
          <w:rStyle w:val="FootnoteReference"/>
          <w:rFonts w:ascii="Times New Roman" w:hAnsi="Times New Roman"/>
          <w:bCs/>
          <w:color w:val="auto"/>
          <w:sz w:val="24"/>
          <w:szCs w:val="24"/>
        </w:rPr>
        <w:footnoteReference w:id="13"/>
      </w:r>
      <w:r>
        <w:rPr>
          <w:rFonts w:ascii="Times New Roman" w:hAnsi="Times New Roman"/>
          <w:bCs/>
          <w:color w:val="auto"/>
          <w:sz w:val="24"/>
          <w:szCs w:val="24"/>
        </w:rPr>
        <w:t xml:space="preserve"> </w:t>
      </w:r>
      <w:r w:rsidR="002D77E8">
        <w:rPr>
          <w:rFonts w:ascii="Times New Roman" w:hAnsi="Times New Roman"/>
          <w:bCs/>
          <w:color w:val="auto"/>
          <w:sz w:val="24"/>
          <w:szCs w:val="24"/>
        </w:rPr>
        <w:t>Whil</w:t>
      </w:r>
      <w:r w:rsidR="00A42E9D">
        <w:rPr>
          <w:rFonts w:ascii="Times New Roman" w:hAnsi="Times New Roman"/>
          <w:bCs/>
          <w:color w:val="auto"/>
          <w:sz w:val="24"/>
          <w:szCs w:val="24"/>
        </w:rPr>
        <w:t xml:space="preserve">st </w:t>
      </w:r>
      <w:r>
        <w:rPr>
          <w:rFonts w:ascii="Times New Roman" w:hAnsi="Times New Roman"/>
          <w:bCs/>
          <w:color w:val="auto"/>
          <w:sz w:val="24"/>
          <w:szCs w:val="24"/>
        </w:rPr>
        <w:t xml:space="preserve">Malville does not explicitly state the way in which his raw, mathematical data is collected, that comparable instruments to those used in Ghezzi and Ruggles’s survey </w:t>
      </w:r>
      <w:r w:rsidR="00726551">
        <w:rPr>
          <w:rFonts w:ascii="Times New Roman" w:hAnsi="Times New Roman"/>
          <w:bCs/>
          <w:color w:val="auto"/>
          <w:sz w:val="24"/>
          <w:szCs w:val="24"/>
        </w:rPr>
        <w:t>were</w:t>
      </w:r>
      <w:r>
        <w:rPr>
          <w:rFonts w:ascii="Times New Roman" w:hAnsi="Times New Roman"/>
          <w:bCs/>
          <w:color w:val="auto"/>
          <w:sz w:val="24"/>
          <w:szCs w:val="24"/>
        </w:rPr>
        <w:t xml:space="preserve"> employed is implicit.</w:t>
      </w:r>
      <w:r>
        <w:rPr>
          <w:rStyle w:val="FootnoteReference"/>
          <w:rFonts w:ascii="Times New Roman" w:hAnsi="Times New Roman"/>
          <w:bCs/>
          <w:color w:val="auto"/>
          <w:sz w:val="24"/>
          <w:szCs w:val="24"/>
        </w:rPr>
        <w:footnoteReference w:id="14"/>
      </w:r>
      <w:r>
        <w:rPr>
          <w:rFonts w:ascii="Times New Roman" w:hAnsi="Times New Roman"/>
          <w:bCs/>
          <w:color w:val="auto"/>
          <w:sz w:val="24"/>
          <w:szCs w:val="24"/>
        </w:rPr>
        <w:t xml:space="preserve"> </w:t>
      </w:r>
      <w:r w:rsidR="00726551">
        <w:rPr>
          <w:rFonts w:ascii="Times New Roman" w:hAnsi="Times New Roman"/>
          <w:bCs/>
          <w:color w:val="auto"/>
          <w:sz w:val="24"/>
          <w:szCs w:val="24"/>
        </w:rPr>
        <w:t xml:space="preserve">The very fact that Malville does not share his data collection </w:t>
      </w:r>
      <w:r>
        <w:rPr>
          <w:rFonts w:ascii="Times New Roman" w:hAnsi="Times New Roman"/>
          <w:bCs/>
          <w:color w:val="auto"/>
          <w:sz w:val="24"/>
          <w:szCs w:val="24"/>
        </w:rPr>
        <w:t xml:space="preserve">is indicative of his </w:t>
      </w:r>
      <w:r w:rsidR="00726551">
        <w:rPr>
          <w:rFonts w:ascii="Times New Roman" w:hAnsi="Times New Roman"/>
          <w:bCs/>
          <w:color w:val="auto"/>
          <w:sz w:val="24"/>
          <w:szCs w:val="24"/>
        </w:rPr>
        <w:t>relationship with</w:t>
      </w:r>
      <w:r>
        <w:rPr>
          <w:rFonts w:ascii="Times New Roman" w:hAnsi="Times New Roman"/>
          <w:bCs/>
          <w:color w:val="auto"/>
          <w:sz w:val="24"/>
          <w:szCs w:val="24"/>
        </w:rPr>
        <w:t xml:space="preserve"> the existing cultural record of region</w:t>
      </w:r>
      <w:r w:rsidR="00405E19">
        <w:rPr>
          <w:rFonts w:ascii="Times New Roman" w:hAnsi="Times New Roman"/>
          <w:bCs/>
          <w:color w:val="auto"/>
          <w:sz w:val="24"/>
          <w:szCs w:val="24"/>
        </w:rPr>
        <w:t xml:space="preserve">, rather than </w:t>
      </w:r>
      <w:r w:rsidR="00405E19">
        <w:rPr>
          <w:rFonts w:ascii="Times New Roman" w:hAnsi="Times New Roman"/>
          <w:bCs/>
          <w:color w:val="auto"/>
          <w:sz w:val="24"/>
          <w:szCs w:val="24"/>
        </w:rPr>
        <w:lastRenderedPageBreak/>
        <w:t>predominantly on angles or equations</w:t>
      </w:r>
      <w:r w:rsidR="00B44109">
        <w:rPr>
          <w:rFonts w:ascii="Times New Roman" w:hAnsi="Times New Roman"/>
          <w:bCs/>
          <w:color w:val="auto"/>
          <w:sz w:val="24"/>
          <w:szCs w:val="24"/>
        </w:rPr>
        <w:t xml:space="preserve">. </w:t>
      </w:r>
      <w:r w:rsidR="005F3D1F">
        <w:rPr>
          <w:rFonts w:ascii="Times New Roman" w:hAnsi="Times New Roman"/>
          <w:bCs/>
          <w:color w:val="auto"/>
          <w:sz w:val="24"/>
          <w:szCs w:val="24"/>
        </w:rPr>
        <w:t xml:space="preserve">In short, </w:t>
      </w:r>
      <w:r w:rsidR="00B44109">
        <w:rPr>
          <w:rFonts w:ascii="Times New Roman" w:hAnsi="Times New Roman"/>
          <w:bCs/>
          <w:color w:val="auto"/>
          <w:sz w:val="24"/>
          <w:szCs w:val="24"/>
        </w:rPr>
        <w:t>Malville’s methodology is culturally-cultivated.</w:t>
      </w:r>
      <w:r>
        <w:rPr>
          <w:rFonts w:ascii="Times New Roman" w:hAnsi="Times New Roman"/>
          <w:bCs/>
          <w:color w:val="auto"/>
          <w:sz w:val="24"/>
          <w:szCs w:val="24"/>
        </w:rPr>
        <w:t xml:space="preserve"> </w:t>
      </w:r>
      <w:r w:rsidR="004B76BC">
        <w:rPr>
          <w:rFonts w:ascii="Times New Roman" w:hAnsi="Times New Roman"/>
          <w:bCs/>
          <w:color w:val="auto"/>
          <w:sz w:val="24"/>
          <w:szCs w:val="24"/>
        </w:rPr>
        <w:t xml:space="preserve">As such, he reminds the reader of the interconnected culture shared by </w:t>
      </w:r>
      <w:r w:rsidR="00706759">
        <w:rPr>
          <w:rFonts w:ascii="Times New Roman" w:hAnsi="Times New Roman"/>
          <w:bCs/>
          <w:color w:val="auto"/>
          <w:sz w:val="24"/>
          <w:szCs w:val="24"/>
        </w:rPr>
        <w:t>Central Andean</w:t>
      </w:r>
      <w:r w:rsidR="004B76BC">
        <w:rPr>
          <w:rFonts w:ascii="Times New Roman" w:hAnsi="Times New Roman"/>
          <w:bCs/>
          <w:color w:val="auto"/>
          <w:sz w:val="24"/>
          <w:szCs w:val="24"/>
        </w:rPr>
        <w:t xml:space="preserve"> sites found in ‘the coast, the highlands, and the tropical rainforest’ whose use of the Casma Valley as a thoroughfare is indicated by the spread of such coastally-originating archaeological finds as </w:t>
      </w:r>
      <w:r w:rsidR="004B76BC">
        <w:rPr>
          <w:rFonts w:ascii="Times New Roman" w:hAnsi="Times New Roman"/>
          <w:bCs/>
          <w:i/>
          <w:color w:val="auto"/>
          <w:sz w:val="24"/>
          <w:szCs w:val="24"/>
        </w:rPr>
        <w:t xml:space="preserve">Spondylus </w:t>
      </w:r>
      <w:r w:rsidR="004B76BC">
        <w:rPr>
          <w:rFonts w:ascii="Times New Roman" w:hAnsi="Times New Roman"/>
          <w:bCs/>
          <w:color w:val="auto"/>
          <w:sz w:val="24"/>
          <w:szCs w:val="24"/>
        </w:rPr>
        <w:t>shells.</w:t>
      </w:r>
      <w:r w:rsidR="004B76BC">
        <w:rPr>
          <w:rStyle w:val="FootnoteReference"/>
          <w:rFonts w:ascii="Times New Roman" w:hAnsi="Times New Roman"/>
          <w:bCs/>
          <w:color w:val="auto"/>
          <w:sz w:val="24"/>
          <w:szCs w:val="24"/>
        </w:rPr>
        <w:footnoteReference w:id="15"/>
      </w:r>
      <w:r w:rsidR="004B76BC">
        <w:rPr>
          <w:rFonts w:ascii="Times New Roman" w:hAnsi="Times New Roman"/>
          <w:bCs/>
          <w:color w:val="auto"/>
          <w:sz w:val="24"/>
          <w:szCs w:val="24"/>
        </w:rPr>
        <w:t xml:space="preserve"> This pulls Chankillo out of isolation and into the context of an existing cultural corpus.</w:t>
      </w:r>
    </w:p>
    <w:p w14:paraId="0BCCEF8B" w14:textId="500E592D" w:rsidR="001425EA" w:rsidRDefault="001425EA" w:rsidP="00F71829">
      <w:pPr>
        <w:pStyle w:val="NormalWeb"/>
        <w:spacing w:before="0" w:beforeAutospacing="0" w:after="0" w:afterAutospacing="0"/>
        <w:ind w:right="-334"/>
        <w:jc w:val="both"/>
        <w:rPr>
          <w:rFonts w:ascii="Times New Roman" w:hAnsi="Times New Roman"/>
          <w:bCs/>
          <w:color w:val="auto"/>
          <w:sz w:val="24"/>
          <w:szCs w:val="24"/>
        </w:rPr>
      </w:pPr>
    </w:p>
    <w:p w14:paraId="5C6137BA" w14:textId="45240936" w:rsidR="001425EA" w:rsidRPr="008E613B" w:rsidRDefault="000D2EC4" w:rsidP="001425EA">
      <w:pPr>
        <w:pStyle w:val="NormalWeb"/>
        <w:spacing w:before="0" w:beforeAutospacing="0" w:after="0" w:afterAutospacing="0"/>
        <w:ind w:right="-334"/>
        <w:jc w:val="both"/>
        <w:rPr>
          <w:rFonts w:ascii="Times New Roman" w:hAnsi="Times New Roman"/>
          <w:b/>
          <w:bCs/>
          <w:color w:val="auto"/>
          <w:sz w:val="24"/>
          <w:szCs w:val="24"/>
        </w:rPr>
      </w:pPr>
      <w:r w:rsidRPr="008E613B">
        <w:rPr>
          <w:rFonts w:ascii="Times New Roman" w:hAnsi="Times New Roman"/>
          <w:b/>
          <w:bCs/>
          <w:color w:val="auto"/>
          <w:sz w:val="24"/>
          <w:szCs w:val="24"/>
        </w:rPr>
        <w:t>Calendrical Evidence</w:t>
      </w:r>
    </w:p>
    <w:p w14:paraId="7073BF60" w14:textId="6AECB8A8" w:rsidR="00904549" w:rsidRPr="0000019C" w:rsidRDefault="00842460" w:rsidP="0090454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The importance of Chankillo’s space for communal worship</w:t>
      </w:r>
      <w:r w:rsidR="003104BA">
        <w:rPr>
          <w:rFonts w:ascii="Times New Roman" w:hAnsi="Times New Roman"/>
          <w:bCs/>
          <w:color w:val="auto"/>
          <w:sz w:val="24"/>
          <w:szCs w:val="24"/>
        </w:rPr>
        <w:t xml:space="preserve"> as part of a ceremonial calendar</w:t>
      </w:r>
      <w:r>
        <w:rPr>
          <w:rFonts w:ascii="Times New Roman" w:hAnsi="Times New Roman"/>
          <w:bCs/>
          <w:color w:val="auto"/>
          <w:sz w:val="24"/>
          <w:szCs w:val="24"/>
        </w:rPr>
        <w:t xml:space="preserve"> is underlined in both papers, although the hypotheses drawn from this significance </w:t>
      </w:r>
      <w:r w:rsidR="007F61AD">
        <w:rPr>
          <w:rFonts w:ascii="Times New Roman" w:hAnsi="Times New Roman"/>
          <w:bCs/>
          <w:color w:val="auto"/>
          <w:sz w:val="24"/>
          <w:szCs w:val="24"/>
        </w:rPr>
        <w:t xml:space="preserve">are </w:t>
      </w:r>
      <w:r>
        <w:rPr>
          <w:rFonts w:ascii="Times New Roman" w:hAnsi="Times New Roman"/>
          <w:bCs/>
          <w:color w:val="auto"/>
          <w:sz w:val="24"/>
          <w:szCs w:val="24"/>
        </w:rPr>
        <w:t>oppositional</w:t>
      </w:r>
      <w:r w:rsidR="00D02427">
        <w:rPr>
          <w:rFonts w:ascii="Times New Roman" w:hAnsi="Times New Roman"/>
          <w:bCs/>
          <w:color w:val="auto"/>
          <w:sz w:val="24"/>
          <w:szCs w:val="24"/>
        </w:rPr>
        <w:t>.</w:t>
      </w:r>
      <w:r w:rsidR="003104BA">
        <w:rPr>
          <w:rFonts w:ascii="Times New Roman" w:hAnsi="Times New Roman"/>
          <w:bCs/>
          <w:color w:val="auto"/>
          <w:sz w:val="24"/>
          <w:szCs w:val="24"/>
        </w:rPr>
        <w:t xml:space="preserve"> Ghezzi and Ruggles understand the calendar to be solar, whilst Malville’s interpretation of the same archaeological evidence p</w:t>
      </w:r>
      <w:r w:rsidR="002F510D">
        <w:rPr>
          <w:rFonts w:ascii="Times New Roman" w:hAnsi="Times New Roman"/>
          <w:bCs/>
          <w:color w:val="auto"/>
          <w:sz w:val="24"/>
          <w:szCs w:val="24"/>
        </w:rPr>
        <w:t xml:space="preserve">refers </w:t>
      </w:r>
      <w:r w:rsidR="0000019C">
        <w:rPr>
          <w:rFonts w:ascii="Times New Roman" w:hAnsi="Times New Roman"/>
          <w:bCs/>
          <w:color w:val="auto"/>
          <w:sz w:val="24"/>
          <w:szCs w:val="24"/>
        </w:rPr>
        <w:t>a lunar call to ritual (yet is not convinced by any ‘meaningful’ calendar, solar or lunar)</w:t>
      </w:r>
      <w:r w:rsidR="003104BA">
        <w:rPr>
          <w:rFonts w:ascii="Times New Roman" w:hAnsi="Times New Roman"/>
          <w:bCs/>
          <w:color w:val="auto"/>
          <w:sz w:val="24"/>
          <w:szCs w:val="24"/>
        </w:rPr>
        <w:t>.</w:t>
      </w:r>
      <w:r w:rsidR="003104BA">
        <w:rPr>
          <w:rStyle w:val="FootnoteReference"/>
          <w:rFonts w:ascii="Times New Roman" w:hAnsi="Times New Roman"/>
          <w:bCs/>
          <w:color w:val="auto"/>
          <w:sz w:val="24"/>
          <w:szCs w:val="24"/>
        </w:rPr>
        <w:footnoteReference w:id="16"/>
      </w:r>
      <w:r w:rsidR="003104BA">
        <w:rPr>
          <w:rFonts w:ascii="Times New Roman" w:hAnsi="Times New Roman"/>
          <w:bCs/>
          <w:i/>
          <w:color w:val="auto"/>
          <w:sz w:val="24"/>
          <w:szCs w:val="24"/>
        </w:rPr>
        <w:t xml:space="preserve"> </w:t>
      </w:r>
      <w:r w:rsidR="00904549" w:rsidRPr="007C1D42">
        <w:rPr>
          <w:rFonts w:ascii="Times New Roman" w:hAnsi="Times New Roman"/>
          <w:bCs/>
          <w:i/>
          <w:color w:val="auto"/>
          <w:sz w:val="24"/>
          <w:szCs w:val="24"/>
        </w:rPr>
        <w:t xml:space="preserve">Spondylus </w:t>
      </w:r>
      <w:r w:rsidR="00904549" w:rsidRPr="007C1D42">
        <w:rPr>
          <w:rFonts w:ascii="Times New Roman" w:hAnsi="Times New Roman"/>
          <w:bCs/>
          <w:color w:val="auto"/>
          <w:sz w:val="24"/>
          <w:szCs w:val="24"/>
        </w:rPr>
        <w:t>shells</w:t>
      </w:r>
      <w:r w:rsidR="007C1D42" w:rsidRPr="007C1D42">
        <w:rPr>
          <w:rFonts w:ascii="Times New Roman" w:hAnsi="Times New Roman"/>
          <w:bCs/>
          <w:color w:val="auto"/>
          <w:sz w:val="24"/>
          <w:szCs w:val="24"/>
        </w:rPr>
        <w:t xml:space="preserve"> </w:t>
      </w:r>
      <w:r w:rsidR="00904549" w:rsidRPr="007C1D42">
        <w:rPr>
          <w:rFonts w:ascii="Times New Roman" w:hAnsi="Times New Roman"/>
          <w:bCs/>
          <w:color w:val="auto"/>
          <w:sz w:val="24"/>
          <w:szCs w:val="24"/>
        </w:rPr>
        <w:t>are acknowledged as part of Chankillo’s archaeological record in both papers</w:t>
      </w:r>
      <w:r w:rsidR="003104BA" w:rsidRPr="007C1D42">
        <w:rPr>
          <w:rFonts w:ascii="Times New Roman" w:hAnsi="Times New Roman"/>
          <w:bCs/>
          <w:color w:val="auto"/>
          <w:sz w:val="24"/>
          <w:szCs w:val="24"/>
        </w:rPr>
        <w:t xml:space="preserve">, but are used as indications for different </w:t>
      </w:r>
      <w:r w:rsidR="00800374" w:rsidRPr="007C1D42">
        <w:rPr>
          <w:rFonts w:ascii="Times New Roman" w:hAnsi="Times New Roman"/>
          <w:bCs/>
          <w:color w:val="auto"/>
          <w:sz w:val="24"/>
          <w:szCs w:val="24"/>
        </w:rPr>
        <w:t>theories</w:t>
      </w:r>
      <w:r w:rsidR="00904549" w:rsidRPr="007C1D42">
        <w:rPr>
          <w:rFonts w:ascii="Times New Roman" w:hAnsi="Times New Roman"/>
          <w:bCs/>
          <w:color w:val="auto"/>
          <w:sz w:val="24"/>
          <w:szCs w:val="24"/>
        </w:rPr>
        <w:t>.</w:t>
      </w:r>
      <w:r w:rsidR="00904549" w:rsidRPr="007C1D42">
        <w:rPr>
          <w:rStyle w:val="FootnoteReference"/>
          <w:rFonts w:ascii="Times New Roman" w:hAnsi="Times New Roman"/>
          <w:bCs/>
          <w:color w:val="auto"/>
          <w:sz w:val="24"/>
          <w:szCs w:val="24"/>
        </w:rPr>
        <w:footnoteReference w:id="17"/>
      </w:r>
      <w:r w:rsidR="00904549">
        <w:rPr>
          <w:rFonts w:ascii="Times New Roman" w:hAnsi="Times New Roman"/>
          <w:bCs/>
          <w:color w:val="auto"/>
          <w:sz w:val="24"/>
          <w:szCs w:val="24"/>
        </w:rPr>
        <w:t xml:space="preserve"> Malville </w:t>
      </w:r>
      <w:r w:rsidR="00CC413D">
        <w:rPr>
          <w:rFonts w:ascii="Times New Roman" w:hAnsi="Times New Roman"/>
          <w:bCs/>
          <w:color w:val="auto"/>
          <w:sz w:val="24"/>
          <w:szCs w:val="24"/>
        </w:rPr>
        <w:t>references them</w:t>
      </w:r>
      <w:r w:rsidR="00904549">
        <w:rPr>
          <w:rFonts w:ascii="Times New Roman" w:hAnsi="Times New Roman"/>
          <w:bCs/>
          <w:color w:val="auto"/>
          <w:sz w:val="24"/>
          <w:szCs w:val="24"/>
        </w:rPr>
        <w:t xml:space="preserve"> to support the integration of lunar events within </w:t>
      </w:r>
      <w:r w:rsidR="00383320">
        <w:rPr>
          <w:rFonts w:ascii="Times New Roman" w:hAnsi="Times New Roman"/>
          <w:bCs/>
          <w:color w:val="auto"/>
          <w:sz w:val="24"/>
          <w:szCs w:val="24"/>
        </w:rPr>
        <w:t xml:space="preserve">a </w:t>
      </w:r>
      <w:r w:rsidR="002F510D">
        <w:rPr>
          <w:rFonts w:ascii="Times New Roman" w:hAnsi="Times New Roman"/>
          <w:bCs/>
          <w:color w:val="auto"/>
          <w:sz w:val="24"/>
          <w:szCs w:val="24"/>
        </w:rPr>
        <w:t>ritualistic setting</w:t>
      </w:r>
      <w:r w:rsidR="00904549">
        <w:rPr>
          <w:rFonts w:ascii="Times New Roman" w:hAnsi="Times New Roman"/>
          <w:bCs/>
          <w:color w:val="auto"/>
          <w:sz w:val="24"/>
          <w:szCs w:val="24"/>
        </w:rPr>
        <w:t>: noting that due to the shared culture of Central Andean sites</w:t>
      </w:r>
      <w:r w:rsidR="00383320">
        <w:rPr>
          <w:rFonts w:ascii="Times New Roman" w:hAnsi="Times New Roman"/>
          <w:bCs/>
          <w:color w:val="auto"/>
          <w:sz w:val="24"/>
          <w:szCs w:val="24"/>
        </w:rPr>
        <w:t xml:space="preserve"> the lunar cycle held more critical importance than the solar.</w:t>
      </w:r>
      <w:r w:rsidR="00383320">
        <w:rPr>
          <w:rStyle w:val="FootnoteReference"/>
          <w:rFonts w:ascii="Times New Roman" w:hAnsi="Times New Roman"/>
          <w:bCs/>
          <w:color w:val="auto"/>
          <w:sz w:val="24"/>
          <w:szCs w:val="24"/>
        </w:rPr>
        <w:footnoteReference w:id="18"/>
      </w:r>
      <w:r w:rsidR="00383320">
        <w:rPr>
          <w:rFonts w:ascii="Times New Roman" w:hAnsi="Times New Roman"/>
          <w:bCs/>
          <w:color w:val="auto"/>
          <w:sz w:val="24"/>
          <w:szCs w:val="24"/>
        </w:rPr>
        <w:t xml:space="preserve"> With lives potentially at stake, </w:t>
      </w:r>
      <w:r w:rsidR="00904549">
        <w:rPr>
          <w:rFonts w:ascii="Times New Roman" w:hAnsi="Times New Roman"/>
          <w:bCs/>
          <w:color w:val="auto"/>
          <w:sz w:val="24"/>
          <w:szCs w:val="24"/>
        </w:rPr>
        <w:t xml:space="preserve">‘lunar ceremonialism, partly identified by </w:t>
      </w:r>
      <w:r w:rsidR="00904549" w:rsidRPr="003143A3">
        <w:rPr>
          <w:rFonts w:ascii="Times New Roman" w:hAnsi="Times New Roman"/>
          <w:bCs/>
          <w:i/>
          <w:color w:val="auto"/>
          <w:sz w:val="24"/>
          <w:szCs w:val="24"/>
        </w:rPr>
        <w:t xml:space="preserve">Spondylus </w:t>
      </w:r>
      <w:r w:rsidR="00904549" w:rsidRPr="003143A3">
        <w:rPr>
          <w:rFonts w:ascii="Times New Roman" w:hAnsi="Times New Roman"/>
          <w:bCs/>
          <w:color w:val="auto"/>
          <w:sz w:val="24"/>
          <w:szCs w:val="24"/>
        </w:rPr>
        <w:t>shell</w:t>
      </w:r>
      <w:r w:rsidR="00904549">
        <w:rPr>
          <w:rFonts w:ascii="Times New Roman" w:hAnsi="Times New Roman"/>
          <w:bCs/>
          <w:color w:val="auto"/>
          <w:sz w:val="24"/>
          <w:szCs w:val="24"/>
        </w:rPr>
        <w:t>, developed</w:t>
      </w:r>
      <w:r w:rsidR="00D1594D">
        <w:rPr>
          <w:rFonts w:ascii="Times New Roman" w:hAnsi="Times New Roman"/>
          <w:bCs/>
          <w:color w:val="auto"/>
          <w:sz w:val="24"/>
          <w:szCs w:val="24"/>
        </w:rPr>
        <w:t>’</w:t>
      </w:r>
      <w:r w:rsidR="00904549">
        <w:rPr>
          <w:rFonts w:ascii="Times New Roman" w:hAnsi="Times New Roman"/>
          <w:bCs/>
          <w:color w:val="auto"/>
          <w:sz w:val="24"/>
          <w:szCs w:val="24"/>
        </w:rPr>
        <w:t>.</w:t>
      </w:r>
      <w:r w:rsidR="00904549">
        <w:rPr>
          <w:rStyle w:val="FootnoteReference"/>
          <w:rFonts w:ascii="Times New Roman" w:hAnsi="Times New Roman"/>
          <w:bCs/>
          <w:color w:val="auto"/>
          <w:sz w:val="24"/>
          <w:szCs w:val="24"/>
        </w:rPr>
        <w:footnoteReference w:id="19"/>
      </w:r>
      <w:r w:rsidR="00904549" w:rsidRPr="001425EA">
        <w:rPr>
          <w:rFonts w:ascii="Times New Roman" w:hAnsi="Times New Roman"/>
          <w:bCs/>
          <w:color w:val="auto"/>
          <w:sz w:val="24"/>
          <w:szCs w:val="24"/>
        </w:rPr>
        <w:t xml:space="preserve"> </w:t>
      </w:r>
      <w:r w:rsidR="00904549">
        <w:rPr>
          <w:rFonts w:ascii="Times New Roman" w:hAnsi="Times New Roman"/>
          <w:bCs/>
          <w:color w:val="auto"/>
          <w:sz w:val="24"/>
          <w:szCs w:val="24"/>
        </w:rPr>
        <w:t xml:space="preserve">Ghezzi and Ruggles </w:t>
      </w:r>
      <w:r>
        <w:rPr>
          <w:rFonts w:ascii="Times New Roman" w:hAnsi="Times New Roman"/>
          <w:bCs/>
          <w:color w:val="auto"/>
          <w:sz w:val="24"/>
          <w:szCs w:val="24"/>
        </w:rPr>
        <w:t>use</w:t>
      </w:r>
      <w:r w:rsidR="00904549">
        <w:rPr>
          <w:rFonts w:ascii="Times New Roman" w:hAnsi="Times New Roman"/>
          <w:bCs/>
          <w:color w:val="auto"/>
          <w:sz w:val="24"/>
          <w:szCs w:val="24"/>
        </w:rPr>
        <w:t xml:space="preserve"> the presence of </w:t>
      </w:r>
      <w:r w:rsidR="00B57672">
        <w:rPr>
          <w:rFonts w:ascii="Times New Roman" w:hAnsi="Times New Roman"/>
          <w:bCs/>
          <w:color w:val="auto"/>
          <w:sz w:val="24"/>
          <w:szCs w:val="24"/>
        </w:rPr>
        <w:t>identical</w:t>
      </w:r>
      <w:r w:rsidR="00904549">
        <w:rPr>
          <w:rFonts w:ascii="Times New Roman" w:hAnsi="Times New Roman"/>
          <w:bCs/>
          <w:color w:val="auto"/>
          <w:sz w:val="24"/>
          <w:szCs w:val="24"/>
        </w:rPr>
        <w:t xml:space="preserve"> shells </w:t>
      </w:r>
      <w:r>
        <w:rPr>
          <w:rFonts w:ascii="Times New Roman" w:hAnsi="Times New Roman"/>
          <w:bCs/>
          <w:color w:val="auto"/>
          <w:sz w:val="24"/>
          <w:szCs w:val="24"/>
        </w:rPr>
        <w:t xml:space="preserve">to </w:t>
      </w:r>
      <w:r w:rsidR="00383320">
        <w:rPr>
          <w:rFonts w:ascii="Times New Roman" w:hAnsi="Times New Roman"/>
          <w:bCs/>
          <w:color w:val="auto"/>
          <w:sz w:val="24"/>
          <w:szCs w:val="24"/>
        </w:rPr>
        <w:t xml:space="preserve">suggest that Chankillo’s plazas </w:t>
      </w:r>
      <w:r w:rsidR="00F92292">
        <w:rPr>
          <w:rFonts w:ascii="Times New Roman" w:hAnsi="Times New Roman"/>
          <w:bCs/>
          <w:color w:val="auto"/>
          <w:sz w:val="24"/>
          <w:szCs w:val="24"/>
        </w:rPr>
        <w:t>cradled the crowds gathered to observe</w:t>
      </w:r>
      <w:r w:rsidR="00904549">
        <w:rPr>
          <w:rFonts w:ascii="Times New Roman" w:hAnsi="Times New Roman"/>
          <w:bCs/>
          <w:color w:val="auto"/>
          <w:sz w:val="24"/>
          <w:szCs w:val="24"/>
        </w:rPr>
        <w:t xml:space="preserve"> </w:t>
      </w:r>
      <w:r w:rsidR="004E722A">
        <w:rPr>
          <w:rFonts w:ascii="Times New Roman" w:hAnsi="Times New Roman"/>
          <w:bCs/>
          <w:color w:val="auto"/>
          <w:sz w:val="24"/>
          <w:szCs w:val="24"/>
        </w:rPr>
        <w:t>rituals</w:t>
      </w:r>
      <w:r w:rsidR="006576F7">
        <w:rPr>
          <w:rFonts w:ascii="Times New Roman" w:hAnsi="Times New Roman"/>
          <w:bCs/>
          <w:color w:val="auto"/>
          <w:sz w:val="24"/>
          <w:szCs w:val="24"/>
        </w:rPr>
        <w:t xml:space="preserve"> happening ‘</w:t>
      </w:r>
      <w:r w:rsidR="00904549">
        <w:rPr>
          <w:rFonts w:ascii="Times New Roman" w:hAnsi="Times New Roman"/>
          <w:bCs/>
          <w:color w:val="auto"/>
          <w:sz w:val="24"/>
          <w:szCs w:val="24"/>
        </w:rPr>
        <w:t>according to a ceremonial</w:t>
      </w:r>
      <w:r w:rsidR="003104BA">
        <w:rPr>
          <w:rFonts w:ascii="Times New Roman" w:hAnsi="Times New Roman"/>
          <w:bCs/>
          <w:color w:val="auto"/>
          <w:sz w:val="24"/>
          <w:szCs w:val="24"/>
        </w:rPr>
        <w:t xml:space="preserve"> </w:t>
      </w:r>
      <w:r w:rsidR="00904549">
        <w:rPr>
          <w:rFonts w:ascii="Times New Roman" w:hAnsi="Times New Roman"/>
          <w:bCs/>
          <w:color w:val="auto"/>
          <w:sz w:val="24"/>
          <w:szCs w:val="24"/>
        </w:rPr>
        <w:t>calendar’</w:t>
      </w:r>
      <w:r w:rsidR="00D1594D">
        <w:rPr>
          <w:rFonts w:ascii="Times New Roman" w:hAnsi="Times New Roman"/>
          <w:bCs/>
          <w:color w:val="auto"/>
          <w:sz w:val="24"/>
          <w:szCs w:val="24"/>
        </w:rPr>
        <w:t xml:space="preserve">, specifically </w:t>
      </w:r>
      <w:r w:rsidR="008376CA">
        <w:rPr>
          <w:rFonts w:ascii="Times New Roman" w:hAnsi="Times New Roman"/>
          <w:bCs/>
          <w:color w:val="auto"/>
          <w:sz w:val="24"/>
          <w:szCs w:val="24"/>
        </w:rPr>
        <w:t xml:space="preserve">a </w:t>
      </w:r>
      <w:r w:rsidR="00D1594D">
        <w:rPr>
          <w:rFonts w:ascii="Times New Roman" w:hAnsi="Times New Roman"/>
          <w:bCs/>
          <w:color w:val="auto"/>
          <w:sz w:val="24"/>
          <w:szCs w:val="24"/>
        </w:rPr>
        <w:t>‘ritual calendar, defined by the systematic observation of the seasonal passage of the sun’</w:t>
      </w:r>
      <w:r w:rsidR="00904549">
        <w:rPr>
          <w:rFonts w:ascii="Times New Roman" w:hAnsi="Times New Roman"/>
          <w:bCs/>
          <w:color w:val="auto"/>
          <w:sz w:val="24"/>
          <w:szCs w:val="24"/>
        </w:rPr>
        <w:t>.</w:t>
      </w:r>
      <w:r w:rsidR="00904549">
        <w:rPr>
          <w:rStyle w:val="FootnoteReference"/>
          <w:rFonts w:ascii="Times New Roman" w:hAnsi="Times New Roman"/>
          <w:bCs/>
          <w:color w:val="auto"/>
          <w:sz w:val="24"/>
          <w:szCs w:val="24"/>
        </w:rPr>
        <w:footnoteReference w:id="20"/>
      </w:r>
      <w:r w:rsidR="00904549">
        <w:rPr>
          <w:rFonts w:ascii="Times New Roman" w:hAnsi="Times New Roman"/>
          <w:bCs/>
          <w:color w:val="auto"/>
          <w:sz w:val="24"/>
          <w:szCs w:val="24"/>
        </w:rPr>
        <w:t xml:space="preserve"> </w:t>
      </w:r>
    </w:p>
    <w:p w14:paraId="3701937A" w14:textId="77777777" w:rsidR="001425EA" w:rsidRDefault="001425EA" w:rsidP="001425EA">
      <w:pPr>
        <w:pStyle w:val="NormalWeb"/>
        <w:spacing w:before="0" w:beforeAutospacing="0" w:after="0" w:afterAutospacing="0"/>
        <w:ind w:right="-334"/>
        <w:jc w:val="both"/>
        <w:rPr>
          <w:rFonts w:ascii="Times New Roman" w:hAnsi="Times New Roman"/>
          <w:bCs/>
          <w:color w:val="auto"/>
          <w:sz w:val="24"/>
          <w:szCs w:val="24"/>
        </w:rPr>
      </w:pPr>
    </w:p>
    <w:p w14:paraId="3E8150F9" w14:textId="7F3F7660" w:rsidR="001425EA" w:rsidRPr="001E1F70" w:rsidRDefault="00C973AC" w:rsidP="00C973AC">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All three scholars agree that the June solstice’s sunset over Tower 13 would give ample scope for a community to join together and celebrate</w:t>
      </w:r>
      <w:r w:rsidR="00817C39">
        <w:rPr>
          <w:rFonts w:ascii="Times New Roman" w:hAnsi="Times New Roman"/>
          <w:bCs/>
          <w:color w:val="auto"/>
          <w:sz w:val="24"/>
          <w:szCs w:val="24"/>
        </w:rPr>
        <w:t xml:space="preserve"> the event</w:t>
      </w:r>
      <w:r>
        <w:rPr>
          <w:rFonts w:ascii="Times New Roman" w:hAnsi="Times New Roman"/>
          <w:bCs/>
          <w:color w:val="auto"/>
          <w:sz w:val="24"/>
          <w:szCs w:val="24"/>
        </w:rPr>
        <w:t xml:space="preserve"> in the eastern plaza.</w:t>
      </w:r>
      <w:r w:rsidRPr="003504BD">
        <w:rPr>
          <w:rStyle w:val="FootnoteReference"/>
          <w:rFonts w:ascii="Times New Roman" w:hAnsi="Times New Roman"/>
          <w:bCs/>
          <w:color w:val="auto"/>
          <w:sz w:val="24"/>
          <w:szCs w:val="24"/>
        </w:rPr>
        <w:footnoteReference w:id="21"/>
      </w:r>
      <w:r>
        <w:rPr>
          <w:rFonts w:ascii="Times New Roman" w:hAnsi="Times New Roman"/>
          <w:bCs/>
          <w:color w:val="auto"/>
          <w:sz w:val="24"/>
          <w:szCs w:val="24"/>
        </w:rPr>
        <w:t xml:space="preserve"> </w:t>
      </w:r>
      <w:r w:rsidR="009B41D8">
        <w:rPr>
          <w:rFonts w:ascii="Times New Roman" w:hAnsi="Times New Roman"/>
          <w:bCs/>
          <w:color w:val="auto"/>
          <w:sz w:val="24"/>
          <w:szCs w:val="24"/>
        </w:rPr>
        <w:t xml:space="preserve">Ghezzi and Ruggles </w:t>
      </w:r>
      <w:r w:rsidR="00842460">
        <w:rPr>
          <w:rFonts w:ascii="Times New Roman" w:hAnsi="Times New Roman"/>
          <w:bCs/>
          <w:color w:val="auto"/>
          <w:sz w:val="24"/>
          <w:szCs w:val="24"/>
        </w:rPr>
        <w:t>admit that research exploring ‘solar, and possibly lunar, cults’ could be developed at Chankillo, but evidently prefer the former option.</w:t>
      </w:r>
      <w:r w:rsidR="00842460">
        <w:rPr>
          <w:rStyle w:val="FootnoteReference"/>
          <w:rFonts w:ascii="Times New Roman" w:hAnsi="Times New Roman"/>
          <w:bCs/>
          <w:color w:val="auto"/>
          <w:sz w:val="24"/>
          <w:szCs w:val="24"/>
        </w:rPr>
        <w:footnoteReference w:id="22"/>
      </w:r>
      <w:r w:rsidR="00842460">
        <w:rPr>
          <w:rFonts w:ascii="Times New Roman" w:hAnsi="Times New Roman"/>
          <w:bCs/>
          <w:color w:val="auto"/>
          <w:sz w:val="24"/>
          <w:szCs w:val="24"/>
        </w:rPr>
        <w:t xml:space="preserve"> Malville</w:t>
      </w:r>
      <w:r w:rsidR="00FA0729">
        <w:rPr>
          <w:rFonts w:ascii="Times New Roman" w:hAnsi="Times New Roman"/>
          <w:bCs/>
          <w:color w:val="auto"/>
          <w:sz w:val="24"/>
          <w:szCs w:val="24"/>
        </w:rPr>
        <w:t xml:space="preserve"> runs with the latter, envisaging</w:t>
      </w:r>
      <w:r w:rsidR="00842460">
        <w:rPr>
          <w:rFonts w:ascii="Times New Roman" w:hAnsi="Times New Roman"/>
          <w:bCs/>
          <w:color w:val="auto"/>
          <w:sz w:val="24"/>
          <w:szCs w:val="24"/>
        </w:rPr>
        <w:t xml:space="preserve"> </w:t>
      </w:r>
      <w:r>
        <w:rPr>
          <w:rFonts w:ascii="Times New Roman" w:hAnsi="Times New Roman"/>
          <w:bCs/>
          <w:color w:val="auto"/>
          <w:sz w:val="24"/>
          <w:szCs w:val="24"/>
        </w:rPr>
        <w:t xml:space="preserve">the potential for another ceremony on </w:t>
      </w:r>
      <w:r w:rsidR="00842460">
        <w:rPr>
          <w:rFonts w:ascii="Times New Roman" w:hAnsi="Times New Roman"/>
          <w:bCs/>
          <w:color w:val="auto"/>
          <w:sz w:val="24"/>
          <w:szCs w:val="24"/>
        </w:rPr>
        <w:t>the evening of the June solstice</w:t>
      </w:r>
      <w:r>
        <w:rPr>
          <w:rFonts w:ascii="Times New Roman" w:hAnsi="Times New Roman"/>
          <w:bCs/>
          <w:color w:val="auto"/>
          <w:sz w:val="24"/>
          <w:szCs w:val="24"/>
        </w:rPr>
        <w:t xml:space="preserve"> where – lunar cycle permitting – ‘the full moon will be rising’ to the east ‘approximately in line with one’s shadow’, performatively inviting the reader to </w:t>
      </w:r>
      <w:r w:rsidR="00085D23">
        <w:rPr>
          <w:rFonts w:ascii="Times New Roman" w:hAnsi="Times New Roman"/>
          <w:bCs/>
          <w:color w:val="auto"/>
          <w:sz w:val="24"/>
          <w:szCs w:val="24"/>
        </w:rPr>
        <w:t>visualise</w:t>
      </w:r>
      <w:r>
        <w:rPr>
          <w:rFonts w:ascii="Times New Roman" w:hAnsi="Times New Roman"/>
          <w:bCs/>
          <w:color w:val="auto"/>
          <w:sz w:val="24"/>
          <w:szCs w:val="24"/>
        </w:rPr>
        <w:t xml:space="preserve"> themselves as part of this potential set of imagined ceremonies.</w:t>
      </w:r>
      <w:r>
        <w:rPr>
          <w:rStyle w:val="FootnoteReference"/>
          <w:rFonts w:ascii="Times New Roman" w:hAnsi="Times New Roman"/>
          <w:bCs/>
          <w:color w:val="auto"/>
          <w:sz w:val="24"/>
          <w:szCs w:val="24"/>
        </w:rPr>
        <w:footnoteReference w:id="23"/>
      </w:r>
      <w:r w:rsidR="003D355D">
        <w:rPr>
          <w:rFonts w:ascii="Times New Roman" w:hAnsi="Times New Roman"/>
          <w:bCs/>
          <w:color w:val="auto"/>
          <w:sz w:val="24"/>
          <w:szCs w:val="24"/>
        </w:rPr>
        <w:t xml:space="preserve"> </w:t>
      </w:r>
      <w:r w:rsidR="00597BD5">
        <w:rPr>
          <w:rFonts w:ascii="Times New Roman" w:hAnsi="Times New Roman"/>
          <w:bCs/>
          <w:color w:val="auto"/>
          <w:sz w:val="24"/>
          <w:szCs w:val="24"/>
        </w:rPr>
        <w:t>Solstitial c</w:t>
      </w:r>
      <w:r w:rsidR="001E1F70">
        <w:rPr>
          <w:rFonts w:ascii="Times New Roman" w:hAnsi="Times New Roman"/>
          <w:bCs/>
          <w:color w:val="auto"/>
          <w:sz w:val="24"/>
          <w:szCs w:val="24"/>
        </w:rPr>
        <w:t>eremonial gatherings</w:t>
      </w:r>
      <w:r w:rsidR="00563F6A">
        <w:rPr>
          <w:rFonts w:ascii="Times New Roman" w:hAnsi="Times New Roman"/>
          <w:bCs/>
          <w:color w:val="auto"/>
          <w:sz w:val="24"/>
          <w:szCs w:val="24"/>
        </w:rPr>
        <w:t>, then,</w:t>
      </w:r>
      <w:r w:rsidR="001E1F70">
        <w:rPr>
          <w:rFonts w:ascii="Times New Roman" w:hAnsi="Times New Roman"/>
          <w:bCs/>
          <w:color w:val="auto"/>
          <w:sz w:val="24"/>
          <w:szCs w:val="24"/>
        </w:rPr>
        <w:t xml:space="preserve"> are described in each paper</w:t>
      </w:r>
      <w:r w:rsidR="006D6AB9">
        <w:rPr>
          <w:rFonts w:ascii="Times New Roman" w:hAnsi="Times New Roman"/>
          <w:bCs/>
          <w:color w:val="auto"/>
          <w:sz w:val="24"/>
          <w:szCs w:val="24"/>
        </w:rPr>
        <w:t xml:space="preserve"> –</w:t>
      </w:r>
      <w:r w:rsidR="001E1F70">
        <w:rPr>
          <w:rFonts w:ascii="Times New Roman" w:hAnsi="Times New Roman"/>
          <w:bCs/>
          <w:color w:val="auto"/>
          <w:sz w:val="24"/>
          <w:szCs w:val="24"/>
        </w:rPr>
        <w:t xml:space="preserve"> sharing</w:t>
      </w:r>
      <w:r w:rsidR="006D6AB9">
        <w:rPr>
          <w:rFonts w:ascii="Times New Roman" w:hAnsi="Times New Roman"/>
          <w:bCs/>
          <w:color w:val="auto"/>
          <w:sz w:val="24"/>
          <w:szCs w:val="24"/>
        </w:rPr>
        <w:t xml:space="preserve"> </w:t>
      </w:r>
      <w:r w:rsidR="001E1F70">
        <w:rPr>
          <w:rFonts w:ascii="Times New Roman" w:hAnsi="Times New Roman"/>
          <w:bCs/>
          <w:color w:val="auto"/>
          <w:sz w:val="24"/>
          <w:szCs w:val="24"/>
        </w:rPr>
        <w:t>the same setting</w:t>
      </w:r>
      <w:r w:rsidR="006D6AB9">
        <w:rPr>
          <w:rFonts w:ascii="Times New Roman" w:hAnsi="Times New Roman"/>
          <w:bCs/>
          <w:color w:val="auto"/>
          <w:sz w:val="24"/>
          <w:szCs w:val="24"/>
        </w:rPr>
        <w:t>, both</w:t>
      </w:r>
      <w:r w:rsidR="001E1F70">
        <w:rPr>
          <w:rFonts w:ascii="Times New Roman" w:hAnsi="Times New Roman"/>
          <w:bCs/>
          <w:color w:val="auto"/>
          <w:sz w:val="24"/>
          <w:szCs w:val="24"/>
        </w:rPr>
        <w:t xml:space="preserve"> with crowds assembled for calendrical rites</w:t>
      </w:r>
      <w:r w:rsidR="006D6AB9">
        <w:rPr>
          <w:rFonts w:ascii="Times New Roman" w:hAnsi="Times New Roman"/>
          <w:bCs/>
          <w:color w:val="auto"/>
          <w:sz w:val="24"/>
          <w:szCs w:val="24"/>
        </w:rPr>
        <w:t xml:space="preserve"> –</w:t>
      </w:r>
      <w:r w:rsidR="001E1F70">
        <w:rPr>
          <w:rFonts w:ascii="Times New Roman" w:hAnsi="Times New Roman"/>
          <w:bCs/>
          <w:color w:val="auto"/>
          <w:sz w:val="24"/>
          <w:szCs w:val="24"/>
        </w:rPr>
        <w:t xml:space="preserve"> </w:t>
      </w:r>
      <w:r w:rsidR="00563F6A">
        <w:rPr>
          <w:rFonts w:ascii="Times New Roman" w:hAnsi="Times New Roman"/>
          <w:bCs/>
          <w:color w:val="auto"/>
          <w:sz w:val="24"/>
          <w:szCs w:val="24"/>
        </w:rPr>
        <w:t xml:space="preserve">with </w:t>
      </w:r>
      <w:r w:rsidR="00DB0EA7">
        <w:rPr>
          <w:rFonts w:ascii="Times New Roman" w:hAnsi="Times New Roman"/>
          <w:bCs/>
          <w:color w:val="auto"/>
          <w:sz w:val="24"/>
          <w:szCs w:val="24"/>
        </w:rPr>
        <w:t>Ghezzi</w:t>
      </w:r>
      <w:r w:rsidR="006D6AB9">
        <w:rPr>
          <w:rFonts w:ascii="Times New Roman" w:hAnsi="Times New Roman"/>
          <w:bCs/>
          <w:color w:val="auto"/>
          <w:sz w:val="24"/>
          <w:szCs w:val="24"/>
        </w:rPr>
        <w:t xml:space="preserve"> </w:t>
      </w:r>
      <w:r w:rsidR="00DB0EA7">
        <w:rPr>
          <w:rFonts w:ascii="Times New Roman" w:hAnsi="Times New Roman"/>
          <w:bCs/>
          <w:color w:val="auto"/>
          <w:sz w:val="24"/>
          <w:szCs w:val="24"/>
        </w:rPr>
        <w:t>and Ruggles underlin</w:t>
      </w:r>
      <w:r w:rsidR="00563F6A">
        <w:rPr>
          <w:rFonts w:ascii="Times New Roman" w:hAnsi="Times New Roman"/>
          <w:bCs/>
          <w:color w:val="auto"/>
          <w:sz w:val="24"/>
          <w:szCs w:val="24"/>
        </w:rPr>
        <w:t>ing</w:t>
      </w:r>
      <w:r w:rsidR="00DB0EA7">
        <w:rPr>
          <w:rFonts w:ascii="Times New Roman" w:hAnsi="Times New Roman"/>
          <w:bCs/>
          <w:color w:val="auto"/>
          <w:sz w:val="24"/>
          <w:szCs w:val="24"/>
        </w:rPr>
        <w:t xml:space="preserve"> the ‘systematic’ nature of the celestial spectacle</w:t>
      </w:r>
      <w:r w:rsidR="00E41A7C">
        <w:rPr>
          <w:rFonts w:ascii="Times New Roman" w:hAnsi="Times New Roman"/>
          <w:bCs/>
          <w:color w:val="auto"/>
          <w:sz w:val="24"/>
          <w:szCs w:val="24"/>
        </w:rPr>
        <w:t xml:space="preserve">, </w:t>
      </w:r>
      <w:r w:rsidR="00563F6A">
        <w:rPr>
          <w:rFonts w:ascii="Times New Roman" w:hAnsi="Times New Roman"/>
          <w:bCs/>
          <w:color w:val="auto"/>
          <w:sz w:val="24"/>
          <w:szCs w:val="24"/>
        </w:rPr>
        <w:t xml:space="preserve">and Malville </w:t>
      </w:r>
      <w:r w:rsidR="0083307F">
        <w:rPr>
          <w:rFonts w:ascii="Times New Roman" w:hAnsi="Times New Roman"/>
          <w:bCs/>
          <w:color w:val="auto"/>
          <w:sz w:val="24"/>
          <w:szCs w:val="24"/>
        </w:rPr>
        <w:t>tak</w:t>
      </w:r>
      <w:r w:rsidR="00D80B27">
        <w:rPr>
          <w:rFonts w:ascii="Times New Roman" w:hAnsi="Times New Roman"/>
          <w:bCs/>
          <w:color w:val="auto"/>
          <w:sz w:val="24"/>
          <w:szCs w:val="24"/>
        </w:rPr>
        <w:t>ing</w:t>
      </w:r>
      <w:r w:rsidR="0083307F">
        <w:rPr>
          <w:rFonts w:ascii="Times New Roman" w:hAnsi="Times New Roman"/>
          <w:bCs/>
          <w:color w:val="auto"/>
          <w:sz w:val="24"/>
          <w:szCs w:val="24"/>
        </w:rPr>
        <w:t xml:space="preserve"> a lunar ritual to a personal, shadow-watching, level. The methodological differences employed within each paper thus informs the shaping of theoretical conclusions.  </w:t>
      </w:r>
    </w:p>
    <w:p w14:paraId="33603E55" w14:textId="77777777" w:rsidR="001F3F9A" w:rsidRDefault="001F3F9A" w:rsidP="00C973AC">
      <w:pPr>
        <w:pStyle w:val="NormalWeb"/>
        <w:spacing w:before="0" w:beforeAutospacing="0" w:after="0" w:afterAutospacing="0"/>
        <w:ind w:right="-334"/>
        <w:jc w:val="both"/>
        <w:rPr>
          <w:rFonts w:ascii="Times New Roman" w:hAnsi="Times New Roman"/>
          <w:bCs/>
          <w:i/>
          <w:color w:val="auto"/>
          <w:sz w:val="24"/>
          <w:szCs w:val="24"/>
        </w:rPr>
      </w:pPr>
    </w:p>
    <w:p w14:paraId="6394FC64" w14:textId="5BB2424C" w:rsidR="00D57946" w:rsidRPr="00D57946" w:rsidRDefault="0057238F" w:rsidP="00F71829">
      <w:pPr>
        <w:pStyle w:val="NormalWeb"/>
        <w:spacing w:before="0" w:beforeAutospacing="0" w:after="0" w:afterAutospacing="0"/>
        <w:ind w:right="-334"/>
        <w:jc w:val="both"/>
        <w:rPr>
          <w:rFonts w:ascii="Times New Roman" w:hAnsi="Times New Roman"/>
          <w:b/>
          <w:bCs/>
          <w:color w:val="auto"/>
          <w:sz w:val="24"/>
          <w:szCs w:val="24"/>
        </w:rPr>
      </w:pPr>
      <w:r>
        <w:rPr>
          <w:rFonts w:ascii="Times New Roman" w:hAnsi="Times New Roman"/>
          <w:b/>
          <w:bCs/>
          <w:color w:val="auto"/>
          <w:sz w:val="24"/>
          <w:szCs w:val="24"/>
        </w:rPr>
        <w:t>Overall Interpretations</w:t>
      </w:r>
    </w:p>
    <w:p w14:paraId="719B90FA" w14:textId="24250369" w:rsidR="007A7D2F" w:rsidRDefault="007A7D2F" w:rsidP="007A7D2F">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Under Malville’s direction, merely reading about Chankillo verges on the ritualistic with his language as performative as that which he seeks to describe. The use of implied invitations to </w:t>
      </w:r>
      <w:r>
        <w:rPr>
          <w:rFonts w:ascii="Times New Roman" w:hAnsi="Times New Roman"/>
          <w:bCs/>
          <w:color w:val="auto"/>
          <w:sz w:val="24"/>
          <w:szCs w:val="24"/>
        </w:rPr>
        <w:lastRenderedPageBreak/>
        <w:t>visualise ‘the opening of the stairway [as being] compelling and monumental’ to the extent that ‘One does not know what lies on top or beyond’</w:t>
      </w:r>
      <w:r w:rsidRPr="00123B1E">
        <w:rPr>
          <w:rFonts w:ascii="Times New Roman" w:hAnsi="Times New Roman"/>
          <w:bCs/>
          <w:color w:val="auto"/>
          <w:sz w:val="24"/>
          <w:szCs w:val="24"/>
        </w:rPr>
        <w:t xml:space="preserve"> </w:t>
      </w:r>
      <w:r>
        <w:rPr>
          <w:rFonts w:ascii="Times New Roman" w:hAnsi="Times New Roman"/>
          <w:bCs/>
          <w:color w:val="auto"/>
          <w:sz w:val="24"/>
          <w:szCs w:val="24"/>
        </w:rPr>
        <w:t>makes the reading experience particularly participatory.</w:t>
      </w:r>
      <w:r>
        <w:rPr>
          <w:rStyle w:val="FootnoteReference"/>
          <w:rFonts w:ascii="Times New Roman" w:hAnsi="Times New Roman"/>
          <w:bCs/>
          <w:color w:val="auto"/>
          <w:sz w:val="24"/>
          <w:szCs w:val="24"/>
        </w:rPr>
        <w:footnoteReference w:id="24"/>
      </w:r>
      <w:r w:rsidR="00634E05">
        <w:rPr>
          <w:rFonts w:ascii="Times New Roman" w:hAnsi="Times New Roman"/>
          <w:bCs/>
          <w:color w:val="auto"/>
          <w:sz w:val="24"/>
          <w:szCs w:val="24"/>
        </w:rPr>
        <w:t xml:space="preserve"> Comparisons are drawn by Malville between Chankillo’s staircases and those at Chavín, wh</w:t>
      </w:r>
      <w:r w:rsidR="00DD2A41">
        <w:rPr>
          <w:rFonts w:ascii="Times New Roman" w:hAnsi="Times New Roman"/>
          <w:bCs/>
          <w:color w:val="auto"/>
          <w:sz w:val="24"/>
          <w:szCs w:val="24"/>
        </w:rPr>
        <w:t xml:space="preserve">ere staircases could have been instrumental in creating ‘a world apart from normal experience’ </w:t>
      </w:r>
      <w:r w:rsidR="00DD2A41">
        <w:rPr>
          <w:rStyle w:val="FootnoteReference"/>
          <w:rFonts w:ascii="Times New Roman" w:hAnsi="Times New Roman"/>
          <w:bCs/>
          <w:color w:val="auto"/>
          <w:sz w:val="24"/>
          <w:szCs w:val="24"/>
        </w:rPr>
        <w:footnoteReference w:id="25"/>
      </w:r>
      <w:r w:rsidR="00E32152">
        <w:rPr>
          <w:rFonts w:ascii="Times New Roman" w:hAnsi="Times New Roman"/>
          <w:bCs/>
          <w:color w:val="auto"/>
          <w:sz w:val="24"/>
          <w:szCs w:val="24"/>
        </w:rPr>
        <w:t xml:space="preserve"> At Chankillo, Malville notes that ‘Each successive tower carries one from the terrestrial to the solar realm’ until one stands parallel with ‘the solar axis’.</w:t>
      </w:r>
      <w:r w:rsidR="00E32152">
        <w:rPr>
          <w:rStyle w:val="FootnoteReference"/>
          <w:rFonts w:ascii="Times New Roman" w:hAnsi="Times New Roman"/>
          <w:bCs/>
          <w:color w:val="auto"/>
          <w:sz w:val="24"/>
          <w:szCs w:val="24"/>
        </w:rPr>
        <w:footnoteReference w:id="26"/>
      </w:r>
      <w:r w:rsidR="00D32644">
        <w:rPr>
          <w:rFonts w:ascii="Times New Roman" w:hAnsi="Times New Roman"/>
          <w:bCs/>
          <w:color w:val="auto"/>
          <w:sz w:val="24"/>
          <w:szCs w:val="24"/>
        </w:rPr>
        <w:t xml:space="preserve"> Malville’s culturally-motivated methodology </w:t>
      </w:r>
      <w:r w:rsidR="00905BC4">
        <w:rPr>
          <w:rFonts w:ascii="Times New Roman" w:hAnsi="Times New Roman"/>
          <w:bCs/>
          <w:color w:val="auto"/>
          <w:sz w:val="24"/>
          <w:szCs w:val="24"/>
        </w:rPr>
        <w:t xml:space="preserve">goes further, </w:t>
      </w:r>
      <w:r w:rsidR="00D32644">
        <w:rPr>
          <w:rFonts w:ascii="Times New Roman" w:hAnsi="Times New Roman"/>
          <w:bCs/>
          <w:color w:val="auto"/>
          <w:sz w:val="24"/>
          <w:szCs w:val="24"/>
        </w:rPr>
        <w:t>recognis</w:t>
      </w:r>
      <w:r w:rsidR="00905BC4">
        <w:rPr>
          <w:rFonts w:ascii="Times New Roman" w:hAnsi="Times New Roman"/>
          <w:bCs/>
          <w:color w:val="auto"/>
          <w:sz w:val="24"/>
          <w:szCs w:val="24"/>
        </w:rPr>
        <w:t xml:space="preserve">ing </w:t>
      </w:r>
      <w:r w:rsidR="00300C77">
        <w:rPr>
          <w:rFonts w:ascii="Times New Roman" w:hAnsi="Times New Roman"/>
          <w:bCs/>
          <w:color w:val="auto"/>
          <w:sz w:val="24"/>
          <w:szCs w:val="24"/>
        </w:rPr>
        <w:t xml:space="preserve">and recounting </w:t>
      </w:r>
      <w:r w:rsidR="00905BC4">
        <w:rPr>
          <w:rFonts w:ascii="Times New Roman" w:hAnsi="Times New Roman"/>
          <w:bCs/>
          <w:color w:val="auto"/>
          <w:sz w:val="24"/>
          <w:szCs w:val="24"/>
        </w:rPr>
        <w:t>Tello’s</w:t>
      </w:r>
      <w:r w:rsidR="00D32644">
        <w:rPr>
          <w:rFonts w:ascii="Times New Roman" w:hAnsi="Times New Roman"/>
          <w:bCs/>
          <w:color w:val="auto"/>
          <w:sz w:val="24"/>
          <w:szCs w:val="24"/>
        </w:rPr>
        <w:t xml:space="preserve"> anthropological insight</w:t>
      </w:r>
      <w:r w:rsidR="00905BC4">
        <w:rPr>
          <w:rFonts w:ascii="Times New Roman" w:hAnsi="Times New Roman"/>
          <w:bCs/>
          <w:color w:val="auto"/>
          <w:sz w:val="24"/>
          <w:szCs w:val="24"/>
        </w:rPr>
        <w:t xml:space="preserve"> </w:t>
      </w:r>
      <w:r w:rsidR="00383E8B">
        <w:rPr>
          <w:rFonts w:ascii="Times New Roman" w:hAnsi="Times New Roman"/>
          <w:bCs/>
          <w:color w:val="auto"/>
          <w:sz w:val="24"/>
          <w:szCs w:val="24"/>
        </w:rPr>
        <w:t xml:space="preserve">regarding shamans </w:t>
      </w:r>
      <w:r w:rsidR="00905BC4">
        <w:rPr>
          <w:rFonts w:ascii="Times New Roman" w:hAnsi="Times New Roman"/>
          <w:bCs/>
          <w:color w:val="auto"/>
          <w:sz w:val="24"/>
          <w:szCs w:val="24"/>
        </w:rPr>
        <w:t>before concluding that</w:t>
      </w:r>
      <w:r w:rsidR="00D32644">
        <w:rPr>
          <w:rFonts w:ascii="Times New Roman" w:hAnsi="Times New Roman"/>
          <w:bCs/>
          <w:color w:val="auto"/>
          <w:sz w:val="24"/>
          <w:szCs w:val="24"/>
        </w:rPr>
        <w:t xml:space="preserve"> stairways</w:t>
      </w:r>
      <w:r w:rsidR="00905BC4">
        <w:rPr>
          <w:rFonts w:ascii="Times New Roman" w:hAnsi="Times New Roman"/>
          <w:bCs/>
          <w:color w:val="auto"/>
          <w:sz w:val="24"/>
          <w:szCs w:val="24"/>
        </w:rPr>
        <w:t xml:space="preserve"> were the Central Andean</w:t>
      </w:r>
      <w:r w:rsidR="00D32644">
        <w:rPr>
          <w:rFonts w:ascii="Times New Roman" w:hAnsi="Times New Roman"/>
          <w:bCs/>
          <w:color w:val="auto"/>
          <w:sz w:val="24"/>
          <w:szCs w:val="24"/>
        </w:rPr>
        <w:t xml:space="preserve"> ‘routes of ritual ascent’</w:t>
      </w:r>
      <w:r w:rsidR="00905BC4">
        <w:rPr>
          <w:rFonts w:ascii="Times New Roman" w:hAnsi="Times New Roman"/>
          <w:bCs/>
          <w:color w:val="auto"/>
          <w:sz w:val="24"/>
          <w:szCs w:val="24"/>
        </w:rPr>
        <w:t>.</w:t>
      </w:r>
      <w:r w:rsidR="00905BC4">
        <w:rPr>
          <w:rStyle w:val="FootnoteReference"/>
          <w:rFonts w:ascii="Times New Roman" w:hAnsi="Times New Roman"/>
          <w:bCs/>
          <w:color w:val="auto"/>
          <w:sz w:val="24"/>
          <w:szCs w:val="24"/>
        </w:rPr>
        <w:footnoteReference w:id="27"/>
      </w:r>
      <w:r w:rsidR="00905BC4">
        <w:rPr>
          <w:rFonts w:ascii="Times New Roman" w:hAnsi="Times New Roman"/>
          <w:bCs/>
          <w:color w:val="auto"/>
          <w:sz w:val="24"/>
          <w:szCs w:val="24"/>
        </w:rPr>
        <w:t xml:space="preserve"> The Thirteen Towers, then, with their many staircases seem to be interpreted by Malville as structural manifestations of the site’s ritualistic purpose.</w:t>
      </w:r>
    </w:p>
    <w:p w14:paraId="6625B826" w14:textId="77777777" w:rsidR="007A7D2F" w:rsidRDefault="007A7D2F" w:rsidP="007A7D2F">
      <w:pPr>
        <w:pStyle w:val="NormalWeb"/>
        <w:spacing w:before="0" w:beforeAutospacing="0" w:after="0" w:afterAutospacing="0"/>
        <w:ind w:right="-334"/>
        <w:jc w:val="both"/>
        <w:rPr>
          <w:rFonts w:ascii="Times New Roman" w:hAnsi="Times New Roman"/>
          <w:bCs/>
          <w:color w:val="auto"/>
          <w:sz w:val="24"/>
          <w:szCs w:val="24"/>
        </w:rPr>
      </w:pPr>
    </w:p>
    <w:p w14:paraId="573656BC" w14:textId="410EF3D9" w:rsidR="00FA0729" w:rsidRDefault="008D0811" w:rsidP="00F7182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In line with their methodological approach, Ghezzi and Ruggles use scientific structure and mathematical forms throughout their paper</w:t>
      </w:r>
      <w:r w:rsidR="0030427E">
        <w:rPr>
          <w:rFonts w:ascii="Times New Roman" w:hAnsi="Times New Roman"/>
          <w:bCs/>
          <w:color w:val="auto"/>
          <w:sz w:val="24"/>
          <w:szCs w:val="24"/>
        </w:rPr>
        <w:t>; particularly in their bullet-point list of GPS results.</w:t>
      </w:r>
      <w:r w:rsidR="0030427E">
        <w:rPr>
          <w:rStyle w:val="FootnoteReference"/>
          <w:rFonts w:ascii="Times New Roman" w:hAnsi="Times New Roman"/>
          <w:bCs/>
          <w:color w:val="auto"/>
          <w:sz w:val="24"/>
          <w:szCs w:val="24"/>
        </w:rPr>
        <w:footnoteReference w:id="28"/>
      </w:r>
      <w:r>
        <w:rPr>
          <w:rFonts w:ascii="Times New Roman" w:hAnsi="Times New Roman"/>
          <w:bCs/>
          <w:color w:val="auto"/>
          <w:sz w:val="24"/>
          <w:szCs w:val="24"/>
        </w:rPr>
        <w:t xml:space="preserve"> </w:t>
      </w:r>
      <w:r w:rsidR="00EB07A0">
        <w:rPr>
          <w:rFonts w:ascii="Times New Roman" w:hAnsi="Times New Roman"/>
          <w:bCs/>
          <w:color w:val="auto"/>
          <w:sz w:val="24"/>
          <w:szCs w:val="24"/>
        </w:rPr>
        <w:t>Based on these results, i</w:t>
      </w:r>
      <w:r w:rsidR="00904549">
        <w:rPr>
          <w:rFonts w:ascii="Times New Roman" w:hAnsi="Times New Roman"/>
          <w:bCs/>
          <w:color w:val="auto"/>
          <w:sz w:val="24"/>
          <w:szCs w:val="24"/>
        </w:rPr>
        <w:t xml:space="preserve">t is </w:t>
      </w:r>
      <w:r w:rsidR="00904549" w:rsidRPr="00015F6B">
        <w:rPr>
          <w:rFonts w:ascii="Times New Roman" w:hAnsi="Times New Roman"/>
          <w:bCs/>
          <w:color w:val="auto"/>
          <w:sz w:val="24"/>
          <w:szCs w:val="24"/>
        </w:rPr>
        <w:t>Ghezzi and Ruggles</w:t>
      </w:r>
      <w:r w:rsidR="00904549">
        <w:rPr>
          <w:rFonts w:ascii="Times New Roman" w:hAnsi="Times New Roman"/>
          <w:bCs/>
          <w:color w:val="auto"/>
          <w:sz w:val="24"/>
          <w:szCs w:val="24"/>
        </w:rPr>
        <w:t>’s position that the Thirteen Towers ‘represent a native form of landscape timekeeping’ that allows even the most casual naked-eye spectator to recognise each day of the year, including ‘all four solstitial rising and setting points’</w:t>
      </w:r>
      <w:r w:rsidR="00E00B28">
        <w:rPr>
          <w:rFonts w:ascii="Times New Roman" w:hAnsi="Times New Roman"/>
          <w:bCs/>
          <w:color w:val="auto"/>
          <w:sz w:val="24"/>
          <w:szCs w:val="24"/>
        </w:rPr>
        <w:t xml:space="preserve"> through the east to west observation of sunrise and sunset.</w:t>
      </w:r>
      <w:r w:rsidR="00904549">
        <w:rPr>
          <w:rStyle w:val="FootnoteReference"/>
          <w:rFonts w:ascii="Times New Roman" w:hAnsi="Times New Roman"/>
          <w:bCs/>
          <w:color w:val="auto"/>
          <w:sz w:val="24"/>
          <w:szCs w:val="24"/>
        </w:rPr>
        <w:footnoteReference w:id="29"/>
      </w:r>
      <w:r w:rsidR="00904549">
        <w:rPr>
          <w:rFonts w:ascii="Times New Roman" w:hAnsi="Times New Roman"/>
          <w:bCs/>
          <w:color w:val="auto"/>
          <w:sz w:val="24"/>
          <w:szCs w:val="24"/>
        </w:rPr>
        <w:t xml:space="preserve"> </w:t>
      </w:r>
      <w:r w:rsidR="00E00B28">
        <w:rPr>
          <w:rFonts w:ascii="Times New Roman" w:hAnsi="Times New Roman"/>
          <w:bCs/>
          <w:color w:val="auto"/>
          <w:sz w:val="24"/>
          <w:szCs w:val="24"/>
        </w:rPr>
        <w:t>Malville strongly opposes this interpretation</w:t>
      </w:r>
      <w:r w:rsidR="00904549">
        <w:rPr>
          <w:rFonts w:ascii="Times New Roman" w:hAnsi="Times New Roman"/>
          <w:bCs/>
          <w:color w:val="auto"/>
          <w:sz w:val="24"/>
          <w:szCs w:val="24"/>
        </w:rPr>
        <w:t xml:space="preserve">: ‘A solar observatory’, </w:t>
      </w:r>
      <w:r w:rsidR="00E00B28">
        <w:rPr>
          <w:rFonts w:ascii="Times New Roman" w:hAnsi="Times New Roman"/>
          <w:bCs/>
          <w:color w:val="auto"/>
          <w:sz w:val="24"/>
          <w:szCs w:val="24"/>
        </w:rPr>
        <w:t xml:space="preserve">he </w:t>
      </w:r>
      <w:r w:rsidR="00904549">
        <w:rPr>
          <w:rFonts w:ascii="Times New Roman" w:hAnsi="Times New Roman"/>
          <w:bCs/>
          <w:color w:val="auto"/>
          <w:sz w:val="24"/>
          <w:szCs w:val="24"/>
        </w:rPr>
        <w:t>states, ‘is not an acknowledged element of Central Andean cosmology’ and if it does</w:t>
      </w:r>
      <w:r w:rsidR="004A6B4F">
        <w:rPr>
          <w:rFonts w:ascii="Times New Roman" w:hAnsi="Times New Roman"/>
          <w:bCs/>
          <w:color w:val="auto"/>
          <w:sz w:val="24"/>
          <w:szCs w:val="24"/>
        </w:rPr>
        <w:t xml:space="preserve"> happen to</w:t>
      </w:r>
      <w:r w:rsidR="00904549">
        <w:rPr>
          <w:rFonts w:ascii="Times New Roman" w:hAnsi="Times New Roman"/>
          <w:bCs/>
          <w:color w:val="auto"/>
          <w:sz w:val="24"/>
          <w:szCs w:val="24"/>
        </w:rPr>
        <w:t xml:space="preserve"> exist at Chankillo, this is merely ‘an unintended </w:t>
      </w:r>
      <w:r w:rsidR="00E00B28">
        <w:rPr>
          <w:rFonts w:ascii="Times New Roman" w:hAnsi="Times New Roman"/>
          <w:bCs/>
          <w:color w:val="auto"/>
          <w:sz w:val="24"/>
          <w:szCs w:val="24"/>
        </w:rPr>
        <w:t>consequence</w:t>
      </w:r>
      <w:r w:rsidR="00904549">
        <w:rPr>
          <w:rFonts w:ascii="Times New Roman" w:hAnsi="Times New Roman"/>
          <w:bCs/>
          <w:color w:val="auto"/>
          <w:sz w:val="24"/>
          <w:szCs w:val="24"/>
        </w:rPr>
        <w:t>’</w:t>
      </w:r>
      <w:r w:rsidR="00E00B28">
        <w:rPr>
          <w:rFonts w:ascii="Times New Roman" w:hAnsi="Times New Roman"/>
          <w:bCs/>
          <w:color w:val="auto"/>
          <w:sz w:val="24"/>
          <w:szCs w:val="24"/>
        </w:rPr>
        <w:t xml:space="preserve"> rather than a designe</w:t>
      </w:r>
      <w:r w:rsidR="008376CA">
        <w:rPr>
          <w:rFonts w:ascii="Times New Roman" w:hAnsi="Times New Roman"/>
          <w:bCs/>
          <w:color w:val="auto"/>
          <w:sz w:val="24"/>
          <w:szCs w:val="24"/>
        </w:rPr>
        <w:t>d</w:t>
      </w:r>
      <w:r w:rsidR="00E00B28">
        <w:rPr>
          <w:rFonts w:ascii="Times New Roman" w:hAnsi="Times New Roman"/>
          <w:bCs/>
          <w:color w:val="auto"/>
          <w:sz w:val="24"/>
          <w:szCs w:val="24"/>
        </w:rPr>
        <w:t xml:space="preserve"> goal</w:t>
      </w:r>
      <w:r w:rsidR="00904549">
        <w:rPr>
          <w:rFonts w:ascii="Times New Roman" w:hAnsi="Times New Roman"/>
          <w:bCs/>
          <w:color w:val="auto"/>
          <w:sz w:val="24"/>
          <w:szCs w:val="24"/>
        </w:rPr>
        <w:t>.</w:t>
      </w:r>
      <w:r w:rsidR="00904549">
        <w:rPr>
          <w:rStyle w:val="FootnoteReference"/>
          <w:rFonts w:ascii="Times New Roman" w:hAnsi="Times New Roman"/>
          <w:bCs/>
          <w:color w:val="auto"/>
          <w:sz w:val="24"/>
          <w:szCs w:val="24"/>
        </w:rPr>
        <w:footnoteReference w:id="30"/>
      </w:r>
      <w:r w:rsidR="008376CA">
        <w:rPr>
          <w:rFonts w:ascii="Times New Roman" w:hAnsi="Times New Roman"/>
          <w:bCs/>
          <w:color w:val="auto"/>
          <w:sz w:val="24"/>
          <w:szCs w:val="24"/>
        </w:rPr>
        <w:t xml:space="preserve"> In fact, Malville offers mathematical evidence to bolster this culturally-based claim: </w:t>
      </w:r>
      <w:r w:rsidR="00745D54">
        <w:rPr>
          <w:rFonts w:ascii="Times New Roman" w:hAnsi="Times New Roman"/>
          <w:bCs/>
          <w:color w:val="auto"/>
          <w:sz w:val="24"/>
          <w:szCs w:val="24"/>
        </w:rPr>
        <w:t>a 3.5</w:t>
      </w:r>
      <w:r w:rsidR="00F61C24">
        <w:rPr>
          <w:rFonts w:ascii="Times New Roman" w:hAnsi="Times New Roman"/>
          <w:bCs/>
          <w:color w:val="auto"/>
          <w:sz w:val="24"/>
          <w:szCs w:val="24"/>
        </w:rPr>
        <w:t xml:space="preserve">˚ </w:t>
      </w:r>
      <w:r w:rsidR="00B129D7">
        <w:rPr>
          <w:rFonts w:ascii="Times New Roman" w:hAnsi="Times New Roman"/>
          <w:bCs/>
          <w:color w:val="auto"/>
          <w:sz w:val="24"/>
          <w:szCs w:val="24"/>
        </w:rPr>
        <w:t>northerly deviance from the centre of Tower 1 for the June solstitial sunrise should have been an ‘unacceptable error’ the construction of a site supposedly adhering to a strict solar calendar.</w:t>
      </w:r>
      <w:r w:rsidR="00B129D7">
        <w:rPr>
          <w:rStyle w:val="FootnoteReference"/>
          <w:rFonts w:ascii="Times New Roman" w:hAnsi="Times New Roman"/>
          <w:bCs/>
          <w:color w:val="auto"/>
          <w:sz w:val="24"/>
          <w:szCs w:val="24"/>
        </w:rPr>
        <w:footnoteReference w:id="31"/>
      </w:r>
      <w:r w:rsidR="00B129D7">
        <w:rPr>
          <w:rFonts w:ascii="Times New Roman" w:hAnsi="Times New Roman"/>
          <w:bCs/>
          <w:color w:val="auto"/>
          <w:sz w:val="24"/>
          <w:szCs w:val="24"/>
        </w:rPr>
        <w:t xml:space="preserve">  </w:t>
      </w:r>
    </w:p>
    <w:p w14:paraId="169D7D7B" w14:textId="32E397C0" w:rsidR="00866F3B" w:rsidRDefault="00866F3B" w:rsidP="00F71829">
      <w:pPr>
        <w:pStyle w:val="NormalWeb"/>
        <w:spacing w:before="0" w:beforeAutospacing="0" w:after="0" w:afterAutospacing="0"/>
        <w:ind w:right="-334"/>
        <w:jc w:val="both"/>
        <w:rPr>
          <w:rFonts w:ascii="Times New Roman" w:hAnsi="Times New Roman"/>
          <w:b/>
          <w:bCs/>
          <w:color w:val="auto"/>
          <w:sz w:val="24"/>
          <w:szCs w:val="24"/>
        </w:rPr>
      </w:pPr>
    </w:p>
    <w:p w14:paraId="4981782B" w14:textId="05EDCF51" w:rsidR="00F74C52" w:rsidRPr="008E613B" w:rsidRDefault="00AE1F2B" w:rsidP="00F74C52">
      <w:pPr>
        <w:pStyle w:val="NormalWeb"/>
        <w:spacing w:before="0" w:beforeAutospacing="0" w:after="0" w:afterAutospacing="0"/>
        <w:ind w:right="-334"/>
        <w:jc w:val="both"/>
        <w:rPr>
          <w:rFonts w:ascii="Times New Roman" w:hAnsi="Times New Roman"/>
          <w:b/>
          <w:bCs/>
          <w:color w:val="auto"/>
          <w:sz w:val="24"/>
          <w:szCs w:val="24"/>
        </w:rPr>
      </w:pPr>
      <w:r w:rsidRPr="008E613B">
        <w:rPr>
          <w:rFonts w:ascii="Times New Roman" w:hAnsi="Times New Roman"/>
          <w:b/>
          <w:bCs/>
          <w:color w:val="auto"/>
          <w:sz w:val="24"/>
          <w:szCs w:val="24"/>
        </w:rPr>
        <w:t>Conclusion</w:t>
      </w:r>
      <w:r w:rsidR="00846BF1" w:rsidRPr="008E613B">
        <w:rPr>
          <w:rFonts w:ascii="Times New Roman" w:hAnsi="Times New Roman"/>
          <w:b/>
          <w:bCs/>
          <w:color w:val="auto"/>
          <w:sz w:val="24"/>
          <w:szCs w:val="24"/>
        </w:rPr>
        <w:t xml:space="preserve"> </w:t>
      </w:r>
    </w:p>
    <w:p w14:paraId="2AECF2DA" w14:textId="737C0D3C" w:rsidR="00C356F4" w:rsidRDefault="00093B4B" w:rsidP="00F74C52">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This essay has thematically reviewed the </w:t>
      </w:r>
      <w:r w:rsidRPr="00093B4B">
        <w:rPr>
          <w:rFonts w:ascii="Times New Roman" w:hAnsi="Times New Roman"/>
          <w:bCs/>
          <w:sz w:val="24"/>
          <w:szCs w:val="24"/>
        </w:rPr>
        <w:t xml:space="preserve">methodologies employed, evidence </w:t>
      </w:r>
      <w:r>
        <w:rPr>
          <w:rFonts w:ascii="Times New Roman" w:hAnsi="Times New Roman"/>
          <w:bCs/>
          <w:sz w:val="24"/>
          <w:szCs w:val="24"/>
        </w:rPr>
        <w:t xml:space="preserve">offered </w:t>
      </w:r>
      <w:r w:rsidRPr="00093B4B">
        <w:rPr>
          <w:rFonts w:ascii="Times New Roman" w:hAnsi="Times New Roman"/>
          <w:bCs/>
          <w:sz w:val="24"/>
          <w:szCs w:val="24"/>
        </w:rPr>
        <w:t xml:space="preserve">of calendrical significance, and conclusions drawn in </w:t>
      </w:r>
      <w:r w:rsidRPr="00605B57">
        <w:rPr>
          <w:rFonts w:ascii="Times New Roman" w:hAnsi="Times New Roman"/>
          <w:bCs/>
          <w:sz w:val="24"/>
          <w:szCs w:val="24"/>
        </w:rPr>
        <w:t>‘The Social and Ritual Context of Horizon Astronomical Observations at Chankillo’</w:t>
      </w:r>
      <w:r>
        <w:rPr>
          <w:rFonts w:ascii="Times New Roman" w:hAnsi="Times New Roman"/>
          <w:bCs/>
          <w:sz w:val="24"/>
          <w:szCs w:val="24"/>
        </w:rPr>
        <w:t xml:space="preserve"> by Iván Ghezzi and Clive L. N. Ruggles, and </w:t>
      </w:r>
      <w:r w:rsidRPr="00605B57">
        <w:rPr>
          <w:rFonts w:ascii="Times New Roman" w:hAnsi="Times New Roman"/>
          <w:bCs/>
          <w:sz w:val="24"/>
          <w:szCs w:val="24"/>
        </w:rPr>
        <w:t>‘Astronomy and Ceremony at Chankillo: an Andean Perspective’</w:t>
      </w:r>
      <w:r>
        <w:rPr>
          <w:rFonts w:ascii="Times New Roman" w:hAnsi="Times New Roman"/>
          <w:bCs/>
          <w:sz w:val="24"/>
          <w:szCs w:val="24"/>
        </w:rPr>
        <w:t xml:space="preserve"> by J. McKim Malville. </w:t>
      </w:r>
      <w:r w:rsidR="00F74C52">
        <w:rPr>
          <w:rFonts w:ascii="Times New Roman" w:hAnsi="Times New Roman"/>
          <w:bCs/>
          <w:color w:val="auto"/>
          <w:sz w:val="24"/>
          <w:szCs w:val="24"/>
        </w:rPr>
        <w:t xml:space="preserve">Whilst the authors of both papers agree that Chankillo appears to have been a significantly ceremonial, ritualistic site whose builders made use of the solar axis, Ghezzi and Ruggles place an importance on the tracking of the solar calendar with which Malville vehemently disagrees. </w:t>
      </w:r>
      <w:r w:rsidR="008E2E16">
        <w:rPr>
          <w:rFonts w:ascii="Times New Roman" w:hAnsi="Times New Roman"/>
          <w:bCs/>
          <w:color w:val="auto"/>
          <w:sz w:val="24"/>
          <w:szCs w:val="24"/>
        </w:rPr>
        <w:t>The methodologies described in each paper to prioritise and shape data into hypotheses represent a merging of ‘brown’ and ‘green’ archaeoastronomy</w:t>
      </w:r>
      <w:r w:rsidR="008E2E16" w:rsidRPr="008E2E16">
        <w:rPr>
          <w:rFonts w:ascii="Times New Roman" w:hAnsi="Times New Roman"/>
          <w:bCs/>
          <w:color w:val="auto"/>
          <w:sz w:val="24"/>
          <w:szCs w:val="24"/>
        </w:rPr>
        <w:t>, although Malville leans more towards the ‘brown’ end of the spectrum, whilst Ghezzi and Ruggles in turn tend to favour ‘green’ archaeoastronomy</w:t>
      </w:r>
      <w:r w:rsidR="008E2E16">
        <w:rPr>
          <w:rFonts w:ascii="Times New Roman" w:hAnsi="Times New Roman"/>
          <w:bCs/>
          <w:color w:val="auto"/>
          <w:sz w:val="24"/>
          <w:szCs w:val="24"/>
        </w:rPr>
        <w:t>.</w:t>
      </w:r>
      <w:r w:rsidR="008E2E16" w:rsidRPr="008E2E16">
        <w:rPr>
          <w:rFonts w:ascii="Times New Roman" w:hAnsi="Times New Roman"/>
          <w:bCs/>
          <w:color w:val="auto"/>
          <w:sz w:val="24"/>
          <w:szCs w:val="24"/>
        </w:rPr>
        <w:t xml:space="preserve"> </w:t>
      </w:r>
      <w:r w:rsidR="00F91FE3">
        <w:rPr>
          <w:rFonts w:ascii="Times New Roman" w:hAnsi="Times New Roman"/>
          <w:bCs/>
          <w:color w:val="auto"/>
          <w:sz w:val="24"/>
          <w:szCs w:val="24"/>
        </w:rPr>
        <w:t xml:space="preserve">Whilst the site (and sight) before all three remains constant, the methodologies applied to collect and connect their observations diverge, allowing for different theories about the </w:t>
      </w:r>
      <w:r w:rsidR="006B6F6F">
        <w:rPr>
          <w:rFonts w:ascii="Times New Roman" w:hAnsi="Times New Roman"/>
          <w:bCs/>
          <w:color w:val="auto"/>
          <w:sz w:val="24"/>
          <w:szCs w:val="24"/>
        </w:rPr>
        <w:t xml:space="preserve">archaeoastronomical significance of </w:t>
      </w:r>
      <w:r w:rsidR="00F91FE3">
        <w:rPr>
          <w:rFonts w:ascii="Times New Roman" w:hAnsi="Times New Roman"/>
          <w:bCs/>
          <w:color w:val="auto"/>
          <w:sz w:val="24"/>
          <w:szCs w:val="24"/>
        </w:rPr>
        <w:t>the Thirteen Towers</w:t>
      </w:r>
      <w:r w:rsidR="006B6F6F">
        <w:rPr>
          <w:rFonts w:ascii="Times New Roman" w:hAnsi="Times New Roman"/>
          <w:bCs/>
          <w:color w:val="auto"/>
          <w:sz w:val="24"/>
          <w:szCs w:val="24"/>
        </w:rPr>
        <w:t xml:space="preserve"> at</w:t>
      </w:r>
      <w:r w:rsidR="00F91FE3">
        <w:rPr>
          <w:rFonts w:ascii="Times New Roman" w:hAnsi="Times New Roman"/>
          <w:bCs/>
          <w:color w:val="auto"/>
          <w:sz w:val="24"/>
          <w:szCs w:val="24"/>
        </w:rPr>
        <w:t xml:space="preserve"> Chankillo</w:t>
      </w:r>
      <w:r w:rsidR="006B6F6F">
        <w:rPr>
          <w:rFonts w:ascii="Times New Roman" w:hAnsi="Times New Roman"/>
          <w:bCs/>
          <w:color w:val="auto"/>
          <w:sz w:val="24"/>
          <w:szCs w:val="24"/>
        </w:rPr>
        <w:t xml:space="preserve"> to </w:t>
      </w:r>
      <w:r w:rsidR="00F91FE3">
        <w:rPr>
          <w:rFonts w:ascii="Times New Roman" w:hAnsi="Times New Roman"/>
          <w:bCs/>
          <w:color w:val="auto"/>
          <w:sz w:val="24"/>
          <w:szCs w:val="24"/>
        </w:rPr>
        <w:t>take shape.</w:t>
      </w:r>
    </w:p>
    <w:p w14:paraId="4C2F8536" w14:textId="77777777" w:rsidR="001E0D0D" w:rsidRDefault="001E0D0D" w:rsidP="00D722CE">
      <w:pPr>
        <w:rPr>
          <w:b/>
        </w:rPr>
      </w:pPr>
    </w:p>
    <w:p w14:paraId="2E87999C" w14:textId="77777777" w:rsidR="001E0D0D" w:rsidRDefault="001E0D0D" w:rsidP="00D722CE">
      <w:pPr>
        <w:rPr>
          <w:b/>
        </w:rPr>
      </w:pPr>
    </w:p>
    <w:p w14:paraId="7D3B08DD" w14:textId="56163F4F" w:rsidR="00D722CE" w:rsidRDefault="00D722CE" w:rsidP="00D722CE">
      <w:pPr>
        <w:rPr>
          <w:b/>
        </w:rPr>
      </w:pPr>
      <w:r>
        <w:rPr>
          <w:b/>
        </w:rPr>
        <w:lastRenderedPageBreak/>
        <w:t>Bibliography</w:t>
      </w:r>
    </w:p>
    <w:p w14:paraId="5CCFFDB8" w14:textId="77777777" w:rsidR="00D722CE" w:rsidRDefault="00D722CE" w:rsidP="00D722CE">
      <w:pPr>
        <w:rPr>
          <w:b/>
        </w:rPr>
      </w:pPr>
    </w:p>
    <w:p w14:paraId="32456A5D" w14:textId="77777777" w:rsidR="00D722CE" w:rsidRDefault="00D722CE" w:rsidP="00D722CE">
      <w:pPr>
        <w:rPr>
          <w:b/>
        </w:rPr>
      </w:pPr>
      <w:r>
        <w:rPr>
          <w:b/>
        </w:rPr>
        <w:t>Primary Sources</w:t>
      </w:r>
    </w:p>
    <w:p w14:paraId="2C0E488E" w14:textId="3AFD5C18" w:rsidR="00D722CE" w:rsidRDefault="00635401" w:rsidP="00D722CE">
      <w:pPr>
        <w:rPr>
          <w:bCs/>
          <w:color w:val="000000" w:themeColor="text1"/>
          <w:lang w:val="en-US"/>
        </w:rPr>
      </w:pPr>
      <w:r>
        <w:rPr>
          <w:bCs/>
          <w:color w:val="000000" w:themeColor="text1"/>
          <w:lang w:val="en-US"/>
        </w:rPr>
        <w:t>Ghezzi, I</w:t>
      </w:r>
      <w:r w:rsidR="00466D96">
        <w:rPr>
          <w:bCs/>
          <w:color w:val="000000" w:themeColor="text1"/>
          <w:lang w:val="en-US"/>
        </w:rPr>
        <w:t>vá</w:t>
      </w:r>
      <w:r>
        <w:rPr>
          <w:bCs/>
          <w:color w:val="000000" w:themeColor="text1"/>
          <w:lang w:val="en-US"/>
        </w:rPr>
        <w:t>n and Clive</w:t>
      </w:r>
      <w:r w:rsidR="00466D96">
        <w:rPr>
          <w:bCs/>
          <w:color w:val="000000" w:themeColor="text1"/>
          <w:lang w:val="en-US"/>
        </w:rPr>
        <w:t xml:space="preserve"> L. N.</w:t>
      </w:r>
      <w:r>
        <w:rPr>
          <w:bCs/>
          <w:color w:val="000000" w:themeColor="text1"/>
          <w:lang w:val="en-US"/>
        </w:rPr>
        <w:t xml:space="preserve"> Ruggles, </w:t>
      </w:r>
      <w:bookmarkStart w:id="8" w:name="_Hlk1289101"/>
      <w:r>
        <w:rPr>
          <w:bCs/>
          <w:color w:val="000000" w:themeColor="text1"/>
          <w:lang w:val="en-US"/>
        </w:rPr>
        <w:t xml:space="preserve">‘The Social and Ritual Context of Horizon Astronomical Observations at Chankillo’ </w:t>
      </w:r>
      <w:bookmarkEnd w:id="8"/>
      <w:r>
        <w:rPr>
          <w:bCs/>
          <w:color w:val="000000" w:themeColor="text1"/>
          <w:lang w:val="en-US"/>
        </w:rPr>
        <w:t>in Clive</w:t>
      </w:r>
      <w:r w:rsidR="00F204AA">
        <w:rPr>
          <w:bCs/>
          <w:color w:val="000000" w:themeColor="text1"/>
          <w:lang w:val="en-US"/>
        </w:rPr>
        <w:t xml:space="preserve"> L. N.</w:t>
      </w:r>
      <w:r>
        <w:rPr>
          <w:bCs/>
          <w:color w:val="000000" w:themeColor="text1"/>
          <w:lang w:val="en-US"/>
        </w:rPr>
        <w:t xml:space="preserve"> Ruggles (ed.) </w:t>
      </w:r>
      <w:bookmarkStart w:id="9" w:name="_Hlk1292210"/>
      <w:r w:rsidRPr="00635401">
        <w:rPr>
          <w:bCs/>
          <w:i/>
          <w:color w:val="000000" w:themeColor="text1"/>
          <w:lang w:val="en-US"/>
        </w:rPr>
        <w:t>“Oxford IX” International Symposium on Archaeoastronomy</w:t>
      </w:r>
      <w:r w:rsidR="006515B5">
        <w:rPr>
          <w:bCs/>
          <w:i/>
          <w:color w:val="000000" w:themeColor="text1"/>
          <w:lang w:val="en-US"/>
        </w:rPr>
        <w:t xml:space="preserve">, </w:t>
      </w:r>
      <w:r w:rsidR="006515B5" w:rsidRPr="006515B5">
        <w:rPr>
          <w:bCs/>
          <w:color w:val="000000" w:themeColor="text1"/>
          <w:lang w:val="en-US"/>
        </w:rPr>
        <w:t>Proceedings IAU Symposium</w:t>
      </w:r>
      <w:r w:rsidR="004D56E8">
        <w:rPr>
          <w:bCs/>
          <w:color w:val="000000" w:themeColor="text1"/>
          <w:lang w:val="en-US"/>
        </w:rPr>
        <w:t xml:space="preserve"> </w:t>
      </w:r>
      <w:r w:rsidR="007F18C3">
        <w:rPr>
          <w:bCs/>
          <w:color w:val="000000" w:themeColor="text1"/>
          <w:lang w:val="en-US"/>
        </w:rPr>
        <w:t>n</w:t>
      </w:r>
      <w:r w:rsidR="004D56E8">
        <w:rPr>
          <w:bCs/>
          <w:color w:val="000000" w:themeColor="text1"/>
          <w:lang w:val="en-US"/>
        </w:rPr>
        <w:t xml:space="preserve">o. 278 </w:t>
      </w:r>
      <w:bookmarkEnd w:id="9"/>
      <w:r>
        <w:rPr>
          <w:bCs/>
          <w:color w:val="000000" w:themeColor="text1"/>
          <w:lang w:val="en-US"/>
        </w:rPr>
        <w:t xml:space="preserve">(2011), 144-153. </w:t>
      </w:r>
    </w:p>
    <w:p w14:paraId="562BEFB1" w14:textId="6E97354F" w:rsidR="00635401" w:rsidRDefault="00635401" w:rsidP="00D722CE">
      <w:pPr>
        <w:rPr>
          <w:bCs/>
          <w:color w:val="000000" w:themeColor="text1"/>
          <w:lang w:val="en-US"/>
        </w:rPr>
      </w:pPr>
    </w:p>
    <w:p w14:paraId="39E51A00" w14:textId="550C796D" w:rsidR="00635401" w:rsidRDefault="00635401" w:rsidP="00D722CE">
      <w:pPr>
        <w:rPr>
          <w:bCs/>
          <w:color w:val="000000" w:themeColor="text1"/>
          <w:lang w:val="en-US"/>
        </w:rPr>
      </w:pPr>
      <w:r>
        <w:rPr>
          <w:bCs/>
          <w:color w:val="000000" w:themeColor="text1"/>
          <w:lang w:val="en-US"/>
        </w:rPr>
        <w:t xml:space="preserve">Malville, </w:t>
      </w:r>
      <w:r w:rsidR="00466D96">
        <w:rPr>
          <w:bCs/>
          <w:color w:val="000000" w:themeColor="text1"/>
          <w:lang w:val="en-US"/>
        </w:rPr>
        <w:t>J. Mc</w:t>
      </w:r>
      <w:r>
        <w:rPr>
          <w:bCs/>
          <w:color w:val="000000" w:themeColor="text1"/>
          <w:lang w:val="en-US"/>
        </w:rPr>
        <w:t xml:space="preserve">Kim, </w:t>
      </w:r>
      <w:bookmarkStart w:id="10" w:name="_Hlk1289146"/>
      <w:r>
        <w:rPr>
          <w:bCs/>
          <w:color w:val="000000" w:themeColor="text1"/>
          <w:lang w:val="en-US"/>
        </w:rPr>
        <w:t>‘Astronomy and Ceremony at Chankillo: an Andean Perspective’</w:t>
      </w:r>
      <w:r w:rsidRPr="00635401">
        <w:rPr>
          <w:bCs/>
          <w:color w:val="000000" w:themeColor="text1"/>
          <w:lang w:val="en-US"/>
        </w:rPr>
        <w:t xml:space="preserve"> </w:t>
      </w:r>
      <w:bookmarkEnd w:id="10"/>
      <w:r>
        <w:rPr>
          <w:bCs/>
          <w:color w:val="000000" w:themeColor="text1"/>
          <w:lang w:val="en-US"/>
        </w:rPr>
        <w:t xml:space="preserve">in Clive </w:t>
      </w:r>
      <w:r w:rsidR="00293921">
        <w:rPr>
          <w:bCs/>
          <w:color w:val="000000" w:themeColor="text1"/>
          <w:lang w:val="en-US"/>
        </w:rPr>
        <w:t xml:space="preserve">L. N. </w:t>
      </w:r>
      <w:r>
        <w:rPr>
          <w:bCs/>
          <w:color w:val="000000" w:themeColor="text1"/>
          <w:lang w:val="en-US"/>
        </w:rPr>
        <w:t xml:space="preserve">Ruggles (ed.) </w:t>
      </w:r>
      <w:r w:rsidR="006515B5" w:rsidRPr="00635401">
        <w:rPr>
          <w:bCs/>
          <w:i/>
          <w:color w:val="000000" w:themeColor="text1"/>
          <w:lang w:val="en-US"/>
        </w:rPr>
        <w:t>“Oxford IX” International Symposium on Archaeoastronomy</w:t>
      </w:r>
      <w:r w:rsidR="006515B5">
        <w:rPr>
          <w:bCs/>
          <w:i/>
          <w:color w:val="000000" w:themeColor="text1"/>
          <w:lang w:val="en-US"/>
        </w:rPr>
        <w:t xml:space="preserve">, </w:t>
      </w:r>
      <w:r w:rsidR="006515B5" w:rsidRPr="006515B5">
        <w:rPr>
          <w:bCs/>
          <w:color w:val="000000" w:themeColor="text1"/>
          <w:lang w:val="en-US"/>
        </w:rPr>
        <w:t>Proceedings IAU Symposium</w:t>
      </w:r>
      <w:r w:rsidR="005A4A5B">
        <w:rPr>
          <w:bCs/>
          <w:color w:val="000000" w:themeColor="text1"/>
          <w:lang w:val="en-US"/>
        </w:rPr>
        <w:t xml:space="preserve"> no. 278</w:t>
      </w:r>
      <w:bookmarkStart w:id="11" w:name="_GoBack"/>
      <w:bookmarkEnd w:id="11"/>
      <w:r w:rsidR="00283933">
        <w:rPr>
          <w:bCs/>
          <w:color w:val="000000" w:themeColor="text1"/>
          <w:lang w:val="en-US"/>
        </w:rPr>
        <w:t xml:space="preserve"> </w:t>
      </w:r>
      <w:r>
        <w:rPr>
          <w:bCs/>
          <w:color w:val="000000" w:themeColor="text1"/>
          <w:lang w:val="en-US"/>
        </w:rPr>
        <w:t>(2011), 154-161.</w:t>
      </w:r>
    </w:p>
    <w:p w14:paraId="0CAAEE33" w14:textId="77777777" w:rsidR="00D722CE" w:rsidRDefault="00D722CE" w:rsidP="00D722CE">
      <w:pPr>
        <w:rPr>
          <w:b/>
        </w:rPr>
      </w:pPr>
    </w:p>
    <w:p w14:paraId="1480C0F8" w14:textId="77777777" w:rsidR="00D722CE" w:rsidRDefault="00D722CE" w:rsidP="00D722CE">
      <w:pPr>
        <w:rPr>
          <w:b/>
        </w:rPr>
      </w:pPr>
    </w:p>
    <w:p w14:paraId="2A77A48A" w14:textId="77777777" w:rsidR="00D722CE" w:rsidRDefault="00D722CE" w:rsidP="00D722CE">
      <w:pPr>
        <w:rPr>
          <w:b/>
        </w:rPr>
      </w:pPr>
      <w:r>
        <w:rPr>
          <w:b/>
        </w:rPr>
        <w:t>Secondary Sources</w:t>
      </w:r>
    </w:p>
    <w:p w14:paraId="13485860" w14:textId="1470E96F" w:rsidR="00893672" w:rsidRPr="00893672" w:rsidRDefault="00893672" w:rsidP="00D722CE">
      <w:r>
        <w:t xml:space="preserve">‘About: Ivan Ghezzi’, </w:t>
      </w:r>
      <w:r>
        <w:rPr>
          <w:i/>
        </w:rPr>
        <w:t>ResearchGate</w:t>
      </w:r>
      <w:r>
        <w:t xml:space="preserve"> &lt;</w:t>
      </w:r>
      <w:r w:rsidRPr="00893672">
        <w:t>https://www.researchgate.net/profile/Ivan_Ghezzi</w:t>
      </w:r>
      <w:r>
        <w:t>&gt; [accessed 17 February 2019].</w:t>
      </w:r>
    </w:p>
    <w:p w14:paraId="2DD5060D" w14:textId="77777777" w:rsidR="00893672" w:rsidRDefault="00893672" w:rsidP="00D722CE"/>
    <w:p w14:paraId="4AF00FAF" w14:textId="59730D60" w:rsidR="00D722CE" w:rsidRDefault="001802FE" w:rsidP="00D722CE">
      <w:pPr>
        <w:rPr>
          <w:bCs/>
          <w:lang w:val="en-US"/>
        </w:rPr>
      </w:pPr>
      <w:r>
        <w:t xml:space="preserve">‘J. McKim Malville’, </w:t>
      </w:r>
      <w:r>
        <w:rPr>
          <w:i/>
        </w:rPr>
        <w:t xml:space="preserve">Astrophysical and Planetary Sciences: University of Colorado Boulder </w:t>
      </w:r>
      <w:r>
        <w:t>&lt;</w:t>
      </w:r>
      <w:r w:rsidRPr="00193068">
        <w:t>https://www.colorado.edu/aps/j-mckim-malville</w:t>
      </w:r>
      <w:r>
        <w:t>&gt; [accessed 17 February 2019].</w:t>
      </w:r>
    </w:p>
    <w:p w14:paraId="2F50ABF4" w14:textId="77777777" w:rsidR="001802FE" w:rsidRDefault="001802FE" w:rsidP="00393885"/>
    <w:p w14:paraId="48428E62" w14:textId="77777777" w:rsidR="00341D32" w:rsidRDefault="00A75CF6" w:rsidP="00393885">
      <w:r w:rsidRPr="001C58EF">
        <w:t xml:space="preserve">‘Towers point to ancient Sun cult’, </w:t>
      </w:r>
      <w:r w:rsidRPr="001C58EF">
        <w:rPr>
          <w:i/>
        </w:rPr>
        <w:t xml:space="preserve">BBC News </w:t>
      </w:r>
      <w:r w:rsidRPr="001C58EF">
        <w:t xml:space="preserve">(1 March 2007) </w:t>
      </w:r>
    </w:p>
    <w:p w14:paraId="450BC14B" w14:textId="15A4A243" w:rsidR="00A75CF6" w:rsidRDefault="00A75CF6" w:rsidP="00393885">
      <w:r w:rsidRPr="001C58EF">
        <w:t>&lt;</w:t>
      </w:r>
      <w:hyperlink r:id="rId10" w:history="1">
        <w:r w:rsidR="00341D32" w:rsidRPr="00341D32">
          <w:rPr>
            <w:rStyle w:val="Hyperlink"/>
            <w:color w:val="000000" w:themeColor="text1"/>
            <w:u w:val="none"/>
          </w:rPr>
          <w:t>http://news.bbc.co.uk/1/hi/sci/tech/6408231.stm</w:t>
        </w:r>
      </w:hyperlink>
      <w:r w:rsidRPr="001C58EF">
        <w:t>&gt;, [accessed 17 February 2019].</w:t>
      </w:r>
    </w:p>
    <w:p w14:paraId="67F1A8BF" w14:textId="3CE3A15F" w:rsidR="00CE4BAA" w:rsidRDefault="00CE4BAA" w:rsidP="00393885"/>
    <w:p w14:paraId="03B28844" w14:textId="6F766EEE" w:rsidR="00CE4BAA" w:rsidRPr="001C58EF" w:rsidRDefault="00CE4BAA" w:rsidP="00393885">
      <w:proofErr w:type="spellStart"/>
      <w:r w:rsidRPr="00305364">
        <w:t>Aveni</w:t>
      </w:r>
      <w:proofErr w:type="spellEnd"/>
      <w:r w:rsidRPr="00305364">
        <w:t xml:space="preserve">, Anthony F., ‘Introduction: Whither archaeoastronomy?’ in Anthony F. </w:t>
      </w:r>
      <w:proofErr w:type="spellStart"/>
      <w:r w:rsidRPr="00305364">
        <w:t>Aveni</w:t>
      </w:r>
      <w:proofErr w:type="spellEnd"/>
      <w:r w:rsidRPr="00305364">
        <w:t xml:space="preserve"> (ed.) </w:t>
      </w:r>
      <w:r w:rsidRPr="00305364">
        <w:rPr>
          <w:i/>
        </w:rPr>
        <w:t xml:space="preserve">“Oxford II” International Symposium on Archaeoastronomy, </w:t>
      </w:r>
      <w:r w:rsidRPr="00305364">
        <w:t>Proceedings IAU Symposium (1988)</w:t>
      </w:r>
      <w:r w:rsidR="00283933" w:rsidRPr="00305364">
        <w:t>, 3-12</w:t>
      </w:r>
      <w:r w:rsidRPr="00305364">
        <w:t>.</w:t>
      </w:r>
    </w:p>
    <w:p w14:paraId="44B34927" w14:textId="3E35D229" w:rsidR="00393885" w:rsidRPr="001C58EF" w:rsidRDefault="00393885" w:rsidP="00393885"/>
    <w:p w14:paraId="301144FE" w14:textId="77777777" w:rsidR="00374B35" w:rsidRPr="00374B35" w:rsidRDefault="00374B35" w:rsidP="00374B35">
      <w:pPr>
        <w:rPr>
          <w:bCs/>
          <w:color w:val="000000" w:themeColor="text1"/>
          <w:lang w:val="en-US"/>
        </w:rPr>
      </w:pPr>
      <w:r w:rsidRPr="00374B35">
        <w:rPr>
          <w:bCs/>
          <w:color w:val="000000" w:themeColor="text1"/>
          <w:lang w:val="en-US"/>
        </w:rPr>
        <w:t>Ghezzi, Iván, ‘Religious Warfare at Chankillo’ in William H. Isbell and Helaine</w:t>
      </w:r>
    </w:p>
    <w:p w14:paraId="2190A2D6" w14:textId="77777777" w:rsidR="00374B35" w:rsidRPr="00374B35" w:rsidRDefault="00374B35" w:rsidP="00374B35">
      <w:pPr>
        <w:rPr>
          <w:bCs/>
          <w:color w:val="000000" w:themeColor="text1"/>
          <w:lang w:val="en-US"/>
        </w:rPr>
      </w:pPr>
      <w:r w:rsidRPr="00374B35">
        <w:rPr>
          <w:bCs/>
          <w:color w:val="000000" w:themeColor="text1"/>
          <w:lang w:val="en-US"/>
        </w:rPr>
        <w:t xml:space="preserve">Silverman (eds.) </w:t>
      </w:r>
      <w:r w:rsidRPr="00374B35">
        <w:rPr>
          <w:bCs/>
          <w:i/>
          <w:color w:val="000000" w:themeColor="text1"/>
          <w:lang w:val="en-US"/>
        </w:rPr>
        <w:t>Andean Archaeology III: North and South</w:t>
      </w:r>
      <w:r w:rsidRPr="00374B35">
        <w:rPr>
          <w:bCs/>
          <w:color w:val="000000" w:themeColor="text1"/>
          <w:lang w:val="en-US"/>
        </w:rPr>
        <w:t xml:space="preserve"> (New York: Springer, 2008),</w:t>
      </w:r>
    </w:p>
    <w:p w14:paraId="38555E63" w14:textId="211329C2" w:rsidR="00374B35" w:rsidRDefault="00374B35" w:rsidP="00374B35">
      <w:pPr>
        <w:rPr>
          <w:bCs/>
          <w:color w:val="000000" w:themeColor="text1"/>
          <w:lang w:val="en-US"/>
        </w:rPr>
      </w:pPr>
      <w:r w:rsidRPr="00374B35">
        <w:rPr>
          <w:bCs/>
          <w:color w:val="000000" w:themeColor="text1"/>
          <w:lang w:val="en-US"/>
        </w:rPr>
        <w:t>67-84.</w:t>
      </w:r>
    </w:p>
    <w:p w14:paraId="7735B6F0" w14:textId="77777777" w:rsidR="00374B35" w:rsidRDefault="00374B35" w:rsidP="00374B35">
      <w:pPr>
        <w:rPr>
          <w:bCs/>
          <w:color w:val="000000" w:themeColor="text1"/>
          <w:lang w:val="en-US"/>
        </w:rPr>
      </w:pPr>
    </w:p>
    <w:p w14:paraId="31CC4537" w14:textId="743BE1E1" w:rsidR="003C127C" w:rsidRPr="001C58EF" w:rsidRDefault="003C127C" w:rsidP="00393885">
      <w:r w:rsidRPr="001C58EF">
        <w:rPr>
          <w:bCs/>
          <w:color w:val="000000" w:themeColor="text1"/>
          <w:lang w:val="en-US"/>
        </w:rPr>
        <w:t>Ghezzi, Iván and Clive L. N. Ruggles, ‘Chankillo</w:t>
      </w:r>
      <w:r w:rsidR="00A8686B" w:rsidRPr="001C58EF">
        <w:rPr>
          <w:bCs/>
          <w:color w:val="000000" w:themeColor="text1"/>
          <w:lang w:val="en-US"/>
        </w:rPr>
        <w:t xml:space="preserve">: A 2300-Year-Old Solar Observatory in Coastal Peru’, </w:t>
      </w:r>
      <w:r w:rsidR="00A8686B" w:rsidRPr="001C58EF">
        <w:rPr>
          <w:bCs/>
          <w:i/>
          <w:color w:val="000000" w:themeColor="text1"/>
          <w:lang w:val="en-US"/>
        </w:rPr>
        <w:t xml:space="preserve">Science, </w:t>
      </w:r>
      <w:r w:rsidR="00A8686B" w:rsidRPr="001C58EF">
        <w:rPr>
          <w:bCs/>
          <w:color w:val="000000" w:themeColor="text1"/>
          <w:lang w:val="en-US"/>
        </w:rPr>
        <w:t>vol. 315, no. 5816 (2007), 1239-1243.</w:t>
      </w:r>
    </w:p>
    <w:p w14:paraId="750F90E2" w14:textId="77777777" w:rsidR="00293921" w:rsidRPr="001C58EF" w:rsidRDefault="00293921">
      <w:pPr>
        <w:rPr>
          <w:bCs/>
          <w:color w:val="000000" w:themeColor="text1"/>
          <w:lang w:val="en-US"/>
        </w:rPr>
      </w:pPr>
    </w:p>
    <w:p w14:paraId="477179AE" w14:textId="77777777" w:rsidR="00374B35" w:rsidRPr="00374B35" w:rsidRDefault="00374B35" w:rsidP="00374B35">
      <w:pPr>
        <w:rPr>
          <w:bCs/>
          <w:i/>
          <w:color w:val="000000" w:themeColor="text1"/>
          <w:lang w:val="en-US"/>
        </w:rPr>
      </w:pPr>
      <w:r w:rsidRPr="00374B35">
        <w:rPr>
          <w:bCs/>
          <w:color w:val="000000" w:themeColor="text1"/>
          <w:lang w:val="en-US"/>
        </w:rPr>
        <w:t xml:space="preserve">Ghezzi, Iván and Clive L. N. Ruggles, ‘Chankillo’ in Clive L. N. Ruggles (ed.) </w:t>
      </w:r>
      <w:r w:rsidRPr="00374B35">
        <w:rPr>
          <w:bCs/>
          <w:i/>
          <w:color w:val="000000" w:themeColor="text1"/>
          <w:lang w:val="en-US"/>
        </w:rPr>
        <w:t>Handbook</w:t>
      </w:r>
    </w:p>
    <w:p w14:paraId="4A3C191C" w14:textId="6755E006" w:rsidR="00374B35" w:rsidRDefault="00374B35" w:rsidP="00374B35">
      <w:pPr>
        <w:rPr>
          <w:bCs/>
          <w:color w:val="000000" w:themeColor="text1"/>
          <w:lang w:val="en-US"/>
        </w:rPr>
      </w:pPr>
      <w:r w:rsidRPr="00374B35">
        <w:rPr>
          <w:bCs/>
          <w:i/>
          <w:color w:val="000000" w:themeColor="text1"/>
          <w:lang w:val="en-US"/>
        </w:rPr>
        <w:t xml:space="preserve">of Archaeoastronomy and Ethnoastronomy </w:t>
      </w:r>
      <w:r w:rsidRPr="00374B35">
        <w:rPr>
          <w:bCs/>
          <w:color w:val="000000" w:themeColor="text1"/>
          <w:lang w:val="en-US"/>
        </w:rPr>
        <w:t>(New York: Springer, 2014), 807-820.</w:t>
      </w:r>
    </w:p>
    <w:p w14:paraId="44807AB9" w14:textId="77777777" w:rsidR="00374B35" w:rsidRDefault="00374B35">
      <w:pPr>
        <w:rPr>
          <w:bCs/>
          <w:color w:val="000000" w:themeColor="text1"/>
          <w:lang w:val="en-US"/>
        </w:rPr>
      </w:pPr>
    </w:p>
    <w:p w14:paraId="418B95C5" w14:textId="77777777" w:rsidR="00374B35" w:rsidRPr="00374B35" w:rsidRDefault="00374B35" w:rsidP="00374B35">
      <w:pPr>
        <w:rPr>
          <w:bCs/>
          <w:color w:val="000000" w:themeColor="text1"/>
          <w:lang w:val="en-US"/>
        </w:rPr>
      </w:pPr>
      <w:r w:rsidRPr="00374B35">
        <w:rPr>
          <w:bCs/>
          <w:color w:val="000000" w:themeColor="text1"/>
          <w:lang w:val="en-US"/>
        </w:rPr>
        <w:t>Malville, J. McKim, ‘The Casma Valley of Peru: A Cradle of Pre-Inca Astronomy’,</w:t>
      </w:r>
    </w:p>
    <w:p w14:paraId="22FD89B3" w14:textId="77777777" w:rsidR="00374B35" w:rsidRPr="00374B35" w:rsidRDefault="00374B35" w:rsidP="00374B35">
      <w:pPr>
        <w:rPr>
          <w:bCs/>
          <w:color w:val="000000" w:themeColor="text1"/>
          <w:lang w:val="en-US"/>
        </w:rPr>
      </w:pPr>
      <w:r w:rsidRPr="00374B35">
        <w:rPr>
          <w:bCs/>
          <w:i/>
          <w:color w:val="000000" w:themeColor="text1"/>
          <w:lang w:val="en-US"/>
        </w:rPr>
        <w:t>Mediterranean Archaeology and Archaeometry</w:t>
      </w:r>
      <w:r w:rsidRPr="00374B35">
        <w:rPr>
          <w:bCs/>
          <w:color w:val="000000" w:themeColor="text1"/>
          <w:lang w:val="en-US"/>
        </w:rPr>
        <w:t>, vol. 14, no. 3 (2014), 169-178.</w:t>
      </w:r>
    </w:p>
    <w:p w14:paraId="66DF2D3A" w14:textId="77777777" w:rsidR="00374B35" w:rsidRDefault="00374B35" w:rsidP="00374B35">
      <w:pPr>
        <w:rPr>
          <w:bCs/>
          <w:color w:val="000000" w:themeColor="text1"/>
          <w:lang w:val="en-US"/>
        </w:rPr>
      </w:pPr>
    </w:p>
    <w:p w14:paraId="7398576A" w14:textId="6020D6D9" w:rsidR="00374B35" w:rsidRPr="00374B35" w:rsidRDefault="00374B35" w:rsidP="00374B35">
      <w:pPr>
        <w:rPr>
          <w:bCs/>
          <w:i/>
          <w:color w:val="000000" w:themeColor="text1"/>
          <w:lang w:val="en-US"/>
        </w:rPr>
      </w:pPr>
      <w:r w:rsidRPr="00374B35">
        <w:rPr>
          <w:bCs/>
          <w:color w:val="000000" w:themeColor="text1"/>
          <w:lang w:val="en-US"/>
        </w:rPr>
        <w:t xml:space="preserve">Malville, J. McKim, ‘Pre-Inca astronomy in Peru’ in Clive L. N. Ruggles (ed.) </w:t>
      </w:r>
      <w:r w:rsidRPr="00374B35">
        <w:rPr>
          <w:bCs/>
          <w:i/>
          <w:color w:val="000000" w:themeColor="text1"/>
          <w:lang w:val="en-US"/>
        </w:rPr>
        <w:t>Handbook</w:t>
      </w:r>
    </w:p>
    <w:p w14:paraId="276C7709" w14:textId="365E70F9" w:rsidR="00374B35" w:rsidRDefault="00374B35" w:rsidP="00374B35">
      <w:pPr>
        <w:rPr>
          <w:bCs/>
          <w:color w:val="000000" w:themeColor="text1"/>
          <w:lang w:val="en-US"/>
        </w:rPr>
      </w:pPr>
      <w:r w:rsidRPr="00374B35">
        <w:rPr>
          <w:bCs/>
          <w:i/>
          <w:color w:val="000000" w:themeColor="text1"/>
          <w:lang w:val="en-US"/>
        </w:rPr>
        <w:t>of Archaeoastronomy and Ethnoastronomy</w:t>
      </w:r>
      <w:r w:rsidRPr="00374B35">
        <w:rPr>
          <w:bCs/>
          <w:color w:val="000000" w:themeColor="text1"/>
          <w:lang w:val="en-US"/>
        </w:rPr>
        <w:t xml:space="preserve"> (New York: Springer, 2014), 795-806.</w:t>
      </w:r>
    </w:p>
    <w:p w14:paraId="588E5F59" w14:textId="77777777" w:rsidR="00374B35" w:rsidRDefault="00374B35">
      <w:pPr>
        <w:rPr>
          <w:bCs/>
          <w:color w:val="000000" w:themeColor="text1"/>
          <w:lang w:val="en-US"/>
        </w:rPr>
      </w:pPr>
    </w:p>
    <w:p w14:paraId="3B9916DF" w14:textId="071F5862" w:rsidR="00AD37C8" w:rsidRPr="001C58EF" w:rsidRDefault="00AD37C8">
      <w:pPr>
        <w:rPr>
          <w:bCs/>
          <w:color w:val="000000" w:themeColor="text1"/>
          <w:lang w:val="en-US"/>
        </w:rPr>
      </w:pPr>
      <w:r w:rsidRPr="001C58EF">
        <w:rPr>
          <w:bCs/>
          <w:color w:val="000000" w:themeColor="text1"/>
          <w:lang w:val="en-US"/>
        </w:rPr>
        <w:t xml:space="preserve">Malville, J. McKim, Michael Zawaski, and Steven Gullberg ‘Cosmological Motifs of Peruvian </w:t>
      </w:r>
      <w:proofErr w:type="spellStart"/>
      <w:r w:rsidRPr="001C58EF">
        <w:rPr>
          <w:bCs/>
          <w:color w:val="000000" w:themeColor="text1"/>
          <w:lang w:val="en-US"/>
        </w:rPr>
        <w:t>Huacas</w:t>
      </w:r>
      <w:proofErr w:type="spellEnd"/>
      <w:r w:rsidRPr="001C58EF">
        <w:rPr>
          <w:bCs/>
          <w:color w:val="000000" w:themeColor="text1"/>
          <w:lang w:val="en-US"/>
        </w:rPr>
        <w:t xml:space="preserve">’, </w:t>
      </w:r>
      <w:proofErr w:type="spellStart"/>
      <w:r w:rsidRPr="001C58EF">
        <w:rPr>
          <w:bCs/>
          <w:i/>
          <w:color w:val="000000" w:themeColor="text1"/>
          <w:lang w:val="en-US"/>
        </w:rPr>
        <w:t>Archaeologia</w:t>
      </w:r>
      <w:proofErr w:type="spellEnd"/>
      <w:r w:rsidRPr="001C58EF">
        <w:rPr>
          <w:bCs/>
          <w:i/>
          <w:color w:val="000000" w:themeColor="text1"/>
          <w:lang w:val="en-US"/>
        </w:rPr>
        <w:t xml:space="preserve"> </w:t>
      </w:r>
      <w:proofErr w:type="spellStart"/>
      <w:r w:rsidRPr="001C58EF">
        <w:rPr>
          <w:bCs/>
          <w:i/>
          <w:color w:val="000000" w:themeColor="text1"/>
          <w:lang w:val="en-US"/>
        </w:rPr>
        <w:t>Baltica</w:t>
      </w:r>
      <w:proofErr w:type="spellEnd"/>
      <w:r w:rsidRPr="001C58EF">
        <w:rPr>
          <w:bCs/>
          <w:i/>
          <w:color w:val="000000" w:themeColor="text1"/>
          <w:lang w:val="en-US"/>
        </w:rPr>
        <w:t xml:space="preserve">, </w:t>
      </w:r>
      <w:r w:rsidRPr="001C58EF">
        <w:rPr>
          <w:bCs/>
          <w:color w:val="000000" w:themeColor="text1"/>
          <w:lang w:val="en-US"/>
        </w:rPr>
        <w:t>vol. 10 (2008), 175-182.</w:t>
      </w:r>
    </w:p>
    <w:p w14:paraId="75E7CBE5" w14:textId="58860CF2" w:rsidR="004849D2" w:rsidRDefault="004849D2">
      <w:pPr>
        <w:rPr>
          <w:bCs/>
          <w:color w:val="000000" w:themeColor="text1"/>
          <w:highlight w:val="yellow"/>
          <w:lang w:val="en-US"/>
        </w:rPr>
      </w:pPr>
    </w:p>
    <w:p w14:paraId="12015F6D" w14:textId="288222BA" w:rsidR="006F5C84" w:rsidRDefault="006F5C84">
      <w:r>
        <w:t xml:space="preserve">Ruggles, Clive L. N., ‘The stone alignments of Argyll and Mull: A perspective on the statistical approach in archaeoastronomy’ in Clive L. N. Ruggles (ed.) </w:t>
      </w:r>
      <w:r>
        <w:rPr>
          <w:i/>
        </w:rPr>
        <w:t xml:space="preserve">Records in Stone: </w:t>
      </w:r>
      <w:r>
        <w:rPr>
          <w:i/>
        </w:rPr>
        <w:lastRenderedPageBreak/>
        <w:t xml:space="preserve">Papers in memory of Alexander Thom </w:t>
      </w:r>
      <w:r>
        <w:t>(Cambridge: Cambridge University Press, 1988), 232-250.</w:t>
      </w:r>
    </w:p>
    <w:p w14:paraId="2FB901FF" w14:textId="77777777" w:rsidR="006F5C84" w:rsidRDefault="006F5C84">
      <w:pPr>
        <w:rPr>
          <w:bCs/>
          <w:color w:val="000000" w:themeColor="text1"/>
          <w:lang w:val="en-US"/>
        </w:rPr>
      </w:pPr>
    </w:p>
    <w:p w14:paraId="2052C912" w14:textId="0E43FFB9" w:rsidR="003930B4" w:rsidRPr="001F3F9A" w:rsidRDefault="004849D2">
      <w:pPr>
        <w:rPr>
          <w:bCs/>
          <w:color w:val="000000" w:themeColor="text1"/>
          <w:lang w:val="en-US"/>
        </w:rPr>
      </w:pPr>
      <w:r w:rsidRPr="001C58EF">
        <w:rPr>
          <w:bCs/>
          <w:color w:val="000000" w:themeColor="text1"/>
          <w:lang w:val="en-US"/>
        </w:rPr>
        <w:t>Ruggles, Clive L. N., ‘Pushing back the frontiers or still running around the same circles? “Interpretative archaeoastronomy” thirty years on’ in Clive L. N. Ruggles (ed.) “Oxford IX” International Symposium on Archaeoastronomy, Proceedings IAU Symposium no. 278 (2011), 1-18.</w:t>
      </w:r>
    </w:p>
    <w:sectPr w:rsidR="003930B4" w:rsidRPr="001F3F9A" w:rsidSect="007D394A">
      <w:headerReference w:type="default" r:id="rId11"/>
      <w:footerReference w:type="default" r:id="rId12"/>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6B223" w14:textId="77777777" w:rsidR="00C27DCE" w:rsidRDefault="00C27DCE" w:rsidP="00D722CE">
      <w:r>
        <w:separator/>
      </w:r>
    </w:p>
  </w:endnote>
  <w:endnote w:type="continuationSeparator" w:id="0">
    <w:p w14:paraId="69F311B4" w14:textId="77777777" w:rsidR="00C27DCE" w:rsidRDefault="00C27DCE" w:rsidP="00D7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Bold">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Italic">
    <w:altName w:val="Cambria"/>
    <w:panose1 w:val="00000000000000000000"/>
    <w:charset w:val="00"/>
    <w:family w:val="roman"/>
    <w:notTrueType/>
    <w:pitch w:val="default"/>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6391F" w14:textId="77777777" w:rsidR="007D394A" w:rsidRPr="00337A70" w:rsidRDefault="007D394A">
    <w:pPr>
      <w:pStyle w:val="Footer"/>
      <w:rPr>
        <w:rFonts w:ascii="Trebuchet MS" w:hAnsi="Trebuchet MS"/>
        <w:sz w:val="18"/>
        <w:szCs w:val="18"/>
      </w:rPr>
    </w:pPr>
    <w:r w:rsidRPr="00337A70">
      <w:rPr>
        <w:rFonts w:ascii="Trebuchet MS" w:hAnsi="Trebuchet MS"/>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8B76E" w14:textId="77777777" w:rsidR="007D394A" w:rsidRDefault="007D394A">
    <w:pPr>
      <w:pStyle w:val="Footer"/>
      <w:jc w:val="right"/>
    </w:pPr>
  </w:p>
  <w:p w14:paraId="4D51ECBF" w14:textId="77777777" w:rsidR="007D394A" w:rsidRPr="00337A70" w:rsidRDefault="007D394A">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F3F2E" w14:textId="77777777" w:rsidR="00C27DCE" w:rsidRDefault="00C27DCE" w:rsidP="00D722CE">
      <w:r>
        <w:separator/>
      </w:r>
    </w:p>
  </w:footnote>
  <w:footnote w:type="continuationSeparator" w:id="0">
    <w:p w14:paraId="41ACA8CC" w14:textId="77777777" w:rsidR="00C27DCE" w:rsidRDefault="00C27DCE" w:rsidP="00D722CE">
      <w:r>
        <w:continuationSeparator/>
      </w:r>
    </w:p>
  </w:footnote>
  <w:footnote w:id="1">
    <w:p w14:paraId="1349EBE6" w14:textId="7516ADF2" w:rsidR="007D394A" w:rsidRDefault="007D394A">
      <w:pPr>
        <w:pStyle w:val="FootnoteText"/>
      </w:pPr>
      <w:r>
        <w:rPr>
          <w:rStyle w:val="FootnoteReference"/>
        </w:rPr>
        <w:footnoteRef/>
      </w:r>
      <w:r>
        <w:t xml:space="preserve"> </w:t>
      </w:r>
      <w:r w:rsidRPr="0035613A">
        <w:t xml:space="preserve">Iván </w:t>
      </w:r>
      <w:r>
        <w:t xml:space="preserve">Ghezzi </w:t>
      </w:r>
      <w:r w:rsidRPr="0035613A">
        <w:t xml:space="preserve">and Clive L. N. Ruggles, ‘The Social and Ritual Context of Horizon Astronomical Observations at Chankillo’ in Clive </w:t>
      </w:r>
      <w:r>
        <w:t xml:space="preserve">L. N. </w:t>
      </w:r>
      <w:r w:rsidRPr="0035613A">
        <w:t>Ruggles (ed</w:t>
      </w:r>
      <w:r w:rsidR="004849D2">
        <w:t xml:space="preserve">.) </w:t>
      </w:r>
      <w:r w:rsidRPr="006515B5">
        <w:rPr>
          <w:i/>
        </w:rPr>
        <w:t xml:space="preserve">“Oxford IX” International Symposium on Archaeoastronomy, </w:t>
      </w:r>
      <w:r w:rsidRPr="006515B5">
        <w:t>Proceedings IAU Symposium no. 278</w:t>
      </w:r>
      <w:r w:rsidRPr="006515B5">
        <w:rPr>
          <w:i/>
        </w:rPr>
        <w:t xml:space="preserve"> </w:t>
      </w:r>
      <w:r w:rsidRPr="0035613A">
        <w:t>(2011), 144-153</w:t>
      </w:r>
      <w:r>
        <w:t xml:space="preserve">; </w:t>
      </w:r>
      <w:r w:rsidRPr="0035613A">
        <w:t>J. McKim</w:t>
      </w:r>
      <w:r>
        <w:t xml:space="preserve"> Malville</w:t>
      </w:r>
      <w:r w:rsidRPr="0035613A">
        <w:t xml:space="preserve">, ‘Astronomy and Ceremony at Chankillo: an Andean Perspective’ in Clive </w:t>
      </w:r>
      <w:r>
        <w:t xml:space="preserve">L. N. </w:t>
      </w:r>
      <w:r w:rsidRPr="0035613A">
        <w:t>Ruggles (ed</w:t>
      </w:r>
      <w:r w:rsidR="004849D2">
        <w:t xml:space="preserve">.) </w:t>
      </w:r>
      <w:r w:rsidRPr="006515B5">
        <w:rPr>
          <w:i/>
        </w:rPr>
        <w:t xml:space="preserve">“Oxford IX” International Symposium on Archaeoastronomy, </w:t>
      </w:r>
      <w:r w:rsidRPr="006515B5">
        <w:t>Proceedings IAU Symposium no. 278</w:t>
      </w:r>
      <w:r w:rsidRPr="004D56E8">
        <w:t xml:space="preserve"> </w:t>
      </w:r>
      <w:r w:rsidRPr="0035613A">
        <w:t>(2011), 154-161</w:t>
      </w:r>
      <w:r>
        <w:t>.</w:t>
      </w:r>
    </w:p>
  </w:footnote>
  <w:footnote w:id="2">
    <w:p w14:paraId="71A46352" w14:textId="50CD0024" w:rsidR="007D394A" w:rsidRPr="00A75CF6" w:rsidRDefault="007D394A" w:rsidP="009F6E11">
      <w:pPr>
        <w:pStyle w:val="FootnoteText"/>
      </w:pPr>
      <w:r>
        <w:rPr>
          <w:rStyle w:val="FootnoteReference"/>
        </w:rPr>
        <w:footnoteRef/>
      </w:r>
      <w:r>
        <w:t xml:space="preserve"> ‘Towers point to ancient Sun cult’, </w:t>
      </w:r>
      <w:r>
        <w:rPr>
          <w:i/>
        </w:rPr>
        <w:t xml:space="preserve">BBC News </w:t>
      </w:r>
      <w:r>
        <w:t>(1 March 2007) &lt;</w:t>
      </w:r>
      <w:hyperlink r:id="rId1" w:history="1">
        <w:r w:rsidR="00193068" w:rsidRPr="00193068">
          <w:rPr>
            <w:rStyle w:val="Hyperlink"/>
            <w:color w:val="000000" w:themeColor="text1"/>
            <w:u w:val="none"/>
          </w:rPr>
          <w:t>http://news.bbc.co.uk/1/hi/sci/tech/6408231.stm</w:t>
        </w:r>
      </w:hyperlink>
      <w:r>
        <w:t>&gt;, [accessed 17 February 2019].</w:t>
      </w:r>
    </w:p>
  </w:footnote>
  <w:footnote w:id="3">
    <w:p w14:paraId="4A833DEB" w14:textId="33786982" w:rsidR="007D394A" w:rsidRDefault="007D394A" w:rsidP="009F6E11">
      <w:pPr>
        <w:pStyle w:val="FootnoteText"/>
      </w:pPr>
      <w:r>
        <w:rPr>
          <w:rStyle w:val="FootnoteReference"/>
        </w:rPr>
        <w:footnoteRef/>
      </w:r>
      <w:r>
        <w:t xml:space="preserve"> </w:t>
      </w:r>
      <w:r w:rsidRPr="004E2AC1">
        <w:rPr>
          <w:bCs/>
          <w:color w:val="000000" w:themeColor="text1"/>
          <w:lang w:val="en-US"/>
        </w:rPr>
        <w:t xml:space="preserve">Iván Ghezzi and Clive L. N. Ruggles, ‘Chankillo: A 2300-Year-Old Solar Observatory in Coastal Peru’, </w:t>
      </w:r>
      <w:r w:rsidRPr="004E2AC1">
        <w:rPr>
          <w:bCs/>
          <w:i/>
          <w:color w:val="000000" w:themeColor="text1"/>
          <w:lang w:val="en-US"/>
        </w:rPr>
        <w:t xml:space="preserve">Science, </w:t>
      </w:r>
      <w:r w:rsidRPr="004E2AC1">
        <w:rPr>
          <w:bCs/>
          <w:color w:val="000000" w:themeColor="text1"/>
          <w:lang w:val="en-US"/>
        </w:rPr>
        <w:t>vol. 315, no. 5816 (2007), 1239-1243</w:t>
      </w:r>
      <w:r>
        <w:rPr>
          <w:bCs/>
          <w:color w:val="000000" w:themeColor="text1"/>
          <w:lang w:val="en-US"/>
        </w:rPr>
        <w:t>.</w:t>
      </w:r>
    </w:p>
  </w:footnote>
  <w:footnote w:id="4">
    <w:p w14:paraId="76ABDAB6" w14:textId="77777777" w:rsidR="00537556" w:rsidRPr="00537556" w:rsidRDefault="007D394A" w:rsidP="00537556">
      <w:pPr>
        <w:rPr>
          <w:sz w:val="20"/>
        </w:rPr>
      </w:pPr>
      <w:r w:rsidRPr="004E2AC1">
        <w:rPr>
          <w:rStyle w:val="FootnoteReference"/>
          <w:sz w:val="20"/>
        </w:rPr>
        <w:footnoteRef/>
      </w:r>
      <w:r w:rsidRPr="004E2AC1">
        <w:rPr>
          <w:sz w:val="20"/>
        </w:rPr>
        <w:t xml:space="preserve"> </w:t>
      </w:r>
      <w:r w:rsidR="00537556" w:rsidRPr="00537556">
        <w:rPr>
          <w:sz w:val="20"/>
        </w:rPr>
        <w:t xml:space="preserve">J. McKim Malville, Michael Zawaski, and Steven Gullberg ‘Cosmological Motifs of Peruvian </w:t>
      </w:r>
      <w:proofErr w:type="spellStart"/>
      <w:r w:rsidR="00537556" w:rsidRPr="00537556">
        <w:rPr>
          <w:sz w:val="20"/>
        </w:rPr>
        <w:t>Huacas</w:t>
      </w:r>
      <w:proofErr w:type="spellEnd"/>
      <w:r w:rsidR="00537556" w:rsidRPr="00537556">
        <w:rPr>
          <w:sz w:val="20"/>
        </w:rPr>
        <w:t>’,</w:t>
      </w:r>
    </w:p>
    <w:p w14:paraId="39F28236" w14:textId="77777777" w:rsidR="00537556" w:rsidRPr="00537556" w:rsidRDefault="00537556" w:rsidP="00537556">
      <w:pPr>
        <w:rPr>
          <w:sz w:val="20"/>
        </w:rPr>
      </w:pPr>
      <w:proofErr w:type="spellStart"/>
      <w:r w:rsidRPr="00537556">
        <w:rPr>
          <w:i/>
          <w:sz w:val="20"/>
        </w:rPr>
        <w:t>Archaeologia</w:t>
      </w:r>
      <w:proofErr w:type="spellEnd"/>
      <w:r w:rsidRPr="00537556">
        <w:rPr>
          <w:i/>
          <w:sz w:val="20"/>
        </w:rPr>
        <w:t xml:space="preserve"> </w:t>
      </w:r>
      <w:proofErr w:type="spellStart"/>
      <w:r w:rsidRPr="00537556">
        <w:rPr>
          <w:i/>
          <w:sz w:val="20"/>
        </w:rPr>
        <w:t>Baltica</w:t>
      </w:r>
      <w:proofErr w:type="spellEnd"/>
      <w:r w:rsidRPr="00537556">
        <w:rPr>
          <w:sz w:val="20"/>
        </w:rPr>
        <w:t>, vol. 10 (2008), 175-182; J. McKim Malville, ‘The Casma Valley of Peru: A Cradle</w:t>
      </w:r>
    </w:p>
    <w:p w14:paraId="277A2277" w14:textId="77777777" w:rsidR="00537556" w:rsidRPr="00537556" w:rsidRDefault="00537556" w:rsidP="00537556">
      <w:pPr>
        <w:rPr>
          <w:sz w:val="20"/>
        </w:rPr>
      </w:pPr>
      <w:r w:rsidRPr="00537556">
        <w:rPr>
          <w:sz w:val="20"/>
        </w:rPr>
        <w:t xml:space="preserve">of Pre-Inca Astronomy’, </w:t>
      </w:r>
      <w:r w:rsidRPr="00537556">
        <w:rPr>
          <w:i/>
          <w:sz w:val="20"/>
        </w:rPr>
        <w:t>Mediterranean Archaeology and Archaeometry</w:t>
      </w:r>
      <w:r w:rsidRPr="00537556">
        <w:rPr>
          <w:sz w:val="20"/>
        </w:rPr>
        <w:t>, vol. 14, no. 3 (2014), 169-178; J.</w:t>
      </w:r>
    </w:p>
    <w:p w14:paraId="138908B3" w14:textId="77777777" w:rsidR="00537556" w:rsidRPr="00537556" w:rsidRDefault="00537556" w:rsidP="00537556">
      <w:pPr>
        <w:rPr>
          <w:i/>
          <w:sz w:val="20"/>
        </w:rPr>
      </w:pPr>
      <w:r w:rsidRPr="00537556">
        <w:rPr>
          <w:sz w:val="20"/>
        </w:rPr>
        <w:t xml:space="preserve">McKim Malville, ‘Pre-Inca astronomy in Peru’ in Clive L. N. Ruggles (ed.) </w:t>
      </w:r>
      <w:r w:rsidRPr="00537556">
        <w:rPr>
          <w:i/>
          <w:sz w:val="20"/>
        </w:rPr>
        <w:t>Handbook of</w:t>
      </w:r>
    </w:p>
    <w:p w14:paraId="0B1F69DC" w14:textId="77777777" w:rsidR="00537556" w:rsidRPr="00537556" w:rsidRDefault="00537556" w:rsidP="00537556">
      <w:pPr>
        <w:rPr>
          <w:sz w:val="20"/>
        </w:rPr>
      </w:pPr>
      <w:r w:rsidRPr="00537556">
        <w:rPr>
          <w:i/>
          <w:sz w:val="20"/>
        </w:rPr>
        <w:t>Archaeoastronomy and Ethnoastronomy</w:t>
      </w:r>
      <w:r w:rsidRPr="00537556">
        <w:rPr>
          <w:sz w:val="20"/>
        </w:rPr>
        <w:t xml:space="preserve"> (New York: Springer, 2014), 795-806; Iván Ghezzi, ‘Religious</w:t>
      </w:r>
    </w:p>
    <w:p w14:paraId="4F2CE48D" w14:textId="77777777" w:rsidR="00537556" w:rsidRPr="00537556" w:rsidRDefault="00537556" w:rsidP="00537556">
      <w:pPr>
        <w:rPr>
          <w:i/>
          <w:sz w:val="20"/>
        </w:rPr>
      </w:pPr>
      <w:r w:rsidRPr="00537556">
        <w:rPr>
          <w:sz w:val="20"/>
        </w:rPr>
        <w:t xml:space="preserve">Warfare at Chankillo’ in William H. Isbell and Helaine Silverman (eds.) </w:t>
      </w:r>
      <w:r w:rsidRPr="00537556">
        <w:rPr>
          <w:i/>
          <w:sz w:val="20"/>
        </w:rPr>
        <w:t>Andean Archaeology III: North</w:t>
      </w:r>
    </w:p>
    <w:p w14:paraId="0848E7F1" w14:textId="77777777" w:rsidR="00537556" w:rsidRPr="00537556" w:rsidRDefault="00537556" w:rsidP="00537556">
      <w:pPr>
        <w:rPr>
          <w:sz w:val="20"/>
        </w:rPr>
      </w:pPr>
      <w:r w:rsidRPr="00537556">
        <w:rPr>
          <w:i/>
          <w:sz w:val="20"/>
        </w:rPr>
        <w:t>and South</w:t>
      </w:r>
      <w:r w:rsidRPr="00537556">
        <w:rPr>
          <w:sz w:val="20"/>
        </w:rPr>
        <w:t xml:space="preserve"> (New York: Springer, 2008), 67-84; Iván Ghezzi and Clive L. N. Ruggles, ‘Chankillo’ in Clive</w:t>
      </w:r>
    </w:p>
    <w:p w14:paraId="6FF6BF8C" w14:textId="77777777" w:rsidR="00537556" w:rsidRPr="00537556" w:rsidRDefault="00537556" w:rsidP="00537556">
      <w:pPr>
        <w:rPr>
          <w:sz w:val="20"/>
        </w:rPr>
      </w:pPr>
      <w:r w:rsidRPr="00537556">
        <w:rPr>
          <w:sz w:val="20"/>
        </w:rPr>
        <w:t xml:space="preserve">L. N. Ruggles (ed.) </w:t>
      </w:r>
      <w:r w:rsidRPr="00537556">
        <w:rPr>
          <w:i/>
          <w:sz w:val="20"/>
        </w:rPr>
        <w:t>Handbook of Archaeoastronomy and Ethnoastronomy</w:t>
      </w:r>
      <w:r w:rsidRPr="00537556">
        <w:rPr>
          <w:sz w:val="20"/>
        </w:rPr>
        <w:t xml:space="preserve"> (New York: Springer, 2014),</w:t>
      </w:r>
    </w:p>
    <w:p w14:paraId="681F4422" w14:textId="77777777" w:rsidR="00537556" w:rsidRPr="00537556" w:rsidRDefault="00537556" w:rsidP="00537556">
      <w:pPr>
        <w:rPr>
          <w:b/>
          <w:sz w:val="20"/>
        </w:rPr>
      </w:pPr>
      <w:r w:rsidRPr="00537556">
        <w:rPr>
          <w:sz w:val="20"/>
        </w:rPr>
        <w:t xml:space="preserve">807-820. </w:t>
      </w:r>
      <w:r w:rsidRPr="00537556">
        <w:rPr>
          <w:b/>
          <w:sz w:val="20"/>
        </w:rPr>
        <w:t>This is by no means an exhaustive list of the published works by Malville, Ghezzi, and</w:t>
      </w:r>
    </w:p>
    <w:p w14:paraId="28972B23" w14:textId="60A96FB8" w:rsidR="007D394A" w:rsidRPr="00DD6652" w:rsidRDefault="00537556" w:rsidP="00537556">
      <w:pPr>
        <w:rPr>
          <w:sz w:val="20"/>
        </w:rPr>
      </w:pPr>
      <w:r w:rsidRPr="00537556">
        <w:rPr>
          <w:b/>
          <w:sz w:val="20"/>
        </w:rPr>
        <w:t>Ruggles concerning Chankillo</w:t>
      </w:r>
      <w:r>
        <w:rPr>
          <w:b/>
          <w:sz w:val="20"/>
        </w:rPr>
        <w:t>, but rather representative of the extent of their collective output</w:t>
      </w:r>
      <w:r w:rsidRPr="00537556">
        <w:rPr>
          <w:b/>
          <w:sz w:val="20"/>
        </w:rPr>
        <w:t>.</w:t>
      </w:r>
    </w:p>
  </w:footnote>
  <w:footnote w:id="5">
    <w:p w14:paraId="05B84338" w14:textId="77777777" w:rsidR="00C57FF3" w:rsidRDefault="00C57FF3" w:rsidP="00C57FF3">
      <w:pPr>
        <w:pStyle w:val="FootnoteText"/>
      </w:pPr>
      <w:r>
        <w:rPr>
          <w:rStyle w:val="FootnoteReference"/>
        </w:rPr>
        <w:footnoteRef/>
      </w:r>
      <w:r>
        <w:t xml:space="preserve"> </w:t>
      </w:r>
      <w:r w:rsidRPr="000345BB">
        <w:t>Ghezzi and Ruggles, ‘Chankillo: A 2300-Year-Old Solar Observatory’,</w:t>
      </w:r>
      <w:r>
        <w:t xml:space="preserve"> pp. 1239-1243; Malville, Zawaski, and Gullberg, ‘Cosmological Motifs’, pp. 178-182.</w:t>
      </w:r>
    </w:p>
  </w:footnote>
  <w:footnote w:id="6">
    <w:p w14:paraId="6DFBB253" w14:textId="37B5E8CA" w:rsidR="00D22AA3" w:rsidRPr="00CE4BAA" w:rsidRDefault="00334788">
      <w:pPr>
        <w:pStyle w:val="FootnoteText"/>
      </w:pPr>
      <w:r>
        <w:rPr>
          <w:rStyle w:val="FootnoteReference"/>
        </w:rPr>
        <w:footnoteRef/>
      </w:r>
      <w:r>
        <w:t xml:space="preserve"> </w:t>
      </w:r>
      <w:r w:rsidR="00CE4BAA" w:rsidRPr="008F15DE">
        <w:t xml:space="preserve">Anthony F. </w:t>
      </w:r>
      <w:proofErr w:type="spellStart"/>
      <w:r w:rsidR="00CE4BAA" w:rsidRPr="008F15DE">
        <w:t>Aveni</w:t>
      </w:r>
      <w:proofErr w:type="spellEnd"/>
      <w:r w:rsidR="00CE4BAA" w:rsidRPr="008F15DE">
        <w:t xml:space="preserve">, ‘Introduction: Whither archaeoastronomy?’ in Anthony F. </w:t>
      </w:r>
      <w:proofErr w:type="spellStart"/>
      <w:r w:rsidR="00CE4BAA" w:rsidRPr="008F15DE">
        <w:t>Aveni</w:t>
      </w:r>
      <w:proofErr w:type="spellEnd"/>
      <w:r w:rsidR="00CE4BAA" w:rsidRPr="008F15DE">
        <w:t xml:space="preserve"> (ed.) </w:t>
      </w:r>
      <w:r w:rsidR="00CE4BAA" w:rsidRPr="008F15DE">
        <w:rPr>
          <w:i/>
        </w:rPr>
        <w:t xml:space="preserve">“Oxford II” International Symposium on Archaeoastronomy, </w:t>
      </w:r>
      <w:r w:rsidR="00CE4BAA" w:rsidRPr="008F15DE">
        <w:t xml:space="preserve">Proceedings IAU Symposium (1988), p. </w:t>
      </w:r>
      <w:r w:rsidR="00283933" w:rsidRPr="008F15DE">
        <w:t>3</w:t>
      </w:r>
      <w:r w:rsidR="00CE4BAA" w:rsidRPr="008F15DE">
        <w:t>.</w:t>
      </w:r>
    </w:p>
  </w:footnote>
  <w:footnote w:id="7">
    <w:p w14:paraId="2489E0FB" w14:textId="60893AF9" w:rsidR="004849D2" w:rsidRDefault="004849D2">
      <w:pPr>
        <w:pStyle w:val="FootnoteText"/>
      </w:pPr>
      <w:r>
        <w:rPr>
          <w:rStyle w:val="FootnoteReference"/>
        </w:rPr>
        <w:footnoteRef/>
      </w:r>
      <w:r>
        <w:t xml:space="preserve"> Clive L. N. Ruggles, ‘Pushing back the frontiers or still running around the same circles? “Interpretative archaeoastronomy” thirty years on’ </w:t>
      </w:r>
      <w:r w:rsidRPr="0035613A">
        <w:t xml:space="preserve">in Clive </w:t>
      </w:r>
      <w:r>
        <w:t xml:space="preserve">L. N. </w:t>
      </w:r>
      <w:r w:rsidRPr="0035613A">
        <w:t>Ruggles (ed</w:t>
      </w:r>
      <w:r>
        <w:t xml:space="preserve">.) </w:t>
      </w:r>
      <w:r w:rsidRPr="006515B5">
        <w:rPr>
          <w:i/>
        </w:rPr>
        <w:t xml:space="preserve">“Oxford IX” International Symposium on Archaeoastronomy, </w:t>
      </w:r>
      <w:r w:rsidRPr="006515B5">
        <w:t xml:space="preserve">Proceedings IAU </w:t>
      </w:r>
      <w:proofErr w:type="gramStart"/>
      <w:r w:rsidRPr="006515B5">
        <w:t xml:space="preserve">Symposium </w:t>
      </w:r>
      <w:r w:rsidRPr="006515B5">
        <w:rPr>
          <w:i/>
        </w:rPr>
        <w:t xml:space="preserve"> </w:t>
      </w:r>
      <w:r w:rsidRPr="0035613A">
        <w:t>(</w:t>
      </w:r>
      <w:proofErr w:type="gramEnd"/>
      <w:r w:rsidRPr="0035613A">
        <w:t>2011),</w:t>
      </w:r>
      <w:r>
        <w:t xml:space="preserve"> p. 1</w:t>
      </w:r>
      <w:r w:rsidR="006F327B">
        <w:t>, repeated on p. 2</w:t>
      </w:r>
      <w:r>
        <w:t>.</w:t>
      </w:r>
    </w:p>
  </w:footnote>
  <w:footnote w:id="8">
    <w:p w14:paraId="3FC3CBE4" w14:textId="775543E3" w:rsidR="00C316EF" w:rsidRDefault="00C316EF">
      <w:pPr>
        <w:pStyle w:val="FootnoteText"/>
      </w:pPr>
      <w:r>
        <w:rPr>
          <w:rStyle w:val="FootnoteReference"/>
        </w:rPr>
        <w:footnoteRef/>
      </w:r>
      <w:r>
        <w:t xml:space="preserve"> </w:t>
      </w:r>
      <w:r w:rsidR="00893672" w:rsidRPr="00893672">
        <w:t xml:space="preserve">‘About: Ivan Ghezzi’, </w:t>
      </w:r>
      <w:r w:rsidR="00893672" w:rsidRPr="00893672">
        <w:rPr>
          <w:i/>
        </w:rPr>
        <w:t>ResearchGate</w:t>
      </w:r>
      <w:r w:rsidR="00893672" w:rsidRPr="00893672">
        <w:t xml:space="preserve"> &lt;https://www.researchgate.net/profile/Ivan_Ghezzi&gt; [accessed 17 February 2019].</w:t>
      </w:r>
    </w:p>
  </w:footnote>
  <w:footnote w:id="9">
    <w:p w14:paraId="2ACDF639" w14:textId="44687828" w:rsidR="006F327B" w:rsidRDefault="006F327B">
      <w:pPr>
        <w:pStyle w:val="FootnoteText"/>
      </w:pPr>
      <w:r>
        <w:rPr>
          <w:rStyle w:val="FootnoteReference"/>
        </w:rPr>
        <w:footnoteRef/>
      </w:r>
      <w:r>
        <w:t xml:space="preserve"> Ruggles, ‘Pushing back the frontiers’, p. 2.</w:t>
      </w:r>
    </w:p>
  </w:footnote>
  <w:footnote w:id="10">
    <w:p w14:paraId="73AA256A" w14:textId="4231BEB2" w:rsidR="00B16279" w:rsidRDefault="00B16279">
      <w:pPr>
        <w:pStyle w:val="FootnoteText"/>
      </w:pPr>
      <w:r>
        <w:rPr>
          <w:rStyle w:val="FootnoteReference"/>
        </w:rPr>
        <w:footnoteRef/>
      </w:r>
      <w:r>
        <w:t xml:space="preserve"> </w:t>
      </w:r>
      <w:bookmarkStart w:id="7" w:name="_Hlk1331852"/>
      <w:r>
        <w:t xml:space="preserve">Ghezzi and Ruggles, ‘Chankillo: </w:t>
      </w:r>
      <w:r w:rsidRPr="004E2AC1">
        <w:rPr>
          <w:bCs/>
          <w:color w:val="000000" w:themeColor="text1"/>
          <w:lang w:val="en-US"/>
        </w:rPr>
        <w:t>A 2300-Year-Old Solar Observatory</w:t>
      </w:r>
      <w:r>
        <w:rPr>
          <w:bCs/>
          <w:color w:val="000000" w:themeColor="text1"/>
          <w:lang w:val="en-US"/>
        </w:rPr>
        <w:t>’,</w:t>
      </w:r>
      <w:bookmarkEnd w:id="7"/>
      <w:r>
        <w:rPr>
          <w:bCs/>
          <w:color w:val="000000" w:themeColor="text1"/>
          <w:lang w:val="en-US"/>
        </w:rPr>
        <w:t xml:space="preserve"> p. 1241.</w:t>
      </w:r>
    </w:p>
  </w:footnote>
  <w:footnote w:id="11">
    <w:p w14:paraId="4C236450" w14:textId="55972747" w:rsidR="00B16279" w:rsidRDefault="00B16279">
      <w:pPr>
        <w:pStyle w:val="FootnoteText"/>
      </w:pPr>
      <w:r>
        <w:rPr>
          <w:rStyle w:val="FootnoteReference"/>
        </w:rPr>
        <w:footnoteRef/>
      </w:r>
      <w:r>
        <w:t xml:space="preserve"> Ghezzi and Ruggles, ‘Social and Ritual Context’, p. 149.</w:t>
      </w:r>
    </w:p>
  </w:footnote>
  <w:footnote w:id="12">
    <w:p w14:paraId="488917D4" w14:textId="7A313609" w:rsidR="006F5C84" w:rsidRDefault="006F5C84">
      <w:pPr>
        <w:pStyle w:val="FootnoteText"/>
      </w:pPr>
      <w:r>
        <w:rPr>
          <w:rStyle w:val="FootnoteReference"/>
        </w:rPr>
        <w:footnoteRef/>
      </w:r>
      <w:r>
        <w:t xml:space="preserve"> Clive L. N. Ruggles, </w:t>
      </w:r>
      <w:r w:rsidR="00F83695" w:rsidRPr="00F83695">
        <w:t xml:space="preserve">‘The stone alignments of Argyll and Mull: A perspective on the statistical approach in archaeoastronomy’ </w:t>
      </w:r>
      <w:r>
        <w:t xml:space="preserve">in Clive L. N. Ruggles (ed.) </w:t>
      </w:r>
      <w:r>
        <w:rPr>
          <w:i/>
        </w:rPr>
        <w:t xml:space="preserve">Records in Stone: Papers in memory of Alexander Thom </w:t>
      </w:r>
      <w:r>
        <w:t>(Cambridge: Cambridge University Press, 1988),</w:t>
      </w:r>
      <w:r>
        <w:rPr>
          <w:i/>
        </w:rPr>
        <w:t xml:space="preserve"> </w:t>
      </w:r>
      <w:r>
        <w:t>pp. 246-247.</w:t>
      </w:r>
    </w:p>
  </w:footnote>
  <w:footnote w:id="13">
    <w:p w14:paraId="4CA78B3B" w14:textId="77777777" w:rsidR="005536DF" w:rsidRDefault="005536DF" w:rsidP="005536DF">
      <w:pPr>
        <w:pStyle w:val="FootnoteText"/>
      </w:pPr>
      <w:r>
        <w:rPr>
          <w:rStyle w:val="FootnoteReference"/>
        </w:rPr>
        <w:footnoteRef/>
      </w:r>
      <w:r>
        <w:t xml:space="preserve"> ‘J. McKim Malville’, </w:t>
      </w:r>
      <w:r>
        <w:rPr>
          <w:i/>
        </w:rPr>
        <w:t xml:space="preserve">Astrophysical and Planetary Sciences: University of Colorado Boulder </w:t>
      </w:r>
      <w:r>
        <w:t>&lt;</w:t>
      </w:r>
      <w:r w:rsidRPr="00193068">
        <w:t>https://www.colorado.edu/aps/j-mckim-malville</w:t>
      </w:r>
      <w:r>
        <w:t>&gt; [accessed 17 February 2019]; Malville, ‘Astronomy and ceremony at Chankillo’, pp. 158-159.</w:t>
      </w:r>
    </w:p>
  </w:footnote>
  <w:footnote w:id="14">
    <w:p w14:paraId="3D457345" w14:textId="0A6CCE8E" w:rsidR="005536DF" w:rsidRPr="00EB0F41" w:rsidRDefault="005536DF" w:rsidP="005536DF">
      <w:pPr>
        <w:pStyle w:val="FootnoteText"/>
      </w:pPr>
      <w:r>
        <w:rPr>
          <w:rStyle w:val="FootnoteReference"/>
        </w:rPr>
        <w:footnoteRef/>
      </w:r>
      <w:r>
        <w:t xml:space="preserve"> </w:t>
      </w:r>
      <w:r w:rsidR="00EB0F41">
        <w:t>Malville, ‘Astronomy and ceremony’, pp. 158, 159.</w:t>
      </w:r>
    </w:p>
  </w:footnote>
  <w:footnote w:id="15">
    <w:p w14:paraId="364A672D" w14:textId="77777777" w:rsidR="004B76BC" w:rsidRDefault="004B76BC" w:rsidP="004B76BC">
      <w:pPr>
        <w:pStyle w:val="FootnoteText"/>
      </w:pPr>
      <w:r>
        <w:rPr>
          <w:rStyle w:val="FootnoteReference"/>
        </w:rPr>
        <w:footnoteRef/>
      </w:r>
      <w:r>
        <w:t xml:space="preserve"> Malville, ‘Astronomy and ceremony at Chankillo’, p. 155.</w:t>
      </w:r>
    </w:p>
  </w:footnote>
  <w:footnote w:id="16">
    <w:p w14:paraId="66CBE2CC" w14:textId="388D1F3F" w:rsidR="003104BA" w:rsidRDefault="003104BA" w:rsidP="003104BA">
      <w:pPr>
        <w:pStyle w:val="FootnoteText"/>
      </w:pPr>
      <w:r>
        <w:rPr>
          <w:rStyle w:val="FootnoteReference"/>
        </w:rPr>
        <w:footnoteRef/>
      </w:r>
      <w:r>
        <w:t xml:space="preserve"> </w:t>
      </w:r>
      <w:r w:rsidR="0019792B">
        <w:t xml:space="preserve">Ghezzi and Ruggles, ‘Social and Ritual Context’, pp. 148-149; </w:t>
      </w:r>
      <w:r w:rsidR="002F510D">
        <w:t>Malville, ‘Astronomy and ceremony at Chankillo’, pp. 159-160.</w:t>
      </w:r>
    </w:p>
  </w:footnote>
  <w:footnote w:id="17">
    <w:p w14:paraId="2381BDC3" w14:textId="77777777" w:rsidR="00904549" w:rsidRDefault="00904549" w:rsidP="00904549">
      <w:pPr>
        <w:pStyle w:val="FootnoteText"/>
      </w:pPr>
      <w:r>
        <w:rPr>
          <w:rStyle w:val="FootnoteReference"/>
        </w:rPr>
        <w:footnoteRef/>
      </w:r>
      <w:r>
        <w:t xml:space="preserve"> Ghezzi and Ruggles, ‘Social and Ritual Context’, p. 148; Malville, ‘Astronomy and ceremony at Chankillo’, p. 155.</w:t>
      </w:r>
    </w:p>
  </w:footnote>
  <w:footnote w:id="18">
    <w:p w14:paraId="1946AE45" w14:textId="6599158F" w:rsidR="00383320" w:rsidRDefault="00383320">
      <w:pPr>
        <w:pStyle w:val="FootnoteText"/>
      </w:pPr>
      <w:r>
        <w:rPr>
          <w:rStyle w:val="FootnoteReference"/>
        </w:rPr>
        <w:footnoteRef/>
      </w:r>
      <w:r>
        <w:t xml:space="preserve"> Malville, ‘Astronomy and ceremony at Chankillo’, p. 155.</w:t>
      </w:r>
    </w:p>
  </w:footnote>
  <w:footnote w:id="19">
    <w:p w14:paraId="4359AD4B" w14:textId="77777777" w:rsidR="00904549" w:rsidRDefault="00904549" w:rsidP="00904549">
      <w:pPr>
        <w:pStyle w:val="FootnoteText"/>
      </w:pPr>
      <w:r>
        <w:rPr>
          <w:rStyle w:val="FootnoteReference"/>
        </w:rPr>
        <w:footnoteRef/>
      </w:r>
      <w:r>
        <w:t xml:space="preserve"> Malville, ‘Astronomy and ceremony at Chankillo’, p. 155.</w:t>
      </w:r>
    </w:p>
  </w:footnote>
  <w:footnote w:id="20">
    <w:p w14:paraId="6259ECB6" w14:textId="6C285830" w:rsidR="00904549" w:rsidRDefault="00904549" w:rsidP="00904549">
      <w:pPr>
        <w:pStyle w:val="FootnoteText"/>
      </w:pPr>
      <w:r>
        <w:rPr>
          <w:rStyle w:val="FootnoteReference"/>
        </w:rPr>
        <w:footnoteRef/>
      </w:r>
      <w:r>
        <w:t xml:space="preserve"> Ghezzi and Ruggles, ‘Social and Ritual Context’, p</w:t>
      </w:r>
      <w:r w:rsidR="00D1594D">
        <w:t>p</w:t>
      </w:r>
      <w:r>
        <w:t>. 148</w:t>
      </w:r>
      <w:r w:rsidR="00D1594D">
        <w:t>, 151-152</w:t>
      </w:r>
      <w:r>
        <w:t>; Malville, ‘Astronomy and ceremony at Chankillo’, p.</w:t>
      </w:r>
    </w:p>
  </w:footnote>
  <w:footnote w:id="21">
    <w:p w14:paraId="309F4031" w14:textId="77777777" w:rsidR="00C973AC" w:rsidRDefault="00C973AC" w:rsidP="00C973AC">
      <w:pPr>
        <w:pStyle w:val="FootnoteText"/>
      </w:pPr>
      <w:r>
        <w:rPr>
          <w:rStyle w:val="FootnoteReference"/>
        </w:rPr>
        <w:footnoteRef/>
      </w:r>
      <w:r>
        <w:t xml:space="preserve"> </w:t>
      </w:r>
      <w:r w:rsidRPr="0021218B">
        <w:t>Ghezzi and Ruggles, ‘Social and Ritual Context’</w:t>
      </w:r>
      <w:r>
        <w:t>, p. 152; Malville, ‘Astronomy and ceremony’, p. 159.</w:t>
      </w:r>
    </w:p>
  </w:footnote>
  <w:footnote w:id="22">
    <w:p w14:paraId="2F2EF10D" w14:textId="1F6EC23B" w:rsidR="00842460" w:rsidRDefault="00842460">
      <w:pPr>
        <w:pStyle w:val="FootnoteText"/>
      </w:pPr>
      <w:r>
        <w:rPr>
          <w:rStyle w:val="FootnoteReference"/>
        </w:rPr>
        <w:footnoteRef/>
      </w:r>
      <w:r>
        <w:t xml:space="preserve"> </w:t>
      </w:r>
      <w:r w:rsidRPr="0021218B">
        <w:t>Ghezzi and Ruggles, ‘Social and Ritual Context’</w:t>
      </w:r>
      <w:r>
        <w:t>, p. 151.</w:t>
      </w:r>
    </w:p>
  </w:footnote>
  <w:footnote w:id="23">
    <w:p w14:paraId="686E6A12" w14:textId="77777777" w:rsidR="00C973AC" w:rsidRDefault="00C973AC" w:rsidP="00C973AC">
      <w:pPr>
        <w:pStyle w:val="FootnoteText"/>
      </w:pPr>
      <w:r>
        <w:rPr>
          <w:rStyle w:val="FootnoteReference"/>
        </w:rPr>
        <w:footnoteRef/>
      </w:r>
      <w:r>
        <w:t xml:space="preserve"> Malville, ‘Astronomy and ceremony’, p. 159.</w:t>
      </w:r>
    </w:p>
  </w:footnote>
  <w:footnote w:id="24">
    <w:p w14:paraId="7815C06D" w14:textId="77777777" w:rsidR="007A7D2F" w:rsidRDefault="007A7D2F" w:rsidP="007A7D2F">
      <w:pPr>
        <w:pStyle w:val="FootnoteText"/>
      </w:pPr>
      <w:r>
        <w:rPr>
          <w:rStyle w:val="FootnoteReference"/>
        </w:rPr>
        <w:footnoteRef/>
      </w:r>
      <w:r>
        <w:t xml:space="preserve"> Malville, ‘Astronomy and ceremony at Chankillo’, p. 158.</w:t>
      </w:r>
    </w:p>
  </w:footnote>
  <w:footnote w:id="25">
    <w:p w14:paraId="0D00F816" w14:textId="341CFC41" w:rsidR="00DD2A41" w:rsidRDefault="00DD2A41">
      <w:pPr>
        <w:pStyle w:val="FootnoteText"/>
      </w:pPr>
      <w:r>
        <w:rPr>
          <w:rStyle w:val="FootnoteReference"/>
        </w:rPr>
        <w:footnoteRef/>
      </w:r>
      <w:r>
        <w:t xml:space="preserve"> Malville, ‘Astronomy and ceremony at Chankillo’, p. 156.</w:t>
      </w:r>
    </w:p>
  </w:footnote>
  <w:footnote w:id="26">
    <w:p w14:paraId="2E4F511A" w14:textId="6ECD583D" w:rsidR="00E32152" w:rsidRDefault="00E32152">
      <w:pPr>
        <w:pStyle w:val="FootnoteText"/>
      </w:pPr>
      <w:r>
        <w:rPr>
          <w:rStyle w:val="FootnoteReference"/>
        </w:rPr>
        <w:footnoteRef/>
      </w:r>
      <w:r>
        <w:t xml:space="preserve"> Malville, ‘Astronomy and ceremony at Chankillo’, p. 158.</w:t>
      </w:r>
    </w:p>
  </w:footnote>
  <w:footnote w:id="27">
    <w:p w14:paraId="015C9DC8" w14:textId="6974440E" w:rsidR="00905BC4" w:rsidRDefault="00905BC4">
      <w:pPr>
        <w:pStyle w:val="FootnoteText"/>
      </w:pPr>
      <w:r>
        <w:rPr>
          <w:rStyle w:val="FootnoteReference"/>
        </w:rPr>
        <w:footnoteRef/>
      </w:r>
      <w:r>
        <w:t xml:space="preserve"> Malville, ‘Astronomy and ceremony at Chankillo’, pp. 155-156.</w:t>
      </w:r>
    </w:p>
  </w:footnote>
  <w:footnote w:id="28">
    <w:p w14:paraId="752C1ADB" w14:textId="1D44A177" w:rsidR="0030427E" w:rsidRDefault="0030427E">
      <w:pPr>
        <w:pStyle w:val="FootnoteText"/>
      </w:pPr>
      <w:r>
        <w:rPr>
          <w:rStyle w:val="FootnoteReference"/>
        </w:rPr>
        <w:footnoteRef/>
      </w:r>
      <w:r>
        <w:t xml:space="preserve"> Ghezzi and Ruggles, ‘Social and Ritual Context’, pp. 149-150.</w:t>
      </w:r>
    </w:p>
  </w:footnote>
  <w:footnote w:id="29">
    <w:p w14:paraId="40E244C7" w14:textId="77777777" w:rsidR="00904549" w:rsidRDefault="00904549" w:rsidP="00904549">
      <w:pPr>
        <w:pStyle w:val="FootnoteText"/>
      </w:pPr>
      <w:r>
        <w:rPr>
          <w:rStyle w:val="FootnoteReference"/>
        </w:rPr>
        <w:footnoteRef/>
      </w:r>
      <w:r>
        <w:t xml:space="preserve"> Ghezzi and Ruggles, ‘Social and Ritual Context’, pp. 148-149.</w:t>
      </w:r>
    </w:p>
  </w:footnote>
  <w:footnote w:id="30">
    <w:p w14:paraId="43756AC6" w14:textId="77777777" w:rsidR="00904549" w:rsidRDefault="00904549" w:rsidP="00904549">
      <w:pPr>
        <w:pStyle w:val="FootnoteText"/>
      </w:pPr>
      <w:r>
        <w:rPr>
          <w:rStyle w:val="FootnoteReference"/>
        </w:rPr>
        <w:footnoteRef/>
      </w:r>
      <w:r>
        <w:t xml:space="preserve"> Malville, ‘Astronomy and ceremony at Chankillo’, p. 159.</w:t>
      </w:r>
    </w:p>
  </w:footnote>
  <w:footnote w:id="31">
    <w:p w14:paraId="75AD9D93" w14:textId="0340941A" w:rsidR="00B129D7" w:rsidRDefault="00B129D7">
      <w:pPr>
        <w:pStyle w:val="FootnoteText"/>
      </w:pPr>
      <w:r>
        <w:rPr>
          <w:rStyle w:val="FootnoteReference"/>
        </w:rPr>
        <w:footnoteRef/>
      </w:r>
      <w:r>
        <w:t xml:space="preserve"> Malville, ‘Astronomy and ceremony at Chankillo’, p. 159.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B0D2B" w14:textId="5BDEE16D" w:rsidR="007D394A" w:rsidRDefault="007D394A">
    <w:pPr>
      <w:pStyle w:val="Header"/>
      <w:jc w:val="right"/>
    </w:pPr>
    <w:r>
      <w:rPr>
        <w:lang w:val="en-GB"/>
      </w:rPr>
      <w:t>Elizabeth Flynn</w:t>
    </w:r>
    <w:r>
      <w:rPr>
        <w:lang w:val="en-GB"/>
      </w:rPr>
      <w:tab/>
      <w:t>1805402</w:t>
    </w:r>
    <w:r>
      <w:rPr>
        <w:lang w:val="en-GB"/>
      </w:rPr>
      <w:tab/>
    </w:r>
    <w:sdt>
      <w:sdtPr>
        <w:id w:val="-1318336367"/>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00752174">
          <w:rPr>
            <w:b/>
            <w:bCs/>
            <w:sz w:val="24"/>
            <w:szCs w:val="24"/>
            <w:lang w:val="en-GB"/>
          </w:rPr>
          <w:t>6</w:t>
        </w:r>
      </w:sdtContent>
    </w:sdt>
  </w:p>
  <w:p w14:paraId="502403F0" w14:textId="77777777" w:rsidR="007D394A" w:rsidRDefault="007D394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75F86"/>
    <w:multiLevelType w:val="hybridMultilevel"/>
    <w:tmpl w:val="0854FA14"/>
    <w:lvl w:ilvl="0" w:tplc="67BC119C">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CE"/>
    <w:rsid w:val="0000019C"/>
    <w:rsid w:val="000048BD"/>
    <w:rsid w:val="00015F6B"/>
    <w:rsid w:val="00021878"/>
    <w:rsid w:val="0003160B"/>
    <w:rsid w:val="000345BB"/>
    <w:rsid w:val="000441BA"/>
    <w:rsid w:val="0006091F"/>
    <w:rsid w:val="000616DB"/>
    <w:rsid w:val="00062E6A"/>
    <w:rsid w:val="0007525B"/>
    <w:rsid w:val="00083D31"/>
    <w:rsid w:val="00085BEC"/>
    <w:rsid w:val="00085D23"/>
    <w:rsid w:val="00093B4B"/>
    <w:rsid w:val="000A75BC"/>
    <w:rsid w:val="000B232A"/>
    <w:rsid w:val="000C58BE"/>
    <w:rsid w:val="000C6E08"/>
    <w:rsid w:val="000C725F"/>
    <w:rsid w:val="000D2EC4"/>
    <w:rsid w:val="000D453C"/>
    <w:rsid w:val="000D7D81"/>
    <w:rsid w:val="0011052A"/>
    <w:rsid w:val="0011308A"/>
    <w:rsid w:val="00113EE0"/>
    <w:rsid w:val="001149F1"/>
    <w:rsid w:val="00115A90"/>
    <w:rsid w:val="00117CF5"/>
    <w:rsid w:val="001213A0"/>
    <w:rsid w:val="00123B1E"/>
    <w:rsid w:val="00123C67"/>
    <w:rsid w:val="00125AA4"/>
    <w:rsid w:val="00127C15"/>
    <w:rsid w:val="00136956"/>
    <w:rsid w:val="001425EA"/>
    <w:rsid w:val="001477BA"/>
    <w:rsid w:val="00151B78"/>
    <w:rsid w:val="00154C50"/>
    <w:rsid w:val="00156A1A"/>
    <w:rsid w:val="0017670C"/>
    <w:rsid w:val="001802FE"/>
    <w:rsid w:val="00193068"/>
    <w:rsid w:val="0019792B"/>
    <w:rsid w:val="001A1CBC"/>
    <w:rsid w:val="001B2CF1"/>
    <w:rsid w:val="001C58EF"/>
    <w:rsid w:val="001D02EA"/>
    <w:rsid w:val="001D1667"/>
    <w:rsid w:val="001D2544"/>
    <w:rsid w:val="001E0D0D"/>
    <w:rsid w:val="001E1F70"/>
    <w:rsid w:val="001E26AA"/>
    <w:rsid w:val="001F3413"/>
    <w:rsid w:val="001F3F9A"/>
    <w:rsid w:val="00212140"/>
    <w:rsid w:val="0021218B"/>
    <w:rsid w:val="0023022A"/>
    <w:rsid w:val="00235103"/>
    <w:rsid w:val="00236C05"/>
    <w:rsid w:val="00243CC2"/>
    <w:rsid w:val="0025217B"/>
    <w:rsid w:val="0025291D"/>
    <w:rsid w:val="00255EF2"/>
    <w:rsid w:val="002644F8"/>
    <w:rsid w:val="00283933"/>
    <w:rsid w:val="00293921"/>
    <w:rsid w:val="002C2173"/>
    <w:rsid w:val="002D1556"/>
    <w:rsid w:val="002D3461"/>
    <w:rsid w:val="002D4503"/>
    <w:rsid w:val="002D737E"/>
    <w:rsid w:val="002D77E8"/>
    <w:rsid w:val="002E0349"/>
    <w:rsid w:val="002E448F"/>
    <w:rsid w:val="002F308C"/>
    <w:rsid w:val="002F36FF"/>
    <w:rsid w:val="002F48B8"/>
    <w:rsid w:val="002F510D"/>
    <w:rsid w:val="002F5E7C"/>
    <w:rsid w:val="00300C77"/>
    <w:rsid w:val="0030427E"/>
    <w:rsid w:val="00305364"/>
    <w:rsid w:val="00306ACC"/>
    <w:rsid w:val="003104BA"/>
    <w:rsid w:val="003113D2"/>
    <w:rsid w:val="00311A12"/>
    <w:rsid w:val="003143A3"/>
    <w:rsid w:val="00327B3C"/>
    <w:rsid w:val="00334788"/>
    <w:rsid w:val="00341D32"/>
    <w:rsid w:val="003504BD"/>
    <w:rsid w:val="0035297D"/>
    <w:rsid w:val="00355445"/>
    <w:rsid w:val="0035613A"/>
    <w:rsid w:val="00361E04"/>
    <w:rsid w:val="00366DC7"/>
    <w:rsid w:val="00370CC1"/>
    <w:rsid w:val="00374B35"/>
    <w:rsid w:val="003761C9"/>
    <w:rsid w:val="00383320"/>
    <w:rsid w:val="00383E8B"/>
    <w:rsid w:val="0038533D"/>
    <w:rsid w:val="00386B1D"/>
    <w:rsid w:val="003930B4"/>
    <w:rsid w:val="00393885"/>
    <w:rsid w:val="00396E5D"/>
    <w:rsid w:val="00396EE1"/>
    <w:rsid w:val="003A4163"/>
    <w:rsid w:val="003B5AC6"/>
    <w:rsid w:val="003C127C"/>
    <w:rsid w:val="003D0748"/>
    <w:rsid w:val="003D355D"/>
    <w:rsid w:val="003E1F06"/>
    <w:rsid w:val="003E2CA1"/>
    <w:rsid w:val="003F0910"/>
    <w:rsid w:val="003F2261"/>
    <w:rsid w:val="003F42F8"/>
    <w:rsid w:val="0040449C"/>
    <w:rsid w:val="00405E19"/>
    <w:rsid w:val="00417322"/>
    <w:rsid w:val="0043130F"/>
    <w:rsid w:val="00432B25"/>
    <w:rsid w:val="00437806"/>
    <w:rsid w:val="00440375"/>
    <w:rsid w:val="00445120"/>
    <w:rsid w:val="00447330"/>
    <w:rsid w:val="00466D96"/>
    <w:rsid w:val="00475949"/>
    <w:rsid w:val="004849D2"/>
    <w:rsid w:val="0049262E"/>
    <w:rsid w:val="004960C4"/>
    <w:rsid w:val="004A6B4F"/>
    <w:rsid w:val="004B4894"/>
    <w:rsid w:val="004B76BC"/>
    <w:rsid w:val="004C532B"/>
    <w:rsid w:val="004C55F0"/>
    <w:rsid w:val="004D289A"/>
    <w:rsid w:val="004D56E8"/>
    <w:rsid w:val="004D61EE"/>
    <w:rsid w:val="004D6EA6"/>
    <w:rsid w:val="004E094F"/>
    <w:rsid w:val="004E1378"/>
    <w:rsid w:val="004E2AC1"/>
    <w:rsid w:val="004E485A"/>
    <w:rsid w:val="004E722A"/>
    <w:rsid w:val="004F32B1"/>
    <w:rsid w:val="00513212"/>
    <w:rsid w:val="0051452F"/>
    <w:rsid w:val="00520749"/>
    <w:rsid w:val="00535E7F"/>
    <w:rsid w:val="00536CA3"/>
    <w:rsid w:val="00537556"/>
    <w:rsid w:val="0054241C"/>
    <w:rsid w:val="00547A5D"/>
    <w:rsid w:val="00547D63"/>
    <w:rsid w:val="005536DF"/>
    <w:rsid w:val="00561180"/>
    <w:rsid w:val="00561589"/>
    <w:rsid w:val="00563F6A"/>
    <w:rsid w:val="00566C5E"/>
    <w:rsid w:val="0057238F"/>
    <w:rsid w:val="00595A12"/>
    <w:rsid w:val="005964BC"/>
    <w:rsid w:val="00597BD5"/>
    <w:rsid w:val="005A0EE7"/>
    <w:rsid w:val="005A22F8"/>
    <w:rsid w:val="005A4A5B"/>
    <w:rsid w:val="005C57A5"/>
    <w:rsid w:val="005D4075"/>
    <w:rsid w:val="005F3D1F"/>
    <w:rsid w:val="005F58F8"/>
    <w:rsid w:val="005F69AE"/>
    <w:rsid w:val="00605B57"/>
    <w:rsid w:val="006271C8"/>
    <w:rsid w:val="00634E05"/>
    <w:rsid w:val="00635401"/>
    <w:rsid w:val="006515B5"/>
    <w:rsid w:val="00651B5B"/>
    <w:rsid w:val="00651FC1"/>
    <w:rsid w:val="006555A4"/>
    <w:rsid w:val="006576F7"/>
    <w:rsid w:val="0066788F"/>
    <w:rsid w:val="00670050"/>
    <w:rsid w:val="00671D7A"/>
    <w:rsid w:val="00683CEE"/>
    <w:rsid w:val="00684C1F"/>
    <w:rsid w:val="006A12AB"/>
    <w:rsid w:val="006A2885"/>
    <w:rsid w:val="006A5F87"/>
    <w:rsid w:val="006B6734"/>
    <w:rsid w:val="006B6F6F"/>
    <w:rsid w:val="006D44AC"/>
    <w:rsid w:val="006D5824"/>
    <w:rsid w:val="006D61EF"/>
    <w:rsid w:val="006D6AB9"/>
    <w:rsid w:val="006E3E85"/>
    <w:rsid w:val="006E6DC3"/>
    <w:rsid w:val="006F327B"/>
    <w:rsid w:val="006F46FF"/>
    <w:rsid w:val="006F5C84"/>
    <w:rsid w:val="006F6F6D"/>
    <w:rsid w:val="00702803"/>
    <w:rsid w:val="007031F3"/>
    <w:rsid w:val="00704ED4"/>
    <w:rsid w:val="00706759"/>
    <w:rsid w:val="00712611"/>
    <w:rsid w:val="00726551"/>
    <w:rsid w:val="0073265F"/>
    <w:rsid w:val="007332DF"/>
    <w:rsid w:val="00745D54"/>
    <w:rsid w:val="0075148B"/>
    <w:rsid w:val="00752174"/>
    <w:rsid w:val="00752C14"/>
    <w:rsid w:val="007661F3"/>
    <w:rsid w:val="00771D77"/>
    <w:rsid w:val="00774D8B"/>
    <w:rsid w:val="007A43CC"/>
    <w:rsid w:val="007A7D2F"/>
    <w:rsid w:val="007B09CB"/>
    <w:rsid w:val="007C1D42"/>
    <w:rsid w:val="007D394A"/>
    <w:rsid w:val="007E58C2"/>
    <w:rsid w:val="007F18C3"/>
    <w:rsid w:val="007F61AD"/>
    <w:rsid w:val="00800374"/>
    <w:rsid w:val="00801A81"/>
    <w:rsid w:val="00806730"/>
    <w:rsid w:val="008069CF"/>
    <w:rsid w:val="008110F8"/>
    <w:rsid w:val="00812D6F"/>
    <w:rsid w:val="00817C39"/>
    <w:rsid w:val="0082072F"/>
    <w:rsid w:val="00821987"/>
    <w:rsid w:val="00832490"/>
    <w:rsid w:val="0083307F"/>
    <w:rsid w:val="00835A92"/>
    <w:rsid w:val="008376CA"/>
    <w:rsid w:val="00840816"/>
    <w:rsid w:val="008418EF"/>
    <w:rsid w:val="00842460"/>
    <w:rsid w:val="00842AD5"/>
    <w:rsid w:val="00843568"/>
    <w:rsid w:val="00845F42"/>
    <w:rsid w:val="00846BF1"/>
    <w:rsid w:val="00866F3B"/>
    <w:rsid w:val="00870661"/>
    <w:rsid w:val="00890EB1"/>
    <w:rsid w:val="00893672"/>
    <w:rsid w:val="008A38C8"/>
    <w:rsid w:val="008B14EC"/>
    <w:rsid w:val="008B303D"/>
    <w:rsid w:val="008D06BC"/>
    <w:rsid w:val="008D0811"/>
    <w:rsid w:val="008D22ED"/>
    <w:rsid w:val="008D4DFB"/>
    <w:rsid w:val="008E2E16"/>
    <w:rsid w:val="008E613B"/>
    <w:rsid w:val="008F15DE"/>
    <w:rsid w:val="00904549"/>
    <w:rsid w:val="00905877"/>
    <w:rsid w:val="00905BC4"/>
    <w:rsid w:val="00911A65"/>
    <w:rsid w:val="00932D69"/>
    <w:rsid w:val="00932DA7"/>
    <w:rsid w:val="00935AC0"/>
    <w:rsid w:val="00944151"/>
    <w:rsid w:val="00950924"/>
    <w:rsid w:val="009514BB"/>
    <w:rsid w:val="00953B9D"/>
    <w:rsid w:val="00955D18"/>
    <w:rsid w:val="00986260"/>
    <w:rsid w:val="00993BF9"/>
    <w:rsid w:val="009B284F"/>
    <w:rsid w:val="009B41D8"/>
    <w:rsid w:val="009B6368"/>
    <w:rsid w:val="009B6FE6"/>
    <w:rsid w:val="009D0D46"/>
    <w:rsid w:val="009E3582"/>
    <w:rsid w:val="009F6E11"/>
    <w:rsid w:val="00A04AB9"/>
    <w:rsid w:val="00A110D0"/>
    <w:rsid w:val="00A17DDE"/>
    <w:rsid w:val="00A248DA"/>
    <w:rsid w:val="00A324C3"/>
    <w:rsid w:val="00A42E9D"/>
    <w:rsid w:val="00A53E1A"/>
    <w:rsid w:val="00A622EE"/>
    <w:rsid w:val="00A66AC2"/>
    <w:rsid w:val="00A67352"/>
    <w:rsid w:val="00A738F9"/>
    <w:rsid w:val="00A75CF6"/>
    <w:rsid w:val="00A77CAC"/>
    <w:rsid w:val="00A83C73"/>
    <w:rsid w:val="00A8686B"/>
    <w:rsid w:val="00A94785"/>
    <w:rsid w:val="00A97553"/>
    <w:rsid w:val="00A97BBE"/>
    <w:rsid w:val="00AA3CA4"/>
    <w:rsid w:val="00AA499C"/>
    <w:rsid w:val="00AA5951"/>
    <w:rsid w:val="00AB4D89"/>
    <w:rsid w:val="00AC206A"/>
    <w:rsid w:val="00AD21F8"/>
    <w:rsid w:val="00AD2B8D"/>
    <w:rsid w:val="00AD37C8"/>
    <w:rsid w:val="00AD67F5"/>
    <w:rsid w:val="00AE1F2B"/>
    <w:rsid w:val="00AF6BE6"/>
    <w:rsid w:val="00B0446C"/>
    <w:rsid w:val="00B129D7"/>
    <w:rsid w:val="00B14ACB"/>
    <w:rsid w:val="00B16279"/>
    <w:rsid w:val="00B20832"/>
    <w:rsid w:val="00B224E3"/>
    <w:rsid w:val="00B34183"/>
    <w:rsid w:val="00B37E8B"/>
    <w:rsid w:val="00B44109"/>
    <w:rsid w:val="00B453E4"/>
    <w:rsid w:val="00B47E65"/>
    <w:rsid w:val="00B57672"/>
    <w:rsid w:val="00B57961"/>
    <w:rsid w:val="00B654C3"/>
    <w:rsid w:val="00B66A2B"/>
    <w:rsid w:val="00B73793"/>
    <w:rsid w:val="00B7415B"/>
    <w:rsid w:val="00B759F3"/>
    <w:rsid w:val="00B829C2"/>
    <w:rsid w:val="00BA4D0E"/>
    <w:rsid w:val="00BB00B5"/>
    <w:rsid w:val="00BB5577"/>
    <w:rsid w:val="00BC53C3"/>
    <w:rsid w:val="00BD5A46"/>
    <w:rsid w:val="00BE256A"/>
    <w:rsid w:val="00BF298F"/>
    <w:rsid w:val="00BF5988"/>
    <w:rsid w:val="00BF67D4"/>
    <w:rsid w:val="00C05B6D"/>
    <w:rsid w:val="00C20726"/>
    <w:rsid w:val="00C27DCE"/>
    <w:rsid w:val="00C316EF"/>
    <w:rsid w:val="00C32310"/>
    <w:rsid w:val="00C356F4"/>
    <w:rsid w:val="00C37B49"/>
    <w:rsid w:val="00C518B5"/>
    <w:rsid w:val="00C55ACF"/>
    <w:rsid w:val="00C57FF3"/>
    <w:rsid w:val="00C619C9"/>
    <w:rsid w:val="00C65E23"/>
    <w:rsid w:val="00C7003D"/>
    <w:rsid w:val="00C72592"/>
    <w:rsid w:val="00C75ACA"/>
    <w:rsid w:val="00C77BC0"/>
    <w:rsid w:val="00C873C6"/>
    <w:rsid w:val="00C8752C"/>
    <w:rsid w:val="00C9642D"/>
    <w:rsid w:val="00C96B56"/>
    <w:rsid w:val="00C970CB"/>
    <w:rsid w:val="00C973AC"/>
    <w:rsid w:val="00CA12AE"/>
    <w:rsid w:val="00CA5532"/>
    <w:rsid w:val="00CA7144"/>
    <w:rsid w:val="00CB226C"/>
    <w:rsid w:val="00CB35E1"/>
    <w:rsid w:val="00CB6B64"/>
    <w:rsid w:val="00CC3F67"/>
    <w:rsid w:val="00CC413D"/>
    <w:rsid w:val="00CE347D"/>
    <w:rsid w:val="00CE4BAA"/>
    <w:rsid w:val="00CE5136"/>
    <w:rsid w:val="00CE7216"/>
    <w:rsid w:val="00CF439A"/>
    <w:rsid w:val="00D02427"/>
    <w:rsid w:val="00D1594D"/>
    <w:rsid w:val="00D16BEB"/>
    <w:rsid w:val="00D22AA3"/>
    <w:rsid w:val="00D23D8B"/>
    <w:rsid w:val="00D27394"/>
    <w:rsid w:val="00D30B64"/>
    <w:rsid w:val="00D32644"/>
    <w:rsid w:val="00D3611A"/>
    <w:rsid w:val="00D438EF"/>
    <w:rsid w:val="00D47BFE"/>
    <w:rsid w:val="00D55354"/>
    <w:rsid w:val="00D564B8"/>
    <w:rsid w:val="00D569F1"/>
    <w:rsid w:val="00D57946"/>
    <w:rsid w:val="00D60BF4"/>
    <w:rsid w:val="00D720BD"/>
    <w:rsid w:val="00D722CE"/>
    <w:rsid w:val="00D7409F"/>
    <w:rsid w:val="00D80B27"/>
    <w:rsid w:val="00D929E0"/>
    <w:rsid w:val="00DA2028"/>
    <w:rsid w:val="00DA4D57"/>
    <w:rsid w:val="00DB003F"/>
    <w:rsid w:val="00DB0EA7"/>
    <w:rsid w:val="00DB1572"/>
    <w:rsid w:val="00DB270B"/>
    <w:rsid w:val="00DB64BA"/>
    <w:rsid w:val="00DB6E05"/>
    <w:rsid w:val="00DC2B2F"/>
    <w:rsid w:val="00DC61B3"/>
    <w:rsid w:val="00DD1BC1"/>
    <w:rsid w:val="00DD2A41"/>
    <w:rsid w:val="00DD6652"/>
    <w:rsid w:val="00DE464C"/>
    <w:rsid w:val="00DF737F"/>
    <w:rsid w:val="00E00B28"/>
    <w:rsid w:val="00E10BA6"/>
    <w:rsid w:val="00E13872"/>
    <w:rsid w:val="00E32152"/>
    <w:rsid w:val="00E36057"/>
    <w:rsid w:val="00E41A7C"/>
    <w:rsid w:val="00E618AC"/>
    <w:rsid w:val="00E63BEB"/>
    <w:rsid w:val="00E65D4B"/>
    <w:rsid w:val="00E67E15"/>
    <w:rsid w:val="00E869AA"/>
    <w:rsid w:val="00E91214"/>
    <w:rsid w:val="00E95E4E"/>
    <w:rsid w:val="00EA5015"/>
    <w:rsid w:val="00EA78A4"/>
    <w:rsid w:val="00EB07A0"/>
    <w:rsid w:val="00EB0F41"/>
    <w:rsid w:val="00ED0454"/>
    <w:rsid w:val="00ED3760"/>
    <w:rsid w:val="00ED3B0A"/>
    <w:rsid w:val="00ED4897"/>
    <w:rsid w:val="00ED6329"/>
    <w:rsid w:val="00ED70CC"/>
    <w:rsid w:val="00EE5866"/>
    <w:rsid w:val="00F04294"/>
    <w:rsid w:val="00F069F2"/>
    <w:rsid w:val="00F11875"/>
    <w:rsid w:val="00F204AA"/>
    <w:rsid w:val="00F25F3E"/>
    <w:rsid w:val="00F30BAB"/>
    <w:rsid w:val="00F352FC"/>
    <w:rsid w:val="00F4294B"/>
    <w:rsid w:val="00F430F4"/>
    <w:rsid w:val="00F61C24"/>
    <w:rsid w:val="00F62092"/>
    <w:rsid w:val="00F645B0"/>
    <w:rsid w:val="00F65E1B"/>
    <w:rsid w:val="00F71446"/>
    <w:rsid w:val="00F71829"/>
    <w:rsid w:val="00F73906"/>
    <w:rsid w:val="00F74C47"/>
    <w:rsid w:val="00F74C52"/>
    <w:rsid w:val="00F83695"/>
    <w:rsid w:val="00F85504"/>
    <w:rsid w:val="00F864B6"/>
    <w:rsid w:val="00F91FE3"/>
    <w:rsid w:val="00F92292"/>
    <w:rsid w:val="00FA0729"/>
    <w:rsid w:val="00FA3B20"/>
    <w:rsid w:val="00FB1E31"/>
    <w:rsid w:val="00FB24E7"/>
    <w:rsid w:val="00FC34F1"/>
    <w:rsid w:val="00FD7839"/>
    <w:rsid w:val="00FE047B"/>
    <w:rsid w:val="00FE4D55"/>
    <w:rsid w:val="00FE5924"/>
    <w:rsid w:val="00FF5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5CE583"/>
  <w15:chartTrackingRefBased/>
  <w15:docId w15:val="{9E3CD55B-261D-4ABC-AFA7-4ED6AFCA0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22CE"/>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D722C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722CE"/>
    <w:rPr>
      <w:rFonts w:ascii="Tahoma" w:eastAsia="SimSun" w:hAnsi="Tahoma" w:cs="Tahoma"/>
      <w:b/>
      <w:bCs/>
      <w:sz w:val="20"/>
      <w:szCs w:val="20"/>
      <w:lang w:eastAsia="zh-CN"/>
    </w:rPr>
  </w:style>
  <w:style w:type="paragraph" w:styleId="NormalWeb">
    <w:name w:val="Normal (Web)"/>
    <w:basedOn w:val="Normal"/>
    <w:rsid w:val="00D722CE"/>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D722CE"/>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basedOn w:val="DefaultParagraphFont"/>
    <w:link w:val="Header"/>
    <w:uiPriority w:val="99"/>
    <w:rsid w:val="00D722CE"/>
    <w:rPr>
      <w:rFonts w:ascii="Trebuchet MS" w:eastAsia="Calibri" w:hAnsi="Trebuchet MS" w:cs="Times New Roman"/>
      <w:szCs w:val="20"/>
      <w:lang w:val="x-none"/>
    </w:rPr>
  </w:style>
  <w:style w:type="paragraph" w:styleId="Footer">
    <w:name w:val="footer"/>
    <w:basedOn w:val="Normal"/>
    <w:link w:val="FooterChar"/>
    <w:uiPriority w:val="99"/>
    <w:rsid w:val="00D722CE"/>
    <w:pPr>
      <w:tabs>
        <w:tab w:val="center" w:pos="4513"/>
        <w:tab w:val="right" w:pos="9026"/>
      </w:tabs>
    </w:pPr>
    <w:rPr>
      <w:lang w:val="x-none"/>
    </w:rPr>
  </w:style>
  <w:style w:type="character" w:customStyle="1" w:styleId="FooterChar">
    <w:name w:val="Footer Char"/>
    <w:basedOn w:val="DefaultParagraphFont"/>
    <w:link w:val="Footer"/>
    <w:uiPriority w:val="99"/>
    <w:rsid w:val="00D722CE"/>
    <w:rPr>
      <w:rFonts w:ascii="Times New Roman" w:eastAsia="SimSun" w:hAnsi="Times New Roman" w:cs="Times New Roman"/>
      <w:sz w:val="24"/>
      <w:szCs w:val="24"/>
      <w:lang w:val="x-none" w:eastAsia="zh-CN"/>
    </w:rPr>
  </w:style>
  <w:style w:type="paragraph" w:styleId="FootnoteText">
    <w:name w:val="footnote text"/>
    <w:basedOn w:val="Normal"/>
    <w:link w:val="FootnoteTextChar"/>
    <w:rsid w:val="00D722CE"/>
    <w:rPr>
      <w:sz w:val="20"/>
      <w:szCs w:val="20"/>
    </w:rPr>
  </w:style>
  <w:style w:type="character" w:customStyle="1" w:styleId="FootnoteTextChar">
    <w:name w:val="Footnote Text Char"/>
    <w:basedOn w:val="DefaultParagraphFont"/>
    <w:link w:val="FootnoteText"/>
    <w:rsid w:val="00D722CE"/>
    <w:rPr>
      <w:rFonts w:ascii="Times New Roman" w:eastAsia="SimSun" w:hAnsi="Times New Roman" w:cs="Times New Roman"/>
      <w:sz w:val="20"/>
      <w:szCs w:val="20"/>
      <w:lang w:eastAsia="zh-CN"/>
    </w:rPr>
  </w:style>
  <w:style w:type="character" w:styleId="FootnoteReference">
    <w:name w:val="footnote reference"/>
    <w:basedOn w:val="DefaultParagraphFont"/>
    <w:rsid w:val="00D722CE"/>
    <w:rPr>
      <w:vertAlign w:val="superscript"/>
    </w:rPr>
  </w:style>
  <w:style w:type="character" w:customStyle="1" w:styleId="fontstyle01">
    <w:name w:val="fontstyle01"/>
    <w:basedOn w:val="DefaultParagraphFont"/>
    <w:rsid w:val="009D0D46"/>
    <w:rPr>
      <w:rFonts w:ascii="Cambria-Bold" w:hAnsi="Cambria-Bold" w:hint="default"/>
      <w:b/>
      <w:bCs/>
      <w:i w:val="0"/>
      <w:iCs w:val="0"/>
      <w:color w:val="000000"/>
      <w:sz w:val="24"/>
      <w:szCs w:val="24"/>
    </w:rPr>
  </w:style>
  <w:style w:type="character" w:customStyle="1" w:styleId="fontstyle21">
    <w:name w:val="fontstyle21"/>
    <w:basedOn w:val="DefaultParagraphFont"/>
    <w:rsid w:val="009D0D46"/>
    <w:rPr>
      <w:rFonts w:ascii="Cambria" w:hAnsi="Cambria" w:hint="default"/>
      <w:b w:val="0"/>
      <w:bCs w:val="0"/>
      <w:i w:val="0"/>
      <w:iCs w:val="0"/>
      <w:color w:val="000000"/>
      <w:sz w:val="24"/>
      <w:szCs w:val="24"/>
    </w:rPr>
  </w:style>
  <w:style w:type="character" w:customStyle="1" w:styleId="fontstyle31">
    <w:name w:val="fontstyle31"/>
    <w:basedOn w:val="DefaultParagraphFont"/>
    <w:rsid w:val="009D0D46"/>
    <w:rPr>
      <w:rFonts w:ascii="Cambria-Italic" w:hAnsi="Cambria-Italic" w:hint="default"/>
      <w:b w:val="0"/>
      <w:bCs w:val="0"/>
      <w:i/>
      <w:iCs/>
      <w:color w:val="000000"/>
      <w:sz w:val="24"/>
      <w:szCs w:val="24"/>
    </w:rPr>
  </w:style>
  <w:style w:type="character" w:customStyle="1" w:styleId="fontstyle41">
    <w:name w:val="fontstyle41"/>
    <w:basedOn w:val="DefaultParagraphFont"/>
    <w:rsid w:val="009D0D46"/>
    <w:rPr>
      <w:rFonts w:ascii="SymbolMT" w:hAnsi="SymbolMT" w:hint="default"/>
      <w:b w:val="0"/>
      <w:bCs w:val="0"/>
      <w:i w:val="0"/>
      <w:iCs w:val="0"/>
      <w:color w:val="000000"/>
      <w:sz w:val="24"/>
      <w:szCs w:val="24"/>
    </w:rPr>
  </w:style>
  <w:style w:type="character" w:styleId="Hyperlink">
    <w:name w:val="Hyperlink"/>
    <w:basedOn w:val="DefaultParagraphFont"/>
    <w:uiPriority w:val="99"/>
    <w:unhideWhenUsed/>
    <w:rsid w:val="00A75CF6"/>
    <w:rPr>
      <w:color w:val="0563C1" w:themeColor="hyperlink"/>
      <w:u w:val="single"/>
    </w:rPr>
  </w:style>
  <w:style w:type="character" w:styleId="UnresolvedMention">
    <w:name w:val="Unresolved Mention"/>
    <w:basedOn w:val="DefaultParagraphFont"/>
    <w:uiPriority w:val="99"/>
    <w:semiHidden/>
    <w:unhideWhenUsed/>
    <w:rsid w:val="00A75C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news.bbc.co.uk/1/hi/sci/tech/6408231.s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news.bbc.co.uk/1/hi/sci/tech/6408231.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1E7CC-6422-4768-9497-D9EB53818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1440</TotalTime>
  <Pages>8</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Flynn</dc:creator>
  <cp:keywords/>
  <dc:description/>
  <cp:lastModifiedBy>Elizabeth Flynn (1805402)</cp:lastModifiedBy>
  <cp:revision>346</cp:revision>
  <dcterms:created xsi:type="dcterms:W3CDTF">2019-01-29T10:26:00Z</dcterms:created>
  <dcterms:modified xsi:type="dcterms:W3CDTF">2019-02-21T09:20:00Z</dcterms:modified>
</cp:coreProperties>
</file>