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10678802"/>
        <w:docPartObj>
          <w:docPartGallery w:val="Cover Pages"/>
          <w:docPartUnique/>
        </w:docPartObj>
      </w:sdtPr>
      <w:sdtEndPr>
        <w:rPr>
          <w:b/>
          <w:bCs/>
          <w:u w:val="single"/>
        </w:rPr>
      </w:sdtEndPr>
      <w:sdtContent>
        <w:p w14:paraId="65C77BDA" w14:textId="5F50874D" w:rsidR="003F3DA6" w:rsidRDefault="003F3DA6">
          <w:r>
            <w:rPr>
              <w:noProof/>
            </w:rPr>
            <mc:AlternateContent>
              <mc:Choice Requires="wpg">
                <w:drawing>
                  <wp:anchor distT="0" distB="0" distL="114300" distR="114300" simplePos="0" relativeHeight="251662336" behindDoc="0" locked="0" layoutInCell="1" allowOverlap="1" wp14:anchorId="30E747F8" wp14:editId="33C0C38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EB88AF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51A8C28" wp14:editId="667F9A2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C2797F4" w14:textId="092B479B" w:rsidR="003F3DA6" w:rsidRDefault="003F3DA6">
                                    <w:pPr>
                                      <w:pStyle w:val="NoSpacing"/>
                                      <w:jc w:val="right"/>
                                      <w:rPr>
                                        <w:color w:val="595959" w:themeColor="text1" w:themeTint="A6"/>
                                        <w:sz w:val="28"/>
                                        <w:szCs w:val="28"/>
                                      </w:rPr>
                                    </w:pPr>
                                    <w:r>
                                      <w:rPr>
                                        <w:color w:val="595959" w:themeColor="text1" w:themeTint="A6"/>
                                        <w:sz w:val="28"/>
                                        <w:szCs w:val="28"/>
                                      </w:rPr>
                                      <w:t>Chande</w:t>
                                    </w:r>
                                  </w:p>
                                </w:sdtContent>
                              </w:sdt>
                              <w:p w14:paraId="55FD4494" w14:textId="598646D9" w:rsidR="003F3DA6" w:rsidRDefault="003F3DA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2228562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51A8C28"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C2797F4" w14:textId="092B479B" w:rsidR="003F3DA6" w:rsidRDefault="003F3DA6">
                              <w:pPr>
                                <w:pStyle w:val="NoSpacing"/>
                                <w:jc w:val="right"/>
                                <w:rPr>
                                  <w:color w:val="595959" w:themeColor="text1" w:themeTint="A6"/>
                                  <w:sz w:val="28"/>
                                  <w:szCs w:val="28"/>
                                </w:rPr>
                              </w:pPr>
                              <w:r>
                                <w:rPr>
                                  <w:color w:val="595959" w:themeColor="text1" w:themeTint="A6"/>
                                  <w:sz w:val="28"/>
                                  <w:szCs w:val="28"/>
                                </w:rPr>
                                <w:t>Chande</w:t>
                              </w:r>
                            </w:p>
                          </w:sdtContent>
                        </w:sdt>
                        <w:p w14:paraId="55FD4494" w14:textId="598646D9" w:rsidR="003F3DA6" w:rsidRDefault="003F3DA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2228562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78D527D" wp14:editId="2F6383A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F0E2E3" w14:textId="2537E583" w:rsidR="003F3DA6" w:rsidRDefault="003F3DA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Legal Process</w:t>
                                    </w:r>
                                  </w:sdtContent>
                                </w:sdt>
                              </w:p>
                              <w:p w14:paraId="353D0F9C" w14:textId="66516A4E" w:rsidR="003F3DA6" w:rsidRDefault="003F3DA6">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78D527D" id="Text Box 154"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5F0E2E3" w14:textId="2537E583" w:rsidR="003F3DA6" w:rsidRDefault="003F3DA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Legal Process</w:t>
                              </w:r>
                            </w:sdtContent>
                          </w:sdt>
                        </w:p>
                        <w:p w14:paraId="353D0F9C" w14:textId="66516A4E" w:rsidR="003F3DA6" w:rsidRDefault="003F3DA6">
                          <w:pPr>
                            <w:jc w:val="right"/>
                            <w:rPr>
                              <w:smallCaps/>
                              <w:color w:val="404040" w:themeColor="text1" w:themeTint="BF"/>
                              <w:sz w:val="36"/>
                              <w:szCs w:val="36"/>
                            </w:rPr>
                          </w:pPr>
                        </w:p>
                      </w:txbxContent>
                    </v:textbox>
                    <w10:wrap type="square" anchorx="page" anchory="page"/>
                  </v:shape>
                </w:pict>
              </mc:Fallback>
            </mc:AlternateContent>
          </w:r>
        </w:p>
        <w:p w14:paraId="39C16890" w14:textId="77777777" w:rsidR="003F3DA6" w:rsidRDefault="003F3DA6" w:rsidP="003F3DA6">
          <w:pPr>
            <w:spacing w:after="160" w:line="259" w:lineRule="auto"/>
            <w:jc w:val="left"/>
            <w:rPr>
              <w:b/>
              <w:bCs/>
              <w:u w:val="single"/>
            </w:rPr>
          </w:pPr>
          <w:r>
            <w:rPr>
              <w:b/>
              <w:bCs/>
              <w:u w:val="single"/>
            </w:rPr>
            <w:br w:type="page"/>
          </w:r>
        </w:p>
        <w:p w14:paraId="4C0BE151" w14:textId="2561F359" w:rsidR="00297358" w:rsidRDefault="003F3DA6" w:rsidP="003F3DA6">
          <w:pPr>
            <w:spacing w:after="160" w:line="259" w:lineRule="auto"/>
            <w:jc w:val="left"/>
            <w:rPr>
              <w:b/>
              <w:bCs/>
              <w:u w:val="single"/>
            </w:rPr>
          </w:pPr>
        </w:p>
      </w:sdtContent>
    </w:sdt>
    <w:p w14:paraId="17E4BDF4" w14:textId="671E6F61" w:rsidR="001312F0" w:rsidRPr="00EE032B" w:rsidRDefault="00297358" w:rsidP="00EE032B">
      <w:pPr>
        <w:spacing w:line="360" w:lineRule="auto"/>
        <w:rPr>
          <w:rFonts w:ascii="Arial" w:hAnsi="Arial" w:cs="Arial"/>
          <w:b/>
          <w:bCs/>
          <w:u w:val="single"/>
        </w:rPr>
      </w:pPr>
      <w:r>
        <w:t xml:space="preserve"> </w:t>
      </w:r>
      <w:r w:rsidR="001312F0" w:rsidRPr="00EE032B">
        <w:rPr>
          <w:rFonts w:ascii="Arial" w:hAnsi="Arial" w:cs="Arial"/>
        </w:rPr>
        <w:t xml:space="preserve">In this legal paper, a brief analysis has been made of the English legal; system and how it </w:t>
      </w:r>
      <w:proofErr w:type="gramStart"/>
      <w:r w:rsidR="001312F0" w:rsidRPr="00EE032B">
        <w:rPr>
          <w:rFonts w:ascii="Arial" w:hAnsi="Arial" w:cs="Arial"/>
        </w:rPr>
        <w:t>is connected with</w:t>
      </w:r>
      <w:proofErr w:type="gramEnd"/>
      <w:r w:rsidR="001312F0" w:rsidRPr="00EE032B">
        <w:rPr>
          <w:rFonts w:ascii="Arial" w:hAnsi="Arial" w:cs="Arial"/>
        </w:rPr>
        <w:t xml:space="preserve"> the common law. Simply says, the term common law can be defined as the decisions of the judges in any previous landmark cases and the process or custom of abiding by the common law has been maintained since the era of King Henry II. In the UK, the judges have the power to interpret the law, but they have to obey one condition and that is to bind by the precedents during such interpretation. In this paper, a brief analysis has been made of common law, the definition of civil law, the contrast present between these two systems, a concise history of the common law and some illustrations of common law working in practice. </w:t>
      </w:r>
    </w:p>
    <w:p w14:paraId="3D57EC71" w14:textId="77777777" w:rsidR="001312F0" w:rsidRPr="00EE032B" w:rsidRDefault="001312F0" w:rsidP="00EE032B">
      <w:pPr>
        <w:spacing w:line="360" w:lineRule="auto"/>
        <w:rPr>
          <w:rFonts w:ascii="Arial" w:hAnsi="Arial" w:cs="Arial"/>
        </w:rPr>
      </w:pPr>
      <w:r w:rsidRPr="00EE032B">
        <w:rPr>
          <w:rFonts w:ascii="Arial" w:hAnsi="Arial" w:cs="Arial"/>
        </w:rPr>
        <w:t>The term common law is one of the most inevitable portions of the UK legal system. Common law can be defined as such judgments that are decided by the judges in the past event. In the UK, legal norms are written in nature and the common laws are pronounced or decided by the judges and not written anywhere. In the legal system of the UK, the role of common law is quite important (</w:t>
      </w:r>
      <w:proofErr w:type="spellStart"/>
      <w:r w:rsidRPr="00EE032B">
        <w:rPr>
          <w:rFonts w:ascii="Arial" w:hAnsi="Arial" w:cs="Arial"/>
        </w:rPr>
        <w:t>Postema</w:t>
      </w:r>
      <w:proofErr w:type="spellEnd"/>
      <w:r w:rsidRPr="00EE032B">
        <w:rPr>
          <w:rFonts w:ascii="Arial" w:hAnsi="Arial" w:cs="Arial"/>
        </w:rPr>
        <w:t>, 2019). Common laws are treated sometimes as customary laws and are based on judicial decisions. The judges of the UK have played a significant role in developing the law and common law consists of various rules and doctrines developed by such judges in previous landmark cases. The basic principles of common law is depending on the wise judicial knowledge and effective research and analytical power of the judges during determining the legal principles. Common law is adjudicated by following certain steps. Firstly, the facts of a case are getting assessed and the issues are decided. After that, proper statutes are determined in the context of such case and the containing principles, analogies and statements are extracted to deal with the present case after assessing all the facts, various judicial decisions are made and historical case judgments are regarded as common law (</w:t>
      </w:r>
      <w:proofErr w:type="spellStart"/>
      <w:r w:rsidRPr="00EE032B">
        <w:rPr>
          <w:rFonts w:ascii="Arial" w:hAnsi="Arial" w:cs="Arial"/>
        </w:rPr>
        <w:t>Akbas</w:t>
      </w:r>
      <w:proofErr w:type="spellEnd"/>
      <w:r w:rsidRPr="00EE032B">
        <w:rPr>
          <w:rFonts w:ascii="Arial" w:hAnsi="Arial" w:cs="Arial"/>
        </w:rPr>
        <w:t xml:space="preserve">, 2020). One of the main benefits of common law is that it helps to decide the fate of a similar nature case in the future. However, the effectiveness of common law is depending on the efficiency of such judgment and if any previously held judgment is erroneous, it may affect the fate of any future case (Bhattacharya et al., 2019). </w:t>
      </w:r>
    </w:p>
    <w:p w14:paraId="71168ABB" w14:textId="77777777" w:rsidR="001312F0" w:rsidRPr="00EE032B" w:rsidRDefault="001312F0" w:rsidP="00EE032B">
      <w:pPr>
        <w:spacing w:line="360" w:lineRule="auto"/>
        <w:rPr>
          <w:rFonts w:ascii="Arial" w:hAnsi="Arial" w:cs="Arial"/>
        </w:rPr>
      </w:pPr>
      <w:r w:rsidRPr="00EE032B">
        <w:rPr>
          <w:rFonts w:ascii="Arial" w:hAnsi="Arial" w:cs="Arial"/>
        </w:rPr>
        <w:t xml:space="preserve">Civil law is a set of laws that mainly concerns the private affairs of the people and it deals with all cases except cases of criminal nature (Schäfer, and Ott, 2022). The </w:t>
      </w:r>
      <w:r w:rsidRPr="00EE032B">
        <w:rPr>
          <w:rFonts w:ascii="Arial" w:hAnsi="Arial" w:cs="Arial"/>
        </w:rPr>
        <w:lastRenderedPageBreak/>
        <w:t>process of civil law has been originated in mainland Europe and after getting intellectualized, this process has been originated in England in medieval times. If civil law can be differentiated from common law, the main difference is that common laws are unwritten and are decided earlier by the judges and whereas, civil laws are written in nature and are used to settle any private affair of a person. For example, laws regarding matrimonial issues and property issues are mainly civil (</w:t>
      </w:r>
      <w:proofErr w:type="spellStart"/>
      <w:r w:rsidRPr="00EE032B">
        <w:rPr>
          <w:rFonts w:ascii="Arial" w:hAnsi="Arial" w:cs="Arial"/>
        </w:rPr>
        <w:t>Mavundla</w:t>
      </w:r>
      <w:proofErr w:type="spellEnd"/>
      <w:r w:rsidRPr="00EE032B">
        <w:rPr>
          <w:rFonts w:ascii="Arial" w:hAnsi="Arial" w:cs="Arial"/>
        </w:rPr>
        <w:t xml:space="preserve">, Strode, and Dlamini, 2020). Civil laws are </w:t>
      </w:r>
      <w:proofErr w:type="gramStart"/>
      <w:r w:rsidRPr="00EE032B">
        <w:rPr>
          <w:rFonts w:ascii="Arial" w:hAnsi="Arial" w:cs="Arial"/>
        </w:rPr>
        <w:t>codified</w:t>
      </w:r>
      <w:proofErr w:type="gramEnd"/>
      <w:r w:rsidRPr="00EE032B">
        <w:rPr>
          <w:rFonts w:ascii="Arial" w:hAnsi="Arial" w:cs="Arial"/>
        </w:rPr>
        <w:t xml:space="preserve"> and common laws are uncodified. The basic principles of civil laws had developed from Roman law and they had been enacted to secure the privacy rights of the people. However, the law of the states is different from the international law and civil laws have mainly opted for settle down the private issues of the people. Civil jurisdiction has mainly attracted the problems associated with a person and not the public at large and there are various codes and statutes present to define and apply the law for the better interest of the people's private affairs. Civil laws are consisting of different codes and general principles and are applied by maintaining a structured and systematic process. Matrimonial law and Tort law are some examples of civil law. </w:t>
      </w:r>
    </w:p>
    <w:p w14:paraId="08D5266B" w14:textId="77777777" w:rsidR="001312F0" w:rsidRPr="00EE032B" w:rsidRDefault="001312F0" w:rsidP="00EE032B">
      <w:pPr>
        <w:spacing w:line="360" w:lineRule="auto"/>
        <w:rPr>
          <w:rFonts w:ascii="Arial" w:hAnsi="Arial" w:cs="Arial"/>
        </w:rPr>
      </w:pPr>
      <w:r w:rsidRPr="00EE032B">
        <w:rPr>
          <w:rFonts w:ascii="Arial" w:hAnsi="Arial" w:cs="Arial"/>
        </w:rPr>
        <w:t xml:space="preserve">If assessing the definition of both laws, the main contrast present between these two systems is that common law is uncodified and civil law is codified. Below, a brief analysis of this topic has been made. </w:t>
      </w:r>
    </w:p>
    <w:p w14:paraId="742F7B5C" w14:textId="77777777" w:rsidR="001312F0" w:rsidRPr="00EE032B" w:rsidRDefault="001312F0" w:rsidP="00EE032B">
      <w:pPr>
        <w:spacing w:line="360" w:lineRule="auto"/>
        <w:rPr>
          <w:rFonts w:ascii="Arial" w:hAnsi="Arial" w:cs="Arial"/>
        </w:rPr>
      </w:pPr>
      <w:r w:rsidRPr="00EE032B">
        <w:rPr>
          <w:rFonts w:ascii="Arial" w:hAnsi="Arial" w:cs="Arial"/>
        </w:rPr>
        <w:t xml:space="preserve">There are differences present between the applications of common law and civil law. While applying civil law, the main intention of the court is to decide the fate of the case by applying codified law and other legal interpretations. On the other hand, while applying the common law, the main intention of the court is to decide the fate of the case by applying the previously held judicial decisions of the judges and other precedents (Reynolds, Donegan, and </w:t>
      </w:r>
      <w:proofErr w:type="spellStart"/>
      <w:r w:rsidRPr="00EE032B">
        <w:rPr>
          <w:rFonts w:ascii="Arial" w:hAnsi="Arial" w:cs="Arial"/>
        </w:rPr>
        <w:t>Linch</w:t>
      </w:r>
      <w:proofErr w:type="spellEnd"/>
      <w:r w:rsidRPr="00EE032B">
        <w:rPr>
          <w:rFonts w:ascii="Arial" w:hAnsi="Arial" w:cs="Arial"/>
        </w:rPr>
        <w:t>, 2022). Common law originated from England, whereas civil law originated from Roman law. The main essence of civil law resides in its proper codifications and core principles. The main essence of the common law resides in the judicial mind and interpretation power of the judges. In civil law, the judge has to go through all the relevant legal principles and other norms and rules written in the code and after that, he can determine the fate of a case. In common law, the judges are not assessing all the facts efficiently and their arguments are commonly based on the judgment of previous cases (</w:t>
      </w:r>
      <w:proofErr w:type="spellStart"/>
      <w:r w:rsidRPr="00EE032B">
        <w:rPr>
          <w:rFonts w:ascii="Arial" w:hAnsi="Arial" w:cs="Arial"/>
        </w:rPr>
        <w:t>Binns</w:t>
      </w:r>
      <w:proofErr w:type="spellEnd"/>
      <w:r w:rsidRPr="00EE032B">
        <w:rPr>
          <w:rFonts w:ascii="Arial" w:hAnsi="Arial" w:cs="Arial"/>
        </w:rPr>
        <w:t xml:space="preserve">, 2022). In civil law, precedents are mainly used to decide administrative court matters; whereas, in </w:t>
      </w:r>
      <w:r w:rsidRPr="00EE032B">
        <w:rPr>
          <w:rFonts w:ascii="Arial" w:hAnsi="Arial" w:cs="Arial"/>
        </w:rPr>
        <w:lastRenderedPageBreak/>
        <w:t xml:space="preserve">common law, precedents are applied to decide the fate of the present case. Judicial precedents are one of the main sources of common law. Constitutions and statutes are the main sources of civil law. </w:t>
      </w:r>
    </w:p>
    <w:p w14:paraId="5C9C63DE" w14:textId="77777777" w:rsidR="001312F0" w:rsidRPr="00EE032B" w:rsidRDefault="001312F0" w:rsidP="00EE032B">
      <w:pPr>
        <w:spacing w:line="360" w:lineRule="auto"/>
        <w:rPr>
          <w:rFonts w:ascii="Arial" w:hAnsi="Arial" w:cs="Arial"/>
        </w:rPr>
      </w:pPr>
      <w:r w:rsidRPr="00EE032B">
        <w:rPr>
          <w:rFonts w:ascii="Arial" w:hAnsi="Arial" w:cs="Arial"/>
        </w:rPr>
        <w:t xml:space="preserve">Hence, it can be stated that there are huge differences present between civil law and common law; yet, both of them are playing important roles in the English legal system. </w:t>
      </w:r>
    </w:p>
    <w:p w14:paraId="76B027C4" w14:textId="77777777" w:rsidR="001312F0" w:rsidRPr="00EE032B" w:rsidRDefault="001312F0" w:rsidP="00EE032B">
      <w:pPr>
        <w:spacing w:line="360" w:lineRule="auto"/>
        <w:rPr>
          <w:rFonts w:ascii="Arial" w:hAnsi="Arial" w:cs="Arial"/>
        </w:rPr>
      </w:pPr>
      <w:r w:rsidRPr="00EE032B">
        <w:rPr>
          <w:rFonts w:ascii="Arial" w:hAnsi="Arial" w:cs="Arial"/>
        </w:rPr>
        <w:t>Common law originated in England. In 1066, many of the societies of the UK were governed by unwritten laws and informal assemblies were called for to settle a case. In 1154, common law has been institutionalised for the first time and that act had been done by King Henry II (</w:t>
      </w:r>
      <w:proofErr w:type="spellStart"/>
      <w:r w:rsidRPr="00EE032B">
        <w:rPr>
          <w:rFonts w:ascii="Arial" w:hAnsi="Arial" w:cs="Arial"/>
        </w:rPr>
        <w:t>Mousourakis</w:t>
      </w:r>
      <w:proofErr w:type="spellEnd"/>
      <w:r w:rsidRPr="00EE032B">
        <w:rPr>
          <w:rFonts w:ascii="Arial" w:hAnsi="Arial" w:cs="Arial"/>
        </w:rPr>
        <w:t xml:space="preserve">, and </w:t>
      </w:r>
      <w:proofErr w:type="spellStart"/>
      <w:r w:rsidRPr="00EE032B">
        <w:rPr>
          <w:rFonts w:ascii="Arial" w:hAnsi="Arial" w:cs="Arial"/>
        </w:rPr>
        <w:t>Mousourakis</w:t>
      </w:r>
      <w:proofErr w:type="spellEnd"/>
      <w:r w:rsidRPr="00EE032B">
        <w:rPr>
          <w:rFonts w:ascii="Arial" w:hAnsi="Arial" w:cs="Arial"/>
        </w:rPr>
        <w:t>, 2019). Common law is determined by the principle of Stare Decisis and that principle has been originated for the first time by King Henry II. According to him, if any case has certain similarities with some previously held cases, the decision held in the earlier case will be followed in the present case too. During the 15</w:t>
      </w:r>
      <w:r w:rsidRPr="00EE032B">
        <w:rPr>
          <w:rFonts w:ascii="Arial" w:hAnsi="Arial" w:cs="Arial"/>
          <w:vertAlign w:val="superscript"/>
        </w:rPr>
        <w:t>th</w:t>
      </w:r>
      <w:r w:rsidRPr="00EE032B">
        <w:rPr>
          <w:rFonts w:ascii="Arial" w:hAnsi="Arial" w:cs="Arial"/>
        </w:rPr>
        <w:t xml:space="preserve"> century, the principle of equity had been established. This principle has allowed the aggrieved parties to appeal if they are not satisfied with the decisions of the court. In the 20</w:t>
      </w:r>
      <w:r w:rsidRPr="00EE032B">
        <w:rPr>
          <w:rFonts w:ascii="Arial" w:hAnsi="Arial" w:cs="Arial"/>
          <w:vertAlign w:val="superscript"/>
        </w:rPr>
        <w:t>th</w:t>
      </w:r>
      <w:r w:rsidRPr="00EE032B">
        <w:rPr>
          <w:rFonts w:ascii="Arial" w:hAnsi="Arial" w:cs="Arial"/>
        </w:rPr>
        <w:t xml:space="preserve"> century, common law was used to decide the fate of the case and help the affected parties get compensation from the wrongdoer. </w:t>
      </w:r>
    </w:p>
    <w:p w14:paraId="5EF28E86" w14:textId="77777777" w:rsidR="001312F0" w:rsidRPr="00EE032B" w:rsidRDefault="001312F0" w:rsidP="00EE032B">
      <w:pPr>
        <w:spacing w:line="360" w:lineRule="auto"/>
        <w:rPr>
          <w:rFonts w:ascii="Arial" w:hAnsi="Arial" w:cs="Arial"/>
        </w:rPr>
      </w:pPr>
      <w:r w:rsidRPr="00EE032B">
        <w:rPr>
          <w:rFonts w:ascii="Arial" w:hAnsi="Arial" w:cs="Arial"/>
        </w:rPr>
        <w:t xml:space="preserve">There are various previously adjudicated cases present in the UK legal system and these judgments are considered landmark cases and are commonly applied in the form of common law. In this chapter, a brief analysis has been made of such legal cases. </w:t>
      </w:r>
    </w:p>
    <w:p w14:paraId="1A52A27E" w14:textId="77777777" w:rsidR="001312F0" w:rsidRPr="00EE032B" w:rsidRDefault="001312F0" w:rsidP="00EE032B">
      <w:pPr>
        <w:spacing w:line="360" w:lineRule="auto"/>
        <w:rPr>
          <w:rFonts w:ascii="Arial" w:hAnsi="Arial" w:cs="Arial"/>
        </w:rPr>
      </w:pPr>
      <w:r w:rsidRPr="00EE032B">
        <w:rPr>
          <w:rFonts w:ascii="Arial" w:hAnsi="Arial" w:cs="Arial"/>
        </w:rPr>
        <w:t xml:space="preserve">The first landmark case is Carlill v Carbolic Smoke Ball Company [1892] EWCA </w:t>
      </w:r>
      <w:proofErr w:type="spellStart"/>
      <w:r w:rsidRPr="00EE032B">
        <w:rPr>
          <w:rFonts w:ascii="Arial" w:hAnsi="Arial" w:cs="Arial"/>
        </w:rPr>
        <w:t>Civ</w:t>
      </w:r>
      <w:proofErr w:type="spellEnd"/>
      <w:r w:rsidRPr="00EE032B">
        <w:rPr>
          <w:rFonts w:ascii="Arial" w:hAnsi="Arial" w:cs="Arial"/>
        </w:rPr>
        <w:t xml:space="preserve"> 1. This case is based on the principle of a unilateral contract. According to this case, when a person has offered some price and states that if anyone could perform a specific task, he will get that price or reward, he has to pay the reward to the person after completing the task. This decision is an exception to the valid offer. Generally, no offer is made through advertisement, and without a direct and verbal acceptance, no offer can be valid legitimately. However, in the case of a unilateral contract, an acceptance of the offer can be made by performing the specific act and this landmark decision is applying as common law at present (</w:t>
      </w:r>
      <w:proofErr w:type="spellStart"/>
      <w:r w:rsidRPr="00EE032B">
        <w:rPr>
          <w:rFonts w:ascii="Arial" w:hAnsi="Arial" w:cs="Arial"/>
        </w:rPr>
        <w:t>Obu</w:t>
      </w:r>
      <w:proofErr w:type="spellEnd"/>
      <w:r w:rsidRPr="00EE032B">
        <w:rPr>
          <w:rFonts w:ascii="Arial" w:hAnsi="Arial" w:cs="Arial"/>
        </w:rPr>
        <w:t xml:space="preserve">, 2021). </w:t>
      </w:r>
    </w:p>
    <w:p w14:paraId="6F308041" w14:textId="77777777" w:rsidR="001312F0" w:rsidRPr="00EE032B" w:rsidRDefault="001312F0" w:rsidP="00EE032B">
      <w:pPr>
        <w:spacing w:line="360" w:lineRule="auto"/>
        <w:rPr>
          <w:rFonts w:ascii="Arial" w:hAnsi="Arial" w:cs="Arial"/>
        </w:rPr>
      </w:pPr>
      <w:r w:rsidRPr="00EE032B">
        <w:rPr>
          <w:rFonts w:ascii="Arial" w:hAnsi="Arial" w:cs="Arial"/>
        </w:rPr>
        <w:lastRenderedPageBreak/>
        <w:t>The second landmark case is Donoghue v Stevenson [1932] UKHL 100. This case decision is based on the principle of negligence. According to this case, it is the fundamental duty of the company to take proper care of the customers and they must provide good and hygienic products at all costs. In this case, it has been observed that every company has a certain duty of care towards the consumers and if a company or any person has failed to meet all the foreseeable duties, and if for their fault, the customer has to bear some dispute or injury, the company has to pay compensation to the affected party (</w:t>
      </w:r>
      <w:proofErr w:type="spellStart"/>
      <w:r w:rsidRPr="00EE032B">
        <w:rPr>
          <w:rFonts w:ascii="Arial" w:hAnsi="Arial" w:cs="Arial"/>
        </w:rPr>
        <w:t>Ladkin</w:t>
      </w:r>
      <w:proofErr w:type="spellEnd"/>
      <w:r w:rsidRPr="00EE032B">
        <w:rPr>
          <w:rFonts w:ascii="Arial" w:hAnsi="Arial" w:cs="Arial"/>
        </w:rPr>
        <w:t xml:space="preserve">, 2019). </w:t>
      </w:r>
    </w:p>
    <w:p w14:paraId="32B53E91" w14:textId="77777777" w:rsidR="001312F0" w:rsidRPr="00EE032B" w:rsidRDefault="001312F0" w:rsidP="00EE032B">
      <w:pPr>
        <w:spacing w:line="360" w:lineRule="auto"/>
        <w:rPr>
          <w:rFonts w:ascii="Arial" w:hAnsi="Arial" w:cs="Arial"/>
        </w:rPr>
      </w:pPr>
      <w:r w:rsidRPr="00EE032B">
        <w:rPr>
          <w:rFonts w:ascii="Arial" w:hAnsi="Arial" w:cs="Arial"/>
        </w:rPr>
        <w:t xml:space="preserve">To sum up, it is to be stated that common law is one of the main parts and essence of the English legal system and common law helps to decide the fate of a case with similar judicial nature. One of the main benefits of common law is that it saves time. Unlike other laws (For example, Civil law), the judges need not interpret various cases, principles, codes and statutes and they can decide the fate of the case based on previous judgments. This paper will help the reader to know various aspects of common law. </w:t>
      </w:r>
    </w:p>
    <w:p w14:paraId="6E2E0B60" w14:textId="77777777" w:rsidR="001312F0" w:rsidRPr="00EE032B" w:rsidRDefault="001312F0" w:rsidP="00EE032B">
      <w:pPr>
        <w:spacing w:line="360" w:lineRule="auto"/>
        <w:jc w:val="left"/>
        <w:rPr>
          <w:rFonts w:ascii="Arial" w:hAnsi="Arial" w:cs="Arial"/>
        </w:rPr>
      </w:pPr>
      <w:r w:rsidRPr="00EE032B">
        <w:rPr>
          <w:rFonts w:ascii="Arial" w:hAnsi="Arial" w:cs="Arial"/>
        </w:rPr>
        <w:br w:type="page"/>
      </w:r>
    </w:p>
    <w:p w14:paraId="777765BF" w14:textId="77777777" w:rsidR="001312F0" w:rsidRDefault="001312F0" w:rsidP="001312F0">
      <w:pPr>
        <w:pStyle w:val="Heading1"/>
        <w:spacing w:line="360" w:lineRule="auto"/>
      </w:pPr>
      <w:bookmarkStart w:id="0" w:name="_Toc129462342"/>
      <w:r>
        <w:lastRenderedPageBreak/>
        <w:t>Reference</w:t>
      </w:r>
      <w:bookmarkEnd w:id="0"/>
    </w:p>
    <w:p w14:paraId="3A87449A" w14:textId="77777777" w:rsidR="001312F0" w:rsidRDefault="001312F0" w:rsidP="001312F0">
      <w:pPr>
        <w:spacing w:line="360" w:lineRule="auto"/>
      </w:pPr>
      <w:proofErr w:type="spellStart"/>
      <w:r>
        <w:t>Akbas</w:t>
      </w:r>
      <w:proofErr w:type="spellEnd"/>
      <w:r>
        <w:t>, H., 2020. Power of Arrest: Definition, Legal Justification, and Authority.</w:t>
      </w:r>
    </w:p>
    <w:p w14:paraId="725F974B" w14:textId="77777777" w:rsidR="001312F0" w:rsidRDefault="001312F0" w:rsidP="001312F0">
      <w:pPr>
        <w:spacing w:line="360" w:lineRule="auto"/>
      </w:pPr>
      <w:r>
        <w:t xml:space="preserve">Bhattacharya, P., </w:t>
      </w:r>
      <w:proofErr w:type="spellStart"/>
      <w:r>
        <w:t>Hiware</w:t>
      </w:r>
      <w:proofErr w:type="spellEnd"/>
      <w:r>
        <w:t xml:space="preserve">, K., </w:t>
      </w:r>
      <w:proofErr w:type="spellStart"/>
      <w:r>
        <w:t>Rajgaria</w:t>
      </w:r>
      <w:proofErr w:type="spellEnd"/>
      <w:r>
        <w:t xml:space="preserve">, S., </w:t>
      </w:r>
      <w:proofErr w:type="spellStart"/>
      <w:r>
        <w:t>Pochhi</w:t>
      </w:r>
      <w:proofErr w:type="spellEnd"/>
      <w:r>
        <w:t>, N., Ghosh, K. and Ghosh, S., 2019. A comparative study of summarization algorithms applied to legal case judgments. In Advances in Information Retrieval: 41st European Conference on IR Research, ECIR 2019, Cologne, Germany, April 14–18, 2019, Proceedings, Part I 41 (pp. 413-428). Springer International Publishing.</w:t>
      </w:r>
    </w:p>
    <w:p w14:paraId="583BFFCC" w14:textId="77777777" w:rsidR="001312F0" w:rsidRDefault="001312F0" w:rsidP="001312F0">
      <w:pPr>
        <w:spacing w:line="360" w:lineRule="auto"/>
      </w:pPr>
      <w:proofErr w:type="spellStart"/>
      <w:r>
        <w:t>Binns</w:t>
      </w:r>
      <w:proofErr w:type="spellEnd"/>
      <w:r>
        <w:t>, R., 2022. Human Judgment in algorithmic loops: Individual justice and automated decision‐making. Regulation &amp; Governance, 16(1), pp.197-211.</w:t>
      </w:r>
    </w:p>
    <w:p w14:paraId="10D11027" w14:textId="77777777" w:rsidR="001312F0" w:rsidRDefault="001312F0" w:rsidP="001312F0">
      <w:pPr>
        <w:spacing w:line="360" w:lineRule="auto"/>
      </w:pPr>
      <w:proofErr w:type="spellStart"/>
      <w:r>
        <w:t>Ladkin</w:t>
      </w:r>
      <w:proofErr w:type="spellEnd"/>
      <w:r>
        <w:t>, P.B., 2019. Duty of care and engineering functional-safety standards. Digital Evidence &amp; Elec. Signature L. Rev., 16, p.51.</w:t>
      </w:r>
    </w:p>
    <w:p w14:paraId="3F654FE1" w14:textId="77777777" w:rsidR="001312F0" w:rsidRDefault="001312F0" w:rsidP="001312F0">
      <w:pPr>
        <w:spacing w:line="360" w:lineRule="auto"/>
      </w:pPr>
      <w:proofErr w:type="spellStart"/>
      <w:r>
        <w:t>Mavundla</w:t>
      </w:r>
      <w:proofErr w:type="spellEnd"/>
      <w:r>
        <w:t xml:space="preserve">, S.D., Strode, A. and Dlamini, D.C., 2020. Marital Power Finally Obliterated: The History of the Abolition of the Marital Power in Civil Marriages in E </w:t>
      </w:r>
      <w:proofErr w:type="spellStart"/>
      <w:r>
        <w:t>swatini</w:t>
      </w:r>
      <w:proofErr w:type="spellEnd"/>
      <w:r>
        <w:t>. Potchefstroom Electronic Law Journal/</w:t>
      </w:r>
      <w:proofErr w:type="spellStart"/>
      <w:r>
        <w:t>Potchefstroomse</w:t>
      </w:r>
      <w:proofErr w:type="spellEnd"/>
      <w:r>
        <w:t xml:space="preserve"> </w:t>
      </w:r>
      <w:proofErr w:type="spellStart"/>
      <w:r>
        <w:t>Elektroniese</w:t>
      </w:r>
      <w:proofErr w:type="spellEnd"/>
      <w:r>
        <w:t xml:space="preserve"> </w:t>
      </w:r>
      <w:proofErr w:type="spellStart"/>
      <w:r>
        <w:t>Regsblad</w:t>
      </w:r>
      <w:proofErr w:type="spellEnd"/>
      <w:r>
        <w:t>, 23(1).</w:t>
      </w:r>
    </w:p>
    <w:p w14:paraId="2CB64EEB" w14:textId="77777777" w:rsidR="001312F0" w:rsidRDefault="001312F0" w:rsidP="001312F0">
      <w:pPr>
        <w:spacing w:line="360" w:lineRule="auto"/>
      </w:pPr>
      <w:proofErr w:type="spellStart"/>
      <w:r>
        <w:t>Mousourakis</w:t>
      </w:r>
      <w:proofErr w:type="spellEnd"/>
      <w:r>
        <w:t xml:space="preserve">, G. and </w:t>
      </w:r>
      <w:proofErr w:type="spellStart"/>
      <w:r>
        <w:t>Mousourakis</w:t>
      </w:r>
      <w:proofErr w:type="spellEnd"/>
      <w:r>
        <w:t>, G., 2019. The Development and Function of Equity in the English Common Law Tradition. Comparative Law and Legal Traditions: Historical and Contemporary Perspectives, pp.251-280.</w:t>
      </w:r>
    </w:p>
    <w:p w14:paraId="68FE6197" w14:textId="77777777" w:rsidR="001312F0" w:rsidRDefault="001312F0" w:rsidP="001312F0">
      <w:pPr>
        <w:spacing w:line="360" w:lineRule="auto"/>
      </w:pPr>
      <w:proofErr w:type="spellStart"/>
      <w:r>
        <w:t>Obu</w:t>
      </w:r>
      <w:proofErr w:type="spellEnd"/>
      <w:r>
        <w:t>, R.N., 2021. To What Extent Does the Law Provide Sufficient Protection for Those Who Enter Into a Contract with a Person Who, Through Age. Mental Illness, Or Intoxication, May Be Said to Lack The Capacity to Make a Binding Agreement, pp.389-397.</w:t>
      </w:r>
    </w:p>
    <w:p w14:paraId="01F2BDFE" w14:textId="77777777" w:rsidR="001312F0" w:rsidRDefault="001312F0" w:rsidP="001312F0">
      <w:pPr>
        <w:spacing w:line="360" w:lineRule="auto"/>
      </w:pPr>
      <w:proofErr w:type="spellStart"/>
      <w:r>
        <w:t>Postema</w:t>
      </w:r>
      <w:proofErr w:type="spellEnd"/>
      <w:r>
        <w:t>, G.J., 2019. Bentham and the common law tradition. Oxford University Press.</w:t>
      </w:r>
    </w:p>
    <w:p w14:paraId="586F6E79" w14:textId="77777777" w:rsidR="001312F0" w:rsidRDefault="001312F0" w:rsidP="001312F0">
      <w:pPr>
        <w:spacing w:line="360" w:lineRule="auto"/>
      </w:pPr>
      <w:r>
        <w:t xml:space="preserve">Reynolds, B., Donegan, T. and </w:t>
      </w:r>
      <w:proofErr w:type="spellStart"/>
      <w:r>
        <w:t>Linch</w:t>
      </w:r>
      <w:proofErr w:type="spellEnd"/>
      <w:r>
        <w:t>, O., 2022. The value of English common law for new “special zones”: a case study of two contrasting examples. Trusts &amp; Trustees, 28(2), pp.82-103.</w:t>
      </w:r>
    </w:p>
    <w:p w14:paraId="45EDF073" w14:textId="77777777" w:rsidR="001312F0" w:rsidRDefault="001312F0" w:rsidP="001312F0">
      <w:pPr>
        <w:spacing w:line="360" w:lineRule="auto"/>
      </w:pPr>
      <w:r>
        <w:t>Schäfer, H.B. and Ott, C., 2022. The economic analysis of civil law. Edward Elgar Publishing.</w:t>
      </w:r>
    </w:p>
    <w:p w14:paraId="542E4A1C" w14:textId="77777777" w:rsidR="001312F0" w:rsidRDefault="001312F0" w:rsidP="001312F0">
      <w:pPr>
        <w:spacing w:line="360" w:lineRule="auto"/>
      </w:pPr>
    </w:p>
    <w:p w14:paraId="4E44613B" w14:textId="77777777" w:rsidR="0034151E" w:rsidRDefault="00000000"/>
    <w:sectPr w:rsidR="0034151E" w:rsidSect="003F3DA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2F0"/>
    <w:rsid w:val="001312F0"/>
    <w:rsid w:val="00297358"/>
    <w:rsid w:val="003F3DA6"/>
    <w:rsid w:val="008A3637"/>
    <w:rsid w:val="00D47DE2"/>
    <w:rsid w:val="00EE03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7211C6"/>
  <w15:chartTrackingRefBased/>
  <w15:docId w15:val="{C74CFC98-07DF-49ED-AAA9-01CFEF451A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12F0"/>
    <w:pPr>
      <w:spacing w:after="200" w:line="480" w:lineRule="auto"/>
      <w:jc w:val="both"/>
    </w:pPr>
    <w:rPr>
      <w:rFonts w:ascii="Times New Roman" w:eastAsiaTheme="minorEastAsia" w:hAnsi="Times New Roman"/>
      <w:color w:val="000000" w:themeColor="text1"/>
      <w:sz w:val="24"/>
      <w:lang w:eastAsia="en-IN"/>
    </w:rPr>
  </w:style>
  <w:style w:type="paragraph" w:styleId="Heading1">
    <w:name w:val="heading 1"/>
    <w:basedOn w:val="Normal"/>
    <w:next w:val="Normal"/>
    <w:link w:val="Heading1Char"/>
    <w:uiPriority w:val="9"/>
    <w:qFormat/>
    <w:rsid w:val="001312F0"/>
    <w:pPr>
      <w:keepNext/>
      <w:keepLines/>
      <w:spacing w:before="480" w:after="0"/>
      <w:jc w:val="left"/>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12F0"/>
    <w:rPr>
      <w:rFonts w:ascii="Times New Roman" w:eastAsiaTheme="majorEastAsia" w:hAnsi="Times New Roman" w:cstheme="majorBidi"/>
      <w:b/>
      <w:bCs/>
      <w:color w:val="000000" w:themeColor="text1"/>
      <w:sz w:val="24"/>
      <w:szCs w:val="28"/>
      <w:lang w:eastAsia="en-IN"/>
    </w:rPr>
  </w:style>
  <w:style w:type="paragraph" w:styleId="NoSpacing">
    <w:name w:val="No Spacing"/>
    <w:link w:val="NoSpacingChar"/>
    <w:uiPriority w:val="1"/>
    <w:qFormat/>
    <w:rsid w:val="003F3DA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F3DA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2228562</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6</Pages>
  <Words>1565</Words>
  <Characters>8923</Characters>
  <Application>Microsoft Office Word</Application>
  <DocSecurity>0</DocSecurity>
  <Lines>74</Lines>
  <Paragraphs>20</Paragraphs>
  <ScaleCrop>false</ScaleCrop>
  <Company/>
  <LinksUpToDate>false</LinksUpToDate>
  <CharactersWithSpaces>10468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Legal Process</dc:title>
  <dc:subject/>
  <dc:creator>Chande</dc:creator>
  <cp:keywords/>
  <dc:description/>
  <cp:lastModifiedBy>Chande</cp:lastModifiedBy>
  <cp:revision>4</cp:revision>
  <dcterms:created xsi:type="dcterms:W3CDTF">2023-03-31T15:44:00Z</dcterms:created>
  <dcterms:modified xsi:type="dcterms:W3CDTF">2023-03-31T22:54:00Z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ee930d69-c8fb-400d-aa42-e7cd1cb68da6</vt:lpwstr>
  </property>
</Properties>
</file>