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EF12A54" w14:textId="04F1C910" w:rsidR="0009584C" w:rsidRDefault="0009584C" w:rsidP="0009584C">
      <w:pPr>
        <w:spacing w:before="157" w:after="157" w:line="268" w:lineRule="auto"/>
        <w:jc w:val="center"/>
        <w:rPr>
          <w:rFonts w:ascii="source serif 4" w:eastAsia="source serif 4" w:hAnsi="source serif 4" w:cs="source serif 4"/>
          <w:b/>
          <w:color w:val="000000"/>
          <w:sz w:val="39"/>
        </w:rPr>
      </w:pPr>
      <w:bookmarkStart w:id="0" w:name="international_business_analysis_o_9bd04d"/>
      <w:r>
        <w:rPr>
          <w:noProof/>
        </w:rPr>
        <w:drawing>
          <wp:inline distT="0" distB="0" distL="0" distR="0" wp14:anchorId="4ABB17B2" wp14:editId="0688D9F0">
            <wp:extent cx="3500438" cy="1400175"/>
            <wp:effectExtent l="0" t="0" r="5080" b="0"/>
            <wp:docPr id="1960062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1762" cy="1400705"/>
                    </a:xfrm>
                    <a:prstGeom prst="rect">
                      <a:avLst/>
                    </a:prstGeom>
                    <a:noFill/>
                    <a:ln>
                      <a:noFill/>
                    </a:ln>
                  </pic:spPr>
                </pic:pic>
              </a:graphicData>
            </a:graphic>
          </wp:inline>
        </w:drawing>
      </w:r>
    </w:p>
    <w:p w14:paraId="7A4E0A2B" w14:textId="77777777" w:rsidR="00AD19FC" w:rsidRDefault="00AD19FC" w:rsidP="00AD19FC">
      <w:pPr>
        <w:jc w:val="center"/>
        <w:rPr>
          <w:rFonts w:ascii="Arial" w:hAnsi="Arial" w:cs="Arial"/>
          <w:b/>
          <w:bCs/>
          <w:sz w:val="24"/>
          <w:szCs w:val="24"/>
        </w:rPr>
      </w:pPr>
    </w:p>
    <w:p w14:paraId="7039E57F" w14:textId="77777777" w:rsidR="00AD19FC" w:rsidRDefault="00AD19FC" w:rsidP="00AD19FC">
      <w:pPr>
        <w:jc w:val="center"/>
        <w:rPr>
          <w:rFonts w:ascii="Arial" w:hAnsi="Arial" w:cs="Arial"/>
          <w:b/>
          <w:bCs/>
          <w:sz w:val="24"/>
          <w:szCs w:val="24"/>
        </w:rPr>
      </w:pPr>
    </w:p>
    <w:p w14:paraId="11C34934" w14:textId="1EE91E3E" w:rsidR="00AD19FC" w:rsidRPr="00AD19FC" w:rsidRDefault="00AD19FC" w:rsidP="00AD19FC">
      <w:pPr>
        <w:jc w:val="center"/>
        <w:rPr>
          <w:rFonts w:ascii="Arial" w:eastAsiaTheme="majorEastAsia" w:hAnsi="Arial" w:cs="Arial"/>
          <w:b/>
          <w:bCs/>
          <w:sz w:val="24"/>
          <w:szCs w:val="24"/>
        </w:rPr>
      </w:pPr>
      <w:r w:rsidRPr="00AD19FC">
        <w:rPr>
          <w:rFonts w:ascii="Arial" w:hAnsi="Arial" w:cs="Arial"/>
          <w:b/>
          <w:bCs/>
          <w:sz w:val="24"/>
          <w:szCs w:val="24"/>
        </w:rPr>
        <w:t>Module Title: International Business Concepts</w:t>
      </w:r>
    </w:p>
    <w:p w14:paraId="0BDC07DE" w14:textId="77777777" w:rsidR="00AD19FC" w:rsidRPr="00744931" w:rsidRDefault="00AD19FC" w:rsidP="00AD19FC">
      <w:pPr>
        <w:jc w:val="center"/>
        <w:rPr>
          <w:b/>
          <w:bCs/>
          <w:sz w:val="40"/>
          <w:szCs w:val="40"/>
        </w:rPr>
      </w:pPr>
      <w:r w:rsidRPr="00AD19FC">
        <w:rPr>
          <w:rFonts w:ascii="Arial" w:hAnsi="Arial" w:cs="Arial"/>
          <w:b/>
          <w:bCs/>
          <w:sz w:val="24"/>
          <w:szCs w:val="24"/>
        </w:rPr>
        <w:t>Module Code: LCMB7034</w:t>
      </w:r>
    </w:p>
    <w:p w14:paraId="61AFFA3C" w14:textId="77777777" w:rsidR="0009584C" w:rsidRDefault="0009584C" w:rsidP="0009584C">
      <w:pPr>
        <w:spacing w:before="157" w:after="157" w:line="268" w:lineRule="auto"/>
        <w:jc w:val="center"/>
        <w:rPr>
          <w:rFonts w:ascii="source serif 4" w:eastAsia="source serif 4" w:hAnsi="source serif 4" w:cs="source serif 4"/>
          <w:b/>
          <w:color w:val="000000"/>
          <w:sz w:val="39"/>
        </w:rPr>
      </w:pPr>
    </w:p>
    <w:p w14:paraId="7E5C9CFB" w14:textId="77777777" w:rsidR="004C05E4" w:rsidRDefault="004C05E4" w:rsidP="0009584C">
      <w:pPr>
        <w:spacing w:before="157" w:after="157" w:line="268" w:lineRule="auto"/>
        <w:jc w:val="center"/>
        <w:rPr>
          <w:rFonts w:ascii="source serif 4" w:eastAsia="source serif 4" w:hAnsi="source serif 4" w:cs="source serif 4"/>
          <w:b/>
          <w:color w:val="000000"/>
          <w:sz w:val="39"/>
        </w:rPr>
      </w:pPr>
    </w:p>
    <w:bookmarkEnd w:id="0"/>
    <w:p w14:paraId="341F4FCF" w14:textId="05D19B96" w:rsidR="00B94720" w:rsidRPr="00CB01D6" w:rsidRDefault="00B94720" w:rsidP="00B94720">
      <w:pPr>
        <w:spacing w:line="360" w:lineRule="auto"/>
        <w:jc w:val="center"/>
        <w:rPr>
          <w:b/>
          <w:bCs/>
          <w:sz w:val="32"/>
          <w:szCs w:val="32"/>
          <w:lang w:val="en-GB"/>
        </w:rPr>
      </w:pPr>
      <w:r w:rsidRPr="00CB01D6">
        <w:rPr>
          <w:b/>
          <w:bCs/>
          <w:sz w:val="32"/>
          <w:szCs w:val="32"/>
          <w:lang w:val="en-GB"/>
        </w:rPr>
        <w:t xml:space="preserve">Assignment Title: Assessment </w:t>
      </w:r>
      <w:r w:rsidR="007131FD">
        <w:rPr>
          <w:b/>
          <w:bCs/>
          <w:sz w:val="32"/>
          <w:szCs w:val="32"/>
          <w:lang w:val="en-GB"/>
        </w:rPr>
        <w:t>C</w:t>
      </w:r>
      <w:r w:rsidRPr="00CB01D6">
        <w:rPr>
          <w:b/>
          <w:bCs/>
          <w:sz w:val="32"/>
          <w:szCs w:val="32"/>
          <w:lang w:val="en-GB"/>
        </w:rPr>
        <w:t>omponent 1</w:t>
      </w:r>
    </w:p>
    <w:p w14:paraId="3045951D" w14:textId="77777777" w:rsidR="00B94720" w:rsidRPr="00CB01D6" w:rsidRDefault="00B94720" w:rsidP="00B94720">
      <w:pPr>
        <w:spacing w:line="360" w:lineRule="auto"/>
        <w:jc w:val="center"/>
        <w:rPr>
          <w:b/>
          <w:bCs/>
          <w:sz w:val="32"/>
          <w:szCs w:val="32"/>
          <w:lang w:val="en-GB"/>
        </w:rPr>
      </w:pPr>
      <w:r w:rsidRPr="00CB01D6">
        <w:rPr>
          <w:b/>
          <w:bCs/>
          <w:sz w:val="32"/>
          <w:szCs w:val="32"/>
          <w:lang w:val="en-GB"/>
        </w:rPr>
        <w:t>Individual report</w:t>
      </w:r>
    </w:p>
    <w:p w14:paraId="78763600" w14:textId="77777777" w:rsidR="00B94720" w:rsidRPr="00CB01D6" w:rsidRDefault="00B94720" w:rsidP="00B94720">
      <w:pPr>
        <w:spacing w:line="360" w:lineRule="auto"/>
        <w:jc w:val="center"/>
        <w:rPr>
          <w:b/>
          <w:bCs/>
          <w:sz w:val="32"/>
          <w:szCs w:val="32"/>
          <w:lang w:val="en-GB"/>
        </w:rPr>
      </w:pPr>
    </w:p>
    <w:p w14:paraId="4176712E" w14:textId="06244F71" w:rsidR="00B94720" w:rsidRDefault="00B94720" w:rsidP="00B94720">
      <w:pPr>
        <w:spacing w:before="157" w:after="157" w:line="268" w:lineRule="auto"/>
        <w:jc w:val="center"/>
        <w:rPr>
          <w:rFonts w:ascii="Arial" w:eastAsia="source serif 4" w:hAnsi="Arial" w:cs="Arial"/>
          <w:b/>
          <w:color w:val="000000"/>
          <w:sz w:val="24"/>
          <w:szCs w:val="24"/>
        </w:rPr>
      </w:pPr>
      <w:r w:rsidRPr="007131FD">
        <w:rPr>
          <w:rFonts w:ascii="Arial" w:hAnsi="Arial" w:cs="Arial"/>
          <w:b/>
          <w:bCs/>
          <w:i/>
          <w:iCs/>
          <w:sz w:val="32"/>
          <w:szCs w:val="32"/>
          <w:lang w:val="en-GB"/>
        </w:rPr>
        <w:t>Topic</w:t>
      </w:r>
      <w:r w:rsidRPr="007131FD">
        <w:rPr>
          <w:rFonts w:ascii="Arial" w:hAnsi="Arial" w:cs="Arial"/>
          <w:b/>
          <w:bCs/>
          <w:i/>
          <w:iCs/>
          <w:sz w:val="28"/>
          <w:szCs w:val="28"/>
          <w:lang w:val="en-GB"/>
        </w:rPr>
        <w:t>:</w:t>
      </w:r>
      <w:r w:rsidRPr="007131FD">
        <w:rPr>
          <w:rFonts w:ascii="Arial" w:eastAsia="source serif 4" w:hAnsi="Arial" w:cs="Arial"/>
          <w:b/>
          <w:color w:val="000000"/>
          <w:sz w:val="28"/>
          <w:szCs w:val="28"/>
        </w:rPr>
        <w:t xml:space="preserve"> </w:t>
      </w:r>
      <w:r w:rsidRPr="007131FD">
        <w:rPr>
          <w:rFonts w:ascii="Arial" w:eastAsia="source serif 4" w:hAnsi="Arial" w:cs="Arial"/>
          <w:b/>
          <w:color w:val="000000"/>
          <w:sz w:val="28"/>
          <w:szCs w:val="28"/>
        </w:rPr>
        <w:t>International Business Analysis of Tata Consultancy Services’ Strategic Expansion in France</w:t>
      </w:r>
    </w:p>
    <w:p w14:paraId="7F17BE1B" w14:textId="77777777" w:rsidR="00B94720" w:rsidRPr="00CB01D6" w:rsidRDefault="00B94720" w:rsidP="00B94720">
      <w:pPr>
        <w:spacing w:line="360" w:lineRule="auto"/>
        <w:jc w:val="center"/>
        <w:rPr>
          <w:b/>
          <w:bCs/>
          <w:sz w:val="30"/>
          <w:szCs w:val="30"/>
          <w:lang w:val="en-GB"/>
        </w:rPr>
      </w:pPr>
    </w:p>
    <w:p w14:paraId="550FD10A" w14:textId="07268B48" w:rsidR="007131FD" w:rsidRDefault="00B94720" w:rsidP="007131FD">
      <w:pPr>
        <w:pStyle w:val="p1"/>
        <w:jc w:val="center"/>
      </w:pPr>
      <w:r w:rsidRPr="00E21984">
        <w:rPr>
          <w:b/>
          <w:bCs/>
          <w:sz w:val="30"/>
          <w:szCs w:val="30"/>
        </w:rPr>
        <w:t>Lecture</w:t>
      </w:r>
      <w:r w:rsidR="007131FD">
        <w:rPr>
          <w:b/>
          <w:bCs/>
          <w:sz w:val="30"/>
          <w:szCs w:val="30"/>
        </w:rPr>
        <w:t>r</w:t>
      </w:r>
      <w:r w:rsidRPr="00E21984">
        <w:rPr>
          <w:b/>
          <w:bCs/>
          <w:sz w:val="30"/>
          <w:szCs w:val="30"/>
        </w:rPr>
        <w:t xml:space="preserve"> name</w:t>
      </w:r>
      <w:r>
        <w:rPr>
          <w:b/>
          <w:bCs/>
          <w:sz w:val="30"/>
          <w:szCs w:val="30"/>
        </w:rPr>
        <w:t xml:space="preserve">: </w:t>
      </w:r>
      <w:r w:rsidR="007131FD" w:rsidRPr="007131FD">
        <w:rPr>
          <w:b/>
          <w:bCs/>
          <w:sz w:val="28"/>
          <w:szCs w:val="28"/>
        </w:rPr>
        <w:t>Akshay Narayanan</w:t>
      </w:r>
    </w:p>
    <w:p w14:paraId="4CE50CFE" w14:textId="5AD36125" w:rsidR="00B94720" w:rsidRPr="00CB01D6" w:rsidRDefault="00B94720" w:rsidP="00B94720">
      <w:pPr>
        <w:spacing w:line="360" w:lineRule="auto"/>
        <w:jc w:val="center"/>
        <w:rPr>
          <w:b/>
          <w:bCs/>
          <w:sz w:val="30"/>
          <w:szCs w:val="30"/>
          <w:lang w:val="en-GB"/>
        </w:rPr>
      </w:pPr>
      <w:r>
        <w:rPr>
          <w:b/>
          <w:bCs/>
          <w:sz w:val="30"/>
          <w:szCs w:val="30"/>
          <w:lang w:val="en-GB"/>
        </w:rPr>
        <w:br/>
      </w:r>
      <w:r w:rsidRPr="00CB01D6">
        <w:rPr>
          <w:b/>
          <w:bCs/>
          <w:sz w:val="30"/>
          <w:szCs w:val="30"/>
          <w:lang w:val="en-GB"/>
        </w:rPr>
        <w:t>Name:</w:t>
      </w:r>
      <w:r w:rsidRPr="00AC10B5">
        <w:t xml:space="preserve"> </w:t>
      </w:r>
      <w:r>
        <w:rPr>
          <w:b/>
          <w:bCs/>
          <w:sz w:val="30"/>
          <w:szCs w:val="30"/>
          <w:lang w:val="en-GB"/>
        </w:rPr>
        <w:t xml:space="preserve">Tirth </w:t>
      </w:r>
      <w:proofErr w:type="spellStart"/>
      <w:r>
        <w:rPr>
          <w:b/>
          <w:bCs/>
          <w:sz w:val="30"/>
          <w:szCs w:val="30"/>
          <w:lang w:val="en-GB"/>
        </w:rPr>
        <w:t>patel</w:t>
      </w:r>
      <w:proofErr w:type="spellEnd"/>
    </w:p>
    <w:p w14:paraId="0A30376E" w14:textId="17481859" w:rsidR="00B94720" w:rsidRPr="00EA6E1E" w:rsidRDefault="00B94720" w:rsidP="00B94720">
      <w:pPr>
        <w:spacing w:line="360" w:lineRule="auto"/>
        <w:jc w:val="center"/>
        <w:rPr>
          <w:rFonts w:ascii="Arial" w:hAnsi="Arial" w:cs="Arial"/>
          <w:b/>
          <w:bCs/>
          <w:sz w:val="30"/>
          <w:szCs w:val="30"/>
          <w:lang w:val="en-GB"/>
        </w:rPr>
      </w:pPr>
      <w:r w:rsidRPr="00EA6E1E">
        <w:rPr>
          <w:rFonts w:ascii="Arial" w:hAnsi="Arial" w:cs="Arial"/>
          <w:b/>
          <w:bCs/>
          <w:sz w:val="30"/>
          <w:szCs w:val="30"/>
          <w:lang w:val="en-GB"/>
        </w:rPr>
        <w:t>Student ID:</w:t>
      </w:r>
      <w:r w:rsidRPr="00EA6E1E">
        <w:rPr>
          <w:rFonts w:ascii="Arial" w:hAnsi="Arial" w:cs="Arial"/>
        </w:rPr>
        <w:t xml:space="preserve"> </w:t>
      </w:r>
      <w:r w:rsidR="00EA6E1E" w:rsidRPr="00EA6E1E">
        <w:rPr>
          <w:rFonts w:ascii="Arial" w:hAnsi="Arial" w:cs="Arial"/>
          <w:b/>
          <w:bCs/>
          <w:sz w:val="30"/>
          <w:szCs w:val="30"/>
        </w:rPr>
        <w:t>2522415</w:t>
      </w:r>
    </w:p>
    <w:p w14:paraId="59164EF0" w14:textId="77777777" w:rsidR="00B94720" w:rsidRPr="004C05E4" w:rsidRDefault="00B94720" w:rsidP="00AD19FC">
      <w:pPr>
        <w:spacing w:before="157" w:after="157" w:line="268" w:lineRule="auto"/>
        <w:jc w:val="center"/>
        <w:rPr>
          <w:rFonts w:ascii="Arial" w:hAnsi="Arial" w:cs="Arial"/>
          <w:sz w:val="24"/>
          <w:szCs w:val="24"/>
        </w:rPr>
      </w:pPr>
    </w:p>
    <w:p w14:paraId="1E0754BB" w14:textId="77777777" w:rsidR="001A392A" w:rsidRDefault="001A392A">
      <w:pPr>
        <w:pageBreakBefore/>
        <w:spacing w:after="160" w:line="276" w:lineRule="auto"/>
      </w:pPr>
    </w:p>
    <w:p w14:paraId="1E0754BC" w14:textId="77777777" w:rsidR="001A392A" w:rsidRDefault="004E013E">
      <w:pPr>
        <w:pStyle w:val="Heading1"/>
        <w:jc w:val="center"/>
        <w:rPr>
          <w:rFonts w:ascii="Arial" w:eastAsia="source serif 4" w:hAnsi="Arial" w:cs="Arial"/>
          <w:b/>
          <w:bCs/>
          <w:color w:val="000000"/>
          <w:sz w:val="24"/>
          <w:szCs w:val="24"/>
        </w:rPr>
      </w:pPr>
      <w:bookmarkStart w:id="1" w:name="executive_summary"/>
      <w:bookmarkStart w:id="2" w:name="_Toc237535050"/>
      <w:bookmarkStart w:id="3" w:name="_Toc237574833"/>
      <w:r>
        <w:rPr>
          <w:rFonts w:ascii="Arial" w:eastAsia="source serif 4" w:hAnsi="Arial" w:cs="Arial"/>
          <w:b/>
          <w:bCs/>
          <w:color w:val="000000"/>
          <w:sz w:val="24"/>
          <w:szCs w:val="24"/>
        </w:rPr>
        <w:t>Executive Summary</w:t>
      </w:r>
      <w:bookmarkEnd w:id="1"/>
      <w:bookmarkEnd w:id="2"/>
      <w:bookmarkEnd w:id="3"/>
    </w:p>
    <w:p w14:paraId="1E0754BD" w14:textId="77777777" w:rsidR="001A392A" w:rsidRDefault="004E013E">
      <w:pPr>
        <w:spacing w:before="315" w:after="105" w:line="360" w:lineRule="auto"/>
        <w:ind w:left="-30"/>
        <w:jc w:val="both"/>
        <w:rPr>
          <w:rFonts w:ascii="Arial" w:hAnsi="Arial" w:cs="Arial"/>
          <w:sz w:val="24"/>
          <w:szCs w:val="24"/>
        </w:rPr>
      </w:pPr>
      <w:r>
        <w:rPr>
          <w:rFonts w:ascii="Arial" w:hAnsi="Arial" w:cs="Arial"/>
          <w:sz w:val="24"/>
          <w:szCs w:val="24"/>
        </w:rPr>
        <w:t>This report gives a critical analysis of Tata Consultancy Services' (TCS) strategy for strengthening its competitive position in France. TCS is an India-headquartered multinational IT services, consulting and business-solutions company. France is strategically significant as it houses high-tech corporate and public-sector clients who demand artificial intelligence (AI), cybersecurity, cloud transformation, engineering, data and enterprise-system services. The report uses the transnational strategy framework of Bartlett and Ghoshal, the political, economic, legal and cultural analysis and the Ownership–Location–Internalization (OLI) paradigm and entry-mode theory of Dunning.</w:t>
      </w:r>
    </w:p>
    <w:p w14:paraId="1E0754BE" w14:textId="77777777" w:rsidR="001A392A" w:rsidRDefault="004E013E">
      <w:pPr>
        <w:spacing w:before="315" w:after="105" w:line="360" w:lineRule="auto"/>
        <w:ind w:left="-30"/>
        <w:jc w:val="both"/>
        <w:rPr>
          <w:rFonts w:ascii="Arial" w:hAnsi="Arial" w:cs="Arial"/>
          <w:sz w:val="24"/>
          <w:szCs w:val="24"/>
        </w:rPr>
      </w:pPr>
      <w:r>
        <w:rPr>
          <w:rFonts w:ascii="Arial" w:hAnsi="Arial" w:cs="Arial"/>
          <w:sz w:val="24"/>
          <w:szCs w:val="24"/>
        </w:rPr>
        <w:t>TCS is considered a transnational company. It is an integrated delivery solution that brings international experience and local customer engagement, local facilities and sector-specific expertise. This is a global efficiency, but TCS can't depend on the French offshore delivery for lower costs alone. Clients in France might focus on French language engagement, regulatory assurance, European data governance, cyber resilience, and local accountability, particularly in financial services, aerospace, healthcare, public administration, energy and critical infrastructure.</w:t>
      </w:r>
    </w:p>
    <w:p w14:paraId="1E0754BF" w14:textId="77777777" w:rsidR="001A392A" w:rsidRDefault="004E013E">
      <w:pPr>
        <w:spacing w:before="315" w:after="105" w:line="360" w:lineRule="auto"/>
        <w:ind w:left="-30"/>
        <w:jc w:val="both"/>
        <w:rPr>
          <w:rFonts w:ascii="Arial" w:hAnsi="Arial" w:cs="Arial"/>
          <w:sz w:val="24"/>
          <w:szCs w:val="24"/>
        </w:rPr>
      </w:pPr>
      <w:r>
        <w:rPr>
          <w:rFonts w:ascii="Arial" w:hAnsi="Arial" w:cs="Arial"/>
          <w:sz w:val="24"/>
          <w:szCs w:val="24"/>
        </w:rPr>
        <w:t>France has a few important location assets: sophisticated demand, significant industrial clusters, AI policy support, cybersecurity demand, and European market access. But with high labor prices, tight GDPR compliance needs, digital sovereignty demands, and fierce competition from other companies like Capgemini, Sopra Steria, Atos/Eviden, Accenture and IBM, success is dependent. TCS should have a 100% stake in strategic accounts, client information, cyber security and IP, invest selectively in French consulting, AI, cloud, cyber security and aerospace capability, and use global delivery where legally and commercially appropriate, and only partner or acquire wherever they have scarce local assets.</w:t>
      </w:r>
    </w:p>
    <w:p w14:paraId="1E0754C0" w14:textId="77777777" w:rsidR="001A392A" w:rsidRDefault="001A392A">
      <w:pPr>
        <w:pageBreakBefore/>
        <w:spacing w:after="160" w:line="276" w:lineRule="auto"/>
        <w:rPr>
          <w:rFonts w:ascii="Arial" w:hAnsi="Arial" w:cs="Arial"/>
          <w:sz w:val="24"/>
          <w:szCs w:val="24"/>
        </w:rPr>
      </w:pPr>
    </w:p>
    <w:p w14:paraId="1E0754C1" w14:textId="77777777" w:rsidR="001A392A" w:rsidRDefault="001A392A">
      <w:pPr>
        <w:spacing w:after="160" w:line="276" w:lineRule="auto"/>
        <w:rPr>
          <w:rFonts w:ascii="Arial" w:hAnsi="Arial" w:cs="Arial"/>
          <w:sz w:val="24"/>
          <w:szCs w:val="24"/>
        </w:rPr>
      </w:pPr>
    </w:p>
    <w:sdt>
      <w:sdtPr>
        <w:id w:val="-537669655"/>
        <w:docPartObj>
          <w:docPartGallery w:val="Table of Contents"/>
          <w:docPartUnique/>
        </w:docPartObj>
      </w:sdtPr>
      <w:sdtEndPr>
        <w:rPr>
          <w:b/>
          <w:bCs/>
        </w:rPr>
      </w:sdtEndPr>
      <w:sdtContent>
        <w:p w14:paraId="28DE6041" w14:textId="53C60D53" w:rsidR="001A6F69" w:rsidRPr="001A6F69" w:rsidRDefault="001A6F69" w:rsidP="001A6F69">
          <w:pPr>
            <w:pStyle w:val="NoSpacing"/>
            <w:jc w:val="both"/>
            <w:rPr>
              <w:rFonts w:ascii="Arial" w:hAnsi="Arial" w:cs="Arial"/>
              <w:b/>
              <w:bCs/>
              <w:sz w:val="24"/>
              <w:szCs w:val="24"/>
            </w:rPr>
          </w:pPr>
          <w:r w:rsidRPr="001A6F69">
            <w:rPr>
              <w:rFonts w:ascii="Arial" w:hAnsi="Arial" w:cs="Arial"/>
              <w:b/>
              <w:bCs/>
              <w:sz w:val="24"/>
              <w:szCs w:val="24"/>
            </w:rPr>
            <w:t>Table of Contents</w:t>
          </w:r>
        </w:p>
        <w:p w14:paraId="328A4E85" w14:textId="07FC2321"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574833" w:history="1">
            <w:r w:rsidRPr="00F05C39">
              <w:rPr>
                <w:rStyle w:val="Hyperlink"/>
                <w:rFonts w:ascii="Arial" w:eastAsia="source serif 4" w:hAnsi="Arial" w:cs="Arial"/>
                <w:b/>
                <w:bCs/>
                <w:noProof/>
              </w:rPr>
              <w:t>Executive Summary</w:t>
            </w:r>
            <w:r>
              <w:rPr>
                <w:noProof/>
                <w:webHidden/>
              </w:rPr>
              <w:tab/>
            </w:r>
            <w:r>
              <w:rPr>
                <w:noProof/>
                <w:webHidden/>
              </w:rPr>
              <w:fldChar w:fldCharType="begin"/>
            </w:r>
            <w:r>
              <w:rPr>
                <w:noProof/>
                <w:webHidden/>
              </w:rPr>
              <w:instrText xml:space="preserve"> PAGEREF _Toc237574833 \h </w:instrText>
            </w:r>
            <w:r>
              <w:rPr>
                <w:noProof/>
                <w:webHidden/>
              </w:rPr>
            </w:r>
            <w:r>
              <w:rPr>
                <w:noProof/>
                <w:webHidden/>
              </w:rPr>
              <w:fldChar w:fldCharType="separate"/>
            </w:r>
            <w:r>
              <w:rPr>
                <w:noProof/>
                <w:webHidden/>
              </w:rPr>
              <w:t>2</w:t>
            </w:r>
            <w:r>
              <w:rPr>
                <w:noProof/>
                <w:webHidden/>
              </w:rPr>
              <w:fldChar w:fldCharType="end"/>
            </w:r>
          </w:hyperlink>
        </w:p>
        <w:p w14:paraId="7EF30367" w14:textId="17750BAA" w:rsidR="001A6F69" w:rsidRDefault="001A6F69">
          <w:pPr>
            <w:pStyle w:val="TOC1"/>
            <w:tabs>
              <w:tab w:val="left" w:pos="480"/>
            </w:tabs>
            <w:rPr>
              <w:rFonts w:asciiTheme="minorHAnsi" w:eastAsiaTheme="minorEastAsia" w:hAnsiTheme="minorHAnsi" w:cstheme="minorBidi"/>
              <w:noProof/>
              <w:kern w:val="2"/>
              <w:sz w:val="24"/>
              <w:szCs w:val="24"/>
              <w:lang w:val="en-GB" w:eastAsia="en-GB"/>
              <w14:ligatures w14:val="standardContextual"/>
            </w:rPr>
          </w:pPr>
          <w:hyperlink w:anchor="_Toc237574834" w:history="1">
            <w:r w:rsidRPr="00F05C39">
              <w:rPr>
                <w:rStyle w:val="Hyperlink"/>
                <w:rFonts w:ascii="Arial" w:hAnsi="Arial" w:cs="Arial"/>
                <w:b/>
                <w:bCs/>
                <w:noProof/>
              </w:rPr>
              <w:t>1.</w:t>
            </w:r>
            <w:r>
              <w:rPr>
                <w:rFonts w:asciiTheme="minorHAnsi" w:eastAsiaTheme="minorEastAsia" w:hAnsiTheme="minorHAnsi" w:cstheme="minorBidi"/>
                <w:noProof/>
                <w:kern w:val="2"/>
                <w:sz w:val="24"/>
                <w:szCs w:val="24"/>
                <w:lang w:val="en-GB" w:eastAsia="en-GB"/>
                <w14:ligatures w14:val="standardContextual"/>
              </w:rPr>
              <w:tab/>
            </w:r>
            <w:r w:rsidRPr="00F05C3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_Toc237574834 \h </w:instrText>
            </w:r>
            <w:r>
              <w:rPr>
                <w:noProof/>
                <w:webHidden/>
              </w:rPr>
            </w:r>
            <w:r>
              <w:rPr>
                <w:noProof/>
                <w:webHidden/>
              </w:rPr>
              <w:fldChar w:fldCharType="separate"/>
            </w:r>
            <w:r>
              <w:rPr>
                <w:noProof/>
                <w:webHidden/>
              </w:rPr>
              <w:t>4</w:t>
            </w:r>
            <w:r>
              <w:rPr>
                <w:noProof/>
                <w:webHidden/>
              </w:rPr>
              <w:fldChar w:fldCharType="end"/>
            </w:r>
          </w:hyperlink>
        </w:p>
        <w:p w14:paraId="4BD6845F" w14:textId="2B844D06" w:rsidR="001A6F69" w:rsidRDefault="001A6F69">
          <w:pPr>
            <w:pStyle w:val="TOC1"/>
            <w:tabs>
              <w:tab w:val="left" w:pos="480"/>
            </w:tabs>
            <w:rPr>
              <w:rFonts w:asciiTheme="minorHAnsi" w:eastAsiaTheme="minorEastAsia" w:hAnsiTheme="minorHAnsi" w:cstheme="minorBidi"/>
              <w:noProof/>
              <w:kern w:val="2"/>
              <w:sz w:val="24"/>
              <w:szCs w:val="24"/>
              <w:lang w:val="en-GB" w:eastAsia="en-GB"/>
              <w14:ligatures w14:val="standardContextual"/>
            </w:rPr>
          </w:pPr>
          <w:hyperlink w:anchor="_Toc237574835" w:history="1">
            <w:r w:rsidRPr="00F05C39">
              <w:rPr>
                <w:rStyle w:val="Hyperlink"/>
                <w:rFonts w:ascii="Arial" w:hAnsi="Arial" w:cs="Arial"/>
                <w:noProof/>
              </w:rPr>
              <w:t>2.</w:t>
            </w:r>
            <w:r>
              <w:rPr>
                <w:rFonts w:asciiTheme="minorHAnsi" w:eastAsiaTheme="minorEastAsia" w:hAnsiTheme="minorHAnsi" w:cstheme="minorBidi"/>
                <w:noProof/>
                <w:kern w:val="2"/>
                <w:sz w:val="24"/>
                <w:szCs w:val="24"/>
                <w:lang w:val="en-GB" w:eastAsia="en-GB"/>
                <w14:ligatures w14:val="standardContextual"/>
              </w:rPr>
              <w:tab/>
            </w:r>
            <w:r w:rsidRPr="00F05C39">
              <w:rPr>
                <w:rStyle w:val="Hyperlink"/>
                <w:rFonts w:ascii="Arial" w:eastAsia="source serif 4" w:hAnsi="Arial" w:cs="Arial"/>
                <w:b/>
                <w:bCs/>
                <w:noProof/>
              </w:rPr>
              <w:t>Organisational Classification and Global Strategy</w:t>
            </w:r>
            <w:r>
              <w:rPr>
                <w:noProof/>
                <w:webHidden/>
              </w:rPr>
              <w:tab/>
            </w:r>
            <w:r>
              <w:rPr>
                <w:noProof/>
                <w:webHidden/>
              </w:rPr>
              <w:fldChar w:fldCharType="begin"/>
            </w:r>
            <w:r>
              <w:rPr>
                <w:noProof/>
                <w:webHidden/>
              </w:rPr>
              <w:instrText xml:space="preserve"> PAGEREF _Toc237574835 \h </w:instrText>
            </w:r>
            <w:r>
              <w:rPr>
                <w:noProof/>
                <w:webHidden/>
              </w:rPr>
            </w:r>
            <w:r>
              <w:rPr>
                <w:noProof/>
                <w:webHidden/>
              </w:rPr>
              <w:fldChar w:fldCharType="separate"/>
            </w:r>
            <w:r>
              <w:rPr>
                <w:noProof/>
                <w:webHidden/>
              </w:rPr>
              <w:t>4</w:t>
            </w:r>
            <w:r>
              <w:rPr>
                <w:noProof/>
                <w:webHidden/>
              </w:rPr>
              <w:fldChar w:fldCharType="end"/>
            </w:r>
          </w:hyperlink>
        </w:p>
        <w:p w14:paraId="7FA11762" w14:textId="401E44BA"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36" w:history="1">
            <w:r w:rsidRPr="00F05C39">
              <w:rPr>
                <w:rStyle w:val="Hyperlink"/>
                <w:rFonts w:ascii="Arial" w:eastAsia="source serif 4" w:hAnsi="Arial" w:cs="Arial"/>
                <w:b/>
                <w:bCs/>
                <w:noProof/>
              </w:rPr>
              <w:t>2.1 Transnational strategy</w:t>
            </w:r>
            <w:r>
              <w:rPr>
                <w:noProof/>
                <w:webHidden/>
              </w:rPr>
              <w:tab/>
            </w:r>
            <w:r>
              <w:rPr>
                <w:noProof/>
                <w:webHidden/>
              </w:rPr>
              <w:fldChar w:fldCharType="begin"/>
            </w:r>
            <w:r>
              <w:rPr>
                <w:noProof/>
                <w:webHidden/>
              </w:rPr>
              <w:instrText xml:space="preserve"> PAGEREF _Toc237574836 \h </w:instrText>
            </w:r>
            <w:r>
              <w:rPr>
                <w:noProof/>
                <w:webHidden/>
              </w:rPr>
            </w:r>
            <w:r>
              <w:rPr>
                <w:noProof/>
                <w:webHidden/>
              </w:rPr>
              <w:fldChar w:fldCharType="separate"/>
            </w:r>
            <w:r>
              <w:rPr>
                <w:noProof/>
                <w:webHidden/>
              </w:rPr>
              <w:t>4</w:t>
            </w:r>
            <w:r>
              <w:rPr>
                <w:noProof/>
                <w:webHidden/>
              </w:rPr>
              <w:fldChar w:fldCharType="end"/>
            </w:r>
          </w:hyperlink>
        </w:p>
        <w:p w14:paraId="620B19DD" w14:textId="6E1640AE"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37" w:history="1">
            <w:r w:rsidRPr="00F05C39">
              <w:rPr>
                <w:rStyle w:val="Hyperlink"/>
                <w:rFonts w:ascii="Arial" w:eastAsia="source serif 4" w:hAnsi="Arial" w:cs="Arial"/>
                <w:b/>
                <w:bCs/>
                <w:noProof/>
              </w:rPr>
              <w:t>2.2 Global configuration and value creation</w:t>
            </w:r>
            <w:r>
              <w:rPr>
                <w:noProof/>
                <w:webHidden/>
              </w:rPr>
              <w:tab/>
            </w:r>
            <w:r>
              <w:rPr>
                <w:noProof/>
                <w:webHidden/>
              </w:rPr>
              <w:fldChar w:fldCharType="begin"/>
            </w:r>
            <w:r>
              <w:rPr>
                <w:noProof/>
                <w:webHidden/>
              </w:rPr>
              <w:instrText xml:space="preserve"> PAGEREF _Toc237574837 \h </w:instrText>
            </w:r>
            <w:r>
              <w:rPr>
                <w:noProof/>
                <w:webHidden/>
              </w:rPr>
            </w:r>
            <w:r>
              <w:rPr>
                <w:noProof/>
                <w:webHidden/>
              </w:rPr>
              <w:fldChar w:fldCharType="separate"/>
            </w:r>
            <w:r>
              <w:rPr>
                <w:noProof/>
                <w:webHidden/>
              </w:rPr>
              <w:t>5</w:t>
            </w:r>
            <w:r>
              <w:rPr>
                <w:noProof/>
                <w:webHidden/>
              </w:rPr>
              <w:fldChar w:fldCharType="end"/>
            </w:r>
          </w:hyperlink>
        </w:p>
        <w:p w14:paraId="5EEC1883" w14:textId="5ED0BE2C" w:rsidR="001A6F69" w:rsidRDefault="001A6F69">
          <w:pPr>
            <w:pStyle w:val="TOC1"/>
            <w:tabs>
              <w:tab w:val="left" w:pos="480"/>
            </w:tabs>
            <w:rPr>
              <w:rFonts w:asciiTheme="minorHAnsi" w:eastAsiaTheme="minorEastAsia" w:hAnsiTheme="minorHAnsi" w:cstheme="minorBidi"/>
              <w:noProof/>
              <w:kern w:val="2"/>
              <w:sz w:val="24"/>
              <w:szCs w:val="24"/>
              <w:lang w:val="en-GB" w:eastAsia="en-GB"/>
              <w14:ligatures w14:val="standardContextual"/>
            </w:rPr>
          </w:pPr>
          <w:hyperlink w:anchor="_Toc237574838" w:history="1">
            <w:r w:rsidRPr="00F05C39">
              <w:rPr>
                <w:rStyle w:val="Hyperlink"/>
                <w:rFonts w:ascii="Arial" w:eastAsia="source serif 4" w:hAnsi="Arial" w:cs="Arial"/>
                <w:b/>
                <w:bCs/>
                <w:noProof/>
              </w:rPr>
              <w:t>3.</w:t>
            </w:r>
            <w:r>
              <w:rPr>
                <w:rFonts w:asciiTheme="minorHAnsi" w:eastAsiaTheme="minorEastAsia" w:hAnsiTheme="minorHAnsi" w:cstheme="minorBidi"/>
                <w:noProof/>
                <w:kern w:val="2"/>
                <w:sz w:val="24"/>
                <w:szCs w:val="24"/>
                <w:lang w:val="en-GB" w:eastAsia="en-GB"/>
                <w14:ligatures w14:val="standardContextual"/>
              </w:rPr>
              <w:tab/>
            </w:r>
            <w:r w:rsidRPr="00F05C39">
              <w:rPr>
                <w:rStyle w:val="Hyperlink"/>
                <w:rFonts w:ascii="Arial" w:eastAsia="source serif 4" w:hAnsi="Arial" w:cs="Arial"/>
                <w:b/>
                <w:bCs/>
                <w:noProof/>
              </w:rPr>
              <w:t>France IT-Services Industry and Competition</w:t>
            </w:r>
            <w:r>
              <w:rPr>
                <w:noProof/>
                <w:webHidden/>
              </w:rPr>
              <w:tab/>
            </w:r>
            <w:r>
              <w:rPr>
                <w:noProof/>
                <w:webHidden/>
              </w:rPr>
              <w:fldChar w:fldCharType="begin"/>
            </w:r>
            <w:r>
              <w:rPr>
                <w:noProof/>
                <w:webHidden/>
              </w:rPr>
              <w:instrText xml:space="preserve"> PAGEREF _Toc237574838 \h </w:instrText>
            </w:r>
            <w:r>
              <w:rPr>
                <w:noProof/>
                <w:webHidden/>
              </w:rPr>
            </w:r>
            <w:r>
              <w:rPr>
                <w:noProof/>
                <w:webHidden/>
              </w:rPr>
              <w:fldChar w:fldCharType="separate"/>
            </w:r>
            <w:r>
              <w:rPr>
                <w:noProof/>
                <w:webHidden/>
              </w:rPr>
              <w:t>6</w:t>
            </w:r>
            <w:r>
              <w:rPr>
                <w:noProof/>
                <w:webHidden/>
              </w:rPr>
              <w:fldChar w:fldCharType="end"/>
            </w:r>
          </w:hyperlink>
        </w:p>
        <w:p w14:paraId="227542A4" w14:textId="252D7FD1"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39" w:history="1">
            <w:r w:rsidRPr="00F05C39">
              <w:rPr>
                <w:rStyle w:val="Hyperlink"/>
                <w:rFonts w:ascii="Arial" w:eastAsia="source serif 4" w:hAnsi="Arial" w:cs="Arial"/>
                <w:b/>
                <w:bCs/>
                <w:noProof/>
              </w:rPr>
              <w:t>4. Macro-Environmental Appraisal and Market Attractiveness</w:t>
            </w:r>
            <w:r>
              <w:rPr>
                <w:noProof/>
                <w:webHidden/>
              </w:rPr>
              <w:tab/>
            </w:r>
            <w:r>
              <w:rPr>
                <w:noProof/>
                <w:webHidden/>
              </w:rPr>
              <w:fldChar w:fldCharType="begin"/>
            </w:r>
            <w:r>
              <w:rPr>
                <w:noProof/>
                <w:webHidden/>
              </w:rPr>
              <w:instrText xml:space="preserve"> PAGEREF _Toc237574839 \h </w:instrText>
            </w:r>
            <w:r>
              <w:rPr>
                <w:noProof/>
                <w:webHidden/>
              </w:rPr>
            </w:r>
            <w:r>
              <w:rPr>
                <w:noProof/>
                <w:webHidden/>
              </w:rPr>
              <w:fldChar w:fldCharType="separate"/>
            </w:r>
            <w:r>
              <w:rPr>
                <w:noProof/>
                <w:webHidden/>
              </w:rPr>
              <w:t>8</w:t>
            </w:r>
            <w:r>
              <w:rPr>
                <w:noProof/>
                <w:webHidden/>
              </w:rPr>
              <w:fldChar w:fldCharType="end"/>
            </w:r>
          </w:hyperlink>
        </w:p>
        <w:p w14:paraId="078A5A62" w14:textId="0DC94CC5"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0" w:history="1">
            <w:r w:rsidRPr="00F05C39">
              <w:rPr>
                <w:rStyle w:val="Hyperlink"/>
                <w:rFonts w:ascii="Arial" w:hAnsi="Arial" w:cs="Arial"/>
                <w:b/>
                <w:bCs/>
                <w:noProof/>
              </w:rPr>
              <w:t>4.1 Political environment</w:t>
            </w:r>
            <w:r>
              <w:rPr>
                <w:noProof/>
                <w:webHidden/>
              </w:rPr>
              <w:tab/>
            </w:r>
            <w:r>
              <w:rPr>
                <w:noProof/>
                <w:webHidden/>
              </w:rPr>
              <w:fldChar w:fldCharType="begin"/>
            </w:r>
            <w:r>
              <w:rPr>
                <w:noProof/>
                <w:webHidden/>
              </w:rPr>
              <w:instrText xml:space="preserve"> PAGEREF _Toc237574840 \h </w:instrText>
            </w:r>
            <w:r>
              <w:rPr>
                <w:noProof/>
                <w:webHidden/>
              </w:rPr>
            </w:r>
            <w:r>
              <w:rPr>
                <w:noProof/>
                <w:webHidden/>
              </w:rPr>
              <w:fldChar w:fldCharType="separate"/>
            </w:r>
            <w:r>
              <w:rPr>
                <w:noProof/>
                <w:webHidden/>
              </w:rPr>
              <w:t>8</w:t>
            </w:r>
            <w:r>
              <w:rPr>
                <w:noProof/>
                <w:webHidden/>
              </w:rPr>
              <w:fldChar w:fldCharType="end"/>
            </w:r>
          </w:hyperlink>
        </w:p>
        <w:p w14:paraId="61BA1C0B" w14:textId="64AD1A04"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1" w:history="1">
            <w:r w:rsidRPr="00F05C39">
              <w:rPr>
                <w:rStyle w:val="Hyperlink"/>
                <w:rFonts w:ascii="Arial" w:eastAsia="source serif 4" w:hAnsi="Arial" w:cs="Arial"/>
                <w:b/>
                <w:bCs/>
                <w:noProof/>
              </w:rPr>
              <w:t>4.2 Economic environment</w:t>
            </w:r>
            <w:r>
              <w:rPr>
                <w:noProof/>
                <w:webHidden/>
              </w:rPr>
              <w:tab/>
            </w:r>
            <w:r>
              <w:rPr>
                <w:noProof/>
                <w:webHidden/>
              </w:rPr>
              <w:fldChar w:fldCharType="begin"/>
            </w:r>
            <w:r>
              <w:rPr>
                <w:noProof/>
                <w:webHidden/>
              </w:rPr>
              <w:instrText xml:space="preserve"> PAGEREF _Toc237574841 \h </w:instrText>
            </w:r>
            <w:r>
              <w:rPr>
                <w:noProof/>
                <w:webHidden/>
              </w:rPr>
            </w:r>
            <w:r>
              <w:rPr>
                <w:noProof/>
                <w:webHidden/>
              </w:rPr>
              <w:fldChar w:fldCharType="separate"/>
            </w:r>
            <w:r>
              <w:rPr>
                <w:noProof/>
                <w:webHidden/>
              </w:rPr>
              <w:t>10</w:t>
            </w:r>
            <w:r>
              <w:rPr>
                <w:noProof/>
                <w:webHidden/>
              </w:rPr>
              <w:fldChar w:fldCharType="end"/>
            </w:r>
          </w:hyperlink>
        </w:p>
        <w:p w14:paraId="3BD2C5E9" w14:textId="2F361CBE"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2" w:history="1">
            <w:r w:rsidRPr="00F05C39">
              <w:rPr>
                <w:rStyle w:val="Hyperlink"/>
                <w:rFonts w:ascii="Arial" w:eastAsia="source serif 4" w:hAnsi="Arial" w:cs="Arial"/>
                <w:b/>
                <w:bCs/>
                <w:noProof/>
              </w:rPr>
              <w:t>4.3 Legal environment</w:t>
            </w:r>
            <w:r>
              <w:rPr>
                <w:noProof/>
                <w:webHidden/>
              </w:rPr>
              <w:tab/>
            </w:r>
            <w:r>
              <w:rPr>
                <w:noProof/>
                <w:webHidden/>
              </w:rPr>
              <w:fldChar w:fldCharType="begin"/>
            </w:r>
            <w:r>
              <w:rPr>
                <w:noProof/>
                <w:webHidden/>
              </w:rPr>
              <w:instrText xml:space="preserve"> PAGEREF _Toc237574842 \h </w:instrText>
            </w:r>
            <w:r>
              <w:rPr>
                <w:noProof/>
                <w:webHidden/>
              </w:rPr>
            </w:r>
            <w:r>
              <w:rPr>
                <w:noProof/>
                <w:webHidden/>
              </w:rPr>
              <w:fldChar w:fldCharType="separate"/>
            </w:r>
            <w:r>
              <w:rPr>
                <w:noProof/>
                <w:webHidden/>
              </w:rPr>
              <w:t>12</w:t>
            </w:r>
            <w:r>
              <w:rPr>
                <w:noProof/>
                <w:webHidden/>
              </w:rPr>
              <w:fldChar w:fldCharType="end"/>
            </w:r>
          </w:hyperlink>
        </w:p>
        <w:p w14:paraId="1FFF5569" w14:textId="02318539"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3" w:history="1">
            <w:r w:rsidRPr="00F05C39">
              <w:rPr>
                <w:rStyle w:val="Hyperlink"/>
                <w:rFonts w:ascii="Arial" w:hAnsi="Arial" w:cs="Arial"/>
                <w:b/>
                <w:bCs/>
                <w:noProof/>
                <w:lang w:val="en-GB"/>
              </w:rPr>
              <w:t>5. Dunning’s OLI Framework</w:t>
            </w:r>
            <w:r>
              <w:rPr>
                <w:noProof/>
                <w:webHidden/>
              </w:rPr>
              <w:tab/>
            </w:r>
            <w:r>
              <w:rPr>
                <w:noProof/>
                <w:webHidden/>
              </w:rPr>
              <w:fldChar w:fldCharType="begin"/>
            </w:r>
            <w:r>
              <w:rPr>
                <w:noProof/>
                <w:webHidden/>
              </w:rPr>
              <w:instrText xml:space="preserve"> PAGEREF _Toc237574843 \h </w:instrText>
            </w:r>
            <w:r>
              <w:rPr>
                <w:noProof/>
                <w:webHidden/>
              </w:rPr>
            </w:r>
            <w:r>
              <w:rPr>
                <w:noProof/>
                <w:webHidden/>
              </w:rPr>
              <w:fldChar w:fldCharType="separate"/>
            </w:r>
            <w:r>
              <w:rPr>
                <w:noProof/>
                <w:webHidden/>
              </w:rPr>
              <w:t>15</w:t>
            </w:r>
            <w:r>
              <w:rPr>
                <w:noProof/>
                <w:webHidden/>
              </w:rPr>
              <w:fldChar w:fldCharType="end"/>
            </w:r>
          </w:hyperlink>
        </w:p>
        <w:p w14:paraId="217C67DA" w14:textId="1A2365FF"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4" w:history="1">
            <w:r w:rsidRPr="00F05C39">
              <w:rPr>
                <w:rStyle w:val="Hyperlink"/>
                <w:rFonts w:ascii="Arial" w:hAnsi="Arial" w:cs="Arial"/>
                <w:b/>
                <w:bCs/>
                <w:noProof/>
                <w:lang w:val="en-GB"/>
              </w:rPr>
              <w:t>6.Entry-Mode Strategy and Strategic Synthesis</w:t>
            </w:r>
            <w:r>
              <w:rPr>
                <w:noProof/>
                <w:webHidden/>
              </w:rPr>
              <w:tab/>
            </w:r>
            <w:r>
              <w:rPr>
                <w:noProof/>
                <w:webHidden/>
              </w:rPr>
              <w:fldChar w:fldCharType="begin"/>
            </w:r>
            <w:r>
              <w:rPr>
                <w:noProof/>
                <w:webHidden/>
              </w:rPr>
              <w:instrText xml:space="preserve"> PAGEREF _Toc237574844 \h </w:instrText>
            </w:r>
            <w:r>
              <w:rPr>
                <w:noProof/>
                <w:webHidden/>
              </w:rPr>
            </w:r>
            <w:r>
              <w:rPr>
                <w:noProof/>
                <w:webHidden/>
              </w:rPr>
              <w:fldChar w:fldCharType="separate"/>
            </w:r>
            <w:r>
              <w:rPr>
                <w:noProof/>
                <w:webHidden/>
              </w:rPr>
              <w:t>17</w:t>
            </w:r>
            <w:r>
              <w:rPr>
                <w:noProof/>
                <w:webHidden/>
              </w:rPr>
              <w:fldChar w:fldCharType="end"/>
            </w:r>
          </w:hyperlink>
        </w:p>
        <w:p w14:paraId="3CA8CD58" w14:textId="0E0654F1"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5" w:history="1">
            <w:r w:rsidRPr="00F05C39">
              <w:rPr>
                <w:rStyle w:val="Hyperlink"/>
                <w:rFonts w:ascii="Arial" w:hAnsi="Arial" w:cs="Arial"/>
                <w:b/>
                <w:bCs/>
                <w:noProof/>
                <w:lang w:val="en-GB"/>
              </w:rPr>
              <w:t>6.1 Historical Pattern Recognition</w:t>
            </w:r>
            <w:r>
              <w:rPr>
                <w:noProof/>
                <w:webHidden/>
              </w:rPr>
              <w:tab/>
            </w:r>
            <w:r>
              <w:rPr>
                <w:noProof/>
                <w:webHidden/>
              </w:rPr>
              <w:fldChar w:fldCharType="begin"/>
            </w:r>
            <w:r>
              <w:rPr>
                <w:noProof/>
                <w:webHidden/>
              </w:rPr>
              <w:instrText xml:space="preserve"> PAGEREF _Toc237574845 \h </w:instrText>
            </w:r>
            <w:r>
              <w:rPr>
                <w:noProof/>
                <w:webHidden/>
              </w:rPr>
            </w:r>
            <w:r>
              <w:rPr>
                <w:noProof/>
                <w:webHidden/>
              </w:rPr>
              <w:fldChar w:fldCharType="separate"/>
            </w:r>
            <w:r>
              <w:rPr>
                <w:noProof/>
                <w:webHidden/>
              </w:rPr>
              <w:t>17</w:t>
            </w:r>
            <w:r>
              <w:rPr>
                <w:noProof/>
                <w:webHidden/>
              </w:rPr>
              <w:fldChar w:fldCharType="end"/>
            </w:r>
          </w:hyperlink>
        </w:p>
        <w:p w14:paraId="32DA76D2" w14:textId="185841DC"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6" w:history="1">
            <w:r w:rsidRPr="00F05C39">
              <w:rPr>
                <w:rStyle w:val="Hyperlink"/>
                <w:rFonts w:ascii="Arial" w:hAnsi="Arial" w:cs="Arial"/>
                <w:b/>
                <w:bCs/>
                <w:noProof/>
              </w:rPr>
              <w:t>6.2 Critical Evaluation of Strategic Options</w:t>
            </w:r>
            <w:r>
              <w:rPr>
                <w:noProof/>
                <w:webHidden/>
              </w:rPr>
              <w:tab/>
            </w:r>
            <w:r>
              <w:rPr>
                <w:noProof/>
                <w:webHidden/>
              </w:rPr>
              <w:fldChar w:fldCharType="begin"/>
            </w:r>
            <w:r>
              <w:rPr>
                <w:noProof/>
                <w:webHidden/>
              </w:rPr>
              <w:instrText xml:space="preserve"> PAGEREF _Toc237574846 \h </w:instrText>
            </w:r>
            <w:r>
              <w:rPr>
                <w:noProof/>
                <w:webHidden/>
              </w:rPr>
            </w:r>
            <w:r>
              <w:rPr>
                <w:noProof/>
                <w:webHidden/>
              </w:rPr>
              <w:fldChar w:fldCharType="separate"/>
            </w:r>
            <w:r>
              <w:rPr>
                <w:noProof/>
                <w:webHidden/>
              </w:rPr>
              <w:t>17</w:t>
            </w:r>
            <w:r>
              <w:rPr>
                <w:noProof/>
                <w:webHidden/>
              </w:rPr>
              <w:fldChar w:fldCharType="end"/>
            </w:r>
          </w:hyperlink>
        </w:p>
        <w:p w14:paraId="020D2591" w14:textId="09D57AC5"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7" w:history="1">
            <w:r w:rsidRPr="00F05C39">
              <w:rPr>
                <w:rStyle w:val="Hyperlink"/>
                <w:rFonts w:ascii="Arial" w:hAnsi="Arial" w:cs="Arial"/>
                <w:b/>
                <w:bCs/>
                <w:noProof/>
                <w:lang w:val="en-GB"/>
              </w:rPr>
              <w:t>6.3 Recommended Implementation Plan</w:t>
            </w:r>
            <w:r>
              <w:rPr>
                <w:noProof/>
                <w:webHidden/>
              </w:rPr>
              <w:tab/>
            </w:r>
            <w:r>
              <w:rPr>
                <w:noProof/>
                <w:webHidden/>
              </w:rPr>
              <w:fldChar w:fldCharType="begin"/>
            </w:r>
            <w:r>
              <w:rPr>
                <w:noProof/>
                <w:webHidden/>
              </w:rPr>
              <w:instrText xml:space="preserve"> PAGEREF _Toc237574847 \h </w:instrText>
            </w:r>
            <w:r>
              <w:rPr>
                <w:noProof/>
                <w:webHidden/>
              </w:rPr>
            </w:r>
            <w:r>
              <w:rPr>
                <w:noProof/>
                <w:webHidden/>
              </w:rPr>
              <w:fldChar w:fldCharType="separate"/>
            </w:r>
            <w:r>
              <w:rPr>
                <w:noProof/>
                <w:webHidden/>
              </w:rPr>
              <w:t>18</w:t>
            </w:r>
            <w:r>
              <w:rPr>
                <w:noProof/>
                <w:webHidden/>
              </w:rPr>
              <w:fldChar w:fldCharType="end"/>
            </w:r>
          </w:hyperlink>
        </w:p>
        <w:p w14:paraId="4D66E5E5" w14:textId="165C2440"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8" w:history="1">
            <w:r w:rsidRPr="00F05C39">
              <w:rPr>
                <w:rStyle w:val="Hyperlink"/>
                <w:rFonts w:ascii="Arial" w:hAnsi="Arial" w:cs="Arial"/>
                <w:b/>
                <w:bCs/>
                <w:noProof/>
                <w:lang w:val="en-GB"/>
              </w:rPr>
              <w:t>6.4 Strategic Recommendation</w:t>
            </w:r>
            <w:r>
              <w:rPr>
                <w:noProof/>
                <w:webHidden/>
              </w:rPr>
              <w:tab/>
            </w:r>
            <w:r>
              <w:rPr>
                <w:noProof/>
                <w:webHidden/>
              </w:rPr>
              <w:fldChar w:fldCharType="begin"/>
            </w:r>
            <w:r>
              <w:rPr>
                <w:noProof/>
                <w:webHidden/>
              </w:rPr>
              <w:instrText xml:space="preserve"> PAGEREF _Toc237574848 \h </w:instrText>
            </w:r>
            <w:r>
              <w:rPr>
                <w:noProof/>
                <w:webHidden/>
              </w:rPr>
            </w:r>
            <w:r>
              <w:rPr>
                <w:noProof/>
                <w:webHidden/>
              </w:rPr>
              <w:fldChar w:fldCharType="separate"/>
            </w:r>
            <w:r>
              <w:rPr>
                <w:noProof/>
                <w:webHidden/>
              </w:rPr>
              <w:t>19</w:t>
            </w:r>
            <w:r>
              <w:rPr>
                <w:noProof/>
                <w:webHidden/>
              </w:rPr>
              <w:fldChar w:fldCharType="end"/>
            </w:r>
          </w:hyperlink>
        </w:p>
        <w:p w14:paraId="7F8E6133" w14:textId="33B3A587"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49" w:history="1">
            <w:r w:rsidRPr="00F05C39">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_Toc237574849 \h </w:instrText>
            </w:r>
            <w:r>
              <w:rPr>
                <w:noProof/>
                <w:webHidden/>
              </w:rPr>
            </w:r>
            <w:r>
              <w:rPr>
                <w:noProof/>
                <w:webHidden/>
              </w:rPr>
              <w:fldChar w:fldCharType="separate"/>
            </w:r>
            <w:r>
              <w:rPr>
                <w:noProof/>
                <w:webHidden/>
              </w:rPr>
              <w:t>21</w:t>
            </w:r>
            <w:r>
              <w:rPr>
                <w:noProof/>
                <w:webHidden/>
              </w:rPr>
              <w:fldChar w:fldCharType="end"/>
            </w:r>
          </w:hyperlink>
        </w:p>
        <w:p w14:paraId="1433DEA9" w14:textId="2ED85103"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50" w:history="1">
            <w:r w:rsidRPr="00F05C39">
              <w:rPr>
                <w:rStyle w:val="Hyperlink"/>
                <w:rFonts w:ascii="Arial" w:hAnsi="Arial" w:cs="Arial"/>
                <w:b/>
                <w:bCs/>
                <w:noProof/>
              </w:rPr>
              <w:t>Reflective Account Using Gibbs’ Reflective Cycle</w:t>
            </w:r>
            <w:r>
              <w:rPr>
                <w:noProof/>
                <w:webHidden/>
              </w:rPr>
              <w:tab/>
            </w:r>
            <w:r>
              <w:rPr>
                <w:noProof/>
                <w:webHidden/>
              </w:rPr>
              <w:fldChar w:fldCharType="begin"/>
            </w:r>
            <w:r>
              <w:rPr>
                <w:noProof/>
                <w:webHidden/>
              </w:rPr>
              <w:instrText xml:space="preserve"> PAGEREF _Toc237574850 \h </w:instrText>
            </w:r>
            <w:r>
              <w:rPr>
                <w:noProof/>
                <w:webHidden/>
              </w:rPr>
            </w:r>
            <w:r>
              <w:rPr>
                <w:noProof/>
                <w:webHidden/>
              </w:rPr>
              <w:fldChar w:fldCharType="separate"/>
            </w:r>
            <w:r>
              <w:rPr>
                <w:noProof/>
                <w:webHidden/>
              </w:rPr>
              <w:t>21</w:t>
            </w:r>
            <w:r>
              <w:rPr>
                <w:noProof/>
                <w:webHidden/>
              </w:rPr>
              <w:fldChar w:fldCharType="end"/>
            </w:r>
          </w:hyperlink>
        </w:p>
        <w:p w14:paraId="24F1BA0F" w14:textId="53450D62" w:rsidR="001A6F69" w:rsidRDefault="001A6F69">
          <w:pPr>
            <w:pStyle w:val="TOC1"/>
            <w:rPr>
              <w:rFonts w:asciiTheme="minorHAnsi" w:eastAsiaTheme="minorEastAsia" w:hAnsiTheme="minorHAnsi" w:cstheme="minorBidi"/>
              <w:noProof/>
              <w:kern w:val="2"/>
              <w:sz w:val="24"/>
              <w:szCs w:val="24"/>
              <w:lang w:val="en-GB" w:eastAsia="en-GB"/>
              <w14:ligatures w14:val="standardContextual"/>
            </w:rPr>
          </w:pPr>
          <w:hyperlink w:anchor="_Toc237574851" w:history="1">
            <w:r w:rsidRPr="00F05C39">
              <w:rPr>
                <w:rStyle w:val="Hyperlink"/>
                <w:rFonts w:ascii="Arial" w:hAnsi="Arial" w:cs="Arial"/>
                <w:b/>
                <w:bCs/>
                <w:noProof/>
                <w:lang w:val="en-GB"/>
              </w:rPr>
              <w:t>Reference list</w:t>
            </w:r>
            <w:r>
              <w:rPr>
                <w:noProof/>
                <w:webHidden/>
              </w:rPr>
              <w:tab/>
            </w:r>
            <w:r>
              <w:rPr>
                <w:noProof/>
                <w:webHidden/>
              </w:rPr>
              <w:fldChar w:fldCharType="begin"/>
            </w:r>
            <w:r>
              <w:rPr>
                <w:noProof/>
                <w:webHidden/>
              </w:rPr>
              <w:instrText xml:space="preserve"> PAGEREF _Toc237574851 \h </w:instrText>
            </w:r>
            <w:r>
              <w:rPr>
                <w:noProof/>
                <w:webHidden/>
              </w:rPr>
            </w:r>
            <w:r>
              <w:rPr>
                <w:noProof/>
                <w:webHidden/>
              </w:rPr>
              <w:fldChar w:fldCharType="separate"/>
            </w:r>
            <w:r>
              <w:rPr>
                <w:noProof/>
                <w:webHidden/>
              </w:rPr>
              <w:t>25</w:t>
            </w:r>
            <w:r>
              <w:rPr>
                <w:noProof/>
                <w:webHidden/>
              </w:rPr>
              <w:fldChar w:fldCharType="end"/>
            </w:r>
          </w:hyperlink>
        </w:p>
        <w:p w14:paraId="761F6AA3" w14:textId="687BA1EC" w:rsidR="001A6F69" w:rsidRDefault="001A6F69">
          <w:r>
            <w:rPr>
              <w:b/>
              <w:bCs/>
            </w:rPr>
            <w:fldChar w:fldCharType="end"/>
          </w:r>
        </w:p>
      </w:sdtContent>
    </w:sdt>
    <w:p w14:paraId="1E0754D4" w14:textId="6FE75825" w:rsidR="001A392A" w:rsidRDefault="001A392A"/>
    <w:p w14:paraId="1E0754D5" w14:textId="77777777" w:rsidR="001A392A" w:rsidRDefault="001A392A">
      <w:pPr>
        <w:spacing w:after="160" w:line="276" w:lineRule="auto"/>
        <w:rPr>
          <w:rFonts w:ascii="Arial" w:hAnsi="Arial" w:cs="Arial"/>
          <w:sz w:val="24"/>
          <w:szCs w:val="24"/>
        </w:rPr>
      </w:pPr>
    </w:p>
    <w:p w14:paraId="1E0754D6" w14:textId="77777777" w:rsidR="001A392A" w:rsidRDefault="001A392A">
      <w:pPr>
        <w:pageBreakBefore/>
        <w:spacing w:after="160" w:line="276" w:lineRule="auto"/>
        <w:rPr>
          <w:rFonts w:ascii="Arial" w:hAnsi="Arial" w:cs="Arial"/>
          <w:b/>
          <w:bCs/>
          <w:sz w:val="24"/>
          <w:szCs w:val="24"/>
        </w:rPr>
      </w:pPr>
    </w:p>
    <w:p w14:paraId="1E0754D7" w14:textId="77777777" w:rsidR="001A392A" w:rsidRDefault="004E013E">
      <w:pPr>
        <w:spacing w:before="315" w:after="105" w:line="360" w:lineRule="auto"/>
        <w:ind w:left="-30"/>
        <w:jc w:val="both"/>
        <w:rPr>
          <w:rFonts w:ascii="Arial" w:hAnsi="Arial" w:cs="Arial"/>
          <w:b/>
          <w:bCs/>
          <w:sz w:val="24"/>
          <w:szCs w:val="24"/>
        </w:rPr>
      </w:pPr>
      <w:r>
        <w:rPr>
          <w:rFonts w:ascii="Arial" w:hAnsi="Arial" w:cs="Arial"/>
          <w:b/>
          <w:bCs/>
          <w:sz w:val="24"/>
          <w:szCs w:val="24"/>
        </w:rPr>
        <w:t>Section 1</w:t>
      </w:r>
    </w:p>
    <w:p w14:paraId="1E0754D8" w14:textId="77777777" w:rsidR="001A392A" w:rsidRDefault="004E013E">
      <w:pPr>
        <w:pStyle w:val="Heading1"/>
        <w:numPr>
          <w:ilvl w:val="0"/>
          <w:numId w:val="1"/>
        </w:numPr>
        <w:rPr>
          <w:rFonts w:ascii="Arial" w:hAnsi="Arial" w:cs="Arial"/>
          <w:b/>
          <w:bCs/>
          <w:color w:val="000000"/>
          <w:sz w:val="24"/>
          <w:szCs w:val="24"/>
        </w:rPr>
      </w:pPr>
      <w:bookmarkStart w:id="4" w:name="_Toc235452105"/>
      <w:bookmarkStart w:id="5" w:name="_Toc237535051"/>
      <w:bookmarkStart w:id="6" w:name="_Toc237574834"/>
      <w:r>
        <w:rPr>
          <w:rFonts w:ascii="Arial" w:hAnsi="Arial" w:cs="Arial"/>
          <w:b/>
          <w:bCs/>
          <w:color w:val="000000"/>
          <w:sz w:val="24"/>
          <w:szCs w:val="24"/>
        </w:rPr>
        <w:t>Introduction</w:t>
      </w:r>
      <w:bookmarkEnd w:id="4"/>
      <w:bookmarkEnd w:id="5"/>
      <w:bookmarkEnd w:id="6"/>
    </w:p>
    <w:p w14:paraId="1E0754D9" w14:textId="433F17D3" w:rsidR="001A392A" w:rsidRDefault="004E013E">
      <w:pPr>
        <w:spacing w:line="360" w:lineRule="auto"/>
        <w:jc w:val="both"/>
        <w:rPr>
          <w:rFonts w:ascii="Arial" w:hAnsi="Arial" w:cs="Arial"/>
          <w:sz w:val="24"/>
          <w:szCs w:val="24"/>
          <w:lang w:val="en-GB"/>
        </w:rPr>
      </w:pPr>
      <w:r>
        <w:rPr>
          <w:rFonts w:ascii="Arial" w:hAnsi="Arial" w:cs="Arial"/>
          <w:sz w:val="24"/>
          <w:szCs w:val="24"/>
          <w:lang w:val="en-GB"/>
        </w:rPr>
        <w:t>International business is the coordination of knowledge, technology, capital, people and service delivery across international borders. Internationalisation is more complicated in the case of an IT-services multinational as compared to exporting a product. Involves client relationships, widely scattered technical work, IP, regulatory compliance, cybersecurity, data governance and cultural adaptation. While digital internationalisation allows for quick global delivery of services, it also places greater emphasis on trusted technology ecosystems and local institutional legitimacy</w:t>
      </w:r>
      <w:r w:rsidR="00912A92">
        <w:rPr>
          <w:rFonts w:ascii="Arial" w:hAnsi="Arial" w:cs="Arial"/>
          <w:sz w:val="24"/>
          <w:szCs w:val="24"/>
          <w:lang w:val="en-GB"/>
        </w:rPr>
        <w:t xml:space="preserve"> </w:t>
      </w:r>
      <w:r w:rsidR="00912A92" w:rsidRPr="00912A92">
        <w:rPr>
          <w:rFonts w:ascii="Arial" w:hAnsi="Arial" w:cs="Arial"/>
          <w:sz w:val="24"/>
          <w:szCs w:val="24"/>
          <w:lang w:val="en-GB"/>
        </w:rPr>
        <w:t xml:space="preserve">(Rao and </w:t>
      </w:r>
      <w:proofErr w:type="spellStart"/>
      <w:r w:rsidR="00912A92" w:rsidRPr="00912A92">
        <w:rPr>
          <w:rFonts w:ascii="Arial" w:hAnsi="Arial" w:cs="Arial"/>
          <w:sz w:val="24"/>
          <w:szCs w:val="24"/>
          <w:lang w:val="en-GB"/>
        </w:rPr>
        <w:t>Mulloth</w:t>
      </w:r>
      <w:proofErr w:type="spellEnd"/>
      <w:r w:rsidR="00912A92" w:rsidRPr="00912A92">
        <w:rPr>
          <w:rFonts w:ascii="Arial" w:hAnsi="Arial" w:cs="Arial"/>
          <w:sz w:val="24"/>
          <w:szCs w:val="24"/>
          <w:lang w:val="en-GB"/>
        </w:rPr>
        <w:t>, 2017)</w:t>
      </w:r>
      <w:r>
        <w:rPr>
          <w:rFonts w:ascii="Arial" w:hAnsi="Arial" w:cs="Arial"/>
          <w:sz w:val="24"/>
          <w:szCs w:val="24"/>
          <w:lang w:val="en-GB"/>
        </w:rPr>
        <w:t>.</w:t>
      </w:r>
    </w:p>
    <w:p w14:paraId="1E0754DA"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TCS provides cloud, AI, cybersecurity, enterprise applications, digital engineering, analytics, consulting, business-process services and managed services. A global delivery model, talent in technology, relationships with clients and a worldwide network of delivery centres, subsidiaries and innovation facilities are all closely linked to its international success.</w:t>
      </w:r>
    </w:p>
    <w:p w14:paraId="1E0754DB" w14:textId="7BFA35EF" w:rsidR="001A392A" w:rsidRDefault="004E013E">
      <w:pPr>
        <w:spacing w:line="360" w:lineRule="auto"/>
        <w:jc w:val="both"/>
        <w:rPr>
          <w:rFonts w:ascii="Arial" w:hAnsi="Arial" w:cs="Arial"/>
          <w:sz w:val="24"/>
          <w:szCs w:val="24"/>
          <w:lang w:val="en-GB"/>
        </w:rPr>
      </w:pPr>
      <w:r>
        <w:rPr>
          <w:rFonts w:ascii="Arial" w:hAnsi="Arial" w:cs="Arial"/>
          <w:sz w:val="24"/>
          <w:szCs w:val="24"/>
          <w:lang w:val="en-GB"/>
        </w:rPr>
        <w:t>France is a market that has been established for the TCS. In 2013, TCS bought French IT-services provider ALTI for €75 million. TCS went on to establish a Paris AI Centre of Excellence and, in January 2025, opened a delivery centre in Blagnac, near Toulouse, to offer aerospace and defence (A&amp;D) industries AI-led transformation. This report therefore focuses on strategic growth and not new market entry</w:t>
      </w:r>
      <w:r w:rsidR="00A93A20">
        <w:rPr>
          <w:rFonts w:ascii="Arial" w:hAnsi="Arial" w:cs="Arial"/>
          <w:sz w:val="24"/>
          <w:szCs w:val="24"/>
          <w:lang w:val="en-GB"/>
        </w:rPr>
        <w:t xml:space="preserve"> </w:t>
      </w:r>
      <w:r w:rsidR="00BB3A5F" w:rsidRPr="00BB3A5F">
        <w:rPr>
          <w:rFonts w:ascii="Arial" w:hAnsi="Arial" w:cs="Arial"/>
          <w:sz w:val="24"/>
          <w:szCs w:val="24"/>
          <w:lang w:val="en-GB"/>
        </w:rPr>
        <w:t>(Tcs.com, 2013)</w:t>
      </w:r>
      <w:r>
        <w:rPr>
          <w:rFonts w:ascii="Arial" w:hAnsi="Arial" w:cs="Arial"/>
          <w:sz w:val="24"/>
          <w:szCs w:val="24"/>
          <w:lang w:val="en-GB"/>
        </w:rPr>
        <w:t>.</w:t>
      </w:r>
    </w:p>
    <w:p w14:paraId="1E0754DC" w14:textId="77777777" w:rsidR="001A392A" w:rsidRDefault="004E013E">
      <w:pPr>
        <w:pStyle w:val="Heading1"/>
        <w:numPr>
          <w:ilvl w:val="0"/>
          <w:numId w:val="1"/>
        </w:numPr>
      </w:pPr>
      <w:bookmarkStart w:id="7" w:name="bm_2_organisational_classificatio_a6fa71"/>
      <w:bookmarkStart w:id="8" w:name="_Toc237535052"/>
      <w:bookmarkStart w:id="9" w:name="_Toc237574835"/>
      <w:proofErr w:type="spellStart"/>
      <w:r>
        <w:rPr>
          <w:rFonts w:ascii="Arial" w:eastAsia="source serif 4" w:hAnsi="Arial" w:cs="Arial"/>
          <w:b/>
          <w:bCs/>
          <w:color w:val="000000"/>
          <w:sz w:val="24"/>
          <w:szCs w:val="24"/>
        </w:rPr>
        <w:t>Organisational</w:t>
      </w:r>
      <w:proofErr w:type="spellEnd"/>
      <w:r>
        <w:rPr>
          <w:rFonts w:ascii="Arial" w:eastAsia="source serif 4" w:hAnsi="Arial" w:cs="Arial"/>
          <w:b/>
          <w:bCs/>
          <w:color w:val="000000"/>
          <w:sz w:val="24"/>
          <w:szCs w:val="24"/>
        </w:rPr>
        <w:t xml:space="preserve"> Classification and Global Strategy</w:t>
      </w:r>
      <w:bookmarkStart w:id="10" w:name="bm_2_1_transnational_strategy"/>
      <w:bookmarkEnd w:id="7"/>
      <w:bookmarkEnd w:id="8"/>
      <w:bookmarkEnd w:id="9"/>
    </w:p>
    <w:p w14:paraId="1E0754DD" w14:textId="77777777" w:rsidR="001A392A" w:rsidRDefault="004E013E">
      <w:pPr>
        <w:pStyle w:val="Heading1"/>
        <w:rPr>
          <w:rFonts w:ascii="Arial" w:eastAsia="source serif 4" w:hAnsi="Arial" w:cs="Arial"/>
          <w:b/>
          <w:bCs/>
          <w:color w:val="000000"/>
          <w:sz w:val="24"/>
          <w:szCs w:val="24"/>
        </w:rPr>
      </w:pPr>
      <w:bookmarkStart w:id="11" w:name="_Toc237535053"/>
      <w:bookmarkStart w:id="12" w:name="_Toc237574836"/>
      <w:r>
        <w:rPr>
          <w:rFonts w:ascii="Arial" w:eastAsia="source serif 4" w:hAnsi="Arial" w:cs="Arial"/>
          <w:b/>
          <w:bCs/>
          <w:color w:val="000000"/>
          <w:sz w:val="24"/>
          <w:szCs w:val="24"/>
        </w:rPr>
        <w:t>2.1 Transnational strategy</w:t>
      </w:r>
      <w:bookmarkEnd w:id="10"/>
      <w:bookmarkEnd w:id="11"/>
      <w:bookmarkEnd w:id="12"/>
    </w:p>
    <w:p w14:paraId="1E0754DE" w14:textId="4C631832" w:rsidR="001A392A" w:rsidRDefault="00BB3A5F">
      <w:pPr>
        <w:spacing w:line="360" w:lineRule="auto"/>
        <w:jc w:val="both"/>
        <w:rPr>
          <w:rFonts w:ascii="Arial" w:hAnsi="Arial" w:cs="Arial"/>
          <w:sz w:val="24"/>
          <w:szCs w:val="24"/>
          <w:lang w:val="en-GB"/>
        </w:rPr>
      </w:pPr>
      <w:r>
        <w:rPr>
          <w:rFonts w:ascii="Arial" w:hAnsi="Arial" w:cs="Arial"/>
          <w:sz w:val="24"/>
          <w:szCs w:val="24"/>
          <w:lang w:val="en-GB"/>
        </w:rPr>
        <w:t>The</w:t>
      </w:r>
      <w:r w:rsidR="004E013E">
        <w:rPr>
          <w:rFonts w:ascii="Arial" w:hAnsi="Arial" w:cs="Arial"/>
          <w:sz w:val="24"/>
          <w:szCs w:val="24"/>
          <w:lang w:val="en-GB"/>
        </w:rPr>
        <w:t xml:space="preserve"> international, multidomestic, global and transnational strategies. TCS can be best understood as a transnational entity, looking to be efficient across the board and responsive at a local level and cross-border learning. It becomes efficient by leveraging technical capabilities through a distributed team across the world. Global delivery models are mixtures of client's proximity, talent access and time-zone coverage, and enable continuous services delivery.</w:t>
      </w:r>
    </w:p>
    <w:p w14:paraId="1E0754DF"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The global integration that TCS offers has several benefits. The firm </w:t>
      </w:r>
      <w:proofErr w:type="gramStart"/>
      <w:r>
        <w:rPr>
          <w:rFonts w:ascii="Arial" w:hAnsi="Arial" w:cs="Arial"/>
          <w:sz w:val="24"/>
          <w:szCs w:val="24"/>
          <w:lang w:val="en-GB"/>
        </w:rPr>
        <w:t>has the ability to</w:t>
      </w:r>
      <w:proofErr w:type="gramEnd"/>
      <w:r>
        <w:rPr>
          <w:rFonts w:ascii="Arial" w:hAnsi="Arial" w:cs="Arial"/>
          <w:sz w:val="24"/>
          <w:szCs w:val="24"/>
          <w:lang w:val="en-GB"/>
        </w:rPr>
        <w:t xml:space="preserve"> deploy talent in specific areas such as AI, cloud, cybersecurity, enterprise applications and engineering. It can be used </w:t>
      </w:r>
      <w:proofErr w:type="gramStart"/>
      <w:r>
        <w:rPr>
          <w:rFonts w:ascii="Arial" w:hAnsi="Arial" w:cs="Arial"/>
          <w:sz w:val="24"/>
          <w:szCs w:val="24"/>
          <w:lang w:val="en-GB"/>
        </w:rPr>
        <w:t>over and over</w:t>
      </w:r>
      <w:proofErr w:type="gramEnd"/>
      <w:r>
        <w:rPr>
          <w:rFonts w:ascii="Arial" w:hAnsi="Arial" w:cs="Arial"/>
          <w:sz w:val="24"/>
          <w:szCs w:val="24"/>
          <w:lang w:val="en-GB"/>
        </w:rPr>
        <w:t xml:space="preserve"> with customer projects in a digital asset and delivery mode. It can also serve the multinational customers in multiple countries with consistent processes and governance.</w:t>
      </w:r>
    </w:p>
    <w:p w14:paraId="1E0754E0"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But France is a country that needs local responsiveness. French-language leadership, sector knowledge, a solid understanding of data protection and project accountability locally may be expected by clients working in the fields of aerospace, finance, healthcare, public services and critical infrastructure. This is not just a sales investment for TCS, because its French subsidiary ALTI acquisition, Paris AI Centre &amp; Blagnac delivery centre are not just sales investments. They are ways of gaining local legitimacy and using global knowledge to meet the needs of the customer in France.</w:t>
      </w:r>
    </w:p>
    <w:p w14:paraId="2723C8CD" w14:textId="0180B875" w:rsidR="00864D2C" w:rsidRPr="00864D2C" w:rsidRDefault="004E013E" w:rsidP="00864D2C">
      <w:pPr>
        <w:spacing w:line="360" w:lineRule="auto"/>
        <w:jc w:val="both"/>
        <w:rPr>
          <w:rFonts w:ascii="Arial" w:hAnsi="Arial" w:cs="Arial"/>
          <w:sz w:val="24"/>
          <w:szCs w:val="24"/>
          <w:lang w:val="en-GB"/>
        </w:rPr>
      </w:pPr>
      <w:r>
        <w:rPr>
          <w:rFonts w:ascii="Arial" w:hAnsi="Arial" w:cs="Arial"/>
          <w:sz w:val="24"/>
          <w:szCs w:val="24"/>
          <w:lang w:val="en-GB"/>
        </w:rPr>
        <w:t>There is a strategic dilemma that efficiency vs. local relevance. Over-reliance on offshore delivery can lower costs but raise concerns regarding data control, project management and responsiveness to client requirements. Over localisation will lead to high labour and compliance cost. Therefore, TCS should seek out consulting, client leadership, data governance, cybersecurity and responsible-AI assurance, as well as sensitive engineering work, in France or the EEA. It is expected to have a much broader delivery capability internationally, which should be capable of scaling up development, testing, maintenance and managed services as contracts and regulation permit</w:t>
      </w:r>
      <w:r w:rsidR="00864D2C">
        <w:rPr>
          <w:rFonts w:ascii="Arial" w:hAnsi="Arial" w:cs="Arial"/>
          <w:sz w:val="24"/>
          <w:szCs w:val="24"/>
          <w:lang w:val="en-GB"/>
        </w:rPr>
        <w:t xml:space="preserve"> </w:t>
      </w:r>
      <w:r w:rsidR="00864D2C" w:rsidRPr="00864D2C">
        <w:rPr>
          <w:rFonts w:ascii="Arial" w:hAnsi="Arial" w:cs="Arial"/>
          <w:sz w:val="24"/>
          <w:szCs w:val="24"/>
          <w:lang w:val="en-GB"/>
        </w:rPr>
        <w:t xml:space="preserve">(Bartlett and Ghoshal, 1989; </w:t>
      </w:r>
      <w:proofErr w:type="spellStart"/>
      <w:r w:rsidR="00864D2C" w:rsidRPr="00864D2C">
        <w:rPr>
          <w:rFonts w:ascii="Arial" w:hAnsi="Arial" w:cs="Arial"/>
          <w:sz w:val="24"/>
          <w:szCs w:val="24"/>
          <w:lang w:val="en-GB"/>
        </w:rPr>
        <w:t>Ramioul</w:t>
      </w:r>
      <w:proofErr w:type="spellEnd"/>
      <w:r w:rsidR="00864D2C" w:rsidRPr="00864D2C">
        <w:rPr>
          <w:rFonts w:ascii="Arial" w:hAnsi="Arial" w:cs="Arial"/>
          <w:sz w:val="24"/>
          <w:szCs w:val="24"/>
          <w:lang w:val="en-GB"/>
        </w:rPr>
        <w:t xml:space="preserve"> et al., 2009)</w:t>
      </w:r>
      <w:r w:rsidR="00864D2C">
        <w:rPr>
          <w:rFonts w:ascii="Arial" w:hAnsi="Arial" w:cs="Arial"/>
          <w:sz w:val="24"/>
          <w:szCs w:val="24"/>
          <w:lang w:val="en-GB"/>
        </w:rPr>
        <w:t>.</w:t>
      </w:r>
    </w:p>
    <w:p w14:paraId="1E0754E1" w14:textId="22DB39A4" w:rsidR="001A392A" w:rsidRDefault="001A392A">
      <w:pPr>
        <w:spacing w:line="360" w:lineRule="auto"/>
        <w:jc w:val="both"/>
        <w:rPr>
          <w:rFonts w:ascii="Arial" w:hAnsi="Arial" w:cs="Arial"/>
          <w:sz w:val="24"/>
          <w:szCs w:val="24"/>
          <w:lang w:val="en-GB"/>
        </w:rPr>
      </w:pPr>
    </w:p>
    <w:p w14:paraId="1E0754E2" w14:textId="77777777" w:rsidR="001A392A" w:rsidRDefault="004E013E">
      <w:pPr>
        <w:pStyle w:val="Heading1"/>
        <w:jc w:val="both"/>
        <w:rPr>
          <w:rFonts w:ascii="Arial" w:eastAsia="source serif 4" w:hAnsi="Arial" w:cs="Arial"/>
          <w:b/>
          <w:bCs/>
          <w:color w:val="000000"/>
          <w:sz w:val="24"/>
          <w:szCs w:val="24"/>
        </w:rPr>
      </w:pPr>
      <w:bookmarkStart w:id="13" w:name="bm_2_2_global_configuration_and_v_95e071"/>
      <w:bookmarkStart w:id="14" w:name="_Toc237535054"/>
      <w:bookmarkStart w:id="15" w:name="_Toc237574837"/>
      <w:r>
        <w:rPr>
          <w:rFonts w:ascii="Arial" w:eastAsia="source serif 4" w:hAnsi="Arial" w:cs="Arial"/>
          <w:b/>
          <w:bCs/>
          <w:color w:val="000000"/>
          <w:sz w:val="24"/>
          <w:szCs w:val="24"/>
        </w:rPr>
        <w:t>2.2 Global configuration and value creation</w:t>
      </w:r>
      <w:bookmarkEnd w:id="13"/>
      <w:bookmarkEnd w:id="14"/>
      <w:bookmarkEnd w:id="15"/>
    </w:p>
    <w:p w14:paraId="1E0754E3" w14:textId="3C05CA46" w:rsidR="001A392A" w:rsidRDefault="004E013E">
      <w:pPr>
        <w:spacing w:line="360" w:lineRule="auto"/>
        <w:jc w:val="both"/>
        <w:rPr>
          <w:rFonts w:ascii="Arial" w:hAnsi="Arial" w:cs="Arial"/>
          <w:sz w:val="24"/>
          <w:szCs w:val="24"/>
          <w:lang w:val="en-GB"/>
        </w:rPr>
      </w:pPr>
      <w:r>
        <w:rPr>
          <w:rFonts w:ascii="Arial" w:hAnsi="Arial" w:cs="Arial"/>
          <w:sz w:val="24"/>
          <w:szCs w:val="24"/>
          <w:lang w:val="en-GB"/>
        </w:rPr>
        <w:t>TCS adds value by bringing world-class talent in technology, AI, cloud, cybersecurity, data, industry and long-term customer relationship and cross-border knowledge transfer. Commercial significance: TCS generated ₹79,487 crore from Europe in FY2025. However, regional revenue does not necessarily provide country level benefit. The requirement in France is that TCS demonstrate that they can produce results that domestic companies are not easily able to emulate because of their global scale.</w:t>
      </w:r>
    </w:p>
    <w:p w14:paraId="1E0754E6" w14:textId="6BD122CE" w:rsidR="001A392A" w:rsidRPr="00810905" w:rsidRDefault="004E013E" w:rsidP="00810905">
      <w:pPr>
        <w:spacing w:line="360" w:lineRule="auto"/>
        <w:jc w:val="both"/>
        <w:rPr>
          <w:rFonts w:ascii="Arial" w:hAnsi="Arial" w:cs="Arial"/>
          <w:sz w:val="24"/>
          <w:szCs w:val="24"/>
          <w:lang w:val="en-GB"/>
        </w:rPr>
      </w:pPr>
      <w:r>
        <w:rPr>
          <w:rFonts w:ascii="Arial" w:hAnsi="Arial" w:cs="Arial"/>
          <w:sz w:val="24"/>
          <w:szCs w:val="24"/>
          <w:lang w:val="en-GB"/>
        </w:rPr>
        <w:lastRenderedPageBreak/>
        <w:t>A more successful setup is Paris AI Centre and Blagnac delivery. French customers will be able to be matched with TCS's AI capabilities around the world from the Paris centre. Blagnac is part of Toulouse's aerospace ecosystem connected to TCS. It's not just about establishing local offices; it's about embedding French industrial demand into the global network of technologies</w:t>
      </w:r>
      <w:r w:rsidR="00810905">
        <w:rPr>
          <w:rFonts w:ascii="Arial" w:hAnsi="Arial" w:cs="Arial"/>
          <w:sz w:val="24"/>
          <w:szCs w:val="24"/>
          <w:lang w:val="en-GB"/>
        </w:rPr>
        <w:t xml:space="preserve"> </w:t>
      </w:r>
      <w:r w:rsidR="00810905" w:rsidRPr="00810905">
        <w:rPr>
          <w:rFonts w:ascii="Arial" w:hAnsi="Arial" w:cs="Arial"/>
          <w:sz w:val="24"/>
          <w:szCs w:val="24"/>
          <w:lang w:val="en-GB"/>
        </w:rPr>
        <w:t>(TCS starts FY2025 on a strong note with broad-based growth, 2025c)</w:t>
      </w:r>
      <w:r>
        <w:rPr>
          <w:rFonts w:ascii="Arial" w:hAnsi="Arial" w:cs="Arial"/>
          <w:sz w:val="24"/>
          <w:szCs w:val="24"/>
          <w:lang w:val="en-GB"/>
        </w:rPr>
        <w:t>.</w:t>
      </w:r>
    </w:p>
    <w:p w14:paraId="1E0754E7" w14:textId="77777777" w:rsidR="001A392A" w:rsidRDefault="001A392A">
      <w:pPr>
        <w:rPr>
          <w:lang w:val="en-GB"/>
        </w:rPr>
      </w:pPr>
    </w:p>
    <w:p w14:paraId="1E0754E8" w14:textId="77777777" w:rsidR="001A392A" w:rsidRDefault="004E013E">
      <w:pPr>
        <w:spacing w:after="210" w:line="360" w:lineRule="auto"/>
      </w:pPr>
      <w:r>
        <w:rPr>
          <w:rFonts w:ascii="Arial" w:eastAsia="source serif 4" w:hAnsi="Arial" w:cs="Arial"/>
          <w:b/>
          <w:color w:val="000000"/>
          <w:sz w:val="24"/>
          <w:szCs w:val="24"/>
        </w:rPr>
        <w:t>Table 1: TCS transnational strategy in France</w:t>
      </w:r>
    </w:p>
    <w:tbl>
      <w:tblPr>
        <w:tblW w:w="9016" w:type="dxa"/>
        <w:tblCellMar>
          <w:left w:w="10" w:type="dxa"/>
          <w:right w:w="10" w:type="dxa"/>
        </w:tblCellMar>
        <w:tblLook w:val="0000" w:firstRow="0" w:lastRow="0" w:firstColumn="0" w:lastColumn="0" w:noHBand="0" w:noVBand="0"/>
      </w:tblPr>
      <w:tblGrid>
        <w:gridCol w:w="2099"/>
        <w:gridCol w:w="2311"/>
        <w:gridCol w:w="2353"/>
        <w:gridCol w:w="2253"/>
      </w:tblGrid>
      <w:tr w:rsidR="001A392A" w14:paraId="1E0754ED" w14:textId="77777777">
        <w:trPr>
          <w:cantSplit/>
        </w:trPr>
        <w:tc>
          <w:tcPr>
            <w:tcW w:w="2099"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E9" w14:textId="77777777" w:rsidR="001A392A" w:rsidRDefault="004E013E">
            <w:pPr>
              <w:spacing w:line="360" w:lineRule="auto"/>
            </w:pPr>
            <w:r>
              <w:rPr>
                <w:rFonts w:ascii="Arial" w:eastAsia="source sans 3" w:hAnsi="Arial" w:cs="Arial"/>
                <w:color w:val="000000"/>
                <w:sz w:val="24"/>
                <w:szCs w:val="24"/>
              </w:rPr>
              <w:t>Dimension</w:t>
            </w:r>
          </w:p>
        </w:tc>
        <w:tc>
          <w:tcPr>
            <w:tcW w:w="231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EA" w14:textId="77777777" w:rsidR="001A392A" w:rsidRDefault="004E013E">
            <w:pPr>
              <w:spacing w:line="360" w:lineRule="auto"/>
            </w:pPr>
            <w:r>
              <w:rPr>
                <w:rFonts w:ascii="Arial" w:eastAsia="source sans 3" w:hAnsi="Arial" w:cs="Arial"/>
                <w:color w:val="000000"/>
                <w:sz w:val="24"/>
                <w:szCs w:val="24"/>
              </w:rPr>
              <w:t>TCS strength</w:t>
            </w:r>
          </w:p>
        </w:tc>
        <w:tc>
          <w:tcPr>
            <w:tcW w:w="23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EB" w14:textId="77777777" w:rsidR="001A392A" w:rsidRDefault="004E013E">
            <w:pPr>
              <w:spacing w:line="360" w:lineRule="auto"/>
            </w:pPr>
            <w:r>
              <w:rPr>
                <w:rFonts w:ascii="Arial" w:eastAsia="source sans 3" w:hAnsi="Arial" w:cs="Arial"/>
                <w:color w:val="000000"/>
                <w:sz w:val="24"/>
                <w:szCs w:val="24"/>
              </w:rPr>
              <w:t>French requirement</w:t>
            </w:r>
          </w:p>
        </w:tc>
        <w:tc>
          <w:tcPr>
            <w:tcW w:w="2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EC" w14:textId="77777777" w:rsidR="001A392A" w:rsidRDefault="004E013E">
            <w:pPr>
              <w:spacing w:line="360" w:lineRule="auto"/>
            </w:pPr>
            <w:r>
              <w:rPr>
                <w:rFonts w:ascii="Arial" w:eastAsia="source sans 3" w:hAnsi="Arial" w:cs="Arial"/>
                <w:color w:val="000000"/>
                <w:sz w:val="24"/>
                <w:szCs w:val="24"/>
              </w:rPr>
              <w:t>Strategic implication</w:t>
            </w:r>
          </w:p>
        </w:tc>
      </w:tr>
      <w:tr w:rsidR="001A392A" w14:paraId="1E0754F2" w14:textId="77777777">
        <w:trPr>
          <w:cantSplit/>
        </w:trPr>
        <w:tc>
          <w:tcPr>
            <w:tcW w:w="2099"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EE" w14:textId="77777777" w:rsidR="001A392A" w:rsidRDefault="004E013E">
            <w:pPr>
              <w:spacing w:line="360" w:lineRule="auto"/>
            </w:pPr>
            <w:r>
              <w:rPr>
                <w:rFonts w:ascii="Arial" w:eastAsia="source sans 3" w:hAnsi="Arial" w:cs="Arial"/>
                <w:color w:val="000000"/>
                <w:sz w:val="24"/>
                <w:szCs w:val="24"/>
              </w:rPr>
              <w:t>Global efficiency</w:t>
            </w:r>
          </w:p>
        </w:tc>
        <w:tc>
          <w:tcPr>
            <w:tcW w:w="231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EF" w14:textId="77777777" w:rsidR="001A392A" w:rsidRDefault="004E013E">
            <w:pPr>
              <w:spacing w:line="360" w:lineRule="auto"/>
            </w:pPr>
            <w:r>
              <w:rPr>
                <w:rFonts w:ascii="Arial" w:eastAsia="source sans 3" w:hAnsi="Arial" w:cs="Arial"/>
                <w:color w:val="000000"/>
                <w:sz w:val="24"/>
                <w:szCs w:val="24"/>
              </w:rPr>
              <w:t>Global delivery, technical scale and reusable assets</w:t>
            </w:r>
          </w:p>
        </w:tc>
        <w:tc>
          <w:tcPr>
            <w:tcW w:w="23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0" w14:textId="77777777" w:rsidR="001A392A" w:rsidRDefault="004E013E">
            <w:pPr>
              <w:spacing w:line="360" w:lineRule="auto"/>
            </w:pPr>
            <w:r>
              <w:rPr>
                <w:rFonts w:ascii="Arial" w:eastAsia="source sans 3" w:hAnsi="Arial" w:cs="Arial"/>
                <w:color w:val="000000"/>
                <w:sz w:val="24"/>
                <w:szCs w:val="24"/>
              </w:rPr>
              <w:t>Competitive cost and quality</w:t>
            </w:r>
          </w:p>
        </w:tc>
        <w:tc>
          <w:tcPr>
            <w:tcW w:w="2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1" w14:textId="77777777" w:rsidR="001A392A" w:rsidRDefault="004E013E">
            <w:pPr>
              <w:spacing w:line="360" w:lineRule="auto"/>
            </w:pPr>
            <w:r>
              <w:rPr>
                <w:rFonts w:ascii="Arial" w:eastAsia="source sans 3" w:hAnsi="Arial" w:cs="Arial"/>
                <w:color w:val="000000"/>
                <w:sz w:val="24"/>
                <w:szCs w:val="24"/>
              </w:rPr>
              <w:t>Retain global delivery for scalable tasks</w:t>
            </w:r>
          </w:p>
        </w:tc>
      </w:tr>
      <w:tr w:rsidR="001A392A" w14:paraId="1E0754F7" w14:textId="77777777">
        <w:trPr>
          <w:cantSplit/>
        </w:trPr>
        <w:tc>
          <w:tcPr>
            <w:tcW w:w="2099"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3" w14:textId="77777777" w:rsidR="001A392A" w:rsidRDefault="004E013E">
            <w:pPr>
              <w:spacing w:line="360" w:lineRule="auto"/>
            </w:pPr>
            <w:r>
              <w:rPr>
                <w:rFonts w:ascii="Arial" w:eastAsia="source sans 3" w:hAnsi="Arial" w:cs="Arial"/>
                <w:color w:val="000000"/>
                <w:sz w:val="24"/>
                <w:szCs w:val="24"/>
              </w:rPr>
              <w:t>Local responsiveness</w:t>
            </w:r>
          </w:p>
        </w:tc>
        <w:tc>
          <w:tcPr>
            <w:tcW w:w="231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4" w14:textId="77777777" w:rsidR="001A392A" w:rsidRDefault="004E013E">
            <w:pPr>
              <w:spacing w:line="360" w:lineRule="auto"/>
            </w:pPr>
            <w:r>
              <w:rPr>
                <w:rFonts w:ascii="Arial" w:eastAsia="source sans 3" w:hAnsi="Arial" w:cs="Arial"/>
                <w:color w:val="000000"/>
                <w:sz w:val="24"/>
                <w:szCs w:val="24"/>
              </w:rPr>
              <w:t xml:space="preserve">French subsidiary, AI </w:t>
            </w:r>
            <w:proofErr w:type="spellStart"/>
            <w:r>
              <w:rPr>
                <w:rFonts w:ascii="Arial" w:eastAsia="source sans 3" w:hAnsi="Arial" w:cs="Arial"/>
                <w:color w:val="000000"/>
                <w:sz w:val="24"/>
                <w:szCs w:val="24"/>
              </w:rPr>
              <w:t>centre</w:t>
            </w:r>
            <w:proofErr w:type="spellEnd"/>
            <w:r>
              <w:rPr>
                <w:rFonts w:ascii="Arial" w:eastAsia="source sans 3" w:hAnsi="Arial" w:cs="Arial"/>
                <w:color w:val="000000"/>
                <w:sz w:val="24"/>
                <w:szCs w:val="24"/>
              </w:rPr>
              <w:t>, aerospace delivery facility</w:t>
            </w:r>
          </w:p>
        </w:tc>
        <w:tc>
          <w:tcPr>
            <w:tcW w:w="23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5" w14:textId="77777777" w:rsidR="001A392A" w:rsidRDefault="004E013E">
            <w:pPr>
              <w:spacing w:line="360" w:lineRule="auto"/>
            </w:pPr>
            <w:r>
              <w:rPr>
                <w:rFonts w:ascii="Arial" w:eastAsia="source sans 3" w:hAnsi="Arial" w:cs="Arial"/>
                <w:color w:val="000000"/>
                <w:sz w:val="24"/>
                <w:szCs w:val="24"/>
              </w:rPr>
              <w:t>Language, local accountability and EU compliance</w:t>
            </w:r>
          </w:p>
        </w:tc>
        <w:tc>
          <w:tcPr>
            <w:tcW w:w="2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6" w14:textId="77777777" w:rsidR="001A392A" w:rsidRDefault="004E013E">
            <w:pPr>
              <w:spacing w:line="360" w:lineRule="auto"/>
            </w:pPr>
            <w:r>
              <w:rPr>
                <w:rFonts w:ascii="Arial" w:eastAsia="source sans 3" w:hAnsi="Arial" w:cs="Arial"/>
                <w:color w:val="000000"/>
                <w:sz w:val="24"/>
                <w:szCs w:val="24"/>
              </w:rPr>
              <w:t>Expand French consulting, cyber and governance roles</w:t>
            </w:r>
          </w:p>
        </w:tc>
      </w:tr>
      <w:tr w:rsidR="001A392A" w14:paraId="1E0754FC" w14:textId="77777777">
        <w:trPr>
          <w:cantSplit/>
        </w:trPr>
        <w:tc>
          <w:tcPr>
            <w:tcW w:w="2099"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8" w14:textId="77777777" w:rsidR="001A392A" w:rsidRDefault="004E013E">
            <w:pPr>
              <w:spacing w:line="360" w:lineRule="auto"/>
            </w:pPr>
            <w:r>
              <w:rPr>
                <w:rFonts w:ascii="Arial" w:eastAsia="source sans 3" w:hAnsi="Arial" w:cs="Arial"/>
                <w:color w:val="000000"/>
                <w:sz w:val="24"/>
                <w:szCs w:val="24"/>
              </w:rPr>
              <w:t>Global learning</w:t>
            </w:r>
          </w:p>
        </w:tc>
        <w:tc>
          <w:tcPr>
            <w:tcW w:w="231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9" w14:textId="77777777" w:rsidR="001A392A" w:rsidRDefault="004E013E">
            <w:pPr>
              <w:spacing w:line="360" w:lineRule="auto"/>
            </w:pPr>
            <w:r>
              <w:rPr>
                <w:rFonts w:ascii="Arial" w:eastAsia="source sans 3" w:hAnsi="Arial" w:cs="Arial"/>
                <w:color w:val="000000"/>
                <w:sz w:val="24"/>
                <w:szCs w:val="24"/>
              </w:rPr>
              <w:t>Knowledge transfer across clients and geographies</w:t>
            </w:r>
          </w:p>
        </w:tc>
        <w:tc>
          <w:tcPr>
            <w:tcW w:w="23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A" w14:textId="77777777" w:rsidR="001A392A" w:rsidRDefault="004E013E">
            <w:pPr>
              <w:spacing w:line="360" w:lineRule="auto"/>
            </w:pPr>
            <w:r>
              <w:rPr>
                <w:rFonts w:ascii="Arial" w:eastAsia="source sans 3" w:hAnsi="Arial" w:cs="Arial"/>
                <w:color w:val="000000"/>
                <w:sz w:val="24"/>
                <w:szCs w:val="24"/>
              </w:rPr>
              <w:t>French AI and aerospace learning</w:t>
            </w:r>
          </w:p>
        </w:tc>
        <w:tc>
          <w:tcPr>
            <w:tcW w:w="2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4FB" w14:textId="77777777" w:rsidR="001A392A" w:rsidRDefault="004E013E">
            <w:pPr>
              <w:spacing w:line="360" w:lineRule="auto"/>
            </w:pPr>
            <w:r>
              <w:rPr>
                <w:rFonts w:ascii="Arial" w:eastAsia="source sans 3" w:hAnsi="Arial" w:cs="Arial"/>
                <w:color w:val="000000"/>
                <w:sz w:val="24"/>
                <w:szCs w:val="24"/>
              </w:rPr>
              <w:t>Use France as a European innovation node</w:t>
            </w:r>
          </w:p>
        </w:tc>
      </w:tr>
    </w:tbl>
    <w:p w14:paraId="1E0754FD" w14:textId="77777777" w:rsidR="001A392A" w:rsidRDefault="001A392A">
      <w:pPr>
        <w:rPr>
          <w:lang w:val="en-GB"/>
        </w:rPr>
      </w:pPr>
    </w:p>
    <w:p w14:paraId="1E0754FE" w14:textId="77777777" w:rsidR="001A392A" w:rsidRDefault="004E013E">
      <w:pPr>
        <w:pStyle w:val="Heading1"/>
        <w:numPr>
          <w:ilvl w:val="0"/>
          <w:numId w:val="1"/>
        </w:numPr>
        <w:jc w:val="both"/>
        <w:rPr>
          <w:rFonts w:ascii="Arial" w:eastAsia="source serif 4" w:hAnsi="Arial" w:cs="Arial"/>
          <w:b/>
          <w:bCs/>
          <w:color w:val="000000"/>
          <w:sz w:val="24"/>
          <w:szCs w:val="24"/>
        </w:rPr>
      </w:pPr>
      <w:bookmarkStart w:id="16" w:name="bm_3_france_it_services_industry_7ca591"/>
      <w:bookmarkStart w:id="17" w:name="_Toc237535055"/>
      <w:bookmarkStart w:id="18" w:name="_Toc237574838"/>
      <w:r>
        <w:rPr>
          <w:rFonts w:ascii="Arial" w:eastAsia="source serif 4" w:hAnsi="Arial" w:cs="Arial"/>
          <w:b/>
          <w:bCs/>
          <w:color w:val="000000"/>
          <w:sz w:val="24"/>
          <w:szCs w:val="24"/>
        </w:rPr>
        <w:t>France IT-Services Industry and Competition</w:t>
      </w:r>
      <w:bookmarkEnd w:id="16"/>
      <w:bookmarkEnd w:id="17"/>
      <w:bookmarkEnd w:id="18"/>
    </w:p>
    <w:p w14:paraId="1E0754FF" w14:textId="55F164FB" w:rsidR="001A392A" w:rsidRDefault="004E013E">
      <w:pPr>
        <w:spacing w:line="360" w:lineRule="auto"/>
        <w:jc w:val="both"/>
        <w:rPr>
          <w:rFonts w:ascii="Arial" w:hAnsi="Arial" w:cs="Arial"/>
          <w:sz w:val="24"/>
          <w:szCs w:val="24"/>
          <w:lang w:val="en-GB"/>
        </w:rPr>
      </w:pPr>
      <w:r>
        <w:rPr>
          <w:rFonts w:ascii="Arial" w:hAnsi="Arial" w:cs="Arial"/>
          <w:sz w:val="24"/>
          <w:szCs w:val="24"/>
          <w:lang w:val="en-GB"/>
        </w:rPr>
        <w:t>France's IT-services industry is quite advanced in development and is in demand in several sectors such as banking, insurance, aerospace, manufacturing, retailing, transportation, energy and public administration. The industry comprises of IT consulting, systems integrations, cloud transformation, enterprise applications, cybersecurity, managed services and outsourcing. Statista highlights IT outsourcing as one of the key components of the French IT services market.</w:t>
      </w:r>
    </w:p>
    <w:p w14:paraId="1E075500" w14:textId="01DA567A" w:rsidR="001A392A" w:rsidRPr="001008E4" w:rsidRDefault="00BC33DA">
      <w:pPr>
        <w:spacing w:line="360" w:lineRule="auto"/>
        <w:jc w:val="both"/>
        <w:rPr>
          <w:rFonts w:ascii="Arial" w:hAnsi="Arial" w:cs="Arial"/>
          <w:sz w:val="24"/>
          <w:szCs w:val="24"/>
          <w:shd w:val="clear" w:color="auto" w:fill="FFFF00"/>
          <w:lang w:val="en-GB"/>
        </w:rPr>
      </w:pPr>
      <w:r>
        <w:rPr>
          <w:rFonts w:ascii="Arial" w:hAnsi="Arial" w:cs="Arial"/>
          <w:noProof/>
          <w:sz w:val="24"/>
          <w:szCs w:val="24"/>
          <w:shd w:val="clear" w:color="auto" w:fill="FFFF00"/>
          <w:lang w:val="en-GB"/>
        </w:rPr>
        <w:lastRenderedPageBreak/>
        <w:drawing>
          <wp:inline distT="0" distB="0" distL="0" distR="0" wp14:anchorId="30343779" wp14:editId="2EAF7A3E">
            <wp:extent cx="5731510" cy="3137535"/>
            <wp:effectExtent l="0" t="0" r="0" b="0"/>
            <wp:docPr id="1093285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85857" name="Picture 109328585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37535"/>
                    </a:xfrm>
                    <a:prstGeom prst="rect">
                      <a:avLst/>
                    </a:prstGeom>
                  </pic:spPr>
                </pic:pic>
              </a:graphicData>
            </a:graphic>
          </wp:inline>
        </w:drawing>
      </w:r>
      <w:r w:rsidR="001008E4">
        <w:rPr>
          <w:rFonts w:ascii="Arial" w:hAnsi="Arial" w:cs="Arial"/>
          <w:sz w:val="24"/>
          <w:szCs w:val="24"/>
          <w:shd w:val="clear" w:color="auto" w:fill="FFFF00"/>
          <w:lang w:val="en-GB"/>
        </w:rPr>
        <w:br/>
      </w:r>
      <w:r w:rsidR="009372D2">
        <w:rPr>
          <w:rFonts w:ascii="Arial" w:hAnsi="Arial" w:cs="Arial"/>
          <w:sz w:val="24"/>
          <w:szCs w:val="24"/>
        </w:rPr>
        <w:t xml:space="preserve">          </w:t>
      </w:r>
      <w:r w:rsidR="001008E4" w:rsidRPr="001008E4">
        <w:rPr>
          <w:rFonts w:ascii="Arial" w:hAnsi="Arial" w:cs="Arial"/>
          <w:sz w:val="24"/>
          <w:szCs w:val="24"/>
        </w:rPr>
        <w:t>Growth in Information Services Turnover in France, 2010–2025.</w:t>
      </w:r>
    </w:p>
    <w:p w14:paraId="1E075502" w14:textId="48E2CAFB" w:rsidR="001A392A" w:rsidRPr="004D4089" w:rsidRDefault="009372D2">
      <w:pPr>
        <w:spacing w:line="360" w:lineRule="auto"/>
        <w:jc w:val="both"/>
        <w:rPr>
          <w:rFonts w:ascii="Arial" w:hAnsi="Arial" w:cs="Arial"/>
          <w:sz w:val="24"/>
          <w:szCs w:val="24"/>
        </w:rPr>
      </w:pPr>
      <w:r>
        <w:rPr>
          <w:rFonts w:ascii="Arial" w:hAnsi="Arial" w:cs="Arial"/>
          <w:sz w:val="24"/>
          <w:szCs w:val="24"/>
        </w:rPr>
        <w:t xml:space="preserve">                                             </w:t>
      </w:r>
      <w:r w:rsidR="004D4089" w:rsidRPr="004D4089">
        <w:rPr>
          <w:rFonts w:ascii="Arial" w:hAnsi="Arial" w:cs="Arial"/>
          <w:sz w:val="24"/>
          <w:szCs w:val="24"/>
        </w:rPr>
        <w:t>Source: INSEE (2026)</w:t>
      </w:r>
      <w:r w:rsidR="001008E4">
        <w:rPr>
          <w:rFonts w:ascii="Arial" w:hAnsi="Arial" w:cs="Arial"/>
          <w:sz w:val="24"/>
          <w:szCs w:val="24"/>
        </w:rPr>
        <w:t xml:space="preserve"> </w:t>
      </w:r>
    </w:p>
    <w:p w14:paraId="1E075503" w14:textId="00673E97" w:rsidR="001A392A" w:rsidRDefault="004E013E">
      <w:pPr>
        <w:spacing w:line="360" w:lineRule="auto"/>
        <w:jc w:val="both"/>
        <w:rPr>
          <w:rFonts w:ascii="Arial" w:hAnsi="Arial" w:cs="Arial"/>
          <w:sz w:val="24"/>
          <w:szCs w:val="24"/>
          <w:lang w:val="en-GB"/>
        </w:rPr>
      </w:pPr>
      <w:r>
        <w:rPr>
          <w:rFonts w:ascii="Arial" w:hAnsi="Arial" w:cs="Arial"/>
          <w:sz w:val="24"/>
          <w:szCs w:val="24"/>
          <w:lang w:val="en-GB"/>
        </w:rPr>
        <w:t xml:space="preserve">Figure refutes the assumption that the IT services sector in France is booming. However, one must remember that size does not equal profitability. According </w:t>
      </w:r>
      <w:proofErr w:type="gramStart"/>
      <w:r>
        <w:rPr>
          <w:rFonts w:ascii="Arial" w:hAnsi="Arial" w:cs="Arial"/>
          <w:sz w:val="24"/>
          <w:szCs w:val="24"/>
          <w:lang w:val="en-GB"/>
        </w:rPr>
        <w:t>to  estimate</w:t>
      </w:r>
      <w:proofErr w:type="gramEnd"/>
      <w:r>
        <w:rPr>
          <w:rFonts w:ascii="Arial" w:hAnsi="Arial" w:cs="Arial"/>
          <w:sz w:val="24"/>
          <w:szCs w:val="24"/>
          <w:lang w:val="en-GB"/>
        </w:rPr>
        <w:t xml:space="preserve">, IT services revenue in France will </w:t>
      </w:r>
      <w:r w:rsidR="00810905">
        <w:rPr>
          <w:rFonts w:ascii="Arial" w:hAnsi="Arial" w:cs="Arial"/>
          <w:sz w:val="24"/>
          <w:szCs w:val="24"/>
          <w:lang w:val="en-GB"/>
        </w:rPr>
        <w:t>rise</w:t>
      </w:r>
      <w:r>
        <w:rPr>
          <w:rFonts w:ascii="Arial" w:hAnsi="Arial" w:cs="Arial"/>
          <w:sz w:val="24"/>
          <w:szCs w:val="24"/>
          <w:lang w:val="en-GB"/>
        </w:rPr>
        <w:t xml:space="preserve"> by 1.8% in 2025, as customers defer or decrease their technology budgets. Therefore, TCS should focus on programmes that can deliver definite outcomes, which may comprise cost savings, cyber resilience, compliance, productivity improvement, cloud modernization, and/or customer experience enhancement.</w:t>
      </w:r>
    </w:p>
    <w:p w14:paraId="1978850E" w14:textId="2CA7B637" w:rsidR="0092425D" w:rsidRDefault="0092425D">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        </w:t>
      </w:r>
      <w:r w:rsidR="00615FF5">
        <w:rPr>
          <w:rFonts w:ascii="Arial" w:hAnsi="Arial" w:cs="Arial"/>
          <w:noProof/>
          <w:sz w:val="24"/>
          <w:szCs w:val="24"/>
          <w:lang w:val="en-GB"/>
        </w:rPr>
        <w:drawing>
          <wp:inline distT="0" distB="0" distL="0" distR="0" wp14:anchorId="39061C7F" wp14:editId="2F5E7393">
            <wp:extent cx="5731510" cy="3023870"/>
            <wp:effectExtent l="0" t="0" r="0" b="0"/>
            <wp:docPr id="638765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65203" name="Picture 63876520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23870"/>
                    </a:xfrm>
                    <a:prstGeom prst="rect">
                      <a:avLst/>
                    </a:prstGeom>
                  </pic:spPr>
                </pic:pic>
              </a:graphicData>
            </a:graphic>
          </wp:inline>
        </w:drawing>
      </w:r>
    </w:p>
    <w:p w14:paraId="6BEA423B" w14:textId="4DFD61D9" w:rsidR="0092425D" w:rsidRPr="0092425D" w:rsidRDefault="0092425D" w:rsidP="00615FF5">
      <w:pPr>
        <w:spacing w:line="360" w:lineRule="auto"/>
        <w:jc w:val="center"/>
        <w:rPr>
          <w:rFonts w:ascii="Arial" w:hAnsi="Arial" w:cs="Arial"/>
          <w:sz w:val="24"/>
          <w:szCs w:val="24"/>
          <w:lang w:val="en-GB"/>
        </w:rPr>
      </w:pPr>
      <w:r w:rsidRPr="0092425D">
        <w:rPr>
          <w:rFonts w:ascii="Arial" w:hAnsi="Arial" w:cs="Arial"/>
          <w:sz w:val="24"/>
          <w:szCs w:val="24"/>
          <w:lang w:val="en-GB"/>
        </w:rPr>
        <w:t>Revenue by IT Consulting and Integration Segment in France, 2023</w:t>
      </w:r>
    </w:p>
    <w:p w14:paraId="0B861B70" w14:textId="59DC1A50" w:rsidR="007E23EA" w:rsidRDefault="007E23EA" w:rsidP="00615FF5">
      <w:pPr>
        <w:spacing w:line="360" w:lineRule="auto"/>
        <w:jc w:val="center"/>
        <w:rPr>
          <w:rFonts w:ascii="Arial" w:hAnsi="Arial" w:cs="Arial"/>
          <w:sz w:val="24"/>
          <w:szCs w:val="24"/>
        </w:rPr>
      </w:pPr>
      <w:r w:rsidRPr="007E23EA">
        <w:rPr>
          <w:rFonts w:ascii="Arial" w:hAnsi="Arial" w:cs="Arial"/>
          <w:sz w:val="24"/>
          <w:szCs w:val="24"/>
        </w:rPr>
        <w:t xml:space="preserve">Source: </w:t>
      </w:r>
      <w:proofErr w:type="spellStart"/>
      <w:r w:rsidRPr="007E23EA">
        <w:rPr>
          <w:rFonts w:ascii="Arial" w:hAnsi="Arial" w:cs="Arial"/>
          <w:sz w:val="24"/>
          <w:szCs w:val="24"/>
        </w:rPr>
        <w:t>Numeum</w:t>
      </w:r>
      <w:proofErr w:type="spellEnd"/>
      <w:r w:rsidRPr="007E23EA">
        <w:rPr>
          <w:rFonts w:ascii="Arial" w:hAnsi="Arial" w:cs="Arial"/>
          <w:sz w:val="24"/>
          <w:szCs w:val="24"/>
        </w:rPr>
        <w:t xml:space="preserve"> data reported by </w:t>
      </w:r>
      <w:proofErr w:type="spellStart"/>
      <w:r w:rsidRPr="007E23EA">
        <w:rPr>
          <w:rFonts w:ascii="Arial" w:hAnsi="Arial" w:cs="Arial"/>
          <w:sz w:val="24"/>
          <w:szCs w:val="24"/>
        </w:rPr>
        <w:t>BoondManager</w:t>
      </w:r>
      <w:proofErr w:type="spellEnd"/>
      <w:r w:rsidRPr="007E23EA">
        <w:rPr>
          <w:rFonts w:ascii="Arial" w:hAnsi="Arial" w:cs="Arial"/>
          <w:sz w:val="24"/>
          <w:szCs w:val="24"/>
        </w:rPr>
        <w:t xml:space="preserve"> (2024); figures refer to the French IT-service-company/digital-services market.</w:t>
      </w:r>
    </w:p>
    <w:p w14:paraId="0FB6BB7D" w14:textId="77777777" w:rsidR="007E23EA" w:rsidRPr="007E23EA" w:rsidRDefault="007E23EA">
      <w:pPr>
        <w:spacing w:line="360" w:lineRule="auto"/>
        <w:jc w:val="both"/>
        <w:rPr>
          <w:rFonts w:ascii="Arial" w:hAnsi="Arial" w:cs="Arial"/>
          <w:sz w:val="24"/>
          <w:szCs w:val="24"/>
        </w:rPr>
      </w:pPr>
    </w:p>
    <w:p w14:paraId="1E075507" w14:textId="4A070CE2" w:rsidR="001A392A" w:rsidRDefault="004E013E">
      <w:pPr>
        <w:spacing w:line="360" w:lineRule="auto"/>
        <w:jc w:val="both"/>
        <w:rPr>
          <w:rFonts w:ascii="Arial" w:hAnsi="Arial" w:cs="Arial"/>
          <w:sz w:val="24"/>
          <w:szCs w:val="24"/>
          <w:lang w:val="en-GB"/>
        </w:rPr>
      </w:pPr>
      <w:r>
        <w:rPr>
          <w:rFonts w:ascii="Arial" w:hAnsi="Arial" w:cs="Arial"/>
          <w:sz w:val="24"/>
          <w:szCs w:val="24"/>
          <w:lang w:val="en-GB"/>
        </w:rPr>
        <w:t>Because consulting and implementation has the capability to lead to longer working periods in execution, management services, cyber, and cloud operations, it is appealing. However, at the same time, it exposes TCS to home and abroad rivals.</w:t>
      </w:r>
    </w:p>
    <w:p w14:paraId="1E075508" w14:textId="77777777" w:rsidR="001A392A" w:rsidRDefault="004E013E">
      <w:pPr>
        <w:spacing w:after="210" w:line="360" w:lineRule="auto"/>
        <w:jc w:val="both"/>
        <w:rPr>
          <w:rFonts w:ascii="Arial" w:eastAsia="source serif 4" w:hAnsi="Arial" w:cs="Arial"/>
          <w:b/>
          <w:color w:val="000000"/>
          <w:sz w:val="24"/>
          <w:szCs w:val="24"/>
        </w:rPr>
      </w:pPr>
      <w:r>
        <w:rPr>
          <w:rFonts w:ascii="Arial" w:eastAsia="source serif 4" w:hAnsi="Arial" w:cs="Arial"/>
          <w:b/>
          <w:color w:val="000000"/>
          <w:sz w:val="24"/>
          <w:szCs w:val="24"/>
        </w:rPr>
        <w:t>Table 2: Major competitors in France</w:t>
      </w:r>
    </w:p>
    <w:tbl>
      <w:tblPr>
        <w:tblW w:w="9016" w:type="dxa"/>
        <w:tblCellMar>
          <w:left w:w="10" w:type="dxa"/>
          <w:right w:w="10" w:type="dxa"/>
        </w:tblCellMar>
        <w:tblLook w:val="0000" w:firstRow="0" w:lastRow="0" w:firstColumn="0" w:lastColumn="0" w:noHBand="0" w:noVBand="0"/>
      </w:tblPr>
      <w:tblGrid>
        <w:gridCol w:w="1601"/>
        <w:gridCol w:w="3717"/>
        <w:gridCol w:w="3698"/>
      </w:tblGrid>
      <w:tr w:rsidR="001A392A" w:rsidRPr="00810905" w14:paraId="1E07550C" w14:textId="77777777" w:rsidTr="00810905">
        <w:trPr>
          <w:cantSplit/>
        </w:trPr>
        <w:tc>
          <w:tcPr>
            <w:tcW w:w="1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09"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Firm</w:t>
            </w:r>
          </w:p>
        </w:tc>
        <w:tc>
          <w:tcPr>
            <w:tcW w:w="3896"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0A"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Strategic strength</w:t>
            </w:r>
          </w:p>
        </w:tc>
        <w:tc>
          <w:tcPr>
            <w:tcW w:w="386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0B"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Implication for TCS</w:t>
            </w:r>
          </w:p>
        </w:tc>
      </w:tr>
      <w:tr w:rsidR="001A392A" w:rsidRPr="00810905" w14:paraId="1E075510" w14:textId="77777777" w:rsidTr="00810905">
        <w:trPr>
          <w:cantSplit/>
        </w:trPr>
        <w:tc>
          <w:tcPr>
            <w:tcW w:w="1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0D"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Capgemini</w:t>
            </w:r>
          </w:p>
        </w:tc>
        <w:tc>
          <w:tcPr>
            <w:tcW w:w="3896"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0E"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French heritage, local credibility and international scale</w:t>
            </w:r>
          </w:p>
        </w:tc>
        <w:tc>
          <w:tcPr>
            <w:tcW w:w="386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0F"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TCS must differentiate through global engineering and delivery scale</w:t>
            </w:r>
          </w:p>
        </w:tc>
      </w:tr>
      <w:tr w:rsidR="001A392A" w:rsidRPr="00810905" w14:paraId="1E075514" w14:textId="77777777" w:rsidTr="00810905">
        <w:trPr>
          <w:cantSplit/>
        </w:trPr>
        <w:tc>
          <w:tcPr>
            <w:tcW w:w="1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1"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Sopra Steria</w:t>
            </w:r>
          </w:p>
        </w:tc>
        <w:tc>
          <w:tcPr>
            <w:tcW w:w="3896"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2"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 xml:space="preserve">Public-sector, </w:t>
            </w:r>
            <w:proofErr w:type="spellStart"/>
            <w:r w:rsidRPr="00810905">
              <w:rPr>
                <w:rFonts w:ascii="Arial" w:eastAsia="source sans 3" w:hAnsi="Arial" w:cs="Arial"/>
                <w:color w:val="000000"/>
                <w:sz w:val="24"/>
                <w:szCs w:val="24"/>
              </w:rPr>
              <w:t>defence</w:t>
            </w:r>
            <w:proofErr w:type="spellEnd"/>
            <w:r w:rsidRPr="00810905">
              <w:rPr>
                <w:rFonts w:ascii="Arial" w:eastAsia="source sans 3" w:hAnsi="Arial" w:cs="Arial"/>
                <w:color w:val="000000"/>
                <w:sz w:val="24"/>
                <w:szCs w:val="24"/>
              </w:rPr>
              <w:t>, banking and European digital-services capability</w:t>
            </w:r>
          </w:p>
        </w:tc>
        <w:tc>
          <w:tcPr>
            <w:tcW w:w="386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3"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TCS needs robust local compliance and industry expertise</w:t>
            </w:r>
          </w:p>
        </w:tc>
      </w:tr>
      <w:tr w:rsidR="001A392A" w:rsidRPr="00810905" w14:paraId="1E075518" w14:textId="77777777" w:rsidTr="00810905">
        <w:trPr>
          <w:cantSplit/>
        </w:trPr>
        <w:tc>
          <w:tcPr>
            <w:tcW w:w="1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5"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lastRenderedPageBreak/>
              <w:t>Atos/Eviden</w:t>
            </w:r>
          </w:p>
        </w:tc>
        <w:tc>
          <w:tcPr>
            <w:tcW w:w="3896"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6"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Cybersecurity, high-performance computing and strategic infrastructure</w:t>
            </w:r>
          </w:p>
        </w:tc>
        <w:tc>
          <w:tcPr>
            <w:tcW w:w="386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7"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TCS should strengthen trusted cyber and sovereign-cloud propositions</w:t>
            </w:r>
          </w:p>
        </w:tc>
      </w:tr>
      <w:tr w:rsidR="001A392A" w:rsidRPr="00810905" w14:paraId="1E07551C" w14:textId="77777777" w:rsidTr="00810905">
        <w:trPr>
          <w:cantSplit/>
        </w:trPr>
        <w:tc>
          <w:tcPr>
            <w:tcW w:w="1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9"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Accenture</w:t>
            </w:r>
          </w:p>
        </w:tc>
        <w:tc>
          <w:tcPr>
            <w:tcW w:w="3896"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A"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Consulting brand, cloud alliances and executive relationships</w:t>
            </w:r>
          </w:p>
        </w:tc>
        <w:tc>
          <w:tcPr>
            <w:tcW w:w="386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B"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TCS must evidence implementation value, not price alone</w:t>
            </w:r>
          </w:p>
        </w:tc>
      </w:tr>
      <w:tr w:rsidR="001A392A" w:rsidRPr="00810905" w14:paraId="1E075520" w14:textId="77777777" w:rsidTr="00810905">
        <w:trPr>
          <w:cantSplit/>
        </w:trPr>
        <w:tc>
          <w:tcPr>
            <w:tcW w:w="1253"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D"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IBM</w:t>
            </w:r>
          </w:p>
        </w:tc>
        <w:tc>
          <w:tcPr>
            <w:tcW w:w="3896"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E"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Hybrid cloud, AI and enterprise technology ecosystem</w:t>
            </w:r>
          </w:p>
        </w:tc>
        <w:tc>
          <w:tcPr>
            <w:tcW w:w="386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1F" w14:textId="77777777" w:rsidR="001A392A" w:rsidRPr="00810905" w:rsidRDefault="004E013E">
            <w:pPr>
              <w:spacing w:line="360" w:lineRule="auto"/>
              <w:rPr>
                <w:rFonts w:ascii="Arial" w:hAnsi="Arial" w:cs="Arial"/>
                <w:sz w:val="24"/>
                <w:szCs w:val="24"/>
              </w:rPr>
            </w:pPr>
            <w:r w:rsidRPr="00810905">
              <w:rPr>
                <w:rFonts w:ascii="Arial" w:eastAsia="source sans 3" w:hAnsi="Arial" w:cs="Arial"/>
                <w:color w:val="000000"/>
                <w:sz w:val="24"/>
                <w:szCs w:val="24"/>
              </w:rPr>
              <w:t>TCS should combine consulting, delivery and managed services</w:t>
            </w:r>
          </w:p>
        </w:tc>
      </w:tr>
    </w:tbl>
    <w:p w14:paraId="1E075521" w14:textId="77777777" w:rsidR="001A392A" w:rsidRDefault="001A392A">
      <w:pPr>
        <w:spacing w:line="360" w:lineRule="auto"/>
        <w:jc w:val="both"/>
        <w:rPr>
          <w:rFonts w:ascii="Arial" w:hAnsi="Arial" w:cs="Arial"/>
          <w:sz w:val="24"/>
          <w:szCs w:val="24"/>
        </w:rPr>
      </w:pPr>
    </w:p>
    <w:p w14:paraId="1E075522" w14:textId="78DC87BD" w:rsidR="001A392A" w:rsidRDefault="004E013E">
      <w:pPr>
        <w:spacing w:line="360" w:lineRule="auto"/>
        <w:jc w:val="both"/>
        <w:rPr>
          <w:rFonts w:ascii="Arial" w:hAnsi="Arial" w:cs="Arial"/>
          <w:sz w:val="24"/>
          <w:szCs w:val="24"/>
          <w:lang w:val="en-GB"/>
        </w:rPr>
      </w:pPr>
      <w:r>
        <w:rPr>
          <w:rFonts w:ascii="Arial" w:hAnsi="Arial" w:cs="Arial"/>
          <w:sz w:val="24"/>
          <w:szCs w:val="24"/>
          <w:lang w:val="en-GB"/>
        </w:rPr>
        <w:t>There is no need for TCS to put its effort to win all possible contracts. The company may choose an approach of targeting international clients and operating in sectors such as aerospace engineering, cyber resilience, artificial intelligence governance, cloud transformation, and enterprise system renewal</w:t>
      </w:r>
      <w:r w:rsidR="00C15DA8">
        <w:rPr>
          <w:rFonts w:ascii="Arial" w:hAnsi="Arial" w:cs="Arial"/>
          <w:sz w:val="24"/>
          <w:szCs w:val="24"/>
          <w:lang w:val="en-GB"/>
        </w:rPr>
        <w:t xml:space="preserve"> </w:t>
      </w:r>
      <w:r w:rsidR="00C15DA8" w:rsidRPr="00C15DA8">
        <w:rPr>
          <w:rFonts w:ascii="Arial" w:hAnsi="Arial" w:cs="Arial"/>
          <w:sz w:val="24"/>
          <w:szCs w:val="24"/>
          <w:lang w:val="en-GB"/>
        </w:rPr>
        <w:t>(</w:t>
      </w:r>
      <w:proofErr w:type="spellStart"/>
      <w:r w:rsidR="00C15DA8" w:rsidRPr="00C15DA8">
        <w:rPr>
          <w:rFonts w:ascii="Arial" w:hAnsi="Arial" w:cs="Arial"/>
          <w:sz w:val="24"/>
          <w:szCs w:val="24"/>
          <w:lang w:val="en-GB"/>
        </w:rPr>
        <w:t>Ramioul</w:t>
      </w:r>
      <w:proofErr w:type="spellEnd"/>
      <w:r w:rsidR="00C15DA8" w:rsidRPr="00C15DA8">
        <w:rPr>
          <w:rFonts w:ascii="Arial" w:hAnsi="Arial" w:cs="Arial"/>
          <w:sz w:val="24"/>
          <w:szCs w:val="24"/>
          <w:lang w:val="en-GB"/>
        </w:rPr>
        <w:t xml:space="preserve"> et al., 2009; Rao and </w:t>
      </w:r>
      <w:proofErr w:type="spellStart"/>
      <w:r w:rsidR="00C15DA8" w:rsidRPr="00C15DA8">
        <w:rPr>
          <w:rFonts w:ascii="Arial" w:hAnsi="Arial" w:cs="Arial"/>
          <w:sz w:val="24"/>
          <w:szCs w:val="24"/>
          <w:lang w:val="en-GB"/>
        </w:rPr>
        <w:t>Mulloth</w:t>
      </w:r>
      <w:proofErr w:type="spellEnd"/>
      <w:r w:rsidR="00C15DA8" w:rsidRPr="00C15DA8">
        <w:rPr>
          <w:rFonts w:ascii="Arial" w:hAnsi="Arial" w:cs="Arial"/>
          <w:sz w:val="24"/>
          <w:szCs w:val="24"/>
          <w:lang w:val="en-GB"/>
        </w:rPr>
        <w:t>, 2017)</w:t>
      </w:r>
      <w:r>
        <w:rPr>
          <w:rFonts w:ascii="Arial" w:hAnsi="Arial" w:cs="Arial"/>
          <w:sz w:val="24"/>
          <w:szCs w:val="24"/>
          <w:lang w:val="en-GB"/>
        </w:rPr>
        <w:t>.</w:t>
      </w:r>
    </w:p>
    <w:p w14:paraId="1E075523" w14:textId="77777777" w:rsidR="001A392A" w:rsidRDefault="004E013E">
      <w:pPr>
        <w:pStyle w:val="Heading1"/>
        <w:jc w:val="both"/>
      </w:pPr>
      <w:bookmarkStart w:id="19" w:name="bm_4_macro_environmental_appraisa_70bfaf"/>
      <w:bookmarkStart w:id="20" w:name="_Toc237535056"/>
      <w:bookmarkStart w:id="21" w:name="_Toc237574839"/>
      <w:r>
        <w:rPr>
          <w:rFonts w:ascii="Arial" w:eastAsia="source serif 4" w:hAnsi="Arial" w:cs="Arial"/>
          <w:b/>
          <w:bCs/>
          <w:color w:val="000000"/>
          <w:sz w:val="24"/>
          <w:szCs w:val="24"/>
        </w:rPr>
        <w:t>4. Macro-Environmental Appraisal and Market Attractiveness</w:t>
      </w:r>
      <w:bookmarkEnd w:id="19"/>
      <w:bookmarkEnd w:id="20"/>
      <w:bookmarkEnd w:id="21"/>
    </w:p>
    <w:p w14:paraId="1E075524" w14:textId="77777777" w:rsidR="001A392A" w:rsidRDefault="004E013E">
      <w:pPr>
        <w:pStyle w:val="Heading1"/>
        <w:jc w:val="both"/>
        <w:rPr>
          <w:rFonts w:ascii="Arial" w:hAnsi="Arial" w:cs="Arial"/>
          <w:b/>
          <w:bCs/>
          <w:color w:val="000000"/>
          <w:sz w:val="24"/>
          <w:szCs w:val="24"/>
        </w:rPr>
      </w:pPr>
      <w:bookmarkStart w:id="22" w:name="_Toc237535057"/>
      <w:bookmarkStart w:id="23" w:name="_Toc237574840"/>
      <w:r>
        <w:rPr>
          <w:rFonts w:ascii="Arial" w:hAnsi="Arial" w:cs="Arial"/>
          <w:b/>
          <w:bCs/>
          <w:color w:val="000000"/>
          <w:sz w:val="24"/>
          <w:szCs w:val="24"/>
        </w:rPr>
        <w:t>4.1 Political environment</w:t>
      </w:r>
      <w:bookmarkEnd w:id="22"/>
      <w:bookmarkEnd w:id="23"/>
    </w:p>
    <w:p w14:paraId="1E075525"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France is politically appealing due to its sturdy governmental institutions and its sophisticated system of regulation, and because it plays a significant role in the world of technology. However, political stability is not the only aspect comprising TCS success. In fact, this second aspect includes the impact of French and European policies on the fields of contracts, infrastructure, as well as trust.</w:t>
      </w:r>
    </w:p>
    <w:p w14:paraId="1E075526" w14:textId="7FBADC64" w:rsidR="001A392A" w:rsidRDefault="004E013E">
      <w:pPr>
        <w:spacing w:after="210" w:line="360" w:lineRule="auto"/>
        <w:rPr>
          <w:rFonts w:ascii="Arial" w:hAnsi="Arial" w:cs="Arial"/>
          <w:sz w:val="24"/>
          <w:szCs w:val="24"/>
          <w:lang w:val="en-GB"/>
        </w:rPr>
      </w:pPr>
      <w:r>
        <w:rPr>
          <w:rFonts w:ascii="Arial" w:hAnsi="Arial" w:cs="Arial"/>
          <w:sz w:val="24"/>
          <w:szCs w:val="24"/>
          <w:lang w:val="en-GB"/>
        </w:rPr>
        <w:t xml:space="preserve">France has identified artificial intelligence, cybersecurity, digital health, cloud technology, connectivity, and semiconductors as the main areas of its priority. The European Commission elaborated that the roadmap developed by France for the Digital Decade consists of 33 measures supported by €18.6 billion. The mentioned measures create new opportunities for TCS due to its specialized knowledge in AI, cloud computing, cybersecurity, data science, and engineering solutions. </w:t>
      </w:r>
      <w:proofErr w:type="gramStart"/>
      <w:r>
        <w:rPr>
          <w:rFonts w:ascii="Arial" w:hAnsi="Arial" w:cs="Arial"/>
          <w:sz w:val="24"/>
          <w:szCs w:val="24"/>
          <w:lang w:val="en-GB"/>
        </w:rPr>
        <w:t>That is to say, public</w:t>
      </w:r>
      <w:proofErr w:type="gramEnd"/>
      <w:r>
        <w:rPr>
          <w:rFonts w:ascii="Arial" w:hAnsi="Arial" w:cs="Arial"/>
          <w:sz w:val="24"/>
          <w:szCs w:val="24"/>
          <w:lang w:val="en-GB"/>
        </w:rPr>
        <w:t xml:space="preserve"> and private organizations should collaborate with partners to modernize </w:t>
      </w:r>
      <w:r>
        <w:rPr>
          <w:rFonts w:ascii="Arial" w:hAnsi="Arial" w:cs="Arial"/>
          <w:sz w:val="24"/>
          <w:szCs w:val="24"/>
          <w:lang w:val="en-GB"/>
        </w:rPr>
        <w:lastRenderedPageBreak/>
        <w:t>their old systems, build secure platforms for data processing, and use artificial intelligence in a responsible way</w:t>
      </w:r>
      <w:r w:rsidR="00727104">
        <w:rPr>
          <w:rFonts w:ascii="Arial" w:hAnsi="Arial" w:cs="Arial"/>
          <w:sz w:val="24"/>
          <w:szCs w:val="24"/>
          <w:lang w:val="en-GB"/>
        </w:rPr>
        <w:t xml:space="preserve"> </w:t>
      </w:r>
      <w:r w:rsidR="006E7CCF" w:rsidRPr="006E7CCF">
        <w:rPr>
          <w:rFonts w:ascii="Arial" w:hAnsi="Arial" w:cs="Arial"/>
          <w:sz w:val="24"/>
          <w:szCs w:val="24"/>
          <w:lang w:val="en-GB"/>
        </w:rPr>
        <w:t>(European Commission, 2025)</w:t>
      </w:r>
      <w:r>
        <w:rPr>
          <w:rFonts w:ascii="Arial" w:hAnsi="Arial" w:cs="Arial"/>
          <w:sz w:val="24"/>
          <w:szCs w:val="24"/>
          <w:lang w:val="en-GB"/>
        </w:rPr>
        <w:t>.</w:t>
      </w:r>
    </w:p>
    <w:p w14:paraId="4D58170B" w14:textId="77777777" w:rsidR="005A1B99" w:rsidRDefault="005A1B99">
      <w:pPr>
        <w:spacing w:after="210" w:line="360" w:lineRule="auto"/>
        <w:rPr>
          <w:rFonts w:ascii="source serif 4" w:eastAsia="source serif 4" w:hAnsi="source serif 4" w:cs="source serif 4"/>
          <w:b/>
          <w:color w:val="000000"/>
          <w:shd w:val="clear" w:color="auto" w:fill="FFFF00"/>
        </w:rPr>
      </w:pPr>
    </w:p>
    <w:p w14:paraId="1EC823E3" w14:textId="77777777" w:rsidR="005A1B99" w:rsidRDefault="005A1B99">
      <w:pPr>
        <w:spacing w:after="210" w:line="360" w:lineRule="auto"/>
        <w:rPr>
          <w:rFonts w:ascii="source serif 4" w:eastAsia="source serif 4" w:hAnsi="source serif 4" w:cs="source serif 4"/>
          <w:b/>
          <w:color w:val="000000"/>
          <w:shd w:val="clear" w:color="auto" w:fill="FFFF00"/>
        </w:rPr>
      </w:pPr>
    </w:p>
    <w:p w14:paraId="76F166D4" w14:textId="32C2D71F" w:rsidR="005A1B99" w:rsidRDefault="00105F33">
      <w:pPr>
        <w:spacing w:after="210" w:line="360" w:lineRule="auto"/>
        <w:rPr>
          <w:rFonts w:ascii="source serif 4" w:eastAsia="source serif 4" w:hAnsi="source serif 4" w:cs="source serif 4"/>
          <w:b/>
          <w:color w:val="000000"/>
          <w:shd w:val="clear" w:color="auto" w:fill="FFFF00"/>
        </w:rPr>
      </w:pPr>
      <w:r>
        <w:rPr>
          <w:rFonts w:ascii="source serif 4" w:eastAsia="source serif 4" w:hAnsi="source serif 4" w:cs="source serif 4"/>
          <w:b/>
          <w:noProof/>
          <w:color w:val="000000"/>
          <w:shd w:val="clear" w:color="auto" w:fill="FFFF00"/>
        </w:rPr>
        <w:drawing>
          <wp:inline distT="0" distB="0" distL="0" distR="0" wp14:anchorId="78726BA3" wp14:editId="77C38D36">
            <wp:extent cx="5731510" cy="3167380"/>
            <wp:effectExtent l="0" t="0" r="0" b="0"/>
            <wp:docPr id="8082793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279315" name="Picture 80827931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4422103C" w14:textId="77777777" w:rsidR="005A1B99" w:rsidRDefault="005A1B99">
      <w:pPr>
        <w:spacing w:after="210" w:line="360" w:lineRule="auto"/>
        <w:rPr>
          <w:rFonts w:ascii="Arial" w:hAnsi="Arial" w:cs="Arial"/>
          <w:sz w:val="24"/>
          <w:szCs w:val="24"/>
        </w:rPr>
      </w:pPr>
      <w:r w:rsidRPr="005A1B99">
        <w:rPr>
          <w:rFonts w:ascii="Arial" w:hAnsi="Arial" w:cs="Arial"/>
          <w:sz w:val="24"/>
          <w:szCs w:val="24"/>
        </w:rPr>
        <w:t>French Public Investment in Artificial Intelligence: National Strategy Phases, 2018–2025 (€ billion).</w:t>
      </w:r>
    </w:p>
    <w:p w14:paraId="1E075529" w14:textId="781B74FA" w:rsidR="001A392A" w:rsidRPr="00F65F5E" w:rsidRDefault="005A1B99">
      <w:pPr>
        <w:spacing w:after="210" w:line="360" w:lineRule="auto"/>
        <w:rPr>
          <w:rFonts w:ascii="Arial" w:hAnsi="Arial" w:cs="Arial"/>
          <w:sz w:val="24"/>
          <w:szCs w:val="24"/>
        </w:rPr>
      </w:pPr>
      <w:r w:rsidRPr="005A1B99">
        <w:rPr>
          <w:rFonts w:ascii="Arial" w:hAnsi="Arial" w:cs="Arial"/>
          <w:sz w:val="24"/>
          <w:szCs w:val="24"/>
        </w:rPr>
        <w:t xml:space="preserve">Source: Ministère de </w:t>
      </w:r>
      <w:proofErr w:type="spellStart"/>
      <w:r w:rsidRPr="005A1B99">
        <w:rPr>
          <w:rFonts w:ascii="Arial" w:hAnsi="Arial" w:cs="Arial"/>
          <w:sz w:val="24"/>
          <w:szCs w:val="24"/>
        </w:rPr>
        <w:t>l’Économie</w:t>
      </w:r>
      <w:proofErr w:type="spellEnd"/>
      <w:r w:rsidRPr="005A1B99">
        <w:rPr>
          <w:rFonts w:ascii="Arial" w:hAnsi="Arial" w:cs="Arial"/>
          <w:sz w:val="24"/>
          <w:szCs w:val="24"/>
        </w:rPr>
        <w:t xml:space="preserve">, des Finances et de la </w:t>
      </w:r>
      <w:proofErr w:type="spellStart"/>
      <w:r w:rsidRPr="005A1B99">
        <w:rPr>
          <w:rFonts w:ascii="Arial" w:hAnsi="Arial" w:cs="Arial"/>
          <w:sz w:val="24"/>
          <w:szCs w:val="24"/>
        </w:rPr>
        <w:t>Souveraineté</w:t>
      </w:r>
      <w:proofErr w:type="spellEnd"/>
      <w:r w:rsidRPr="005A1B99">
        <w:rPr>
          <w:rFonts w:ascii="Arial" w:hAnsi="Arial" w:cs="Arial"/>
          <w:sz w:val="24"/>
          <w:szCs w:val="24"/>
        </w:rPr>
        <w:t xml:space="preserve"> </w:t>
      </w:r>
      <w:proofErr w:type="spellStart"/>
      <w:r w:rsidRPr="005A1B99">
        <w:rPr>
          <w:rFonts w:ascii="Arial" w:hAnsi="Arial" w:cs="Arial"/>
          <w:sz w:val="24"/>
          <w:szCs w:val="24"/>
        </w:rPr>
        <w:t>industrielle</w:t>
      </w:r>
      <w:proofErr w:type="spellEnd"/>
      <w:r w:rsidRPr="005A1B99">
        <w:rPr>
          <w:rFonts w:ascii="Arial" w:hAnsi="Arial" w:cs="Arial"/>
          <w:sz w:val="24"/>
          <w:szCs w:val="24"/>
        </w:rPr>
        <w:t xml:space="preserve"> et numérique (2024), France 2030: National Strategy for Artificial Intelligence.</w:t>
      </w:r>
      <w:r>
        <w:rPr>
          <w:rFonts w:ascii="Arial" w:hAnsi="Arial" w:cs="Arial"/>
          <w:sz w:val="24"/>
          <w:szCs w:val="24"/>
        </w:rPr>
        <w:br/>
      </w:r>
      <w:r>
        <w:rPr>
          <w:rFonts w:ascii="Arial" w:hAnsi="Arial" w:cs="Arial"/>
          <w:sz w:val="24"/>
          <w:szCs w:val="24"/>
        </w:rPr>
        <w:br/>
      </w:r>
      <w:r>
        <w:rPr>
          <w:rFonts w:ascii="Arial" w:hAnsi="Arial" w:cs="Arial"/>
          <w:sz w:val="24"/>
          <w:szCs w:val="24"/>
        </w:rPr>
        <w:br/>
      </w:r>
      <w:r w:rsidR="004E013E" w:rsidRPr="00F65F5E">
        <w:rPr>
          <w:rFonts w:ascii="Arial" w:hAnsi="Arial" w:cs="Arial"/>
          <w:sz w:val="24"/>
          <w:szCs w:val="24"/>
        </w:rPr>
        <w:t xml:space="preserve">According to </w:t>
      </w:r>
      <w:r w:rsidR="00F41A8B">
        <w:rPr>
          <w:rFonts w:ascii="Arial" w:hAnsi="Arial" w:cs="Arial"/>
          <w:sz w:val="24"/>
          <w:szCs w:val="24"/>
        </w:rPr>
        <w:t xml:space="preserve">French public </w:t>
      </w:r>
      <w:r w:rsidR="00F41A8B" w:rsidRPr="005A1B99">
        <w:rPr>
          <w:rFonts w:ascii="Arial" w:hAnsi="Arial" w:cs="Arial"/>
          <w:sz w:val="24"/>
          <w:szCs w:val="24"/>
        </w:rPr>
        <w:t>Investment in Artificial Intelligence</w:t>
      </w:r>
      <w:r w:rsidR="004E013E" w:rsidRPr="00F65F5E">
        <w:rPr>
          <w:rFonts w:ascii="Arial" w:hAnsi="Arial" w:cs="Arial"/>
          <w:sz w:val="24"/>
          <w:szCs w:val="24"/>
        </w:rPr>
        <w:t xml:space="preserve">, €1.5 billion was invested in the first phase of the French national AI policy and €1 billion is earmarked for the 2022-2025 phase. This </w:t>
      </w:r>
      <w:proofErr w:type="gramStart"/>
      <w:r w:rsidR="004E013E" w:rsidRPr="00F65F5E">
        <w:rPr>
          <w:rFonts w:ascii="Arial" w:hAnsi="Arial" w:cs="Arial"/>
          <w:sz w:val="24"/>
          <w:szCs w:val="24"/>
        </w:rPr>
        <w:t>opens up</w:t>
      </w:r>
      <w:proofErr w:type="gramEnd"/>
      <w:r w:rsidR="004E013E" w:rsidRPr="00F65F5E">
        <w:rPr>
          <w:rFonts w:ascii="Arial" w:hAnsi="Arial" w:cs="Arial"/>
          <w:sz w:val="24"/>
          <w:szCs w:val="24"/>
        </w:rPr>
        <w:t xml:space="preserve"> opportunities for TCS’s Paris AI Centre. Nevertheless, digital-sovereignty policies might also </w:t>
      </w:r>
      <w:proofErr w:type="spellStart"/>
      <w:r w:rsidR="004E013E" w:rsidRPr="00F65F5E">
        <w:rPr>
          <w:rFonts w:ascii="Arial" w:hAnsi="Arial" w:cs="Arial"/>
          <w:sz w:val="24"/>
          <w:szCs w:val="24"/>
        </w:rPr>
        <w:t>favour</w:t>
      </w:r>
      <w:proofErr w:type="spellEnd"/>
      <w:r w:rsidR="004E013E" w:rsidRPr="00F65F5E">
        <w:rPr>
          <w:rFonts w:ascii="Arial" w:hAnsi="Arial" w:cs="Arial"/>
          <w:sz w:val="24"/>
          <w:szCs w:val="24"/>
        </w:rPr>
        <w:t xml:space="preserve"> local or European suppliers for sensitive projects. TCS will need to demonstrate its ability to produce local value through French employment, responsible AI certifications, local partnerships, and EU-compliant governance. </w:t>
      </w:r>
    </w:p>
    <w:p w14:paraId="00DE7866" w14:textId="77777777" w:rsidR="00D91F0D" w:rsidRDefault="004E013E" w:rsidP="00213145">
      <w:pPr>
        <w:spacing w:after="210" w:line="360" w:lineRule="auto"/>
        <w:rPr>
          <w:rFonts w:ascii="Arial" w:hAnsi="Arial" w:cs="Arial"/>
          <w:sz w:val="24"/>
          <w:szCs w:val="24"/>
          <w:lang w:val="en-GB"/>
        </w:rPr>
      </w:pPr>
      <w:r w:rsidRPr="00F65F5E">
        <w:rPr>
          <w:rFonts w:ascii="Arial" w:hAnsi="Arial" w:cs="Arial"/>
          <w:sz w:val="24"/>
          <w:szCs w:val="24"/>
        </w:rPr>
        <w:lastRenderedPageBreak/>
        <w:t xml:space="preserve">To do so, TCS should develop partnerships with French universities, research institutions, and industry clusters. Its Blagnac location is advantageous because it serves an aerospace cluster and not a generic delivery </w:t>
      </w:r>
      <w:proofErr w:type="spellStart"/>
      <w:r w:rsidRPr="00F65F5E">
        <w:rPr>
          <w:rFonts w:ascii="Arial" w:hAnsi="Arial" w:cs="Arial"/>
          <w:sz w:val="24"/>
          <w:szCs w:val="24"/>
        </w:rPr>
        <w:t>centre</w:t>
      </w:r>
      <w:proofErr w:type="spellEnd"/>
      <w:r w:rsidRPr="00F65F5E">
        <w:rPr>
          <w:rFonts w:ascii="Arial" w:hAnsi="Arial" w:cs="Arial"/>
          <w:sz w:val="24"/>
          <w:szCs w:val="24"/>
        </w:rPr>
        <w:t>. While this grants it legitimacy in the sector, security aspects may limit the number of contracts it can take on and the ability to keep sensitive information secure</w:t>
      </w:r>
      <w:r w:rsidR="00000774">
        <w:rPr>
          <w:rFonts w:ascii="Arial" w:hAnsi="Arial" w:cs="Arial"/>
          <w:sz w:val="24"/>
          <w:szCs w:val="24"/>
        </w:rPr>
        <w:t xml:space="preserve"> </w:t>
      </w:r>
      <w:r w:rsidR="00213145" w:rsidRPr="00213145">
        <w:rPr>
          <w:rFonts w:ascii="Arial" w:hAnsi="Arial" w:cs="Arial"/>
          <w:sz w:val="24"/>
          <w:szCs w:val="24"/>
          <w:lang w:val="en-GB"/>
        </w:rPr>
        <w:t>(TCS starts FY2025 on a strong note with broad-based growth, 2025c)</w:t>
      </w:r>
      <w:r w:rsidR="00D91F0D">
        <w:rPr>
          <w:rFonts w:ascii="Arial" w:hAnsi="Arial" w:cs="Arial"/>
          <w:sz w:val="24"/>
          <w:szCs w:val="24"/>
          <w:lang w:val="en-GB"/>
        </w:rPr>
        <w:t>.</w:t>
      </w:r>
    </w:p>
    <w:p w14:paraId="1E07552B" w14:textId="5329ACFE" w:rsidR="001A392A" w:rsidRPr="00D91F0D" w:rsidRDefault="004E013E" w:rsidP="00213145">
      <w:pPr>
        <w:spacing w:after="210" w:line="360" w:lineRule="auto"/>
        <w:rPr>
          <w:rFonts w:ascii="Arial" w:hAnsi="Arial" w:cs="Arial"/>
          <w:sz w:val="24"/>
          <w:szCs w:val="24"/>
          <w:lang w:val="en-GB"/>
        </w:rPr>
      </w:pPr>
      <w:r>
        <w:rPr>
          <w:rFonts w:ascii="Arial" w:hAnsi="Arial" w:cs="Arial"/>
          <w:b/>
          <w:bCs/>
          <w:sz w:val="24"/>
          <w:szCs w:val="24"/>
        </w:rPr>
        <w:t>Political Risk Assessment</w:t>
      </w:r>
    </w:p>
    <w:tbl>
      <w:tblPr>
        <w:tblW w:w="5000" w:type="pct"/>
        <w:tblCellMar>
          <w:left w:w="10" w:type="dxa"/>
          <w:right w:w="10" w:type="dxa"/>
        </w:tblCellMar>
        <w:tblLook w:val="0000" w:firstRow="0" w:lastRow="0" w:firstColumn="0" w:lastColumn="0" w:noHBand="0" w:noVBand="0"/>
      </w:tblPr>
      <w:tblGrid>
        <w:gridCol w:w="1780"/>
        <w:gridCol w:w="2238"/>
        <w:gridCol w:w="2405"/>
        <w:gridCol w:w="2587"/>
      </w:tblGrid>
      <w:tr w:rsidR="001A392A" w14:paraId="1E075530" w14:textId="77777777">
        <w:trPr>
          <w:tblHeader/>
        </w:trPr>
        <w:tc>
          <w:tcPr>
            <w:tcW w:w="178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2C"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Political issue</w:t>
            </w:r>
          </w:p>
        </w:tc>
        <w:tc>
          <w:tcPr>
            <w:tcW w:w="2238"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2D"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Opportunity for TCS</w:t>
            </w:r>
          </w:p>
        </w:tc>
        <w:tc>
          <w:tcPr>
            <w:tcW w:w="240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2E"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Risk for TCS</w:t>
            </w:r>
          </w:p>
        </w:tc>
        <w:tc>
          <w:tcPr>
            <w:tcW w:w="2587"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2F"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Strategic response</w:t>
            </w:r>
          </w:p>
        </w:tc>
      </w:tr>
      <w:tr w:rsidR="001A392A" w14:paraId="1E075535" w14:textId="77777777">
        <w:tc>
          <w:tcPr>
            <w:tcW w:w="1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1"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AI policy and investment</w:t>
            </w:r>
          </w:p>
        </w:tc>
        <w:tc>
          <w:tcPr>
            <w:tcW w:w="223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2"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Demand for AI, data and automation services</w:t>
            </w:r>
          </w:p>
        </w:tc>
        <w:tc>
          <w:tcPr>
            <w:tcW w:w="24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3"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French firms may receive preference in strategic projects</w:t>
            </w:r>
          </w:p>
        </w:tc>
        <w:tc>
          <w:tcPr>
            <w:tcW w:w="25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4"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Use French AI talent, local research partnerships and responsible-AI governance</w:t>
            </w:r>
          </w:p>
        </w:tc>
      </w:tr>
      <w:tr w:rsidR="001A392A" w14:paraId="1E07553A" w14:textId="77777777">
        <w:tc>
          <w:tcPr>
            <w:tcW w:w="1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6"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Digital sovereignty</w:t>
            </w:r>
          </w:p>
        </w:tc>
        <w:tc>
          <w:tcPr>
            <w:tcW w:w="223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7"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Clients need secure, compliant technology partners</w:t>
            </w:r>
          </w:p>
        </w:tc>
        <w:tc>
          <w:tcPr>
            <w:tcW w:w="24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8"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TCS may be viewed as insufficiently local for sensitive contracts</w:t>
            </w:r>
          </w:p>
        </w:tc>
        <w:tc>
          <w:tcPr>
            <w:tcW w:w="25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9"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Provide EU-hosting, local governance and transparent data controls</w:t>
            </w:r>
          </w:p>
        </w:tc>
      </w:tr>
      <w:tr w:rsidR="001A392A" w14:paraId="1E07553F" w14:textId="77777777">
        <w:tc>
          <w:tcPr>
            <w:tcW w:w="1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B"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Public-sector digitalisation</w:t>
            </w:r>
          </w:p>
        </w:tc>
        <w:tc>
          <w:tcPr>
            <w:tcW w:w="223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C"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Large technology modernisation programmes</w:t>
            </w:r>
          </w:p>
        </w:tc>
        <w:tc>
          <w:tcPr>
            <w:tcW w:w="24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D"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Complex procurement, local-content expectations and lengthy sales cycles</w:t>
            </w:r>
          </w:p>
        </w:tc>
        <w:tc>
          <w:tcPr>
            <w:tcW w:w="25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3E"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Develop French public-sector capability and local bid teams</w:t>
            </w:r>
          </w:p>
        </w:tc>
      </w:tr>
      <w:tr w:rsidR="001A392A" w14:paraId="1E075544" w14:textId="77777777">
        <w:tc>
          <w:tcPr>
            <w:tcW w:w="1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0"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Aerospace and defence policy</w:t>
            </w:r>
          </w:p>
        </w:tc>
        <w:tc>
          <w:tcPr>
            <w:tcW w:w="223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1"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Toulouse cluster supports engineering and AI demand</w:t>
            </w:r>
          </w:p>
        </w:tc>
        <w:tc>
          <w:tcPr>
            <w:tcW w:w="24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2"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Security restrictions and competition from domestic specialists</w:t>
            </w:r>
          </w:p>
        </w:tc>
        <w:tc>
          <w:tcPr>
            <w:tcW w:w="25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3"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 xml:space="preserve">Focus on non-classified and compliant engineering </w:t>
            </w:r>
            <w:r>
              <w:rPr>
                <w:rFonts w:ascii="Arial" w:hAnsi="Arial" w:cs="Arial"/>
                <w:sz w:val="24"/>
                <w:szCs w:val="24"/>
                <w:lang w:val="en-GB"/>
              </w:rPr>
              <w:lastRenderedPageBreak/>
              <w:t>transformation services</w:t>
            </w:r>
          </w:p>
        </w:tc>
      </w:tr>
      <w:tr w:rsidR="001A392A" w14:paraId="1E075549" w14:textId="77777777">
        <w:tc>
          <w:tcPr>
            <w:tcW w:w="1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5"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lastRenderedPageBreak/>
              <w:t>EU-wide regulation</w:t>
            </w:r>
          </w:p>
        </w:tc>
        <w:tc>
          <w:tcPr>
            <w:tcW w:w="223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6"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Common regulatory environment across EU markets</w:t>
            </w:r>
          </w:p>
        </w:tc>
        <w:tc>
          <w:tcPr>
            <w:tcW w:w="24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7"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Compliance burden and cross-border data restrictions</w:t>
            </w:r>
          </w:p>
        </w:tc>
        <w:tc>
          <w:tcPr>
            <w:tcW w:w="25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48"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Develop France as a European compliance and delivery hub</w:t>
            </w:r>
          </w:p>
        </w:tc>
      </w:tr>
    </w:tbl>
    <w:p w14:paraId="1E07554A" w14:textId="77777777" w:rsidR="001A392A" w:rsidRDefault="001A392A">
      <w:pPr>
        <w:spacing w:after="210" w:line="360" w:lineRule="auto"/>
      </w:pPr>
    </w:p>
    <w:p w14:paraId="1E07554B" w14:textId="77777777" w:rsidR="001A392A" w:rsidRDefault="004E013E">
      <w:pPr>
        <w:pStyle w:val="Heading1"/>
        <w:jc w:val="both"/>
        <w:rPr>
          <w:rFonts w:ascii="Arial" w:eastAsia="source serif 4" w:hAnsi="Arial" w:cs="Arial"/>
          <w:b/>
          <w:bCs/>
          <w:color w:val="000000"/>
          <w:sz w:val="24"/>
          <w:szCs w:val="24"/>
        </w:rPr>
      </w:pPr>
      <w:bookmarkStart w:id="24" w:name="bm_4_2_economic_environment"/>
      <w:bookmarkStart w:id="25" w:name="_Toc237535058"/>
      <w:bookmarkStart w:id="26" w:name="_Toc237574841"/>
      <w:r>
        <w:rPr>
          <w:rFonts w:ascii="Arial" w:eastAsia="source serif 4" w:hAnsi="Arial" w:cs="Arial"/>
          <w:b/>
          <w:bCs/>
          <w:color w:val="000000"/>
          <w:sz w:val="24"/>
          <w:szCs w:val="24"/>
        </w:rPr>
        <w:t>4.2 Economic environment</w:t>
      </w:r>
      <w:bookmarkEnd w:id="24"/>
      <w:bookmarkEnd w:id="25"/>
      <w:bookmarkEnd w:id="26"/>
    </w:p>
    <w:p w14:paraId="33EDF617" w14:textId="21AA7E2F" w:rsidR="00F41A8B" w:rsidRPr="00F41A8B" w:rsidRDefault="004E013E" w:rsidP="00F41A8B">
      <w:pPr>
        <w:spacing w:line="360" w:lineRule="auto"/>
        <w:jc w:val="both"/>
        <w:rPr>
          <w:rFonts w:ascii="Arial" w:hAnsi="Arial" w:cs="Arial"/>
          <w:sz w:val="24"/>
          <w:szCs w:val="24"/>
          <w:lang w:val="en-GB"/>
        </w:rPr>
      </w:pPr>
      <w:r>
        <w:rPr>
          <w:rFonts w:ascii="Arial" w:hAnsi="Arial" w:cs="Arial"/>
          <w:sz w:val="24"/>
          <w:szCs w:val="24"/>
          <w:lang w:val="en-GB"/>
        </w:rPr>
        <w:t>France provides robust demand instead of cheap production facilities. The key firms in France need cloud migration, cyber resilience, AI, supply chain processes, digital engineering and enterprise platforms. Therefore, TCS capabilities dovetail well here.</w:t>
      </w:r>
    </w:p>
    <w:p w14:paraId="1E07554E" w14:textId="3EBC011D" w:rsidR="001A392A" w:rsidRDefault="00F41A8B">
      <w:pPr>
        <w:spacing w:after="210" w:line="360" w:lineRule="auto"/>
        <w:rPr>
          <w:rFonts w:ascii="Arial" w:hAnsi="Arial" w:cs="Arial"/>
          <w:sz w:val="24"/>
          <w:szCs w:val="24"/>
        </w:rPr>
      </w:pPr>
      <w:r>
        <w:rPr>
          <w:rFonts w:ascii="source serif 4" w:eastAsia="source serif 4" w:hAnsi="source serif 4" w:cs="source serif 4"/>
          <w:b/>
          <w:color w:val="000000"/>
          <w:shd w:val="clear" w:color="auto" w:fill="FFFF00"/>
        </w:rPr>
        <w:br/>
      </w:r>
      <w:r>
        <w:rPr>
          <w:rFonts w:ascii="Arial" w:hAnsi="Arial" w:cs="Arial"/>
          <w:sz w:val="24"/>
          <w:szCs w:val="24"/>
        </w:rPr>
        <w:br/>
      </w:r>
      <w:r w:rsidR="00AA60CA">
        <w:rPr>
          <w:rFonts w:ascii="Arial" w:hAnsi="Arial" w:cs="Arial"/>
          <w:noProof/>
          <w:sz w:val="24"/>
          <w:szCs w:val="24"/>
        </w:rPr>
        <w:lastRenderedPageBreak/>
        <w:drawing>
          <wp:inline distT="0" distB="0" distL="0" distR="0" wp14:anchorId="4AA5A15A" wp14:editId="4277D780">
            <wp:extent cx="5731510" cy="8562340"/>
            <wp:effectExtent l="0" t="0" r="0" b="0"/>
            <wp:docPr id="21273256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25631" name="Picture 2127325631"/>
                    <pic:cNvPicPr/>
                  </pic:nvPicPr>
                  <pic:blipFill>
                    <a:blip r:embed="rId12">
                      <a:extLst>
                        <a:ext uri="{28A0092B-C50C-407E-A947-70E740481C1C}">
                          <a14:useLocalDpi xmlns:a14="http://schemas.microsoft.com/office/drawing/2010/main" val="0"/>
                        </a:ext>
                      </a:extLst>
                    </a:blip>
                    <a:stretch>
                      <a:fillRect/>
                    </a:stretch>
                  </pic:blipFill>
                  <pic:spPr>
                    <a:xfrm>
                      <a:off x="0" y="0"/>
                      <a:ext cx="5731510" cy="8562340"/>
                    </a:xfrm>
                    <a:prstGeom prst="rect">
                      <a:avLst/>
                    </a:prstGeom>
                  </pic:spPr>
                </pic:pic>
              </a:graphicData>
            </a:graphic>
          </wp:inline>
        </w:drawing>
      </w:r>
      <w:r>
        <w:rPr>
          <w:rFonts w:ascii="Arial" w:hAnsi="Arial" w:cs="Arial"/>
          <w:sz w:val="24"/>
          <w:szCs w:val="24"/>
        </w:rPr>
        <w:br/>
      </w:r>
      <w:r w:rsidR="00AA60CA">
        <w:rPr>
          <w:rFonts w:ascii="Arial" w:hAnsi="Arial" w:cs="Arial"/>
          <w:sz w:val="24"/>
          <w:szCs w:val="24"/>
        </w:rPr>
        <w:t xml:space="preserve">       </w:t>
      </w:r>
      <w:r w:rsidRPr="00F41A8B">
        <w:rPr>
          <w:rFonts w:ascii="Arial" w:hAnsi="Arial" w:cs="Arial"/>
          <w:sz w:val="24"/>
          <w:szCs w:val="24"/>
        </w:rPr>
        <w:t>Revenue of Digital Services Companies in France, 2023–2024 (€ billion).</w:t>
      </w:r>
      <w:r>
        <w:rPr>
          <w:rFonts w:ascii="Arial" w:hAnsi="Arial" w:cs="Arial"/>
          <w:sz w:val="24"/>
          <w:szCs w:val="24"/>
        </w:rPr>
        <w:br/>
      </w:r>
      <w:r w:rsidRPr="00F41A8B">
        <w:rPr>
          <w:rFonts w:ascii="Arial" w:hAnsi="Arial" w:cs="Arial"/>
          <w:sz w:val="24"/>
          <w:szCs w:val="24"/>
        </w:rPr>
        <w:lastRenderedPageBreak/>
        <w:t xml:space="preserve">Source: </w:t>
      </w:r>
      <w:proofErr w:type="spellStart"/>
      <w:r w:rsidRPr="00F41A8B">
        <w:rPr>
          <w:rFonts w:ascii="Arial" w:hAnsi="Arial" w:cs="Arial"/>
          <w:sz w:val="24"/>
          <w:szCs w:val="24"/>
        </w:rPr>
        <w:t>Numeum</w:t>
      </w:r>
      <w:proofErr w:type="spellEnd"/>
      <w:r w:rsidRPr="00F41A8B">
        <w:rPr>
          <w:rFonts w:ascii="Arial" w:hAnsi="Arial" w:cs="Arial"/>
          <w:sz w:val="24"/>
          <w:szCs w:val="24"/>
        </w:rPr>
        <w:t xml:space="preserve"> (2025), France’s digital market: 2024 results and outlook for 2025; International Trade Administration (2024), France—Digital Economy.</w:t>
      </w:r>
      <w:r>
        <w:rPr>
          <w:rFonts w:ascii="Arial" w:hAnsi="Arial" w:cs="Arial"/>
          <w:sz w:val="24"/>
          <w:szCs w:val="24"/>
        </w:rPr>
        <w:br/>
      </w:r>
      <w:r>
        <w:rPr>
          <w:rFonts w:ascii="Arial" w:hAnsi="Arial" w:cs="Arial"/>
          <w:sz w:val="24"/>
          <w:szCs w:val="24"/>
        </w:rPr>
        <w:br/>
      </w:r>
      <w:r w:rsidR="004E013E">
        <w:rPr>
          <w:rFonts w:ascii="Arial" w:hAnsi="Arial" w:cs="Arial"/>
          <w:sz w:val="24"/>
          <w:szCs w:val="24"/>
        </w:rPr>
        <w:t xml:space="preserve">The French IT market can be difficult to navigate because of the presence of discerning clients, tightly controlled technology budgets, and established competitors. According to PAC, revenues from IT services in France fell by 1.8 percent in 2025 </w:t>
      </w:r>
      <w:proofErr w:type="gramStart"/>
      <w:r w:rsidR="004E013E">
        <w:rPr>
          <w:rFonts w:ascii="Arial" w:hAnsi="Arial" w:cs="Arial"/>
          <w:sz w:val="24"/>
          <w:szCs w:val="24"/>
        </w:rPr>
        <w:t>as a result of</w:t>
      </w:r>
      <w:proofErr w:type="gramEnd"/>
      <w:r w:rsidR="004E013E">
        <w:rPr>
          <w:rFonts w:ascii="Arial" w:hAnsi="Arial" w:cs="Arial"/>
          <w:sz w:val="24"/>
          <w:szCs w:val="24"/>
        </w:rPr>
        <w:t xml:space="preserve"> postponed spending and shrinking budgets. This suggests that TCS should approach the market cautiously rather than becoming too optimistic. Instead, TCS should focus on projects aimed at accomplishing specific goals for clients:</w:t>
      </w:r>
    </w:p>
    <w:p w14:paraId="1E07554F" w14:textId="77777777" w:rsidR="001A392A" w:rsidRDefault="004E013E">
      <w:pPr>
        <w:spacing w:after="210" w:line="360" w:lineRule="auto"/>
        <w:rPr>
          <w:rFonts w:ascii="Arial" w:hAnsi="Arial" w:cs="Arial"/>
          <w:sz w:val="24"/>
          <w:szCs w:val="24"/>
        </w:rPr>
      </w:pPr>
      <w:r>
        <w:rPr>
          <w:rFonts w:ascii="Arial" w:hAnsi="Arial" w:cs="Arial"/>
          <w:sz w:val="24"/>
          <w:szCs w:val="24"/>
        </w:rPr>
        <w:t xml:space="preserve"> </w:t>
      </w:r>
    </w:p>
    <w:p w14:paraId="1E075550" w14:textId="77777777" w:rsidR="001A392A" w:rsidRDefault="004E013E">
      <w:pPr>
        <w:spacing w:after="210" w:line="360" w:lineRule="auto"/>
        <w:rPr>
          <w:rFonts w:ascii="Arial" w:hAnsi="Arial" w:cs="Arial"/>
          <w:sz w:val="24"/>
          <w:szCs w:val="24"/>
        </w:rPr>
      </w:pPr>
      <w:r>
        <w:rPr>
          <w:rFonts w:ascii="Arial" w:hAnsi="Arial" w:cs="Arial"/>
          <w:sz w:val="24"/>
          <w:szCs w:val="24"/>
        </w:rPr>
        <w:t>- Reducing the costs of IT operations through cloud modernization.</w:t>
      </w:r>
    </w:p>
    <w:p w14:paraId="1E075551" w14:textId="77777777" w:rsidR="001A392A" w:rsidRDefault="004E013E">
      <w:pPr>
        <w:spacing w:after="210" w:line="360" w:lineRule="auto"/>
        <w:rPr>
          <w:rFonts w:ascii="Arial" w:hAnsi="Arial" w:cs="Arial"/>
          <w:sz w:val="24"/>
          <w:szCs w:val="24"/>
        </w:rPr>
      </w:pPr>
      <w:r>
        <w:rPr>
          <w:rFonts w:ascii="Arial" w:hAnsi="Arial" w:cs="Arial"/>
          <w:sz w:val="24"/>
          <w:szCs w:val="24"/>
        </w:rPr>
        <w:t>- Strengthening resilience and cyber security.</w:t>
      </w:r>
    </w:p>
    <w:p w14:paraId="1E075552" w14:textId="77777777" w:rsidR="001A392A" w:rsidRDefault="004E013E">
      <w:pPr>
        <w:spacing w:after="210" w:line="360" w:lineRule="auto"/>
        <w:rPr>
          <w:rFonts w:ascii="Arial" w:hAnsi="Arial" w:cs="Arial"/>
          <w:sz w:val="24"/>
          <w:szCs w:val="24"/>
        </w:rPr>
      </w:pPr>
      <w:r>
        <w:rPr>
          <w:rFonts w:ascii="Arial" w:hAnsi="Arial" w:cs="Arial"/>
          <w:sz w:val="24"/>
          <w:szCs w:val="24"/>
        </w:rPr>
        <w:t>- Increasing productivity through automation and AI technology.</w:t>
      </w:r>
    </w:p>
    <w:p w14:paraId="1E075553" w14:textId="77777777" w:rsidR="001A392A" w:rsidRDefault="004E013E">
      <w:pPr>
        <w:spacing w:after="210" w:line="360" w:lineRule="auto"/>
        <w:rPr>
          <w:rFonts w:ascii="Arial" w:hAnsi="Arial" w:cs="Arial"/>
          <w:sz w:val="24"/>
          <w:szCs w:val="24"/>
        </w:rPr>
      </w:pPr>
      <w:r>
        <w:rPr>
          <w:rFonts w:ascii="Arial" w:hAnsi="Arial" w:cs="Arial"/>
          <w:sz w:val="24"/>
          <w:szCs w:val="24"/>
        </w:rPr>
        <w:t>- Ensuring compliance with regulations.</w:t>
      </w:r>
    </w:p>
    <w:p w14:paraId="1E075554" w14:textId="77777777" w:rsidR="001A392A" w:rsidRDefault="004E013E">
      <w:pPr>
        <w:spacing w:after="210" w:line="360" w:lineRule="auto"/>
        <w:rPr>
          <w:rFonts w:ascii="Arial" w:hAnsi="Arial" w:cs="Arial"/>
          <w:sz w:val="24"/>
          <w:szCs w:val="24"/>
        </w:rPr>
      </w:pPr>
      <w:r>
        <w:rPr>
          <w:rFonts w:ascii="Arial" w:hAnsi="Arial" w:cs="Arial"/>
          <w:sz w:val="24"/>
          <w:szCs w:val="24"/>
        </w:rPr>
        <w:t>- Modernizing outdated systems and platforms.</w:t>
      </w:r>
    </w:p>
    <w:p w14:paraId="1E075555" w14:textId="77777777" w:rsidR="001A392A" w:rsidRDefault="004E013E">
      <w:pPr>
        <w:spacing w:after="210" w:line="360" w:lineRule="auto"/>
        <w:rPr>
          <w:rFonts w:ascii="Arial" w:hAnsi="Arial" w:cs="Arial"/>
          <w:sz w:val="24"/>
          <w:szCs w:val="24"/>
        </w:rPr>
      </w:pPr>
      <w:r>
        <w:rPr>
          <w:rFonts w:ascii="Arial" w:hAnsi="Arial" w:cs="Arial"/>
          <w:sz w:val="24"/>
          <w:szCs w:val="24"/>
        </w:rPr>
        <w:t>- Enhancing customer experience and digital selling.</w:t>
      </w:r>
    </w:p>
    <w:p w14:paraId="0AB98480" w14:textId="77777777" w:rsidR="00F642CF" w:rsidRDefault="00F642CF">
      <w:pPr>
        <w:spacing w:after="210" w:line="360" w:lineRule="auto"/>
        <w:rPr>
          <w:rFonts w:ascii="Arial" w:hAnsi="Arial" w:cs="Arial"/>
          <w:sz w:val="24"/>
          <w:szCs w:val="24"/>
          <w:lang w:val="en-GB"/>
        </w:rPr>
      </w:pPr>
    </w:p>
    <w:p w14:paraId="0E4700A3" w14:textId="7939EABB" w:rsidR="00F642CF" w:rsidRDefault="00645696" w:rsidP="00645696">
      <w:pPr>
        <w:spacing w:after="210" w:line="360" w:lineRule="auto"/>
        <w:jc w:val="center"/>
        <w:rPr>
          <w:rFonts w:ascii="Arial" w:hAnsi="Arial" w:cs="Arial"/>
          <w:sz w:val="24"/>
          <w:szCs w:val="24"/>
          <w:lang w:val="en-GB"/>
        </w:rPr>
      </w:pPr>
      <w:r>
        <w:rPr>
          <w:rFonts w:ascii="Arial" w:hAnsi="Arial" w:cs="Arial"/>
          <w:noProof/>
          <w:sz w:val="24"/>
          <w:szCs w:val="24"/>
          <w:lang w:val="en-GB"/>
        </w:rPr>
        <w:lastRenderedPageBreak/>
        <w:drawing>
          <wp:inline distT="0" distB="0" distL="0" distR="0" wp14:anchorId="3DEEF45B" wp14:editId="78067416">
            <wp:extent cx="4508500" cy="5016500"/>
            <wp:effectExtent l="0" t="0" r="0" b="0"/>
            <wp:docPr id="17553516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51632" name="Picture 1755351632"/>
                    <pic:cNvPicPr/>
                  </pic:nvPicPr>
                  <pic:blipFill>
                    <a:blip r:embed="rId13">
                      <a:extLst>
                        <a:ext uri="{28A0092B-C50C-407E-A947-70E740481C1C}">
                          <a14:useLocalDpi xmlns:a14="http://schemas.microsoft.com/office/drawing/2010/main" val="0"/>
                        </a:ext>
                      </a:extLst>
                    </a:blip>
                    <a:stretch>
                      <a:fillRect/>
                    </a:stretch>
                  </pic:blipFill>
                  <pic:spPr>
                    <a:xfrm>
                      <a:off x="0" y="0"/>
                      <a:ext cx="4508500" cy="5016500"/>
                    </a:xfrm>
                    <a:prstGeom prst="rect">
                      <a:avLst/>
                    </a:prstGeom>
                  </pic:spPr>
                </pic:pic>
              </a:graphicData>
            </a:graphic>
          </wp:inline>
        </w:drawing>
      </w:r>
    </w:p>
    <w:p w14:paraId="13A77C77" w14:textId="77777777" w:rsidR="00F642CF" w:rsidRPr="00F642CF" w:rsidRDefault="00F642CF" w:rsidP="00645696">
      <w:pPr>
        <w:spacing w:after="210" w:line="360" w:lineRule="auto"/>
        <w:jc w:val="center"/>
        <w:rPr>
          <w:rFonts w:ascii="Arial" w:hAnsi="Arial" w:cs="Arial"/>
          <w:sz w:val="24"/>
          <w:szCs w:val="24"/>
        </w:rPr>
      </w:pPr>
      <w:r w:rsidRPr="00F642CF">
        <w:rPr>
          <w:rFonts w:ascii="Arial" w:hAnsi="Arial" w:cs="Arial"/>
          <w:sz w:val="24"/>
          <w:szCs w:val="24"/>
        </w:rPr>
        <w:t>IT Consulting Revenue in France, 2023 (€ billion).</w:t>
      </w:r>
    </w:p>
    <w:p w14:paraId="04EC892D" w14:textId="488E3C2E" w:rsidR="00F642CF" w:rsidRDefault="00F642CF" w:rsidP="00645696">
      <w:pPr>
        <w:spacing w:after="210" w:line="360" w:lineRule="auto"/>
        <w:jc w:val="center"/>
        <w:rPr>
          <w:rFonts w:ascii="Arial" w:hAnsi="Arial" w:cs="Arial"/>
          <w:sz w:val="24"/>
          <w:szCs w:val="24"/>
          <w:lang w:val="en-GB"/>
        </w:rPr>
      </w:pPr>
      <w:r w:rsidRPr="00F642CF">
        <w:rPr>
          <w:rFonts w:ascii="Arial" w:hAnsi="Arial" w:cs="Arial"/>
          <w:sz w:val="24"/>
          <w:szCs w:val="24"/>
          <w:lang w:val="en-GB"/>
        </w:rPr>
        <w:t xml:space="preserve">Source: </w:t>
      </w:r>
      <w:proofErr w:type="spellStart"/>
      <w:r w:rsidRPr="00F642CF">
        <w:rPr>
          <w:rFonts w:ascii="Arial" w:hAnsi="Arial" w:cs="Arial"/>
          <w:sz w:val="24"/>
          <w:szCs w:val="24"/>
          <w:lang w:val="en-GB"/>
        </w:rPr>
        <w:t>Numeum</w:t>
      </w:r>
      <w:proofErr w:type="spellEnd"/>
      <w:r w:rsidRPr="00F642CF">
        <w:rPr>
          <w:rFonts w:ascii="Arial" w:hAnsi="Arial" w:cs="Arial"/>
          <w:sz w:val="24"/>
          <w:szCs w:val="24"/>
          <w:lang w:val="en-GB"/>
        </w:rPr>
        <w:t xml:space="preserve"> data reported by </w:t>
      </w:r>
      <w:proofErr w:type="spellStart"/>
      <w:r w:rsidRPr="00F642CF">
        <w:rPr>
          <w:rFonts w:ascii="Arial" w:hAnsi="Arial" w:cs="Arial"/>
          <w:sz w:val="24"/>
          <w:szCs w:val="24"/>
          <w:lang w:val="en-GB"/>
        </w:rPr>
        <w:t>BoondManager</w:t>
      </w:r>
      <w:proofErr w:type="spellEnd"/>
      <w:r w:rsidRPr="00F642CF">
        <w:rPr>
          <w:rFonts w:ascii="Arial" w:hAnsi="Arial" w:cs="Arial"/>
          <w:sz w:val="24"/>
          <w:szCs w:val="24"/>
          <w:lang w:val="en-GB"/>
        </w:rPr>
        <w:t xml:space="preserve"> (2024).</w:t>
      </w:r>
    </w:p>
    <w:p w14:paraId="1E075558" w14:textId="7B624B37" w:rsidR="001A392A" w:rsidRDefault="004E013E">
      <w:pPr>
        <w:spacing w:after="210" w:line="360" w:lineRule="auto"/>
        <w:rPr>
          <w:rFonts w:ascii="Arial" w:hAnsi="Arial" w:cs="Arial"/>
          <w:sz w:val="24"/>
          <w:szCs w:val="24"/>
          <w:lang w:val="en-GB"/>
        </w:rPr>
      </w:pPr>
      <w:r>
        <w:rPr>
          <w:rFonts w:ascii="Arial" w:hAnsi="Arial" w:cs="Arial"/>
          <w:sz w:val="24"/>
          <w:szCs w:val="24"/>
          <w:lang w:val="en-GB"/>
        </w:rPr>
        <w:t>Figure may be interpreted as supporting the conclusion that consulting and execution segments are strategically relevant to TCS. Consulting is likely to develop higher-value relations with the clients and often results in further repeat contracts for delivery, managed services, and support. However, these areas are also where Accenture, Capgemini, IBM, and Sopra Steria have an edge over TCS. Thus, TCS should show not only technical abilities but also a strategic grasp of the French industries as well as credibility with the executives.</w:t>
      </w:r>
    </w:p>
    <w:p w14:paraId="1E075559" w14:textId="5CC9D336" w:rsidR="001A392A" w:rsidRDefault="004E013E">
      <w:pPr>
        <w:spacing w:after="210" w:line="360" w:lineRule="auto"/>
        <w:rPr>
          <w:rFonts w:ascii="Arial" w:hAnsi="Arial" w:cs="Arial"/>
          <w:sz w:val="24"/>
          <w:szCs w:val="24"/>
          <w:lang w:val="en-GB"/>
        </w:rPr>
      </w:pPr>
      <w:r>
        <w:rPr>
          <w:rFonts w:ascii="Arial" w:hAnsi="Arial" w:cs="Arial"/>
          <w:sz w:val="24"/>
          <w:szCs w:val="24"/>
          <w:lang w:val="en-GB"/>
        </w:rPr>
        <w:t xml:space="preserve">France is appealing to high-value knowledge-intensive technology services but not to low-cost, straightforward outsourcing. It is thus crucial for TCS to target opportunities with high willingness to pay and combine global scale with local trust in their chosen </w:t>
      </w:r>
      <w:r>
        <w:rPr>
          <w:rFonts w:ascii="Arial" w:hAnsi="Arial" w:cs="Arial"/>
          <w:sz w:val="24"/>
          <w:szCs w:val="24"/>
          <w:lang w:val="en-GB"/>
        </w:rPr>
        <w:lastRenderedPageBreak/>
        <w:t>market. Significant labour-intensive delivery operations may be difficult in France due to expensive labour costs and high domestic competition</w:t>
      </w:r>
      <w:r w:rsidR="00A75AFB">
        <w:rPr>
          <w:rFonts w:ascii="Arial" w:hAnsi="Arial" w:cs="Arial"/>
          <w:sz w:val="24"/>
          <w:szCs w:val="24"/>
          <w:lang w:val="en-GB"/>
        </w:rPr>
        <w:t xml:space="preserve"> </w:t>
      </w:r>
      <w:r w:rsidR="00A75AFB" w:rsidRPr="00A75AFB">
        <w:rPr>
          <w:rFonts w:ascii="Arial" w:hAnsi="Arial" w:cs="Arial"/>
          <w:sz w:val="24"/>
          <w:szCs w:val="24"/>
          <w:lang w:val="en-GB"/>
        </w:rPr>
        <w:t>(</w:t>
      </w:r>
      <w:proofErr w:type="spellStart"/>
      <w:r w:rsidR="00A75AFB" w:rsidRPr="00A75AFB">
        <w:rPr>
          <w:rFonts w:ascii="Arial" w:hAnsi="Arial" w:cs="Arial"/>
          <w:sz w:val="24"/>
          <w:szCs w:val="24"/>
          <w:lang w:val="en-GB"/>
        </w:rPr>
        <w:t>Alhattali</w:t>
      </w:r>
      <w:proofErr w:type="spellEnd"/>
      <w:r w:rsidR="00A75AFB" w:rsidRPr="00A75AFB">
        <w:rPr>
          <w:rFonts w:ascii="Arial" w:hAnsi="Arial" w:cs="Arial"/>
          <w:sz w:val="24"/>
          <w:szCs w:val="24"/>
          <w:lang w:val="en-GB"/>
        </w:rPr>
        <w:t xml:space="preserve"> et al., 2024)</w:t>
      </w:r>
      <w:r>
        <w:rPr>
          <w:rFonts w:ascii="Arial" w:hAnsi="Arial" w:cs="Arial"/>
          <w:sz w:val="24"/>
          <w:szCs w:val="24"/>
          <w:lang w:val="en-GB"/>
        </w:rPr>
        <w:t>.</w:t>
      </w:r>
    </w:p>
    <w:p w14:paraId="1E07555A" w14:textId="77777777" w:rsidR="001A392A" w:rsidRDefault="001A392A">
      <w:pPr>
        <w:spacing w:after="210" w:line="360" w:lineRule="auto"/>
        <w:rPr>
          <w:rFonts w:ascii="Arial" w:hAnsi="Arial" w:cs="Arial"/>
          <w:sz w:val="24"/>
          <w:szCs w:val="24"/>
        </w:rPr>
      </w:pPr>
    </w:p>
    <w:p w14:paraId="1E07555B" w14:textId="77777777" w:rsidR="001A392A" w:rsidRDefault="004E013E">
      <w:pPr>
        <w:pStyle w:val="Heading1"/>
        <w:jc w:val="both"/>
        <w:rPr>
          <w:rFonts w:ascii="Arial" w:eastAsia="source serif 4" w:hAnsi="Arial" w:cs="Arial"/>
          <w:b/>
          <w:bCs/>
          <w:color w:val="000000"/>
          <w:sz w:val="24"/>
          <w:szCs w:val="24"/>
        </w:rPr>
      </w:pPr>
      <w:bookmarkStart w:id="27" w:name="bm_4_3_legal_environment"/>
      <w:bookmarkStart w:id="28" w:name="_Toc237535059"/>
      <w:bookmarkStart w:id="29" w:name="_Toc237574842"/>
      <w:r>
        <w:rPr>
          <w:rFonts w:ascii="Arial" w:eastAsia="source serif 4" w:hAnsi="Arial" w:cs="Arial"/>
          <w:b/>
          <w:bCs/>
          <w:color w:val="000000"/>
          <w:sz w:val="24"/>
          <w:szCs w:val="24"/>
        </w:rPr>
        <w:t>4.3 Legal environment</w:t>
      </w:r>
      <w:bookmarkEnd w:id="27"/>
      <w:bookmarkEnd w:id="28"/>
      <w:bookmarkEnd w:id="29"/>
    </w:p>
    <w:p w14:paraId="1E07555C" w14:textId="77777777" w:rsidR="001A392A" w:rsidRDefault="004E013E">
      <w:pPr>
        <w:spacing w:line="360" w:lineRule="auto"/>
        <w:jc w:val="both"/>
        <w:rPr>
          <w:rFonts w:ascii="Arial" w:hAnsi="Arial" w:cs="Arial"/>
          <w:color w:val="000000"/>
          <w:sz w:val="24"/>
          <w:szCs w:val="24"/>
          <w:lang w:val="en-GB"/>
        </w:rPr>
      </w:pPr>
      <w:r>
        <w:rPr>
          <w:rFonts w:ascii="Arial" w:hAnsi="Arial" w:cs="Arial"/>
          <w:color w:val="000000"/>
          <w:sz w:val="24"/>
          <w:szCs w:val="24"/>
          <w:lang w:val="en-GB"/>
        </w:rPr>
        <w:t>The success of TCS hinges on GDPR, cybersecurity requirements, sector regulation and the EU AI Act. Whenever they carry out any technology projects they are invariably dealing with sensitive personal, financial, operational and business-related information. This means that legal compliance needs to be built into the design of services.</w:t>
      </w:r>
    </w:p>
    <w:p w14:paraId="1E07555D" w14:textId="1FCCBB32" w:rsidR="001A392A" w:rsidRDefault="004E013E" w:rsidP="005A7112">
      <w:pPr>
        <w:spacing w:after="210" w:line="360" w:lineRule="auto"/>
        <w:jc w:val="center"/>
      </w:pPr>
      <w:r>
        <w:rPr>
          <w:rFonts w:ascii="source serif 4" w:eastAsia="source serif 4" w:hAnsi="source serif 4" w:cs="source serif 4"/>
          <w:color w:val="000000"/>
          <w:shd w:val="clear" w:color="auto" w:fill="FFFF00"/>
        </w:rPr>
        <w:br/>
      </w:r>
      <w:r w:rsidR="005A7112">
        <w:rPr>
          <w:noProof/>
        </w:rPr>
        <w:drawing>
          <wp:inline distT="0" distB="0" distL="0" distR="0" wp14:anchorId="0C362511" wp14:editId="521570BD">
            <wp:extent cx="5731510" cy="3215640"/>
            <wp:effectExtent l="0" t="0" r="0" b="0"/>
            <wp:docPr id="12722962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296201" name="Picture 127229620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3B1A14E6" w14:textId="77777777" w:rsidR="005A7112" w:rsidRPr="005A7112" w:rsidRDefault="005A7112" w:rsidP="005A7112">
      <w:pPr>
        <w:pStyle w:val="my-2"/>
        <w:jc w:val="center"/>
        <w:rPr>
          <w:rStyle w:val="inline-block"/>
          <w:rFonts w:ascii="Arial" w:hAnsi="Arial" w:cs="Arial"/>
          <w:b/>
          <w:bCs/>
        </w:rPr>
      </w:pPr>
      <w:r w:rsidRPr="005A7112">
        <w:rPr>
          <w:rStyle w:val="Strong"/>
          <w:rFonts w:ascii="Arial" w:hAnsi="Arial" w:cs="Arial"/>
          <w:b w:val="0"/>
          <w:bCs w:val="0"/>
        </w:rPr>
        <w:t>Cybersecurity Market Revenue in France, 2023 (€ billion).</w:t>
      </w:r>
    </w:p>
    <w:p w14:paraId="2FACA8E4" w14:textId="77777777" w:rsidR="005A7112" w:rsidRPr="005A7112" w:rsidRDefault="005A7112" w:rsidP="005A7112">
      <w:pPr>
        <w:spacing w:after="210" w:line="360" w:lineRule="auto"/>
        <w:jc w:val="center"/>
        <w:rPr>
          <w:rFonts w:ascii="Arial" w:hAnsi="Arial" w:cs="Arial"/>
          <w:sz w:val="24"/>
          <w:szCs w:val="24"/>
        </w:rPr>
      </w:pPr>
      <w:r w:rsidRPr="005A7112">
        <w:rPr>
          <w:rStyle w:val="Emphasis"/>
          <w:rFonts w:ascii="Arial" w:hAnsi="Arial" w:cs="Arial"/>
          <w:sz w:val="24"/>
          <w:szCs w:val="24"/>
        </w:rPr>
        <w:t>Source: International Trade Administration (2024),</w:t>
      </w:r>
      <w:r w:rsidRPr="005A7112">
        <w:rPr>
          <w:rFonts w:ascii="Arial" w:hAnsi="Arial" w:cs="Arial"/>
          <w:sz w:val="24"/>
          <w:szCs w:val="24"/>
        </w:rPr>
        <w:t xml:space="preserve"> France—Digital Economy.</w:t>
      </w:r>
    </w:p>
    <w:p w14:paraId="1E07555E" w14:textId="7AB5E8B0" w:rsidR="001A392A" w:rsidRDefault="004E013E">
      <w:pPr>
        <w:spacing w:after="210" w:line="360" w:lineRule="auto"/>
        <w:jc w:val="both"/>
        <w:rPr>
          <w:rFonts w:ascii="Arial" w:hAnsi="Arial" w:cs="Arial"/>
          <w:sz w:val="24"/>
          <w:szCs w:val="24"/>
        </w:rPr>
      </w:pPr>
      <w:r>
        <w:rPr>
          <w:rFonts w:ascii="Arial" w:hAnsi="Arial" w:cs="Arial"/>
          <w:sz w:val="24"/>
          <w:szCs w:val="24"/>
        </w:rPr>
        <w:t>According to Statista forecasts, French cybersecurity earnings will rise by roughly €2 billion between 2024 and 2029, totaling €7.45 billion (Statista, 2024). While this opens doors to TCS's cyber offerings, it increases the demands of the clients regarding such areas as secure architecture, transparency, incident response and auditability.</w:t>
      </w:r>
    </w:p>
    <w:p w14:paraId="1E07555F" w14:textId="77777777" w:rsidR="001A392A" w:rsidRDefault="004E013E">
      <w:pPr>
        <w:spacing w:after="210" w:line="360" w:lineRule="auto"/>
        <w:jc w:val="both"/>
        <w:rPr>
          <w:rFonts w:ascii="Arial" w:hAnsi="Arial" w:cs="Arial"/>
          <w:sz w:val="24"/>
          <w:szCs w:val="24"/>
        </w:rPr>
      </w:pPr>
      <w:r>
        <w:rPr>
          <w:rFonts w:ascii="Arial" w:hAnsi="Arial" w:cs="Arial"/>
          <w:sz w:val="24"/>
          <w:szCs w:val="24"/>
        </w:rPr>
        <w:t xml:space="preserve">As indicated by Irion (2022), GDPR is related to digital sovereignty because data governance is important for technological autonomy and information control. For TCS, </w:t>
      </w:r>
      <w:r>
        <w:rPr>
          <w:rFonts w:ascii="Arial" w:hAnsi="Arial" w:cs="Arial"/>
          <w:sz w:val="24"/>
          <w:szCs w:val="24"/>
        </w:rPr>
        <w:lastRenderedPageBreak/>
        <w:t>this means that data governance is not just legal costs but a strategic business capability. Thus, it must develop the EU data-protection leadership, the data-flow mapping, the European hosting options, the transparent subcontractors’ control, the encryption, access management and responsible AI assessment.</w:t>
      </w:r>
    </w:p>
    <w:p w14:paraId="1E075560" w14:textId="77777777" w:rsidR="001A392A" w:rsidRDefault="004E013E">
      <w:pPr>
        <w:spacing w:after="210" w:line="360" w:lineRule="auto"/>
        <w:jc w:val="both"/>
        <w:rPr>
          <w:rFonts w:ascii="Arial" w:hAnsi="Arial" w:cs="Arial"/>
          <w:sz w:val="24"/>
          <w:szCs w:val="24"/>
        </w:rPr>
      </w:pPr>
      <w:r>
        <w:rPr>
          <w:rFonts w:ascii="Arial" w:hAnsi="Arial" w:cs="Arial"/>
          <w:sz w:val="24"/>
          <w:szCs w:val="24"/>
        </w:rPr>
        <w:t xml:space="preserve">The following steps must be taken by TCS for the management of legal control and operational procedures: </w:t>
      </w:r>
    </w:p>
    <w:p w14:paraId="1E075561"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 xml:space="preserve">The need for French and EU-based data protection officers </w:t>
      </w:r>
    </w:p>
    <w:p w14:paraId="1E075562"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 xml:space="preserve">Data flow mapping of projects of the clients </w:t>
      </w:r>
    </w:p>
    <w:p w14:paraId="1E075563"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 xml:space="preserve">Identification of the flow </w:t>
      </w:r>
    </w:p>
    <w:p w14:paraId="1E075564"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 xml:space="preserve">Cloud-based options for sensitive workloads of data </w:t>
      </w:r>
    </w:p>
    <w:p w14:paraId="1E075565"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 xml:space="preserve">Clauses on contracts regarding sub-processors and the matter of international transfers </w:t>
      </w:r>
    </w:p>
    <w:p w14:paraId="1E075566"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 xml:space="preserve">Ordinary cyber audits and incident response </w:t>
      </w:r>
    </w:p>
    <w:p w14:paraId="1E075567" w14:textId="77777777" w:rsidR="001A392A" w:rsidRDefault="004E013E">
      <w:pPr>
        <w:pStyle w:val="ListParagraph"/>
        <w:numPr>
          <w:ilvl w:val="0"/>
          <w:numId w:val="2"/>
        </w:numPr>
        <w:spacing w:after="210" w:line="360" w:lineRule="auto"/>
        <w:jc w:val="both"/>
        <w:rPr>
          <w:rFonts w:ascii="Arial" w:hAnsi="Arial" w:cs="Arial"/>
          <w:sz w:val="24"/>
          <w:szCs w:val="24"/>
        </w:rPr>
      </w:pPr>
      <w:r>
        <w:rPr>
          <w:rFonts w:ascii="Arial" w:hAnsi="Arial" w:cs="Arial"/>
          <w:sz w:val="24"/>
          <w:szCs w:val="24"/>
        </w:rPr>
        <w:t>Use of AI governance frameworks that ascertain bias, transparency, risk and human supervision.</w:t>
      </w:r>
    </w:p>
    <w:p w14:paraId="1E075568" w14:textId="3BA49011" w:rsidR="001A392A" w:rsidRPr="005B3B48" w:rsidRDefault="004E013E">
      <w:pPr>
        <w:spacing w:after="210" w:line="360" w:lineRule="auto"/>
        <w:jc w:val="both"/>
        <w:rPr>
          <w:rFonts w:ascii="Arial" w:hAnsi="Arial" w:cs="Arial"/>
          <w:sz w:val="24"/>
          <w:szCs w:val="24"/>
          <w:lang w:val="en-GB"/>
        </w:rPr>
      </w:pPr>
      <w:r>
        <w:rPr>
          <w:rFonts w:ascii="Arial" w:hAnsi="Arial" w:cs="Arial"/>
          <w:sz w:val="24"/>
          <w:szCs w:val="24"/>
        </w:rPr>
        <w:t>The development of the EU AI Act provides an extra opportunity for organizations that implement AI to get assistance with identifying high-risk systems, documenting models, protecting data, etc. TCS must implement the development of responsible AI consulting services that combine artificial intelligence and governance and compliance procedures. This would make the delivery cost higher, but it will contribute to building trust from the side of clients, consequently ensuring the company access to more profitable contracts in the long run</w:t>
      </w:r>
      <w:r w:rsidR="005B3B48">
        <w:rPr>
          <w:rFonts w:ascii="Arial" w:hAnsi="Arial" w:cs="Arial"/>
          <w:sz w:val="24"/>
          <w:szCs w:val="24"/>
        </w:rPr>
        <w:t xml:space="preserve"> </w:t>
      </w:r>
      <w:r w:rsidR="005B3B48" w:rsidRPr="005B3B48">
        <w:rPr>
          <w:rFonts w:ascii="Arial" w:hAnsi="Arial" w:cs="Arial"/>
          <w:sz w:val="24"/>
          <w:szCs w:val="24"/>
          <w:lang w:val="en-GB"/>
        </w:rPr>
        <w:t>(European Commission, 2025)</w:t>
      </w:r>
      <w:r>
        <w:rPr>
          <w:rFonts w:ascii="Arial" w:hAnsi="Arial" w:cs="Arial"/>
          <w:sz w:val="24"/>
          <w:szCs w:val="24"/>
        </w:rPr>
        <w:t>.</w:t>
      </w:r>
    </w:p>
    <w:p w14:paraId="1E075569" w14:textId="77777777" w:rsidR="001A392A" w:rsidRDefault="004E013E">
      <w:pPr>
        <w:spacing w:after="210" w:line="360" w:lineRule="auto"/>
        <w:jc w:val="both"/>
        <w:rPr>
          <w:rFonts w:ascii="Arial" w:hAnsi="Arial" w:cs="Arial"/>
          <w:b/>
          <w:bCs/>
          <w:sz w:val="24"/>
          <w:szCs w:val="24"/>
        </w:rPr>
      </w:pPr>
      <w:r>
        <w:rPr>
          <w:rFonts w:ascii="Arial" w:hAnsi="Arial" w:cs="Arial"/>
          <w:b/>
          <w:bCs/>
          <w:sz w:val="24"/>
          <w:szCs w:val="24"/>
        </w:rPr>
        <w:t>Legal Risk Assessment</w:t>
      </w:r>
    </w:p>
    <w:tbl>
      <w:tblPr>
        <w:tblW w:w="5000" w:type="pct"/>
        <w:tblCellMar>
          <w:left w:w="10" w:type="dxa"/>
          <w:right w:w="10" w:type="dxa"/>
        </w:tblCellMar>
        <w:tblLook w:val="0000" w:firstRow="0" w:lastRow="0" w:firstColumn="0" w:lastColumn="0" w:noHBand="0" w:noVBand="0"/>
      </w:tblPr>
      <w:tblGrid>
        <w:gridCol w:w="2160"/>
        <w:gridCol w:w="2968"/>
        <w:gridCol w:w="3882"/>
      </w:tblGrid>
      <w:tr w:rsidR="001A392A" w14:paraId="1E07556D" w14:textId="77777777">
        <w:trPr>
          <w:tblHeader/>
        </w:trPr>
        <w:tc>
          <w:tcPr>
            <w:tcW w:w="216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6A" w14:textId="77777777" w:rsidR="001A392A" w:rsidRDefault="004E013E">
            <w:pPr>
              <w:spacing w:after="210" w:line="360" w:lineRule="auto"/>
              <w:jc w:val="both"/>
              <w:rPr>
                <w:rFonts w:ascii="Arial" w:hAnsi="Arial" w:cs="Arial"/>
                <w:b/>
                <w:bCs/>
                <w:sz w:val="24"/>
                <w:szCs w:val="24"/>
                <w:lang w:val="en-GB"/>
              </w:rPr>
            </w:pPr>
            <w:r>
              <w:rPr>
                <w:rFonts w:ascii="Arial" w:hAnsi="Arial" w:cs="Arial"/>
                <w:b/>
                <w:bCs/>
                <w:sz w:val="24"/>
                <w:szCs w:val="24"/>
                <w:lang w:val="en-GB"/>
              </w:rPr>
              <w:t>Legal factor</w:t>
            </w:r>
          </w:p>
        </w:tc>
        <w:tc>
          <w:tcPr>
            <w:tcW w:w="2968"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6B" w14:textId="77777777" w:rsidR="001A392A" w:rsidRDefault="004E013E">
            <w:pPr>
              <w:spacing w:after="210" w:line="360" w:lineRule="auto"/>
              <w:jc w:val="both"/>
              <w:rPr>
                <w:rFonts w:ascii="Arial" w:hAnsi="Arial" w:cs="Arial"/>
                <w:b/>
                <w:bCs/>
                <w:sz w:val="24"/>
                <w:szCs w:val="24"/>
                <w:lang w:val="en-GB"/>
              </w:rPr>
            </w:pPr>
            <w:r>
              <w:rPr>
                <w:rFonts w:ascii="Arial" w:hAnsi="Arial" w:cs="Arial"/>
                <w:b/>
                <w:bCs/>
                <w:sz w:val="24"/>
                <w:szCs w:val="24"/>
                <w:lang w:val="en-GB"/>
              </w:rPr>
              <w:t>Potential impact on TCS</w:t>
            </w:r>
          </w:p>
        </w:tc>
        <w:tc>
          <w:tcPr>
            <w:tcW w:w="3882"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tcPr>
          <w:p w14:paraId="1E07556C" w14:textId="77777777" w:rsidR="001A392A" w:rsidRDefault="004E013E">
            <w:pPr>
              <w:spacing w:after="210" w:line="360" w:lineRule="auto"/>
              <w:jc w:val="both"/>
              <w:rPr>
                <w:rFonts w:ascii="Arial" w:hAnsi="Arial" w:cs="Arial"/>
                <w:b/>
                <w:bCs/>
                <w:sz w:val="24"/>
                <w:szCs w:val="24"/>
                <w:lang w:val="en-GB"/>
              </w:rPr>
            </w:pPr>
            <w:r>
              <w:rPr>
                <w:rFonts w:ascii="Arial" w:hAnsi="Arial" w:cs="Arial"/>
                <w:b/>
                <w:bCs/>
                <w:sz w:val="24"/>
                <w:szCs w:val="24"/>
                <w:lang w:val="en-GB"/>
              </w:rPr>
              <w:t>Critical evaluation</w:t>
            </w:r>
          </w:p>
        </w:tc>
      </w:tr>
      <w:tr w:rsidR="001A392A" w14:paraId="1E075571" w14:textId="77777777">
        <w:tc>
          <w:tcPr>
            <w:tcW w:w="21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6E"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GDPR</w:t>
            </w:r>
          </w:p>
        </w:tc>
        <w:tc>
          <w:tcPr>
            <w:tcW w:w="296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6F"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Limits uncontrolled cross-border processing</w:t>
            </w:r>
          </w:p>
        </w:tc>
        <w:tc>
          <w:tcPr>
            <w:tcW w:w="3882"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0"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Can become a trust advantage if TCS offers strong governance</w:t>
            </w:r>
          </w:p>
        </w:tc>
      </w:tr>
      <w:tr w:rsidR="001A392A" w14:paraId="1E075575" w14:textId="77777777">
        <w:tc>
          <w:tcPr>
            <w:tcW w:w="21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2"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lastRenderedPageBreak/>
              <w:t>Data sovereignty</w:t>
            </w:r>
          </w:p>
        </w:tc>
        <w:tc>
          <w:tcPr>
            <w:tcW w:w="296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3"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May favour local/European hosting and suppliers</w:t>
            </w:r>
          </w:p>
        </w:tc>
        <w:tc>
          <w:tcPr>
            <w:tcW w:w="3882"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4"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Requires EU-based delivery and transparent data controls</w:t>
            </w:r>
          </w:p>
        </w:tc>
      </w:tr>
      <w:tr w:rsidR="001A392A" w14:paraId="1E075579" w14:textId="77777777">
        <w:tc>
          <w:tcPr>
            <w:tcW w:w="21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6"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EU AI Act</w:t>
            </w:r>
          </w:p>
        </w:tc>
        <w:tc>
          <w:tcPr>
            <w:tcW w:w="296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7"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Creates compliance costs for AI implementation</w:t>
            </w:r>
          </w:p>
        </w:tc>
        <w:tc>
          <w:tcPr>
            <w:tcW w:w="3882"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8"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Creates demand for responsible-AI consulting</w:t>
            </w:r>
          </w:p>
        </w:tc>
      </w:tr>
      <w:tr w:rsidR="001A392A" w14:paraId="1E07557D" w14:textId="77777777">
        <w:tc>
          <w:tcPr>
            <w:tcW w:w="21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A"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Cybersecurity requirements</w:t>
            </w:r>
          </w:p>
        </w:tc>
        <w:tc>
          <w:tcPr>
            <w:tcW w:w="296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B"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Raises assurance and operational standards</w:t>
            </w:r>
          </w:p>
        </w:tc>
        <w:tc>
          <w:tcPr>
            <w:tcW w:w="3882"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C"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Supports TCS cyber-services growth if credibility is established</w:t>
            </w:r>
          </w:p>
        </w:tc>
      </w:tr>
      <w:tr w:rsidR="001A392A" w14:paraId="1E075581" w14:textId="77777777">
        <w:tc>
          <w:tcPr>
            <w:tcW w:w="21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E"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Public procurement</w:t>
            </w:r>
          </w:p>
        </w:tc>
        <w:tc>
          <w:tcPr>
            <w:tcW w:w="2968"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7F"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May create barriers for foreign providers</w:t>
            </w:r>
          </w:p>
        </w:tc>
        <w:tc>
          <w:tcPr>
            <w:tcW w:w="3882"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1E075580"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Requires local bid capability, partnerships and demonstrable French contribution</w:t>
            </w:r>
          </w:p>
        </w:tc>
      </w:tr>
    </w:tbl>
    <w:p w14:paraId="1E075582" w14:textId="77777777" w:rsidR="001A392A" w:rsidRDefault="001A392A">
      <w:pPr>
        <w:spacing w:after="210" w:line="360" w:lineRule="auto"/>
        <w:jc w:val="both"/>
        <w:rPr>
          <w:rFonts w:ascii="Arial" w:hAnsi="Arial" w:cs="Arial"/>
          <w:sz w:val="24"/>
          <w:szCs w:val="24"/>
        </w:rPr>
      </w:pPr>
    </w:p>
    <w:p w14:paraId="1E075583" w14:textId="77777777" w:rsidR="001A392A" w:rsidRDefault="004E013E">
      <w:pPr>
        <w:spacing w:after="210" w:line="360" w:lineRule="auto"/>
        <w:jc w:val="both"/>
        <w:rPr>
          <w:rFonts w:ascii="Arial" w:hAnsi="Arial" w:cs="Arial"/>
          <w:b/>
          <w:bCs/>
          <w:sz w:val="24"/>
          <w:szCs w:val="24"/>
        </w:rPr>
      </w:pPr>
      <w:r>
        <w:rPr>
          <w:rFonts w:ascii="Arial" w:hAnsi="Arial" w:cs="Arial"/>
          <w:b/>
          <w:bCs/>
          <w:sz w:val="24"/>
          <w:szCs w:val="24"/>
        </w:rPr>
        <w:t>4.4 Cultural environment</w:t>
      </w:r>
    </w:p>
    <w:p w14:paraId="1E075584" w14:textId="77777777" w:rsidR="001A392A" w:rsidRDefault="004E013E">
      <w:pPr>
        <w:spacing w:after="210" w:line="360" w:lineRule="auto"/>
        <w:jc w:val="both"/>
        <w:rPr>
          <w:rFonts w:ascii="Arial" w:hAnsi="Arial" w:cs="Arial"/>
          <w:sz w:val="24"/>
          <w:szCs w:val="24"/>
        </w:rPr>
      </w:pPr>
      <w:r>
        <w:rPr>
          <w:rFonts w:ascii="Arial" w:hAnsi="Arial" w:cs="Arial"/>
          <w:sz w:val="24"/>
          <w:szCs w:val="24"/>
        </w:rPr>
        <w:t xml:space="preserve">Cultural analysis needs to concentrate on the practical implications for business rather than on </w:t>
      </w:r>
      <w:proofErr w:type="spellStart"/>
      <w:r>
        <w:rPr>
          <w:rFonts w:ascii="Arial" w:hAnsi="Arial" w:cs="Arial"/>
          <w:sz w:val="24"/>
          <w:szCs w:val="24"/>
        </w:rPr>
        <w:t>generalisations</w:t>
      </w:r>
      <w:proofErr w:type="spellEnd"/>
      <w:r>
        <w:rPr>
          <w:rFonts w:ascii="Arial" w:hAnsi="Arial" w:cs="Arial"/>
          <w:sz w:val="24"/>
          <w:szCs w:val="24"/>
        </w:rPr>
        <w:t xml:space="preserve"> related to countries. French customers might expect to communicate in French, to operate within a rigid governance framework, and to have experienced specialists.</w:t>
      </w:r>
    </w:p>
    <w:p w14:paraId="1E075585" w14:textId="77777777" w:rsidR="001A392A" w:rsidRDefault="004E013E">
      <w:pPr>
        <w:spacing w:after="210" w:line="360" w:lineRule="auto"/>
        <w:jc w:val="both"/>
        <w:rPr>
          <w:rFonts w:ascii="Arial" w:hAnsi="Arial" w:cs="Arial"/>
          <w:sz w:val="24"/>
          <w:szCs w:val="24"/>
        </w:rPr>
      </w:pPr>
      <w:r>
        <w:rPr>
          <w:rFonts w:ascii="Arial" w:hAnsi="Arial" w:cs="Arial"/>
          <w:sz w:val="24"/>
          <w:szCs w:val="24"/>
        </w:rPr>
        <w:t xml:space="preserve">The concept of cultural distance needs to be applied carefully. </w:t>
      </w:r>
      <w:proofErr w:type="spellStart"/>
      <w:r>
        <w:rPr>
          <w:rFonts w:ascii="Arial" w:hAnsi="Arial" w:cs="Arial"/>
          <w:sz w:val="24"/>
          <w:szCs w:val="24"/>
        </w:rPr>
        <w:t>Beugelsdijk</w:t>
      </w:r>
      <w:proofErr w:type="spellEnd"/>
      <w:r>
        <w:rPr>
          <w:rFonts w:ascii="Arial" w:hAnsi="Arial" w:cs="Arial"/>
          <w:sz w:val="24"/>
          <w:szCs w:val="24"/>
        </w:rPr>
        <w:t xml:space="preserve"> &amp; al. (2018) demonstrate that the impact of cultural distance depends on the firm, type of industry and decision-making context. Griffith, Dean and Hoppner (2021) also argue that studies on cultural distance may be misleading by considering differences across countries as constant and simplified.</w:t>
      </w:r>
    </w:p>
    <w:p w14:paraId="1E075586" w14:textId="77777777" w:rsidR="001A392A" w:rsidRDefault="004E013E">
      <w:pPr>
        <w:spacing w:after="210" w:line="360" w:lineRule="auto"/>
        <w:jc w:val="both"/>
        <w:rPr>
          <w:rFonts w:ascii="Arial" w:hAnsi="Arial" w:cs="Arial"/>
          <w:sz w:val="24"/>
          <w:szCs w:val="24"/>
        </w:rPr>
      </w:pPr>
      <w:r>
        <w:rPr>
          <w:rFonts w:ascii="Arial" w:hAnsi="Arial" w:cs="Arial"/>
          <w:sz w:val="24"/>
          <w:szCs w:val="24"/>
        </w:rPr>
        <w:t xml:space="preserve">TCS should not treat every French client in the same way. An aerospace producer from France might appreciate the technical expertise of the engineers, project safety and security. A retail client may underline customer experience, fast e-commerce opportunities. A public client may value transparency, accountability and legislative </w:t>
      </w:r>
      <w:r>
        <w:rPr>
          <w:rFonts w:ascii="Arial" w:hAnsi="Arial" w:cs="Arial"/>
          <w:sz w:val="24"/>
          <w:szCs w:val="24"/>
        </w:rPr>
        <w:lastRenderedPageBreak/>
        <w:t>compliance. A bank in its turn may pay attention to cybersecurity and audit opportunities.</w:t>
      </w:r>
    </w:p>
    <w:p w14:paraId="1E075587" w14:textId="77777777" w:rsidR="001A392A" w:rsidRDefault="004E013E">
      <w:pPr>
        <w:spacing w:after="210" w:line="360" w:lineRule="auto"/>
        <w:jc w:val="both"/>
        <w:rPr>
          <w:rFonts w:ascii="Arial" w:hAnsi="Arial" w:cs="Arial"/>
          <w:sz w:val="24"/>
          <w:szCs w:val="24"/>
        </w:rPr>
      </w:pPr>
      <w:r>
        <w:rPr>
          <w:rFonts w:ascii="Arial" w:hAnsi="Arial" w:cs="Arial"/>
          <w:sz w:val="24"/>
          <w:szCs w:val="24"/>
        </w:rPr>
        <w:t>Consequently, the approach in strategy should encompass:</w:t>
      </w:r>
    </w:p>
    <w:p w14:paraId="1E075588" w14:textId="77777777" w:rsidR="001A392A" w:rsidRDefault="004E013E">
      <w:pPr>
        <w:pStyle w:val="ListParagraph"/>
        <w:numPr>
          <w:ilvl w:val="0"/>
          <w:numId w:val="3"/>
        </w:numPr>
        <w:spacing w:after="210" w:line="360" w:lineRule="auto"/>
        <w:jc w:val="both"/>
        <w:rPr>
          <w:rFonts w:ascii="Arial" w:hAnsi="Arial" w:cs="Arial"/>
          <w:sz w:val="24"/>
          <w:szCs w:val="24"/>
        </w:rPr>
      </w:pPr>
      <w:r>
        <w:rPr>
          <w:rFonts w:ascii="Arial" w:hAnsi="Arial" w:cs="Arial"/>
          <w:sz w:val="24"/>
          <w:szCs w:val="24"/>
        </w:rPr>
        <w:t>Account partners as well as project leaders who speak French.</w:t>
      </w:r>
    </w:p>
    <w:p w14:paraId="1E075589" w14:textId="77777777" w:rsidR="001A392A" w:rsidRDefault="004E013E">
      <w:pPr>
        <w:pStyle w:val="ListParagraph"/>
        <w:numPr>
          <w:ilvl w:val="0"/>
          <w:numId w:val="3"/>
        </w:numPr>
        <w:spacing w:after="210" w:line="360" w:lineRule="auto"/>
        <w:jc w:val="both"/>
        <w:rPr>
          <w:rFonts w:ascii="Arial" w:hAnsi="Arial" w:cs="Arial"/>
          <w:sz w:val="24"/>
          <w:szCs w:val="24"/>
        </w:rPr>
      </w:pPr>
      <w:r>
        <w:rPr>
          <w:rFonts w:ascii="Arial" w:hAnsi="Arial" w:cs="Arial"/>
          <w:sz w:val="24"/>
          <w:szCs w:val="24"/>
        </w:rPr>
        <w:t>Local industry experts in fields such as aerospace, finance, and public services, and in the field of manufacturing.</w:t>
      </w:r>
    </w:p>
    <w:p w14:paraId="1E07558A" w14:textId="77777777" w:rsidR="001A392A" w:rsidRDefault="004E013E">
      <w:pPr>
        <w:pStyle w:val="ListParagraph"/>
        <w:numPr>
          <w:ilvl w:val="0"/>
          <w:numId w:val="3"/>
        </w:numPr>
        <w:spacing w:after="210" w:line="360" w:lineRule="auto"/>
        <w:jc w:val="both"/>
        <w:rPr>
          <w:rFonts w:ascii="Arial" w:hAnsi="Arial" w:cs="Arial"/>
          <w:sz w:val="24"/>
          <w:szCs w:val="24"/>
        </w:rPr>
      </w:pPr>
      <w:r>
        <w:rPr>
          <w:rFonts w:ascii="Arial" w:hAnsi="Arial" w:cs="Arial"/>
          <w:sz w:val="24"/>
          <w:szCs w:val="24"/>
        </w:rPr>
        <w:t>Training programs for French people so that they can develop their careers.</w:t>
      </w:r>
    </w:p>
    <w:p w14:paraId="1E07558B" w14:textId="77777777" w:rsidR="001A392A" w:rsidRDefault="004E013E">
      <w:pPr>
        <w:pStyle w:val="ListParagraph"/>
        <w:numPr>
          <w:ilvl w:val="0"/>
          <w:numId w:val="3"/>
        </w:numPr>
        <w:spacing w:after="210" w:line="360" w:lineRule="auto"/>
        <w:jc w:val="both"/>
        <w:rPr>
          <w:rFonts w:ascii="Arial" w:hAnsi="Arial" w:cs="Arial"/>
          <w:sz w:val="24"/>
          <w:szCs w:val="24"/>
        </w:rPr>
      </w:pPr>
      <w:r>
        <w:rPr>
          <w:rFonts w:ascii="Arial" w:hAnsi="Arial" w:cs="Arial"/>
          <w:sz w:val="24"/>
          <w:szCs w:val="24"/>
        </w:rPr>
        <w:t>Organization of client governance systems based on industry and project risks.</w:t>
      </w:r>
    </w:p>
    <w:p w14:paraId="1E07558C" w14:textId="77777777" w:rsidR="001A392A" w:rsidRDefault="004E013E">
      <w:pPr>
        <w:pStyle w:val="ListParagraph"/>
        <w:numPr>
          <w:ilvl w:val="0"/>
          <w:numId w:val="3"/>
        </w:numPr>
        <w:spacing w:after="210" w:line="360" w:lineRule="auto"/>
        <w:jc w:val="both"/>
        <w:rPr>
          <w:rFonts w:ascii="Arial" w:hAnsi="Arial" w:cs="Arial"/>
          <w:sz w:val="24"/>
          <w:szCs w:val="24"/>
        </w:rPr>
      </w:pPr>
      <w:r>
        <w:rPr>
          <w:rFonts w:ascii="Arial" w:hAnsi="Arial" w:cs="Arial"/>
          <w:sz w:val="24"/>
          <w:szCs w:val="24"/>
        </w:rPr>
        <w:t>Establishment of local partnerships for the purpose of acquiring more institutional legitimacy.</w:t>
      </w:r>
    </w:p>
    <w:p w14:paraId="1E07558D" w14:textId="77777777" w:rsidR="001A392A" w:rsidRDefault="004E013E">
      <w:pPr>
        <w:pStyle w:val="ListParagraph"/>
        <w:numPr>
          <w:ilvl w:val="0"/>
          <w:numId w:val="3"/>
        </w:numPr>
        <w:spacing w:after="210" w:line="360" w:lineRule="auto"/>
        <w:jc w:val="both"/>
        <w:rPr>
          <w:rFonts w:ascii="Arial" w:hAnsi="Arial" w:cs="Arial"/>
          <w:sz w:val="24"/>
          <w:szCs w:val="24"/>
        </w:rPr>
      </w:pPr>
      <w:r>
        <w:rPr>
          <w:rFonts w:ascii="Arial" w:hAnsi="Arial" w:cs="Arial"/>
          <w:sz w:val="24"/>
          <w:szCs w:val="24"/>
        </w:rPr>
        <w:t>Cultural training for global delivery teams.</w:t>
      </w:r>
    </w:p>
    <w:p w14:paraId="1E07558E" w14:textId="6D88A984" w:rsidR="001A392A" w:rsidRPr="00FD0550" w:rsidRDefault="004E013E">
      <w:pPr>
        <w:spacing w:after="210" w:line="360" w:lineRule="auto"/>
        <w:jc w:val="both"/>
        <w:rPr>
          <w:rFonts w:ascii="Arial" w:hAnsi="Arial" w:cs="Arial"/>
          <w:sz w:val="24"/>
          <w:szCs w:val="24"/>
          <w:lang w:val="en-GB"/>
        </w:rPr>
      </w:pPr>
      <w:r>
        <w:rPr>
          <w:rFonts w:ascii="Arial" w:hAnsi="Arial" w:cs="Arial"/>
          <w:sz w:val="24"/>
          <w:szCs w:val="24"/>
        </w:rPr>
        <w:t>There must be no reduction in TCS’s global standards by adapting this strategy. However, it is necessary that the company cooperates with its clients and applies its marketing processes in the framework of communication, leadership and sector expertise while obtaining back its standards from the companies from all over the world</w:t>
      </w:r>
      <w:r w:rsidR="00FD0550">
        <w:rPr>
          <w:rFonts w:ascii="Arial" w:hAnsi="Arial" w:cs="Arial"/>
          <w:sz w:val="24"/>
          <w:szCs w:val="24"/>
        </w:rPr>
        <w:t xml:space="preserve"> </w:t>
      </w:r>
      <w:r w:rsidR="00FD0550" w:rsidRPr="00FD0550">
        <w:rPr>
          <w:rFonts w:ascii="Arial" w:hAnsi="Arial" w:cs="Arial"/>
          <w:sz w:val="24"/>
          <w:szCs w:val="24"/>
          <w:lang w:val="en-GB"/>
        </w:rPr>
        <w:t>(Griffith, Dean and Hoppner, 2021)</w:t>
      </w:r>
      <w:r>
        <w:rPr>
          <w:rFonts w:ascii="Arial" w:hAnsi="Arial" w:cs="Arial"/>
          <w:sz w:val="24"/>
          <w:szCs w:val="24"/>
        </w:rPr>
        <w:t>.</w:t>
      </w:r>
    </w:p>
    <w:p w14:paraId="1E07558F" w14:textId="77777777" w:rsidR="001A392A" w:rsidRDefault="004E013E">
      <w:pPr>
        <w:spacing w:after="210" w:line="360" w:lineRule="auto"/>
        <w:jc w:val="both"/>
        <w:rPr>
          <w:rFonts w:ascii="Arial" w:hAnsi="Arial" w:cs="Arial"/>
          <w:sz w:val="24"/>
          <w:szCs w:val="24"/>
        </w:rPr>
      </w:pPr>
      <w:r>
        <w:rPr>
          <w:rFonts w:ascii="Arial" w:hAnsi="Arial" w:cs="Arial"/>
          <w:sz w:val="24"/>
          <w:szCs w:val="24"/>
        </w:rPr>
        <w:t>Table 3: France market-attractiveness assessment</w:t>
      </w:r>
    </w:p>
    <w:tbl>
      <w:tblPr>
        <w:tblW w:w="9016" w:type="dxa"/>
        <w:tblCellMar>
          <w:left w:w="10" w:type="dxa"/>
          <w:right w:w="10" w:type="dxa"/>
        </w:tblCellMar>
        <w:tblLook w:val="0000" w:firstRow="0" w:lastRow="0" w:firstColumn="0" w:lastColumn="0" w:noHBand="0" w:noVBand="0"/>
      </w:tblPr>
      <w:tblGrid>
        <w:gridCol w:w="2925"/>
        <w:gridCol w:w="1994"/>
        <w:gridCol w:w="4097"/>
      </w:tblGrid>
      <w:tr w:rsidR="001A392A" w14:paraId="1E075593"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0" w14:textId="77777777" w:rsidR="001A392A" w:rsidRDefault="004E013E">
            <w:pPr>
              <w:spacing w:line="360" w:lineRule="auto"/>
            </w:pPr>
            <w:r>
              <w:rPr>
                <w:rFonts w:ascii="Arial" w:eastAsia="source sans 3" w:hAnsi="Arial" w:cs="Arial"/>
                <w:color w:val="000000"/>
                <w:sz w:val="24"/>
                <w:szCs w:val="24"/>
              </w:rPr>
              <w:t>Factor</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1" w14:textId="77777777" w:rsidR="001A392A" w:rsidRDefault="004E013E">
            <w:pPr>
              <w:spacing w:line="360" w:lineRule="auto"/>
            </w:pPr>
            <w:r>
              <w:rPr>
                <w:rFonts w:ascii="Arial" w:eastAsia="source sans 3" w:hAnsi="Arial" w:cs="Arial"/>
                <w:color w:val="000000"/>
                <w:sz w:val="24"/>
                <w:szCs w:val="24"/>
              </w:rPr>
              <w:t>Assessment</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2" w14:textId="77777777" w:rsidR="001A392A" w:rsidRDefault="004E013E">
            <w:pPr>
              <w:spacing w:line="360" w:lineRule="auto"/>
            </w:pPr>
            <w:r>
              <w:rPr>
                <w:rFonts w:ascii="Arial" w:eastAsia="source sans 3" w:hAnsi="Arial" w:cs="Arial"/>
                <w:color w:val="000000"/>
                <w:sz w:val="24"/>
                <w:szCs w:val="24"/>
              </w:rPr>
              <w:t>Critical implication</w:t>
            </w:r>
          </w:p>
        </w:tc>
      </w:tr>
      <w:tr w:rsidR="001A392A" w14:paraId="1E075597"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4" w14:textId="77777777" w:rsidR="001A392A" w:rsidRDefault="004E013E">
            <w:pPr>
              <w:spacing w:line="360" w:lineRule="auto"/>
            </w:pPr>
            <w:r>
              <w:rPr>
                <w:rFonts w:ascii="Arial" w:eastAsia="source sans 3" w:hAnsi="Arial" w:cs="Arial"/>
                <w:color w:val="000000"/>
                <w:sz w:val="24"/>
                <w:szCs w:val="24"/>
              </w:rPr>
              <w:t>Market size</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5" w14:textId="77777777" w:rsidR="001A392A" w:rsidRDefault="004E013E">
            <w:pPr>
              <w:spacing w:line="360" w:lineRule="auto"/>
            </w:pPr>
            <w:r>
              <w:rPr>
                <w:rFonts w:ascii="Arial" w:eastAsia="source sans 3" w:hAnsi="Arial" w:cs="Arial"/>
                <w:color w:val="000000"/>
                <w:sz w:val="24"/>
                <w:szCs w:val="24"/>
              </w:rPr>
              <w:t>High</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6" w14:textId="77777777" w:rsidR="001A392A" w:rsidRDefault="004E013E">
            <w:pPr>
              <w:spacing w:line="360" w:lineRule="auto"/>
            </w:pPr>
            <w:r>
              <w:rPr>
                <w:rFonts w:ascii="Arial" w:eastAsia="source sans 3" w:hAnsi="Arial" w:cs="Arial"/>
                <w:color w:val="000000"/>
                <w:sz w:val="24"/>
                <w:szCs w:val="24"/>
              </w:rPr>
              <w:t>Supports TCS growth but competition is intense</w:t>
            </w:r>
          </w:p>
        </w:tc>
      </w:tr>
      <w:tr w:rsidR="001A392A" w14:paraId="1E07559B"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8" w14:textId="77777777" w:rsidR="001A392A" w:rsidRDefault="004E013E">
            <w:pPr>
              <w:spacing w:line="360" w:lineRule="auto"/>
            </w:pPr>
            <w:r>
              <w:rPr>
                <w:rFonts w:ascii="Arial" w:eastAsia="source sans 3" w:hAnsi="Arial" w:cs="Arial"/>
                <w:color w:val="000000"/>
                <w:sz w:val="24"/>
                <w:szCs w:val="24"/>
              </w:rPr>
              <w:t>AI and digital policy</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9" w14:textId="77777777" w:rsidR="001A392A" w:rsidRDefault="004E013E">
            <w:pPr>
              <w:spacing w:line="360" w:lineRule="auto"/>
            </w:pPr>
            <w:r>
              <w:rPr>
                <w:rFonts w:ascii="Arial" w:eastAsia="source sans 3" w:hAnsi="Arial" w:cs="Arial"/>
                <w:color w:val="000000"/>
                <w:sz w:val="24"/>
                <w:szCs w:val="24"/>
              </w:rPr>
              <w:t>High</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A" w14:textId="77777777" w:rsidR="001A392A" w:rsidRDefault="004E013E">
            <w:pPr>
              <w:spacing w:line="360" w:lineRule="auto"/>
            </w:pPr>
            <w:r>
              <w:rPr>
                <w:rFonts w:ascii="Arial" w:eastAsia="source sans 3" w:hAnsi="Arial" w:cs="Arial"/>
                <w:color w:val="000000"/>
                <w:sz w:val="24"/>
                <w:szCs w:val="24"/>
              </w:rPr>
              <w:t xml:space="preserve">Opportunity, but sovereignty may </w:t>
            </w:r>
            <w:proofErr w:type="spellStart"/>
            <w:r>
              <w:rPr>
                <w:rFonts w:ascii="Arial" w:eastAsia="source sans 3" w:hAnsi="Arial" w:cs="Arial"/>
                <w:color w:val="000000"/>
                <w:sz w:val="24"/>
                <w:szCs w:val="24"/>
              </w:rPr>
              <w:t>favour</w:t>
            </w:r>
            <w:proofErr w:type="spellEnd"/>
            <w:r>
              <w:rPr>
                <w:rFonts w:ascii="Arial" w:eastAsia="source sans 3" w:hAnsi="Arial" w:cs="Arial"/>
                <w:color w:val="000000"/>
                <w:sz w:val="24"/>
                <w:szCs w:val="24"/>
              </w:rPr>
              <w:t xml:space="preserve"> local providers</w:t>
            </w:r>
          </w:p>
        </w:tc>
      </w:tr>
      <w:tr w:rsidR="001A392A" w14:paraId="1E07559F"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C" w14:textId="77777777" w:rsidR="001A392A" w:rsidRDefault="004E013E">
            <w:pPr>
              <w:spacing w:line="360" w:lineRule="auto"/>
              <w:rPr>
                <w:rFonts w:ascii="Arial" w:eastAsia="source sans 3" w:hAnsi="Arial" w:cs="Arial"/>
                <w:color w:val="000000"/>
                <w:sz w:val="24"/>
                <w:szCs w:val="24"/>
              </w:rPr>
            </w:pPr>
            <w:r>
              <w:rPr>
                <w:rFonts w:ascii="Arial" w:eastAsia="source sans 3" w:hAnsi="Arial" w:cs="Arial"/>
                <w:color w:val="000000"/>
                <w:sz w:val="24"/>
                <w:szCs w:val="24"/>
              </w:rPr>
              <w:t>Regulatory complexity</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D" w14:textId="77777777" w:rsidR="001A392A" w:rsidRDefault="004E013E">
            <w:pPr>
              <w:spacing w:line="360" w:lineRule="auto"/>
            </w:pPr>
            <w:r>
              <w:rPr>
                <w:rFonts w:ascii="Arial" w:eastAsia="source sans 3" w:hAnsi="Arial" w:cs="Arial"/>
                <w:color w:val="000000"/>
                <w:sz w:val="24"/>
                <w:szCs w:val="24"/>
              </w:rPr>
              <w:t>High</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9E" w14:textId="77777777" w:rsidR="001A392A" w:rsidRDefault="004E013E">
            <w:pPr>
              <w:spacing w:line="360" w:lineRule="auto"/>
            </w:pPr>
            <w:r>
              <w:rPr>
                <w:rFonts w:ascii="Arial" w:eastAsia="source sans 3" w:hAnsi="Arial" w:cs="Arial"/>
                <w:color w:val="000000"/>
                <w:sz w:val="24"/>
                <w:szCs w:val="24"/>
              </w:rPr>
              <w:t>Requires local governance and EU-compliant delivery</w:t>
            </w:r>
          </w:p>
        </w:tc>
      </w:tr>
      <w:tr w:rsidR="001A392A" w14:paraId="1E0755A3"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0" w14:textId="77777777" w:rsidR="001A392A" w:rsidRDefault="004E013E">
            <w:pPr>
              <w:spacing w:line="360" w:lineRule="auto"/>
              <w:rPr>
                <w:rFonts w:ascii="Arial" w:eastAsia="source sans 3" w:hAnsi="Arial" w:cs="Arial"/>
                <w:color w:val="000000"/>
                <w:sz w:val="24"/>
                <w:szCs w:val="24"/>
              </w:rPr>
            </w:pPr>
            <w:proofErr w:type="spellStart"/>
            <w:r>
              <w:rPr>
                <w:rFonts w:ascii="Arial" w:eastAsia="source sans 3" w:hAnsi="Arial" w:cs="Arial"/>
                <w:color w:val="000000"/>
                <w:sz w:val="24"/>
                <w:szCs w:val="24"/>
              </w:rPr>
              <w:t>Labour</w:t>
            </w:r>
            <w:proofErr w:type="spellEnd"/>
            <w:r>
              <w:rPr>
                <w:rFonts w:ascii="Arial" w:eastAsia="source sans 3" w:hAnsi="Arial" w:cs="Arial"/>
                <w:color w:val="000000"/>
                <w:sz w:val="24"/>
                <w:szCs w:val="24"/>
              </w:rPr>
              <w:t xml:space="preserve"> cost</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1" w14:textId="77777777" w:rsidR="001A392A" w:rsidRDefault="004E013E">
            <w:pPr>
              <w:spacing w:line="360" w:lineRule="auto"/>
            </w:pPr>
            <w:r>
              <w:rPr>
                <w:rFonts w:ascii="Arial" w:eastAsia="source sans 3" w:hAnsi="Arial" w:cs="Arial"/>
                <w:color w:val="000000"/>
                <w:sz w:val="24"/>
                <w:szCs w:val="24"/>
              </w:rPr>
              <w:t>High</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2" w14:textId="77777777" w:rsidR="001A392A" w:rsidRDefault="004E013E">
            <w:pPr>
              <w:spacing w:line="360" w:lineRule="auto"/>
            </w:pPr>
            <w:r>
              <w:rPr>
                <w:rFonts w:ascii="Arial" w:eastAsia="source sans 3" w:hAnsi="Arial" w:cs="Arial"/>
                <w:color w:val="000000"/>
                <w:sz w:val="24"/>
                <w:szCs w:val="24"/>
              </w:rPr>
              <w:t>France should focus on high-value specialist work</w:t>
            </w:r>
          </w:p>
        </w:tc>
      </w:tr>
      <w:tr w:rsidR="001A392A" w14:paraId="1E0755A7"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4" w14:textId="77777777" w:rsidR="001A392A" w:rsidRDefault="004E013E">
            <w:pPr>
              <w:spacing w:line="360" w:lineRule="auto"/>
              <w:rPr>
                <w:rFonts w:ascii="Arial" w:eastAsia="source sans 3" w:hAnsi="Arial" w:cs="Arial"/>
                <w:color w:val="000000"/>
                <w:sz w:val="24"/>
                <w:szCs w:val="24"/>
              </w:rPr>
            </w:pPr>
            <w:r>
              <w:rPr>
                <w:rFonts w:ascii="Arial" w:eastAsia="source sans 3" w:hAnsi="Arial" w:cs="Arial"/>
                <w:color w:val="000000"/>
                <w:sz w:val="24"/>
                <w:szCs w:val="24"/>
              </w:rPr>
              <w:lastRenderedPageBreak/>
              <w:t>Competition</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5" w14:textId="77777777" w:rsidR="001A392A" w:rsidRDefault="004E013E">
            <w:pPr>
              <w:spacing w:line="360" w:lineRule="auto"/>
            </w:pPr>
            <w:r>
              <w:rPr>
                <w:rFonts w:ascii="Arial" w:eastAsia="source sans 3" w:hAnsi="Arial" w:cs="Arial"/>
                <w:color w:val="000000"/>
                <w:sz w:val="24"/>
                <w:szCs w:val="24"/>
              </w:rPr>
              <w:t>Very high</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6" w14:textId="77777777" w:rsidR="001A392A" w:rsidRDefault="004E013E">
            <w:pPr>
              <w:spacing w:line="360" w:lineRule="auto"/>
            </w:pPr>
            <w:r>
              <w:rPr>
                <w:rFonts w:ascii="Arial" w:eastAsia="source sans 3" w:hAnsi="Arial" w:cs="Arial"/>
                <w:color w:val="000000"/>
                <w:sz w:val="24"/>
                <w:szCs w:val="24"/>
              </w:rPr>
              <w:t>TCS must differentiate beyond price</w:t>
            </w:r>
          </w:p>
        </w:tc>
      </w:tr>
      <w:tr w:rsidR="001A392A" w14:paraId="1E0755AB"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8" w14:textId="77777777" w:rsidR="001A392A" w:rsidRDefault="004E013E">
            <w:pPr>
              <w:spacing w:line="360" w:lineRule="auto"/>
            </w:pPr>
            <w:r>
              <w:rPr>
                <w:rFonts w:ascii="Arial" w:eastAsia="source sans 3" w:hAnsi="Arial" w:cs="Arial"/>
                <w:color w:val="000000"/>
                <w:sz w:val="24"/>
                <w:szCs w:val="24"/>
              </w:rPr>
              <w:t>Cultural and language adaptation</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9" w14:textId="77777777" w:rsidR="001A392A" w:rsidRDefault="004E013E">
            <w:pPr>
              <w:spacing w:line="360" w:lineRule="auto"/>
            </w:pPr>
            <w:r>
              <w:rPr>
                <w:rFonts w:ascii="Arial" w:eastAsia="source sans 3" w:hAnsi="Arial" w:cs="Arial"/>
                <w:color w:val="000000"/>
                <w:sz w:val="24"/>
                <w:szCs w:val="24"/>
              </w:rPr>
              <w:t>Essential</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A" w14:textId="77777777" w:rsidR="001A392A" w:rsidRDefault="004E013E">
            <w:pPr>
              <w:spacing w:line="360" w:lineRule="auto"/>
            </w:pPr>
            <w:r>
              <w:rPr>
                <w:rFonts w:ascii="Arial" w:eastAsia="source sans 3" w:hAnsi="Arial" w:cs="Arial"/>
                <w:color w:val="000000"/>
                <w:sz w:val="24"/>
                <w:szCs w:val="24"/>
              </w:rPr>
              <w:t>French leadership improves trust and client retention</w:t>
            </w:r>
          </w:p>
        </w:tc>
      </w:tr>
      <w:tr w:rsidR="001A392A" w14:paraId="1E0755AF" w14:textId="77777777">
        <w:trPr>
          <w:cantSplit/>
        </w:trPr>
        <w:tc>
          <w:tcPr>
            <w:tcW w:w="292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C" w14:textId="77777777" w:rsidR="001A392A" w:rsidRDefault="004E013E">
            <w:pPr>
              <w:spacing w:line="360" w:lineRule="auto"/>
            </w:pPr>
            <w:r>
              <w:rPr>
                <w:rFonts w:ascii="Arial" w:eastAsia="source sans 3" w:hAnsi="Arial" w:cs="Arial"/>
                <w:color w:val="000000"/>
                <w:sz w:val="24"/>
                <w:szCs w:val="24"/>
              </w:rPr>
              <w:t>Overall attractiveness</w:t>
            </w:r>
          </w:p>
        </w:tc>
        <w:tc>
          <w:tcPr>
            <w:tcW w:w="1994"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D" w14:textId="77777777" w:rsidR="001A392A" w:rsidRDefault="004E013E">
            <w:pPr>
              <w:spacing w:line="360" w:lineRule="auto"/>
            </w:pPr>
            <w:r>
              <w:rPr>
                <w:rFonts w:ascii="Arial" w:eastAsia="source sans 3" w:hAnsi="Arial" w:cs="Arial"/>
                <w:color w:val="000000"/>
                <w:sz w:val="24"/>
                <w:szCs w:val="24"/>
              </w:rPr>
              <w:t>Conditionally high</w:t>
            </w:r>
          </w:p>
        </w:tc>
        <w:tc>
          <w:tcPr>
            <w:tcW w:w="4097"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AE" w14:textId="77777777" w:rsidR="001A392A" w:rsidRDefault="004E013E">
            <w:pPr>
              <w:spacing w:line="360" w:lineRule="auto"/>
            </w:pPr>
            <w:r>
              <w:rPr>
                <w:rFonts w:ascii="Arial" w:eastAsia="source sans 3" w:hAnsi="Arial" w:cs="Arial"/>
                <w:color w:val="000000"/>
                <w:sz w:val="24"/>
                <w:szCs w:val="24"/>
              </w:rPr>
              <w:t>Expansion is justified only through selective strategy</w:t>
            </w:r>
          </w:p>
        </w:tc>
      </w:tr>
    </w:tbl>
    <w:p w14:paraId="1E0755B0" w14:textId="77777777" w:rsidR="001A392A" w:rsidRDefault="001A392A">
      <w:pPr>
        <w:spacing w:after="210" w:line="360" w:lineRule="auto"/>
        <w:jc w:val="both"/>
        <w:rPr>
          <w:rFonts w:ascii="Arial" w:hAnsi="Arial" w:cs="Arial"/>
          <w:sz w:val="24"/>
          <w:szCs w:val="24"/>
        </w:rPr>
      </w:pPr>
    </w:p>
    <w:p w14:paraId="1E0755B1" w14:textId="77777777" w:rsidR="001A392A" w:rsidRPr="001A6F69" w:rsidRDefault="004E013E" w:rsidP="001A6F69">
      <w:pPr>
        <w:pStyle w:val="Heading1"/>
        <w:jc w:val="both"/>
        <w:rPr>
          <w:rFonts w:ascii="Arial" w:hAnsi="Arial" w:cs="Arial"/>
          <w:b/>
          <w:bCs/>
          <w:color w:val="000000" w:themeColor="text1"/>
          <w:sz w:val="24"/>
          <w:szCs w:val="24"/>
          <w:lang w:val="en-GB"/>
        </w:rPr>
      </w:pPr>
      <w:bookmarkStart w:id="30" w:name="_Toc237574843"/>
      <w:r w:rsidRPr="001A6F69">
        <w:rPr>
          <w:rFonts w:ascii="Arial" w:hAnsi="Arial" w:cs="Arial"/>
          <w:b/>
          <w:bCs/>
          <w:color w:val="000000" w:themeColor="text1"/>
          <w:sz w:val="24"/>
          <w:szCs w:val="24"/>
          <w:lang w:val="en-GB"/>
        </w:rPr>
        <w:t>5. Dunning’s OLI Framework</w:t>
      </w:r>
      <w:bookmarkEnd w:id="30"/>
    </w:p>
    <w:p w14:paraId="1E0755B2" w14:textId="53E57173" w:rsidR="001A392A" w:rsidRPr="002E16B3" w:rsidRDefault="004E013E">
      <w:pPr>
        <w:spacing w:after="210" w:line="360" w:lineRule="auto"/>
        <w:jc w:val="both"/>
        <w:rPr>
          <w:rFonts w:ascii="Arial" w:eastAsia="source serif 4" w:hAnsi="Arial" w:cs="Arial"/>
          <w:color w:val="000000"/>
          <w:sz w:val="24"/>
          <w:szCs w:val="24"/>
          <w:lang w:val="en-GB"/>
        </w:rPr>
      </w:pPr>
      <w:r>
        <w:rPr>
          <w:rFonts w:ascii="Arial" w:eastAsia="source serif 4" w:hAnsi="Arial" w:cs="Arial"/>
          <w:color w:val="000000"/>
          <w:sz w:val="24"/>
          <w:szCs w:val="24"/>
        </w:rPr>
        <w:t xml:space="preserve">Dunning’s OLI paradigm explains foreign direct investment through ownership, location and </w:t>
      </w:r>
      <w:proofErr w:type="spellStart"/>
      <w:r>
        <w:rPr>
          <w:rFonts w:ascii="Arial" w:eastAsia="source serif 4" w:hAnsi="Arial" w:cs="Arial"/>
          <w:color w:val="000000"/>
          <w:sz w:val="24"/>
          <w:szCs w:val="24"/>
        </w:rPr>
        <w:t>internalisation</w:t>
      </w:r>
      <w:proofErr w:type="spellEnd"/>
      <w:r>
        <w:rPr>
          <w:rFonts w:ascii="Arial" w:eastAsia="source serif 4" w:hAnsi="Arial" w:cs="Arial"/>
          <w:color w:val="000000"/>
          <w:sz w:val="24"/>
          <w:szCs w:val="24"/>
        </w:rPr>
        <w:t xml:space="preserve"> advantages </w:t>
      </w:r>
      <w:r w:rsidR="002E16B3" w:rsidRPr="002E16B3">
        <w:rPr>
          <w:rFonts w:ascii="Arial" w:eastAsia="source serif 4" w:hAnsi="Arial" w:cs="Arial"/>
          <w:color w:val="000000"/>
          <w:sz w:val="24"/>
          <w:szCs w:val="24"/>
          <w:lang w:val="en-GB"/>
        </w:rPr>
        <w:t>(Dunning, 1988)</w:t>
      </w:r>
      <w:r>
        <w:rPr>
          <w:rFonts w:ascii="Arial" w:eastAsia="source serif 4" w:hAnsi="Arial" w:cs="Arial"/>
          <w:color w:val="000000"/>
          <w:sz w:val="24"/>
          <w:szCs w:val="24"/>
        </w:rPr>
        <w:t>.</w:t>
      </w:r>
    </w:p>
    <w:p w14:paraId="1E0755B3" w14:textId="77777777" w:rsidR="001A392A" w:rsidRDefault="004E013E">
      <w:pPr>
        <w:spacing w:after="210" w:line="360" w:lineRule="auto"/>
        <w:jc w:val="both"/>
        <w:rPr>
          <w:rFonts w:ascii="Arial" w:eastAsia="source serif 4" w:hAnsi="Arial" w:cs="Arial"/>
          <w:b/>
          <w:color w:val="000000"/>
          <w:sz w:val="24"/>
          <w:szCs w:val="24"/>
        </w:rPr>
      </w:pPr>
      <w:r>
        <w:rPr>
          <w:rFonts w:ascii="Arial" w:eastAsia="source serif 4" w:hAnsi="Arial" w:cs="Arial"/>
          <w:b/>
          <w:color w:val="000000"/>
          <w:sz w:val="24"/>
          <w:szCs w:val="24"/>
        </w:rPr>
        <w:t>Table 4: OLI analysis for TCS in France</w:t>
      </w:r>
    </w:p>
    <w:tbl>
      <w:tblPr>
        <w:tblW w:w="9016" w:type="dxa"/>
        <w:jc w:val="center"/>
        <w:tblCellMar>
          <w:left w:w="10" w:type="dxa"/>
          <w:right w:w="10" w:type="dxa"/>
        </w:tblCellMar>
        <w:tblLook w:val="0000" w:firstRow="0" w:lastRow="0" w:firstColumn="0" w:lastColumn="0" w:noHBand="0" w:noVBand="0"/>
      </w:tblPr>
      <w:tblGrid>
        <w:gridCol w:w="1851"/>
        <w:gridCol w:w="3910"/>
        <w:gridCol w:w="3255"/>
      </w:tblGrid>
      <w:tr w:rsidR="001A392A" w14:paraId="1E0755B7" w14:textId="77777777">
        <w:trPr>
          <w:cantSplit/>
          <w:jc w:val="center"/>
        </w:trPr>
        <w:tc>
          <w:tcPr>
            <w:tcW w:w="185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4" w14:textId="77777777" w:rsidR="001A392A" w:rsidRDefault="004E013E">
            <w:pPr>
              <w:spacing w:line="360" w:lineRule="auto"/>
            </w:pPr>
            <w:r>
              <w:rPr>
                <w:rFonts w:ascii="Arial" w:eastAsia="source sans 3" w:hAnsi="Arial" w:cs="Arial"/>
                <w:color w:val="000000"/>
                <w:sz w:val="24"/>
                <w:szCs w:val="24"/>
              </w:rPr>
              <w:t>OLI dimension</w:t>
            </w:r>
          </w:p>
        </w:tc>
        <w:tc>
          <w:tcPr>
            <w:tcW w:w="3910"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5" w14:textId="77777777" w:rsidR="001A392A" w:rsidRDefault="004E013E">
            <w:pPr>
              <w:spacing w:line="360" w:lineRule="auto"/>
            </w:pPr>
            <w:r>
              <w:rPr>
                <w:rFonts w:ascii="Arial" w:eastAsia="source sans 3" w:hAnsi="Arial" w:cs="Arial"/>
                <w:color w:val="000000"/>
                <w:sz w:val="24"/>
                <w:szCs w:val="24"/>
              </w:rPr>
              <w:t>TCS application</w:t>
            </w:r>
          </w:p>
        </w:tc>
        <w:tc>
          <w:tcPr>
            <w:tcW w:w="325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6" w14:textId="77777777" w:rsidR="001A392A" w:rsidRDefault="004E013E">
            <w:pPr>
              <w:spacing w:line="360" w:lineRule="auto"/>
            </w:pPr>
            <w:r>
              <w:rPr>
                <w:rFonts w:ascii="Arial" w:eastAsia="source sans 3" w:hAnsi="Arial" w:cs="Arial"/>
                <w:color w:val="000000"/>
                <w:sz w:val="24"/>
                <w:szCs w:val="24"/>
              </w:rPr>
              <w:t>Critical conclusion</w:t>
            </w:r>
          </w:p>
        </w:tc>
      </w:tr>
      <w:tr w:rsidR="001A392A" w14:paraId="1E0755BB" w14:textId="77777777">
        <w:trPr>
          <w:cantSplit/>
          <w:jc w:val="center"/>
        </w:trPr>
        <w:tc>
          <w:tcPr>
            <w:tcW w:w="185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8" w14:textId="77777777" w:rsidR="001A392A" w:rsidRDefault="004E013E">
            <w:pPr>
              <w:spacing w:line="360" w:lineRule="auto"/>
            </w:pPr>
            <w:r>
              <w:rPr>
                <w:rFonts w:ascii="Arial" w:eastAsia="source sans 3" w:hAnsi="Arial" w:cs="Arial"/>
                <w:color w:val="000000"/>
                <w:sz w:val="24"/>
                <w:szCs w:val="24"/>
              </w:rPr>
              <w:t>Ownership</w:t>
            </w:r>
          </w:p>
        </w:tc>
        <w:tc>
          <w:tcPr>
            <w:tcW w:w="3910"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9" w14:textId="77777777" w:rsidR="001A392A" w:rsidRDefault="004E013E">
            <w:pPr>
              <w:spacing w:line="360" w:lineRule="auto"/>
            </w:pPr>
            <w:r>
              <w:rPr>
                <w:rFonts w:ascii="Arial" w:eastAsia="source sans 3" w:hAnsi="Arial" w:cs="Arial"/>
                <w:color w:val="000000"/>
                <w:sz w:val="24"/>
                <w:szCs w:val="24"/>
              </w:rPr>
              <w:t>Global delivery, AI, cloud, cyber, engineering and multinational client experience</w:t>
            </w:r>
          </w:p>
        </w:tc>
        <w:tc>
          <w:tcPr>
            <w:tcW w:w="325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A" w14:textId="77777777" w:rsidR="001A392A" w:rsidRDefault="004E013E">
            <w:pPr>
              <w:spacing w:line="360" w:lineRule="auto"/>
            </w:pPr>
            <w:r>
              <w:rPr>
                <w:rFonts w:ascii="Arial" w:eastAsia="source sans 3" w:hAnsi="Arial" w:cs="Arial"/>
                <w:color w:val="000000"/>
                <w:sz w:val="24"/>
                <w:szCs w:val="24"/>
              </w:rPr>
              <w:t>Strong, but advantages must be locally credible</w:t>
            </w:r>
          </w:p>
        </w:tc>
      </w:tr>
      <w:tr w:rsidR="001A392A" w14:paraId="1E0755BF" w14:textId="77777777">
        <w:trPr>
          <w:cantSplit/>
          <w:jc w:val="center"/>
        </w:trPr>
        <w:tc>
          <w:tcPr>
            <w:tcW w:w="185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C" w14:textId="77777777" w:rsidR="001A392A" w:rsidRDefault="004E013E">
            <w:pPr>
              <w:spacing w:line="360" w:lineRule="auto"/>
            </w:pPr>
            <w:r>
              <w:rPr>
                <w:rFonts w:ascii="Arial" w:eastAsia="source sans 3" w:hAnsi="Arial" w:cs="Arial"/>
                <w:color w:val="000000"/>
                <w:sz w:val="24"/>
                <w:szCs w:val="24"/>
              </w:rPr>
              <w:t>Location</w:t>
            </w:r>
          </w:p>
        </w:tc>
        <w:tc>
          <w:tcPr>
            <w:tcW w:w="3910"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D" w14:textId="77777777" w:rsidR="001A392A" w:rsidRDefault="004E013E">
            <w:pPr>
              <w:spacing w:line="360" w:lineRule="auto"/>
            </w:pPr>
            <w:r>
              <w:rPr>
                <w:rFonts w:ascii="Arial" w:eastAsia="source sans 3" w:hAnsi="Arial" w:cs="Arial"/>
                <w:color w:val="000000"/>
                <w:sz w:val="24"/>
                <w:szCs w:val="24"/>
              </w:rPr>
              <w:t>High-value corporate demand, AI policy, aerospace cluster and European access</w:t>
            </w:r>
          </w:p>
        </w:tc>
        <w:tc>
          <w:tcPr>
            <w:tcW w:w="325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BE" w14:textId="77777777" w:rsidR="001A392A" w:rsidRDefault="004E013E">
            <w:pPr>
              <w:spacing w:line="360" w:lineRule="auto"/>
            </w:pPr>
            <w:r>
              <w:rPr>
                <w:rFonts w:ascii="Arial" w:eastAsia="source sans 3" w:hAnsi="Arial" w:cs="Arial"/>
                <w:color w:val="000000"/>
                <w:sz w:val="24"/>
                <w:szCs w:val="24"/>
              </w:rPr>
              <w:t>Suitable for specialist work, not mass low-cost delivery</w:t>
            </w:r>
          </w:p>
        </w:tc>
      </w:tr>
      <w:tr w:rsidR="001A392A" w14:paraId="1E0755C3" w14:textId="77777777">
        <w:trPr>
          <w:cantSplit/>
          <w:jc w:val="center"/>
        </w:trPr>
        <w:tc>
          <w:tcPr>
            <w:tcW w:w="1851"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C0" w14:textId="77777777" w:rsidR="001A392A" w:rsidRDefault="004E013E">
            <w:pPr>
              <w:spacing w:line="360" w:lineRule="auto"/>
            </w:pPr>
            <w:proofErr w:type="spellStart"/>
            <w:r>
              <w:rPr>
                <w:rFonts w:ascii="Arial" w:eastAsia="source sans 3" w:hAnsi="Arial" w:cs="Arial"/>
                <w:color w:val="000000"/>
                <w:sz w:val="24"/>
                <w:szCs w:val="24"/>
              </w:rPr>
              <w:t>Internalisation</w:t>
            </w:r>
            <w:proofErr w:type="spellEnd"/>
          </w:p>
        </w:tc>
        <w:tc>
          <w:tcPr>
            <w:tcW w:w="3910"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C1" w14:textId="77777777" w:rsidR="001A392A" w:rsidRDefault="004E013E">
            <w:pPr>
              <w:spacing w:line="360" w:lineRule="auto"/>
            </w:pPr>
            <w:r>
              <w:rPr>
                <w:rFonts w:ascii="Arial" w:eastAsia="source sans 3" w:hAnsi="Arial" w:cs="Arial"/>
                <w:color w:val="000000"/>
                <w:sz w:val="24"/>
                <w:szCs w:val="24"/>
              </w:rPr>
              <w:t>Control of data, IP, quality, cyber and strategic accounts</w:t>
            </w:r>
          </w:p>
        </w:tc>
        <w:tc>
          <w:tcPr>
            <w:tcW w:w="3255" w:type="dxa"/>
            <w:tcBorders>
              <w:top w:val="single" w:sz="4" w:space="0" w:color="000000"/>
              <w:left w:val="single" w:sz="4" w:space="0" w:color="000000"/>
              <w:bottom w:val="single" w:sz="4" w:space="0" w:color="000000"/>
              <w:right w:val="single" w:sz="4" w:space="0" w:color="000000"/>
            </w:tcBorders>
            <w:tcMar>
              <w:top w:w="80" w:type="dxa"/>
              <w:left w:w="160" w:type="dxa"/>
              <w:bottom w:w="80" w:type="dxa"/>
              <w:right w:w="160" w:type="dxa"/>
            </w:tcMar>
          </w:tcPr>
          <w:p w14:paraId="1E0755C2" w14:textId="77777777" w:rsidR="001A392A" w:rsidRDefault="004E013E">
            <w:pPr>
              <w:spacing w:line="360" w:lineRule="auto"/>
            </w:pPr>
            <w:r>
              <w:rPr>
                <w:rFonts w:ascii="Arial" w:eastAsia="source sans 3" w:hAnsi="Arial" w:cs="Arial"/>
                <w:color w:val="000000"/>
                <w:sz w:val="24"/>
                <w:szCs w:val="24"/>
              </w:rPr>
              <w:t>Supports wholly owned operations with selective partnerships</w:t>
            </w:r>
          </w:p>
        </w:tc>
      </w:tr>
    </w:tbl>
    <w:p w14:paraId="1E0755C4" w14:textId="77777777" w:rsidR="001A392A" w:rsidRDefault="001A392A">
      <w:pPr>
        <w:spacing w:after="210" w:line="360" w:lineRule="auto"/>
        <w:jc w:val="both"/>
        <w:rPr>
          <w:rFonts w:ascii="Arial" w:hAnsi="Arial" w:cs="Arial"/>
          <w:sz w:val="24"/>
          <w:szCs w:val="24"/>
        </w:rPr>
      </w:pPr>
    </w:p>
    <w:p w14:paraId="1E0755C5" w14:textId="64633A6F" w:rsidR="001A392A" w:rsidRDefault="004E013E">
      <w:pPr>
        <w:spacing w:after="210" w:line="360" w:lineRule="auto"/>
        <w:rPr>
          <w:rFonts w:ascii="Arial" w:hAnsi="Arial" w:cs="Arial"/>
          <w:sz w:val="24"/>
          <w:szCs w:val="24"/>
        </w:rPr>
      </w:pPr>
      <w:r>
        <w:rPr>
          <w:rFonts w:ascii="Arial" w:hAnsi="Arial" w:cs="Arial"/>
          <w:sz w:val="24"/>
          <w:szCs w:val="24"/>
        </w:rPr>
        <w:t xml:space="preserve">TCS has significant ownership advantages; however, these cannot be transferred automatically. Global scale might not matter much if customers prefer French data governance, relationships, and infrastructure. The location advantages of France are </w:t>
      </w:r>
      <w:r>
        <w:rPr>
          <w:rFonts w:ascii="Arial" w:hAnsi="Arial" w:cs="Arial"/>
          <w:sz w:val="24"/>
          <w:szCs w:val="24"/>
        </w:rPr>
        <w:lastRenderedPageBreak/>
        <w:t xml:space="preserve">due to demand sophistication and the presence of industrial clusters rather than based on low </w:t>
      </w:r>
      <w:proofErr w:type="spellStart"/>
      <w:r>
        <w:rPr>
          <w:rFonts w:ascii="Arial" w:hAnsi="Arial" w:cs="Arial"/>
          <w:sz w:val="24"/>
          <w:szCs w:val="24"/>
        </w:rPr>
        <w:t>labour</w:t>
      </w:r>
      <w:proofErr w:type="spellEnd"/>
      <w:r>
        <w:rPr>
          <w:rFonts w:ascii="Arial" w:hAnsi="Arial" w:cs="Arial"/>
          <w:sz w:val="24"/>
          <w:szCs w:val="24"/>
        </w:rPr>
        <w:t xml:space="preserve"> costs. Internalization is still important because TCS needs to manage its client data, IP, the quality of services, and cyber risks. The acquisition of ALTI shows that TCS previously relied on local French capabilities rather than outsourcing its operations entirely.</w:t>
      </w:r>
    </w:p>
    <w:p w14:paraId="1E0755C6" w14:textId="77777777" w:rsidR="001A392A" w:rsidRDefault="004E013E">
      <w:pPr>
        <w:spacing w:after="210" w:line="360" w:lineRule="auto"/>
        <w:rPr>
          <w:rFonts w:ascii="Arial" w:hAnsi="Arial" w:cs="Arial"/>
          <w:sz w:val="24"/>
          <w:szCs w:val="24"/>
        </w:rPr>
      </w:pPr>
      <w:r>
        <w:rPr>
          <w:rFonts w:ascii="Arial" w:hAnsi="Arial" w:cs="Arial"/>
          <w:sz w:val="24"/>
          <w:szCs w:val="24"/>
        </w:rPr>
        <w:t>France benefits from positive geographical circumstances, allowing sophisticated customer demand and establishing strategic clusters of industries. The most important industry city is Toulouse in terms of aerospace and engineering, while Paris is crucial for AI, finance, consulting, and location of major companies. Nevertheless, the high costs of doing business in France stipulate focusing on high-valued knowledge-intensive activity.</w:t>
      </w:r>
    </w:p>
    <w:p w14:paraId="1E0755C7" w14:textId="60D6788C" w:rsidR="001A392A" w:rsidRPr="00042BF0" w:rsidRDefault="004E013E">
      <w:pPr>
        <w:spacing w:after="210" w:line="360" w:lineRule="auto"/>
        <w:rPr>
          <w:rFonts w:ascii="Arial" w:hAnsi="Arial" w:cs="Arial"/>
          <w:sz w:val="24"/>
          <w:szCs w:val="24"/>
          <w:lang w:val="en-GB"/>
        </w:rPr>
      </w:pPr>
      <w:r>
        <w:rPr>
          <w:rFonts w:ascii="Arial" w:hAnsi="Arial" w:cs="Arial"/>
          <w:sz w:val="24"/>
          <w:szCs w:val="24"/>
        </w:rPr>
        <w:t>The importance of TCS’s international character is driven by its management of sensitive client data, proprietary technology, and long-term transformation projects. Licensing of its model to third parties may compromise quality control, undermine clients’ trust, and incur risks of intellectual property. For this reason, TCS should keep control over the process through TCS France and use partnerships only in research, cloud systems, local voice, and specific expertise</w:t>
      </w:r>
      <w:r w:rsidR="00042BF0">
        <w:rPr>
          <w:rFonts w:ascii="Arial" w:hAnsi="Arial" w:cs="Arial"/>
          <w:sz w:val="24"/>
          <w:szCs w:val="24"/>
        </w:rPr>
        <w:t xml:space="preserve"> </w:t>
      </w:r>
      <w:r w:rsidR="00042BF0" w:rsidRPr="00042BF0">
        <w:rPr>
          <w:rFonts w:ascii="Arial" w:hAnsi="Arial" w:cs="Arial"/>
          <w:sz w:val="24"/>
          <w:szCs w:val="24"/>
          <w:lang w:val="en-GB"/>
        </w:rPr>
        <w:t>(TCS to set up first-of-its-kind human-centric AI center of excellence in France, n.d.)</w:t>
      </w:r>
      <w:r>
        <w:rPr>
          <w:rFonts w:ascii="Arial" w:hAnsi="Arial" w:cs="Arial"/>
          <w:sz w:val="24"/>
          <w:szCs w:val="24"/>
        </w:rPr>
        <w:t>.</w:t>
      </w:r>
    </w:p>
    <w:p w14:paraId="1E0755C8" w14:textId="77777777" w:rsidR="001A392A" w:rsidRDefault="001A392A">
      <w:pPr>
        <w:spacing w:after="210" w:line="360" w:lineRule="auto"/>
      </w:pPr>
    </w:p>
    <w:p w14:paraId="1E0755C9" w14:textId="77777777" w:rsidR="001A392A" w:rsidRDefault="004E013E">
      <w:pPr>
        <w:pStyle w:val="Heading1"/>
        <w:jc w:val="both"/>
        <w:rPr>
          <w:rFonts w:ascii="Arial" w:hAnsi="Arial" w:cs="Arial"/>
          <w:b/>
          <w:bCs/>
          <w:color w:val="000000"/>
          <w:sz w:val="24"/>
          <w:szCs w:val="24"/>
          <w:lang w:val="en-GB"/>
        </w:rPr>
      </w:pPr>
      <w:bookmarkStart w:id="31" w:name="_Toc237535060"/>
      <w:bookmarkStart w:id="32" w:name="_Toc237574844"/>
      <w:r>
        <w:rPr>
          <w:rFonts w:ascii="Arial" w:hAnsi="Arial" w:cs="Arial"/>
          <w:b/>
          <w:bCs/>
          <w:color w:val="000000"/>
          <w:sz w:val="24"/>
          <w:szCs w:val="24"/>
          <w:lang w:val="en-GB"/>
        </w:rPr>
        <w:t>6.Entry-Mode Strategy and Strategic Synthesis</w:t>
      </w:r>
      <w:bookmarkEnd w:id="31"/>
      <w:bookmarkEnd w:id="32"/>
    </w:p>
    <w:p w14:paraId="1E0755CA" w14:textId="77777777" w:rsidR="001A392A" w:rsidRDefault="004E013E">
      <w:pPr>
        <w:pStyle w:val="Heading1"/>
        <w:jc w:val="both"/>
        <w:rPr>
          <w:rFonts w:ascii="Arial" w:hAnsi="Arial" w:cs="Arial"/>
          <w:b/>
          <w:bCs/>
          <w:color w:val="000000"/>
          <w:sz w:val="24"/>
          <w:szCs w:val="24"/>
          <w:lang w:val="en-GB"/>
        </w:rPr>
      </w:pPr>
      <w:bookmarkStart w:id="33" w:name="_Toc237535061"/>
      <w:bookmarkStart w:id="34" w:name="_Toc237574845"/>
      <w:r>
        <w:rPr>
          <w:rFonts w:ascii="Arial" w:hAnsi="Arial" w:cs="Arial"/>
          <w:b/>
          <w:bCs/>
          <w:color w:val="000000"/>
          <w:sz w:val="24"/>
          <w:szCs w:val="24"/>
          <w:lang w:val="en-GB"/>
        </w:rPr>
        <w:t>6.1 Historical Pattern Recognition</w:t>
      </w:r>
      <w:bookmarkEnd w:id="33"/>
      <w:bookmarkEnd w:id="34"/>
    </w:p>
    <w:p w14:paraId="1E0755CB"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 xml:space="preserve">In the past, TCS has employed an assortment of entry modes for its growth rather than one specific method. Among the options, TCS has adopted </w:t>
      </w:r>
      <w:proofErr w:type="gramStart"/>
      <w:r>
        <w:rPr>
          <w:rFonts w:ascii="Arial" w:hAnsi="Arial" w:cs="Arial"/>
          <w:sz w:val="24"/>
          <w:szCs w:val="24"/>
          <w:lang w:val="en-GB"/>
        </w:rPr>
        <w:t>wholly-owned</w:t>
      </w:r>
      <w:proofErr w:type="gramEnd"/>
      <w:r>
        <w:rPr>
          <w:rFonts w:ascii="Arial" w:hAnsi="Arial" w:cs="Arial"/>
          <w:sz w:val="24"/>
          <w:szCs w:val="24"/>
          <w:lang w:val="en-GB"/>
        </w:rPr>
        <w:t xml:space="preserve"> subsidiaries, delivery centres, partnerships, and selective acquisitions. The choice of entry modes in TCS’s case reflects the characteristics of the IT services industry where acquiring control over proprietary data, product quality, and IP is necessary along with local knowledge and specialized skills.</w:t>
      </w:r>
    </w:p>
    <w:p w14:paraId="1E0755CC"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 xml:space="preserve">The acquisition of ALTI is significant for TCS since it helps illustrate that the firm has engaged in acquisitions </w:t>
      </w:r>
      <w:proofErr w:type="gramStart"/>
      <w:r>
        <w:rPr>
          <w:rFonts w:ascii="Arial" w:hAnsi="Arial" w:cs="Arial"/>
          <w:sz w:val="24"/>
          <w:szCs w:val="24"/>
          <w:lang w:val="en-GB"/>
        </w:rPr>
        <w:t>in order to</w:t>
      </w:r>
      <w:proofErr w:type="gramEnd"/>
      <w:r>
        <w:rPr>
          <w:rFonts w:ascii="Arial" w:hAnsi="Arial" w:cs="Arial"/>
          <w:sz w:val="24"/>
          <w:szCs w:val="24"/>
          <w:lang w:val="en-GB"/>
        </w:rPr>
        <w:t xml:space="preserve"> strengthen its position in France. TCS purchased </w:t>
      </w:r>
      <w:r>
        <w:rPr>
          <w:rFonts w:ascii="Arial" w:hAnsi="Arial" w:cs="Arial"/>
          <w:sz w:val="24"/>
          <w:szCs w:val="24"/>
          <w:lang w:val="en-GB"/>
        </w:rPr>
        <w:lastRenderedPageBreak/>
        <w:t>100 percent of ALTI for €75 million as part of its growth strategy in France. This way, TCS was able to benefit from quicker access to expertise in the French market.</w:t>
      </w:r>
    </w:p>
    <w:p w14:paraId="1E0755CD" w14:textId="760A5EC0"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Besides acquisitions, TCS has also pursued organic growth. Its AI Centre of Excellence in Paris and the Blagnac delivery centre can be taken as evidence of the use of organic growth strategies. Thus, TCS can be said to use acquisitions to supplement its capabilities and then rely on organic growth for sustainability</w:t>
      </w:r>
      <w:r w:rsidR="00224B2C">
        <w:rPr>
          <w:rFonts w:ascii="Arial" w:hAnsi="Arial" w:cs="Arial"/>
          <w:sz w:val="24"/>
          <w:szCs w:val="24"/>
          <w:lang w:val="en-GB"/>
        </w:rPr>
        <w:t xml:space="preserve"> </w:t>
      </w:r>
      <w:r w:rsidR="00224B2C" w:rsidRPr="00224B2C">
        <w:rPr>
          <w:rFonts w:ascii="Arial" w:hAnsi="Arial" w:cs="Arial"/>
          <w:sz w:val="24"/>
          <w:szCs w:val="24"/>
          <w:lang w:val="en-GB"/>
        </w:rPr>
        <w:t>(</w:t>
      </w:r>
      <w:proofErr w:type="spellStart"/>
      <w:r w:rsidR="00224B2C" w:rsidRPr="00224B2C">
        <w:rPr>
          <w:rFonts w:ascii="Arial" w:hAnsi="Arial" w:cs="Arial"/>
          <w:sz w:val="24"/>
          <w:szCs w:val="24"/>
          <w:lang w:val="en-GB"/>
        </w:rPr>
        <w:t>Brouthers</w:t>
      </w:r>
      <w:proofErr w:type="spellEnd"/>
      <w:r w:rsidR="00224B2C" w:rsidRPr="00224B2C">
        <w:rPr>
          <w:rFonts w:ascii="Arial" w:hAnsi="Arial" w:cs="Arial"/>
          <w:sz w:val="24"/>
          <w:szCs w:val="24"/>
          <w:lang w:val="en-GB"/>
        </w:rPr>
        <w:t>, 2012)</w:t>
      </w:r>
      <w:r>
        <w:rPr>
          <w:rFonts w:ascii="Arial" w:hAnsi="Arial" w:cs="Arial"/>
          <w:sz w:val="24"/>
          <w:szCs w:val="24"/>
          <w:lang w:val="en-GB"/>
        </w:rPr>
        <w:t>.</w:t>
      </w:r>
    </w:p>
    <w:p w14:paraId="1E0755CE" w14:textId="77777777" w:rsidR="001A392A" w:rsidRDefault="004E013E">
      <w:pPr>
        <w:pStyle w:val="Heading1"/>
        <w:jc w:val="both"/>
        <w:rPr>
          <w:rFonts w:ascii="Arial" w:hAnsi="Arial" w:cs="Arial"/>
          <w:b/>
          <w:bCs/>
          <w:color w:val="000000"/>
          <w:sz w:val="24"/>
          <w:szCs w:val="24"/>
        </w:rPr>
      </w:pPr>
      <w:bookmarkStart w:id="35" w:name="_Toc237535062"/>
      <w:bookmarkStart w:id="36" w:name="_Toc237574846"/>
      <w:r>
        <w:rPr>
          <w:rFonts w:ascii="Arial" w:hAnsi="Arial" w:cs="Arial"/>
          <w:b/>
          <w:bCs/>
          <w:color w:val="000000"/>
          <w:sz w:val="24"/>
          <w:szCs w:val="24"/>
        </w:rPr>
        <w:t>6.2 Critical Evaluation of Strategic Options</w:t>
      </w:r>
      <w:bookmarkEnd w:id="35"/>
      <w:bookmarkEnd w:id="36"/>
    </w:p>
    <w:tbl>
      <w:tblPr>
        <w:tblW w:w="9016" w:type="dxa"/>
        <w:tblCellMar>
          <w:left w:w="10" w:type="dxa"/>
          <w:right w:w="10" w:type="dxa"/>
        </w:tblCellMar>
        <w:tblLook w:val="0000" w:firstRow="0" w:lastRow="0" w:firstColumn="0" w:lastColumn="0" w:noHBand="0" w:noVBand="0"/>
      </w:tblPr>
      <w:tblGrid>
        <w:gridCol w:w="2075"/>
        <w:gridCol w:w="2455"/>
        <w:gridCol w:w="2370"/>
        <w:gridCol w:w="2116"/>
      </w:tblGrid>
      <w:tr w:rsidR="001A392A" w14:paraId="1E0755D3" w14:textId="77777777">
        <w:trPr>
          <w:tblHeader/>
        </w:trPr>
        <w:tc>
          <w:tcPr>
            <w:tcW w:w="207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CF"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Entry/expansion mode</w:t>
            </w:r>
          </w:p>
        </w:tc>
        <w:tc>
          <w:tcPr>
            <w:tcW w:w="245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0"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Advantages</w:t>
            </w:r>
          </w:p>
        </w:tc>
        <w:tc>
          <w:tcPr>
            <w:tcW w:w="237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1"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Limitations</w:t>
            </w:r>
          </w:p>
        </w:tc>
        <w:tc>
          <w:tcPr>
            <w:tcW w:w="211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2"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Suitability for TCS France</w:t>
            </w:r>
          </w:p>
        </w:tc>
      </w:tr>
      <w:tr w:rsidR="001A392A" w14:paraId="1E0755D8" w14:textId="77777777">
        <w:tc>
          <w:tcPr>
            <w:tcW w:w="207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4"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Global delivery only</w:t>
            </w:r>
          </w:p>
        </w:tc>
        <w:tc>
          <w:tcPr>
            <w:tcW w:w="245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5"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Low cost, scalable technical talent, global coordination</w:t>
            </w:r>
          </w:p>
        </w:tc>
        <w:tc>
          <w:tcPr>
            <w:tcW w:w="237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6"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Weak local trust, data-governance concerns, limited sector proximity</w:t>
            </w:r>
          </w:p>
        </w:tc>
        <w:tc>
          <w:tcPr>
            <w:tcW w:w="211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7"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Unsuitable as a standalone model</w:t>
            </w:r>
          </w:p>
        </w:tc>
      </w:tr>
      <w:tr w:rsidR="001A392A" w14:paraId="1E0755DD" w14:textId="77777777">
        <w:tc>
          <w:tcPr>
            <w:tcW w:w="207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9"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Greenfield expansion</w:t>
            </w:r>
          </w:p>
        </w:tc>
        <w:tc>
          <w:tcPr>
            <w:tcW w:w="245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A"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Strong control, consistent TCS culture, direct compliance management</w:t>
            </w:r>
          </w:p>
        </w:tc>
        <w:tc>
          <w:tcPr>
            <w:tcW w:w="237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B"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High fixed cost, slower access to local networks</w:t>
            </w:r>
          </w:p>
        </w:tc>
        <w:tc>
          <w:tcPr>
            <w:tcW w:w="211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C"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Suitable for AI, cyber, consulting and aerospace teams</w:t>
            </w:r>
          </w:p>
        </w:tc>
      </w:tr>
      <w:tr w:rsidR="001A392A" w14:paraId="1E0755E2" w14:textId="77777777">
        <w:tc>
          <w:tcPr>
            <w:tcW w:w="207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E"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Acquisition</w:t>
            </w:r>
          </w:p>
        </w:tc>
        <w:tc>
          <w:tcPr>
            <w:tcW w:w="245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DF"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Fast access to talent, clients and local credibility</w:t>
            </w:r>
          </w:p>
        </w:tc>
        <w:tc>
          <w:tcPr>
            <w:tcW w:w="237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0"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Integration risk, cultural friction, high valuation risk</w:t>
            </w:r>
          </w:p>
        </w:tc>
        <w:tc>
          <w:tcPr>
            <w:tcW w:w="211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1"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Suitable only for niche specialist capability</w:t>
            </w:r>
          </w:p>
        </w:tc>
      </w:tr>
      <w:tr w:rsidR="001A392A" w14:paraId="1E0755E7" w14:textId="77777777">
        <w:tc>
          <w:tcPr>
            <w:tcW w:w="207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3"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Strategic alliance</w:t>
            </w:r>
          </w:p>
        </w:tc>
        <w:tc>
          <w:tcPr>
            <w:tcW w:w="245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4"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Local legitimacy, shared knowledge and market access</w:t>
            </w:r>
          </w:p>
        </w:tc>
        <w:tc>
          <w:tcPr>
            <w:tcW w:w="237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5"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Lower control over IP, quality and client relationships</w:t>
            </w:r>
          </w:p>
        </w:tc>
        <w:tc>
          <w:tcPr>
            <w:tcW w:w="211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6"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Useful for universities, cloud, cyber and industry clusters</w:t>
            </w:r>
          </w:p>
        </w:tc>
      </w:tr>
      <w:tr w:rsidR="001A392A" w14:paraId="1E0755EC" w14:textId="77777777">
        <w:tc>
          <w:tcPr>
            <w:tcW w:w="207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8"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lastRenderedPageBreak/>
              <w:t>Controlled hybrid model</w:t>
            </w:r>
          </w:p>
        </w:tc>
        <w:tc>
          <w:tcPr>
            <w:tcW w:w="245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9"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Combines global efficiency with local legitimacy</w:t>
            </w:r>
          </w:p>
        </w:tc>
        <w:tc>
          <w:tcPr>
            <w:tcW w:w="2370"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A"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Complex coordination and governance</w:t>
            </w:r>
          </w:p>
        </w:tc>
        <w:tc>
          <w:tcPr>
            <w:tcW w:w="211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EB"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Most suitable strategy</w:t>
            </w:r>
          </w:p>
        </w:tc>
      </w:tr>
    </w:tbl>
    <w:p w14:paraId="1E0755ED" w14:textId="77777777" w:rsidR="001A392A" w:rsidRDefault="001A392A">
      <w:pPr>
        <w:spacing w:after="210" w:line="360" w:lineRule="auto"/>
        <w:rPr>
          <w:lang w:val="en-GB"/>
        </w:rPr>
      </w:pPr>
    </w:p>
    <w:p w14:paraId="1E0755EE"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 xml:space="preserve">An approach that is purely universal is inadequate since it does not cater to the individual needs of France in terms of data, sovereignty, language, and local trust. On the other hand, large greenfield investments are said to be risky as such investments may entail considerable expenses before demand is assured. Massive acquisitions can help in obtaining extensive local presence within a short </w:t>
      </w:r>
      <w:proofErr w:type="gramStart"/>
      <w:r>
        <w:rPr>
          <w:rFonts w:ascii="Arial" w:hAnsi="Arial" w:cs="Arial"/>
          <w:sz w:val="24"/>
          <w:szCs w:val="24"/>
          <w:lang w:val="en-GB"/>
        </w:rPr>
        <w:t>time</w:t>
      </w:r>
      <w:proofErr w:type="gramEnd"/>
      <w:r>
        <w:rPr>
          <w:rFonts w:ascii="Arial" w:hAnsi="Arial" w:cs="Arial"/>
          <w:sz w:val="24"/>
          <w:szCs w:val="24"/>
          <w:lang w:val="en-GB"/>
        </w:rPr>
        <w:t xml:space="preserve"> but this might be ineffective if TCS spends too much on the acquisition or is unable to keep the talent and the clients obtained because of the transaction.</w:t>
      </w:r>
    </w:p>
    <w:p w14:paraId="1E0755EF" w14:textId="1418B0D6"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Thus, hybrid-controlled approach should be seen as the optimal one since it gives TCS the chance to control the strategic competences of the company while utilizing local expertise at the same time</w:t>
      </w:r>
      <w:r w:rsidR="008451CF">
        <w:rPr>
          <w:rFonts w:ascii="Arial" w:hAnsi="Arial" w:cs="Arial"/>
          <w:sz w:val="24"/>
          <w:szCs w:val="24"/>
          <w:lang w:val="en-GB"/>
        </w:rPr>
        <w:t xml:space="preserve"> </w:t>
      </w:r>
      <w:r w:rsidR="008451CF" w:rsidRPr="008451CF">
        <w:rPr>
          <w:rFonts w:ascii="Arial" w:hAnsi="Arial" w:cs="Arial"/>
          <w:sz w:val="24"/>
          <w:szCs w:val="24"/>
          <w:lang w:val="en-GB"/>
        </w:rPr>
        <w:t>(Johanson and Vahlne, 2009)</w:t>
      </w:r>
      <w:r>
        <w:rPr>
          <w:rFonts w:ascii="Arial" w:hAnsi="Arial" w:cs="Arial"/>
          <w:sz w:val="24"/>
          <w:szCs w:val="24"/>
          <w:lang w:val="en-GB"/>
        </w:rPr>
        <w:t>.</w:t>
      </w:r>
    </w:p>
    <w:p w14:paraId="1E0755F0" w14:textId="77777777" w:rsidR="001A392A" w:rsidRDefault="004E013E">
      <w:pPr>
        <w:pStyle w:val="Heading1"/>
        <w:jc w:val="both"/>
        <w:rPr>
          <w:rFonts w:ascii="Arial" w:hAnsi="Arial" w:cs="Arial"/>
          <w:b/>
          <w:bCs/>
          <w:color w:val="000000"/>
          <w:sz w:val="24"/>
          <w:szCs w:val="24"/>
          <w:lang w:val="en-GB"/>
        </w:rPr>
      </w:pPr>
      <w:bookmarkStart w:id="37" w:name="_Toc237535063"/>
      <w:bookmarkStart w:id="38" w:name="_Toc237574847"/>
      <w:r>
        <w:rPr>
          <w:rFonts w:ascii="Arial" w:hAnsi="Arial" w:cs="Arial"/>
          <w:b/>
          <w:bCs/>
          <w:color w:val="000000"/>
          <w:sz w:val="24"/>
          <w:szCs w:val="24"/>
          <w:lang w:val="en-GB"/>
        </w:rPr>
        <w:t>6.3 Recommended Implementation Plan</w:t>
      </w:r>
      <w:bookmarkEnd w:id="37"/>
      <w:bookmarkEnd w:id="38"/>
    </w:p>
    <w:tbl>
      <w:tblPr>
        <w:tblW w:w="9016" w:type="dxa"/>
        <w:tblCellMar>
          <w:left w:w="10" w:type="dxa"/>
          <w:right w:w="10" w:type="dxa"/>
        </w:tblCellMar>
        <w:tblLook w:val="0000" w:firstRow="0" w:lastRow="0" w:firstColumn="0" w:lastColumn="0" w:noHBand="0" w:noVBand="0"/>
      </w:tblPr>
      <w:tblGrid>
        <w:gridCol w:w="1166"/>
        <w:gridCol w:w="3286"/>
        <w:gridCol w:w="2115"/>
        <w:gridCol w:w="2449"/>
      </w:tblGrid>
      <w:tr w:rsidR="001A392A" w14:paraId="1E0755F5" w14:textId="77777777">
        <w:trPr>
          <w:tblHeader/>
        </w:trPr>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1"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Timeline</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2"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Action</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3"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Purpose</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4" w14:textId="77777777" w:rsidR="001A392A" w:rsidRDefault="004E013E">
            <w:pPr>
              <w:spacing w:after="210" w:line="360" w:lineRule="auto"/>
              <w:rPr>
                <w:rFonts w:ascii="Arial" w:hAnsi="Arial" w:cs="Arial"/>
                <w:b/>
                <w:bCs/>
                <w:sz w:val="24"/>
                <w:szCs w:val="24"/>
                <w:lang w:val="en-GB"/>
              </w:rPr>
            </w:pPr>
            <w:r>
              <w:rPr>
                <w:rFonts w:ascii="Arial" w:hAnsi="Arial" w:cs="Arial"/>
                <w:b/>
                <w:bCs/>
                <w:sz w:val="24"/>
                <w:szCs w:val="24"/>
                <w:lang w:val="en-GB"/>
              </w:rPr>
              <w:t>KPI</w:t>
            </w:r>
          </w:p>
        </w:tc>
      </w:tr>
      <w:tr w:rsidR="001A392A" w14:paraId="1E0755FA" w14:textId="77777777">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6"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Months 1–6</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7"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Appoint French sector leads for finance, aerospace, public services and manufacturing</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8"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Improve local client engagement</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9"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Number of strategic client meetings and qualified opportunities</w:t>
            </w:r>
          </w:p>
        </w:tc>
      </w:tr>
      <w:tr w:rsidR="001A392A" w14:paraId="1E0755FF" w14:textId="77777777">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B"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Months 1–6</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C"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Create France-specific GDPR, AI Act and cyber-governance framework</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D"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Improve trust and eligibility for regulated contracts</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5FE"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Audit results; compliance incidents; client assurance approvals</w:t>
            </w:r>
          </w:p>
        </w:tc>
      </w:tr>
      <w:tr w:rsidR="001A392A" w14:paraId="1E075604" w14:textId="77777777">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0"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Months 6–12</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1"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Expand Paris AI capability and develop responsible-AI services</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2"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Convert AI policy demand into client solutions</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3"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AI consulting revenue; responsible-AI projects won</w:t>
            </w:r>
          </w:p>
        </w:tc>
      </w:tr>
      <w:tr w:rsidR="001A392A" w14:paraId="1E075609" w14:textId="77777777">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5"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lastRenderedPageBreak/>
              <w:t>Months 6–18</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6"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Develop Toulouse/Blagnac aerospace engineering propositions</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7"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Use local cluster advantage</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8"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Aerospace contracts; local engineering headcount</w:t>
            </w:r>
          </w:p>
        </w:tc>
      </w:tr>
      <w:tr w:rsidR="001A392A" w14:paraId="1E07560E" w14:textId="77777777">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A"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Months 12–24</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B"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Form partnerships with universities, cloud providers and cyber organisations</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C"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Build credibility and access local innovation</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D"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Number of active partnerships; joint proposals</w:t>
            </w:r>
          </w:p>
        </w:tc>
      </w:tr>
      <w:tr w:rsidR="001A392A" w14:paraId="1E075613" w14:textId="77777777">
        <w:tc>
          <w:tcPr>
            <w:tcW w:w="116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0F"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Months 18–36</w:t>
            </w:r>
          </w:p>
        </w:tc>
        <w:tc>
          <w:tcPr>
            <w:tcW w:w="3286"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10"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Evaluate acquisition targets in cyber, sovereign cloud or aerospace software</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11"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Obtain scarce capability only were justified</w:t>
            </w:r>
          </w:p>
        </w:tc>
        <w:tc>
          <w:tcPr>
            <w:tcW w:w="2449"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E075612" w14:textId="77777777" w:rsidR="001A392A" w:rsidRDefault="004E013E">
            <w:pPr>
              <w:spacing w:after="210" w:line="360" w:lineRule="auto"/>
              <w:rPr>
                <w:rFonts w:ascii="Arial" w:hAnsi="Arial" w:cs="Arial"/>
                <w:sz w:val="24"/>
                <w:szCs w:val="24"/>
                <w:lang w:val="en-GB"/>
              </w:rPr>
            </w:pPr>
            <w:r>
              <w:rPr>
                <w:rFonts w:ascii="Arial" w:hAnsi="Arial" w:cs="Arial"/>
                <w:sz w:val="24"/>
                <w:szCs w:val="24"/>
                <w:lang w:val="en-GB"/>
              </w:rPr>
              <w:t>Acquisition integration outcomes; client retention; financial return</w:t>
            </w:r>
          </w:p>
        </w:tc>
      </w:tr>
    </w:tbl>
    <w:p w14:paraId="1E075614" w14:textId="77777777" w:rsidR="001A392A" w:rsidRDefault="001A392A">
      <w:pPr>
        <w:spacing w:after="210" w:line="360" w:lineRule="auto"/>
        <w:rPr>
          <w:b/>
          <w:bCs/>
          <w:lang w:val="en-GB"/>
        </w:rPr>
      </w:pPr>
    </w:p>
    <w:p w14:paraId="1E075615" w14:textId="77777777" w:rsidR="001A392A" w:rsidRDefault="004E013E">
      <w:pPr>
        <w:pStyle w:val="Heading1"/>
        <w:jc w:val="both"/>
        <w:rPr>
          <w:rFonts w:ascii="Arial" w:hAnsi="Arial" w:cs="Arial"/>
          <w:b/>
          <w:bCs/>
          <w:color w:val="000000"/>
          <w:sz w:val="24"/>
          <w:szCs w:val="24"/>
          <w:lang w:val="en-GB"/>
        </w:rPr>
      </w:pPr>
      <w:bookmarkStart w:id="39" w:name="_Toc237535064"/>
      <w:bookmarkStart w:id="40" w:name="_Toc237574848"/>
      <w:r>
        <w:rPr>
          <w:rFonts w:ascii="Arial" w:hAnsi="Arial" w:cs="Arial"/>
          <w:b/>
          <w:bCs/>
          <w:color w:val="000000"/>
          <w:sz w:val="24"/>
          <w:szCs w:val="24"/>
          <w:lang w:val="en-GB"/>
        </w:rPr>
        <w:t>6.4 Strategic Recommendation</w:t>
      </w:r>
      <w:bookmarkEnd w:id="39"/>
      <w:bookmarkEnd w:id="40"/>
    </w:p>
    <w:p w14:paraId="1E075616"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TCS must focus on building its business in France via selective, high-value investments rather than treating it as a mass low-cost service delivery location. France must function as a strategic European hub for consulting, artificial intelligence governance, cybersecurity, aerospace engineering, cloud architecture, and multinational-client management, rather than a low-priced delivery hub.</w:t>
      </w:r>
    </w:p>
    <w:p w14:paraId="1E075617"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Whether TCS can demonstrate its ability to deliver value beyond just low-cost technology happens to be the key driver for its future success. TCS must establish itself in the French market, demonstrate the leadership, regulation, cyber resilience, and responsible AI capability.</w:t>
      </w:r>
    </w:p>
    <w:p w14:paraId="1E075618" w14:textId="60BCA27A"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The global delivery model continues to play an essential role, whereas it is important to ensure that it meets individual needs of the French clients as well as the expectations of the European Union with respect to data governance</w:t>
      </w:r>
      <w:r w:rsidR="00DA6EE1">
        <w:rPr>
          <w:rFonts w:ascii="Arial" w:hAnsi="Arial" w:cs="Arial"/>
          <w:sz w:val="24"/>
          <w:szCs w:val="24"/>
          <w:lang w:val="en-GB"/>
        </w:rPr>
        <w:t xml:space="preserve"> </w:t>
      </w:r>
      <w:r w:rsidR="00440591" w:rsidRPr="00440591">
        <w:rPr>
          <w:rFonts w:ascii="Arial" w:hAnsi="Arial" w:cs="Arial"/>
          <w:sz w:val="24"/>
          <w:szCs w:val="24"/>
          <w:lang w:val="en-GB"/>
        </w:rPr>
        <w:t xml:space="preserve">(Brock and </w:t>
      </w:r>
      <w:proofErr w:type="spellStart"/>
      <w:r w:rsidR="00440591" w:rsidRPr="00440591">
        <w:rPr>
          <w:rFonts w:ascii="Arial" w:hAnsi="Arial" w:cs="Arial"/>
          <w:sz w:val="24"/>
          <w:szCs w:val="24"/>
          <w:lang w:val="en-GB"/>
        </w:rPr>
        <w:t>Hydle</w:t>
      </w:r>
      <w:proofErr w:type="spellEnd"/>
      <w:r w:rsidR="00440591" w:rsidRPr="00440591">
        <w:rPr>
          <w:rFonts w:ascii="Arial" w:hAnsi="Arial" w:cs="Arial"/>
          <w:sz w:val="24"/>
          <w:szCs w:val="24"/>
          <w:lang w:val="en-GB"/>
        </w:rPr>
        <w:t>, 2018)</w:t>
      </w:r>
      <w:r>
        <w:rPr>
          <w:rFonts w:ascii="Arial" w:hAnsi="Arial" w:cs="Arial"/>
          <w:sz w:val="24"/>
          <w:szCs w:val="24"/>
          <w:lang w:val="en-GB"/>
        </w:rPr>
        <w:t>.</w:t>
      </w:r>
    </w:p>
    <w:p w14:paraId="1E075619" w14:textId="77777777" w:rsidR="001A392A" w:rsidRDefault="001A392A">
      <w:pPr>
        <w:pageBreakBefore/>
        <w:spacing w:after="160" w:line="276" w:lineRule="auto"/>
        <w:rPr>
          <w:rFonts w:ascii="Arial" w:hAnsi="Arial" w:cs="Arial"/>
          <w:sz w:val="24"/>
          <w:szCs w:val="24"/>
          <w:lang w:val="en-GB"/>
        </w:rPr>
      </w:pPr>
    </w:p>
    <w:p w14:paraId="1E07561A" w14:textId="77777777" w:rsidR="001A392A" w:rsidRDefault="004E013E">
      <w:pPr>
        <w:pStyle w:val="Heading1"/>
        <w:jc w:val="both"/>
        <w:rPr>
          <w:rFonts w:ascii="Arial" w:hAnsi="Arial" w:cs="Arial"/>
          <w:b/>
          <w:bCs/>
          <w:color w:val="000000"/>
          <w:sz w:val="24"/>
          <w:szCs w:val="24"/>
        </w:rPr>
      </w:pPr>
      <w:bookmarkStart w:id="41" w:name="_Toc237535065"/>
      <w:bookmarkStart w:id="42" w:name="_Toc237574849"/>
      <w:r>
        <w:rPr>
          <w:rFonts w:ascii="Arial" w:hAnsi="Arial" w:cs="Arial"/>
          <w:b/>
          <w:bCs/>
          <w:color w:val="000000"/>
          <w:sz w:val="24"/>
          <w:szCs w:val="24"/>
        </w:rPr>
        <w:t>SECTION 2:</w:t>
      </w:r>
      <w:bookmarkEnd w:id="41"/>
      <w:bookmarkEnd w:id="42"/>
      <w:r>
        <w:rPr>
          <w:rFonts w:ascii="Arial" w:hAnsi="Arial" w:cs="Arial"/>
          <w:b/>
          <w:bCs/>
          <w:color w:val="000000"/>
          <w:sz w:val="24"/>
          <w:szCs w:val="24"/>
        </w:rPr>
        <w:t xml:space="preserve"> </w:t>
      </w:r>
    </w:p>
    <w:p w14:paraId="1E07561B" w14:textId="77777777" w:rsidR="001A392A" w:rsidRDefault="004E013E">
      <w:pPr>
        <w:pStyle w:val="Heading1"/>
        <w:jc w:val="both"/>
        <w:rPr>
          <w:rFonts w:ascii="Arial" w:hAnsi="Arial" w:cs="Arial"/>
          <w:b/>
          <w:bCs/>
          <w:color w:val="000000"/>
          <w:sz w:val="24"/>
          <w:szCs w:val="24"/>
        </w:rPr>
      </w:pPr>
      <w:bookmarkStart w:id="43" w:name="_Toc237535066"/>
      <w:bookmarkStart w:id="44" w:name="_Toc237574850"/>
      <w:r>
        <w:rPr>
          <w:rFonts w:ascii="Arial" w:hAnsi="Arial" w:cs="Arial"/>
          <w:b/>
          <w:bCs/>
          <w:color w:val="000000"/>
          <w:sz w:val="24"/>
          <w:szCs w:val="24"/>
        </w:rPr>
        <w:t>Reflective Account Using Gibbs’ Reflective Cycle</w:t>
      </w:r>
      <w:bookmarkEnd w:id="43"/>
      <w:bookmarkEnd w:id="44"/>
    </w:p>
    <w:p w14:paraId="1E07561C" w14:textId="77777777" w:rsidR="001A392A" w:rsidRDefault="004E013E">
      <w:pPr>
        <w:jc w:val="both"/>
        <w:rPr>
          <w:rFonts w:ascii="Arial" w:hAnsi="Arial" w:cs="Arial"/>
          <w:b/>
          <w:bCs/>
          <w:sz w:val="24"/>
          <w:szCs w:val="24"/>
        </w:rPr>
      </w:pPr>
      <w:r>
        <w:rPr>
          <w:rFonts w:ascii="Arial" w:hAnsi="Arial" w:cs="Arial"/>
          <w:b/>
          <w:bCs/>
          <w:sz w:val="24"/>
          <w:szCs w:val="24"/>
        </w:rPr>
        <w:t>Description</w:t>
      </w:r>
    </w:p>
    <w:p w14:paraId="1E07561D"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The present paper examines the methods I applied for the purpose of researching, analyzing and composing an international business report concerning Tata Consultancy Services’ (TCS) strategic expansion in France. Gibbs' Reflective Cycle was utilized, as it includes a description, feelings, evaluation, analysis, conclusion and action plan (Gibbs, 1988).</w:t>
      </w:r>
    </w:p>
    <w:p w14:paraId="6012B4FD" w14:textId="77777777" w:rsidR="0049553C" w:rsidRDefault="0049553C">
      <w:pPr>
        <w:spacing w:line="360" w:lineRule="auto"/>
        <w:jc w:val="both"/>
        <w:rPr>
          <w:rFonts w:ascii="Arial" w:hAnsi="Arial" w:cs="Arial"/>
          <w:sz w:val="24"/>
          <w:szCs w:val="24"/>
          <w:lang w:val="en-GB"/>
        </w:rPr>
      </w:pPr>
    </w:p>
    <w:p w14:paraId="1E07561E" w14:textId="16D78BE6" w:rsidR="001A392A" w:rsidRDefault="004E013E">
      <w:pPr>
        <w:spacing w:line="360" w:lineRule="auto"/>
        <w:jc w:val="both"/>
        <w:rPr>
          <w:rFonts w:ascii="Arial" w:hAnsi="Arial" w:cs="Arial"/>
          <w:sz w:val="24"/>
          <w:szCs w:val="24"/>
          <w:lang w:val="en-GB"/>
        </w:rPr>
      </w:pPr>
      <w:r>
        <w:rPr>
          <w:rFonts w:ascii="Arial" w:hAnsi="Arial" w:cs="Arial"/>
          <w:sz w:val="24"/>
          <w:szCs w:val="24"/>
          <w:lang w:val="en-GB"/>
        </w:rPr>
        <w:t>Initially, I chose TCS due to its size as the multinational IT services, consulting and business-solutions corporation with the global delivery model. I chose France because it is one of the major technology markets in Europe that has a high demand for artificial intelligence, cloud computing, cybersecurity, aerospace engineering, banking, retailing and public-sector digitalization. During initial research, I assumed that TCS could enter the French market. However, I found out that TCS already has large scale operations in France, including TCS France, acquisition of ALTI in 2013, the creation of Paris AI Center of Excellence and Blagnac delivery center for aerospace and defense transformation. Therefore, I changed my plans and evaluated TCS’s strategic expansion in France instead of making it seem like TCS’s market entry</w:t>
      </w:r>
      <w:r w:rsidR="00024779">
        <w:rPr>
          <w:rFonts w:ascii="Arial" w:hAnsi="Arial" w:cs="Arial"/>
          <w:sz w:val="24"/>
          <w:szCs w:val="24"/>
          <w:lang w:val="en-GB"/>
        </w:rPr>
        <w:t>.</w:t>
      </w:r>
    </w:p>
    <w:p w14:paraId="1E07561F" w14:textId="403F0130" w:rsidR="001A392A" w:rsidRDefault="004E013E">
      <w:pPr>
        <w:spacing w:line="360" w:lineRule="auto"/>
        <w:jc w:val="both"/>
        <w:rPr>
          <w:rFonts w:ascii="Arial" w:hAnsi="Arial" w:cs="Arial"/>
          <w:sz w:val="24"/>
          <w:szCs w:val="24"/>
          <w:lang w:val="en-GB"/>
        </w:rPr>
      </w:pPr>
      <w:r>
        <w:rPr>
          <w:rFonts w:ascii="Arial" w:hAnsi="Arial" w:cs="Arial"/>
          <w:sz w:val="24"/>
          <w:szCs w:val="24"/>
          <w:lang w:val="en-GB"/>
        </w:rPr>
        <w:t xml:space="preserve">I made use of </w:t>
      </w:r>
      <w:proofErr w:type="gramStart"/>
      <w:r>
        <w:rPr>
          <w:rFonts w:ascii="Arial" w:hAnsi="Arial" w:cs="Arial"/>
          <w:sz w:val="24"/>
          <w:szCs w:val="24"/>
          <w:lang w:val="en-GB"/>
        </w:rPr>
        <w:t>a number of</w:t>
      </w:r>
      <w:proofErr w:type="gramEnd"/>
      <w:r>
        <w:rPr>
          <w:rFonts w:ascii="Arial" w:hAnsi="Arial" w:cs="Arial"/>
          <w:sz w:val="24"/>
          <w:szCs w:val="24"/>
          <w:lang w:val="en-GB"/>
        </w:rPr>
        <w:t xml:space="preserve"> information sources. Academic literature identified via Google Scholar substantiated the application of the Bartlett and Ghoshal’s transnational strategy framework, Dunning’s OLI paradigm, entry-mode theory and cultural-distance analysis. Documentation issued by the company served to </w:t>
      </w:r>
      <w:proofErr w:type="spellStart"/>
      <w:r>
        <w:rPr>
          <w:rFonts w:ascii="Arial" w:hAnsi="Arial" w:cs="Arial"/>
          <w:sz w:val="24"/>
          <w:szCs w:val="24"/>
          <w:lang w:val="en-GB"/>
        </w:rPr>
        <w:t>analyze</w:t>
      </w:r>
      <w:proofErr w:type="spellEnd"/>
      <w:r>
        <w:rPr>
          <w:rFonts w:ascii="Arial" w:hAnsi="Arial" w:cs="Arial"/>
          <w:sz w:val="24"/>
          <w:szCs w:val="24"/>
          <w:lang w:val="en-GB"/>
        </w:rPr>
        <w:t xml:space="preserve"> TCS’s international strategy and French investment. It was also the European Commission material that was utilized to look at France’s digital policy. Statista determinants were selected to obtain market indicators and diagrams.</w:t>
      </w:r>
    </w:p>
    <w:p w14:paraId="1E075620" w14:textId="6E44F0D3" w:rsidR="001A392A" w:rsidRDefault="00082052">
      <w:pPr>
        <w:spacing w:line="360" w:lineRule="auto"/>
        <w:jc w:val="both"/>
        <w:rPr>
          <w:rFonts w:ascii="Arial" w:hAnsi="Arial" w:cs="Arial"/>
          <w:b/>
          <w:bCs/>
          <w:sz w:val="24"/>
          <w:szCs w:val="24"/>
        </w:rPr>
      </w:pPr>
      <w:r>
        <w:rPr>
          <w:rFonts w:ascii="Arial" w:hAnsi="Arial" w:cs="Arial"/>
          <w:b/>
          <w:bCs/>
          <w:sz w:val="24"/>
          <w:szCs w:val="24"/>
        </w:rPr>
        <w:lastRenderedPageBreak/>
        <w:br/>
      </w:r>
      <w:r>
        <w:rPr>
          <w:rFonts w:ascii="Arial" w:hAnsi="Arial" w:cs="Arial"/>
          <w:b/>
          <w:bCs/>
          <w:noProof/>
          <w:sz w:val="24"/>
          <w:szCs w:val="24"/>
        </w:rPr>
        <w:drawing>
          <wp:inline distT="0" distB="0" distL="0" distR="0" wp14:anchorId="329B0F9D" wp14:editId="5695C574">
            <wp:extent cx="5731510" cy="3200400"/>
            <wp:effectExtent l="0" t="0" r="0" b="0"/>
            <wp:docPr id="1978851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51130" name="Picture 197885113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rFonts w:ascii="Arial" w:hAnsi="Arial" w:cs="Arial"/>
          <w:b/>
          <w:bCs/>
          <w:sz w:val="24"/>
          <w:szCs w:val="24"/>
        </w:rPr>
        <w:br/>
      </w:r>
      <w:r w:rsidRPr="00082052">
        <w:rPr>
          <w:rFonts w:ascii="Arial" w:hAnsi="Arial" w:cs="Arial"/>
          <w:b/>
          <w:bCs/>
          <w:sz w:val="24"/>
          <w:szCs w:val="24"/>
        </w:rPr>
        <w:t>Source: Created by Lerner, adapted from Gibbs’ Reflective Cycle (Gibbs, 1988).</w:t>
      </w:r>
      <w:r>
        <w:rPr>
          <w:rFonts w:ascii="Arial" w:hAnsi="Arial" w:cs="Arial"/>
          <w:b/>
          <w:bCs/>
          <w:sz w:val="24"/>
          <w:szCs w:val="24"/>
        </w:rPr>
        <w:br/>
      </w:r>
      <w:r>
        <w:rPr>
          <w:rFonts w:ascii="Arial" w:hAnsi="Arial" w:cs="Arial"/>
          <w:b/>
          <w:bCs/>
          <w:sz w:val="24"/>
          <w:szCs w:val="24"/>
        </w:rPr>
        <w:br/>
      </w:r>
      <w:r w:rsidR="004E013E">
        <w:rPr>
          <w:rFonts w:ascii="Arial" w:hAnsi="Arial" w:cs="Arial"/>
          <w:b/>
          <w:bCs/>
          <w:sz w:val="24"/>
          <w:szCs w:val="24"/>
        </w:rPr>
        <w:t>Feelings</w:t>
      </w:r>
    </w:p>
    <w:p w14:paraId="1E075621"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 xml:space="preserve">In the beginning, I did not know how to begin the research considering that it was necessary to </w:t>
      </w:r>
      <w:proofErr w:type="spellStart"/>
      <w:r>
        <w:rPr>
          <w:rFonts w:ascii="Arial" w:hAnsi="Arial" w:cs="Arial"/>
          <w:sz w:val="24"/>
          <w:szCs w:val="24"/>
          <w:lang w:val="en-GB"/>
        </w:rPr>
        <w:t>analyze</w:t>
      </w:r>
      <w:proofErr w:type="spellEnd"/>
      <w:r>
        <w:rPr>
          <w:rFonts w:ascii="Arial" w:hAnsi="Arial" w:cs="Arial"/>
          <w:sz w:val="24"/>
          <w:szCs w:val="24"/>
          <w:lang w:val="en-GB"/>
        </w:rPr>
        <w:t xml:space="preserve"> companies, countries and markets. I was also unsure if I should say too much about France or talk too much about its importance for TCS. I also had to figure out what evidence to rely on since corporate websites have a positive view of the company while academical sources may be more critical but lack the latest information. </w:t>
      </w:r>
    </w:p>
    <w:p w14:paraId="1E075622" w14:textId="77777777" w:rsidR="001A392A" w:rsidRDefault="001A392A">
      <w:pPr>
        <w:spacing w:line="360" w:lineRule="auto"/>
        <w:jc w:val="both"/>
        <w:rPr>
          <w:rFonts w:ascii="Arial" w:hAnsi="Arial" w:cs="Arial"/>
          <w:sz w:val="24"/>
          <w:szCs w:val="24"/>
          <w:lang w:val="en-GB"/>
        </w:rPr>
      </w:pPr>
    </w:p>
    <w:p w14:paraId="1E075623"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I had to tackle the problem of contradiction between the chosen country and TCS's presence in France. At first, it seemed to me that this was an issue. However, after examining the data, I realized that changing the focus was more reasonable than ignoring the fact of the company's presence in the country.</w:t>
      </w:r>
    </w:p>
    <w:p w14:paraId="1E075624" w14:textId="77777777" w:rsidR="001A392A" w:rsidRDefault="004E013E">
      <w:pPr>
        <w:spacing w:line="360" w:lineRule="auto"/>
        <w:jc w:val="both"/>
      </w:pPr>
      <w:r>
        <w:rPr>
          <w:rFonts w:ascii="Arial" w:hAnsi="Arial" w:cs="Arial"/>
          <w:b/>
          <w:bCs/>
          <w:sz w:val="24"/>
          <w:szCs w:val="24"/>
        </w:rPr>
        <w:t>Evaluation</w:t>
      </w:r>
    </w:p>
    <w:p w14:paraId="1E075625"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 xml:space="preserve">The research process had many positive sides. Firstly, the use of academic theory made the paper more organised. The framework of Bartlett and Ghoshal allowed identifying TCS as a transnational rather than a global company. The second model of Dunning, OLI gave the possibility to decide if TCS has ownership advantages as </w:t>
      </w:r>
      <w:r>
        <w:rPr>
          <w:rFonts w:ascii="Arial" w:hAnsi="Arial" w:cs="Arial"/>
          <w:sz w:val="24"/>
          <w:szCs w:val="24"/>
          <w:lang w:val="en-GB"/>
        </w:rPr>
        <w:lastRenderedPageBreak/>
        <w:t xml:space="preserve">well as location advantages in France and if TCS should keep control over the strategic process of the organisation. </w:t>
      </w:r>
    </w:p>
    <w:p w14:paraId="1E075626"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The combination of theoretical works with the materials concerning the company itself, government reports and statistics improved the quality of the work done. In this case, TCS materials helped to confirm the ALTI acquisitions and investments in AI and aerospace in France. The report of the EC Digital Decade was significant since it proved that France does have a strategy for its usage in AI development as well as cybersecurity, e-health and digital sovereignty (European Commission, 2025). All this information gave the writer a chance to evaluate the found opportunities and realised risks.</w:t>
      </w:r>
    </w:p>
    <w:p w14:paraId="1E075627"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Nevertheless, limitations did exist. Certain market data was proprietary in nature and could only be obtained in summarized form. I also realized that Statista charts should not only be included for looking good on the report. Each figure had to support a particular critical argument. For instance, the growth of the cybersecurity market provides commercial opportunities for TCS but at the same time creates expectations from customers regarding CTT services regarding data security, cyber resilience, and compliance with local legislation.</w:t>
      </w:r>
    </w:p>
    <w:p w14:paraId="0E665D35" w14:textId="77777777" w:rsidR="0049553C" w:rsidRDefault="0049553C">
      <w:pPr>
        <w:spacing w:line="360" w:lineRule="auto"/>
        <w:jc w:val="both"/>
        <w:rPr>
          <w:rFonts w:ascii="Arial" w:hAnsi="Arial" w:cs="Arial"/>
          <w:sz w:val="24"/>
          <w:szCs w:val="24"/>
          <w:lang w:val="en-GB"/>
        </w:rPr>
      </w:pPr>
    </w:p>
    <w:p w14:paraId="44F75CE4" w14:textId="77777777" w:rsidR="0049553C" w:rsidRDefault="0049553C">
      <w:pPr>
        <w:spacing w:line="360" w:lineRule="auto"/>
        <w:jc w:val="both"/>
        <w:rPr>
          <w:rFonts w:ascii="Arial" w:hAnsi="Arial" w:cs="Arial"/>
          <w:sz w:val="24"/>
          <w:szCs w:val="24"/>
          <w:lang w:val="en-GB"/>
        </w:rPr>
      </w:pPr>
    </w:p>
    <w:p w14:paraId="1E075628" w14:textId="77777777" w:rsidR="001A392A" w:rsidRDefault="004E013E">
      <w:pPr>
        <w:spacing w:line="360" w:lineRule="auto"/>
        <w:jc w:val="both"/>
        <w:rPr>
          <w:rFonts w:ascii="Arial" w:hAnsi="Arial" w:cs="Arial"/>
          <w:b/>
          <w:bCs/>
          <w:sz w:val="24"/>
          <w:szCs w:val="24"/>
        </w:rPr>
      </w:pPr>
      <w:r>
        <w:rPr>
          <w:rFonts w:ascii="Arial" w:hAnsi="Arial" w:cs="Arial"/>
          <w:b/>
          <w:bCs/>
          <w:sz w:val="24"/>
          <w:szCs w:val="24"/>
        </w:rPr>
        <w:t>Analysis</w:t>
      </w:r>
    </w:p>
    <w:p w14:paraId="1E075629"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The primary outcome from the learning experience was understanding the distinction between the two forms of analysis. A descriptive analysis would indicate that France is undertaking investments in AI and possesses a key IT-services sector. A critical analysis demands that I consider whether this channel would inure specifically to the benefit of TCS or to the benefit of its competitors as well as what are the risks involved and what actions TCS should undertake.</w:t>
      </w:r>
    </w:p>
    <w:p w14:paraId="1E07562A" w14:textId="77777777" w:rsidR="001A392A" w:rsidRDefault="001A392A">
      <w:pPr>
        <w:spacing w:line="360" w:lineRule="auto"/>
        <w:jc w:val="both"/>
        <w:rPr>
          <w:rFonts w:ascii="Arial" w:hAnsi="Arial" w:cs="Arial"/>
          <w:sz w:val="24"/>
          <w:szCs w:val="24"/>
          <w:lang w:val="en-GB"/>
        </w:rPr>
      </w:pPr>
    </w:p>
    <w:p w14:paraId="1E07562B"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I learned that France is no longer an attractive country because it has a good demand for technology. Capgemini, Sopra Steria, Atos/</w:t>
      </w:r>
      <w:proofErr w:type="spellStart"/>
      <w:r>
        <w:rPr>
          <w:rFonts w:ascii="Arial" w:hAnsi="Arial" w:cs="Arial"/>
          <w:sz w:val="24"/>
          <w:szCs w:val="24"/>
          <w:lang w:val="en-GB"/>
        </w:rPr>
        <w:t>Eviden</w:t>
      </w:r>
      <w:proofErr w:type="spellEnd"/>
      <w:r>
        <w:rPr>
          <w:rFonts w:ascii="Arial" w:hAnsi="Arial" w:cs="Arial"/>
          <w:sz w:val="24"/>
          <w:szCs w:val="24"/>
          <w:lang w:val="en-GB"/>
        </w:rPr>
        <w:t xml:space="preserve">, Accenture and IBM have already been successful. Although TCS has its global delivery model, it might not be useful enough in certain French projects because French clients might place a big </w:t>
      </w:r>
      <w:r>
        <w:rPr>
          <w:rFonts w:ascii="Arial" w:hAnsi="Arial" w:cs="Arial"/>
          <w:sz w:val="24"/>
          <w:szCs w:val="24"/>
          <w:lang w:val="en-GB"/>
        </w:rPr>
        <w:lastRenderedPageBreak/>
        <w:t>emphasis on local language, the issue of data sovereignty, their knowledge about the public sector, and European hosting. Therefore, I suggested that TCS should implement a hybrid strategy rather than just growing in this market.</w:t>
      </w:r>
    </w:p>
    <w:p w14:paraId="1E07562C"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Moreover, I gained a more advanced view of regulation. Initially, I considered GDPR and the EU AI Act as obstacles complicating French expansion. After exploring, I discovered that compliance could serve as an advantage in terms of competition. If TCS shapes good governance in France and the EU, data security and responsible AI, those requirements may enhance its reputation on the regulated market.</w:t>
      </w:r>
    </w:p>
    <w:p w14:paraId="1E07562D" w14:textId="77777777" w:rsidR="001A392A" w:rsidRDefault="004E013E">
      <w:pPr>
        <w:spacing w:line="360" w:lineRule="auto"/>
        <w:jc w:val="both"/>
        <w:rPr>
          <w:rFonts w:ascii="Arial" w:hAnsi="Arial" w:cs="Arial"/>
          <w:b/>
          <w:bCs/>
          <w:sz w:val="24"/>
          <w:szCs w:val="24"/>
        </w:rPr>
      </w:pPr>
      <w:r>
        <w:rPr>
          <w:rFonts w:ascii="Arial" w:hAnsi="Arial" w:cs="Arial"/>
          <w:b/>
          <w:bCs/>
          <w:sz w:val="24"/>
          <w:szCs w:val="24"/>
        </w:rPr>
        <w:t>Conclusion</w:t>
      </w:r>
    </w:p>
    <w:p w14:paraId="1E07562E" w14:textId="77777777" w:rsidR="001A392A" w:rsidRDefault="004E013E">
      <w:pPr>
        <w:spacing w:line="360" w:lineRule="auto"/>
        <w:jc w:val="both"/>
        <w:rPr>
          <w:rFonts w:ascii="Arial" w:hAnsi="Arial" w:cs="Arial"/>
          <w:sz w:val="24"/>
          <w:szCs w:val="24"/>
          <w:lang w:val="en-GB"/>
        </w:rPr>
      </w:pPr>
      <w:r>
        <w:rPr>
          <w:rFonts w:ascii="Arial" w:hAnsi="Arial" w:cs="Arial"/>
          <w:sz w:val="24"/>
          <w:szCs w:val="24"/>
          <w:lang w:val="en-GB"/>
        </w:rPr>
        <w:t>Through this assessment, I enhanced my skills to use international-business theory in practice in a particular country and company. I have also learned how to use the evidence more carefully, challenge assumptions, compare various alternatives, and support one’s recommendations. The most valuable thing I learned is that global efficiency must be combined with local responsiveness, which is crucial in a country where regulations, digital sovereignty, and consumer trust are of great significance.</w:t>
      </w:r>
    </w:p>
    <w:p w14:paraId="1E07562F" w14:textId="77777777" w:rsidR="001A392A" w:rsidRDefault="004E013E">
      <w:pPr>
        <w:spacing w:line="360" w:lineRule="auto"/>
        <w:jc w:val="both"/>
      </w:pPr>
      <w:r>
        <w:rPr>
          <w:rFonts w:ascii="Arial" w:hAnsi="Arial" w:cs="Arial"/>
          <w:b/>
          <w:bCs/>
          <w:sz w:val="24"/>
          <w:szCs w:val="24"/>
        </w:rPr>
        <w:t>Action Plan</w:t>
      </w:r>
    </w:p>
    <w:p w14:paraId="1E075630" w14:textId="77777777" w:rsidR="001A392A" w:rsidRDefault="004E013E">
      <w:pPr>
        <w:spacing w:after="210" w:line="360" w:lineRule="auto"/>
        <w:jc w:val="both"/>
        <w:rPr>
          <w:rFonts w:ascii="Arial" w:hAnsi="Arial" w:cs="Arial"/>
          <w:sz w:val="24"/>
          <w:szCs w:val="24"/>
          <w:lang w:val="en-GB"/>
        </w:rPr>
      </w:pPr>
      <w:r>
        <w:rPr>
          <w:rFonts w:ascii="Arial" w:hAnsi="Arial" w:cs="Arial"/>
          <w:sz w:val="24"/>
          <w:szCs w:val="24"/>
          <w:lang w:val="en-GB"/>
        </w:rPr>
        <w:t>In subsequent evaluations, I plan to check the current role of the company before making my decision of country. I intend to create a source quality matrix to differentiate academic publications from corporate papers, governmental and commercial information. In addition, I will include more counterarguments, risk matrix and competitor analysis in my work to keep it critical.</w:t>
      </w:r>
    </w:p>
    <w:p w14:paraId="1E075631" w14:textId="0858EDC9" w:rsidR="001A6F69" w:rsidRDefault="004E013E">
      <w:pPr>
        <w:spacing w:after="210" w:line="360" w:lineRule="auto"/>
        <w:jc w:val="both"/>
        <w:rPr>
          <w:rFonts w:ascii="Arial" w:hAnsi="Arial" w:cs="Arial"/>
          <w:sz w:val="24"/>
          <w:szCs w:val="24"/>
          <w:lang w:val="en-GB"/>
        </w:rPr>
      </w:pPr>
      <w:r>
        <w:rPr>
          <w:rFonts w:ascii="Arial" w:hAnsi="Arial" w:cs="Arial"/>
          <w:sz w:val="24"/>
          <w:szCs w:val="24"/>
          <w:lang w:val="en-GB"/>
        </w:rPr>
        <w:t>Lastly, I intend to work on my Harvard referencing, so all the figures used in my paper are properly cited, explained and connected to the strategic issue.</w:t>
      </w:r>
    </w:p>
    <w:p w14:paraId="56A6DA8F" w14:textId="77777777" w:rsidR="001A6F69" w:rsidRDefault="001A6F69">
      <w:pPr>
        <w:suppressAutoHyphens w:val="0"/>
        <w:spacing w:after="160" w:line="276" w:lineRule="auto"/>
        <w:rPr>
          <w:rFonts w:ascii="Arial" w:hAnsi="Arial" w:cs="Arial"/>
          <w:sz w:val="24"/>
          <w:szCs w:val="24"/>
          <w:lang w:val="en-GB"/>
        </w:rPr>
      </w:pPr>
      <w:r>
        <w:rPr>
          <w:rFonts w:ascii="Arial" w:hAnsi="Arial" w:cs="Arial"/>
          <w:sz w:val="24"/>
          <w:szCs w:val="24"/>
          <w:lang w:val="en-GB"/>
        </w:rPr>
        <w:br w:type="page"/>
      </w:r>
    </w:p>
    <w:p w14:paraId="3157F287" w14:textId="77777777" w:rsidR="001A6F69" w:rsidRPr="001A6F69" w:rsidRDefault="001A6F69" w:rsidP="001A6F69">
      <w:pPr>
        <w:pStyle w:val="Heading1"/>
        <w:jc w:val="both"/>
        <w:rPr>
          <w:rFonts w:ascii="Arial" w:hAnsi="Arial" w:cs="Arial"/>
          <w:b/>
          <w:bCs/>
          <w:color w:val="000000" w:themeColor="text1"/>
          <w:sz w:val="24"/>
          <w:szCs w:val="24"/>
          <w:lang w:val="en-GB"/>
        </w:rPr>
      </w:pPr>
      <w:bookmarkStart w:id="45" w:name="_Toc237574851"/>
      <w:r w:rsidRPr="001A6F69">
        <w:rPr>
          <w:rFonts w:ascii="Arial" w:hAnsi="Arial" w:cs="Arial"/>
          <w:b/>
          <w:bCs/>
          <w:color w:val="000000" w:themeColor="text1"/>
          <w:sz w:val="24"/>
          <w:szCs w:val="24"/>
          <w:lang w:val="en-GB"/>
        </w:rPr>
        <w:lastRenderedPageBreak/>
        <w:t>Reference list</w:t>
      </w:r>
      <w:bookmarkEnd w:id="45"/>
    </w:p>
    <w:p w14:paraId="160003AE" w14:textId="77777777" w:rsidR="001A6F69" w:rsidRPr="001A6F69" w:rsidRDefault="001A6F69" w:rsidP="001A6F69">
      <w:pPr>
        <w:spacing w:after="210" w:line="360" w:lineRule="auto"/>
        <w:jc w:val="both"/>
        <w:rPr>
          <w:rFonts w:ascii="Arial" w:hAnsi="Arial" w:cs="Arial"/>
          <w:sz w:val="24"/>
          <w:szCs w:val="24"/>
          <w:lang w:val="en-GB"/>
        </w:rPr>
      </w:pPr>
      <w:proofErr w:type="spellStart"/>
      <w:r w:rsidRPr="001A6F69">
        <w:rPr>
          <w:rFonts w:ascii="Arial" w:hAnsi="Arial" w:cs="Arial"/>
          <w:sz w:val="24"/>
          <w:szCs w:val="24"/>
          <w:lang w:val="en-GB"/>
        </w:rPr>
        <w:t>Alhattali</w:t>
      </w:r>
      <w:proofErr w:type="spellEnd"/>
      <w:r w:rsidRPr="001A6F69">
        <w:rPr>
          <w:rFonts w:ascii="Arial" w:hAnsi="Arial" w:cs="Arial"/>
          <w:sz w:val="24"/>
          <w:szCs w:val="24"/>
          <w:lang w:val="en-GB"/>
        </w:rPr>
        <w:t xml:space="preserve">, A.H., </w:t>
      </w:r>
      <w:proofErr w:type="spellStart"/>
      <w:r w:rsidRPr="001A6F69">
        <w:rPr>
          <w:rFonts w:ascii="Arial" w:hAnsi="Arial" w:cs="Arial"/>
          <w:sz w:val="24"/>
          <w:szCs w:val="24"/>
          <w:lang w:val="en-GB"/>
        </w:rPr>
        <w:t>Alshamsi</w:t>
      </w:r>
      <w:proofErr w:type="spellEnd"/>
      <w:r w:rsidRPr="001A6F69">
        <w:rPr>
          <w:rFonts w:ascii="Arial" w:hAnsi="Arial" w:cs="Arial"/>
          <w:sz w:val="24"/>
          <w:szCs w:val="24"/>
          <w:lang w:val="en-GB"/>
        </w:rPr>
        <w:t xml:space="preserve">, N.S., </w:t>
      </w:r>
      <w:proofErr w:type="spellStart"/>
      <w:r w:rsidRPr="001A6F69">
        <w:rPr>
          <w:rFonts w:ascii="Arial" w:hAnsi="Arial" w:cs="Arial"/>
          <w:sz w:val="24"/>
          <w:szCs w:val="24"/>
          <w:lang w:val="en-GB"/>
        </w:rPr>
        <w:t>Alnuaimi</w:t>
      </w:r>
      <w:proofErr w:type="spellEnd"/>
      <w:r w:rsidRPr="001A6F69">
        <w:rPr>
          <w:rFonts w:ascii="Arial" w:hAnsi="Arial" w:cs="Arial"/>
          <w:sz w:val="24"/>
          <w:szCs w:val="24"/>
          <w:lang w:val="en-GB"/>
        </w:rPr>
        <w:t xml:space="preserve">, R. and </w:t>
      </w:r>
      <w:proofErr w:type="spellStart"/>
      <w:r w:rsidRPr="001A6F69">
        <w:rPr>
          <w:rFonts w:ascii="Arial" w:hAnsi="Arial" w:cs="Arial"/>
          <w:sz w:val="24"/>
          <w:szCs w:val="24"/>
          <w:lang w:val="en-GB"/>
        </w:rPr>
        <w:t>Nobanee</w:t>
      </w:r>
      <w:proofErr w:type="spellEnd"/>
      <w:r w:rsidRPr="001A6F69">
        <w:rPr>
          <w:rFonts w:ascii="Arial" w:hAnsi="Arial" w:cs="Arial"/>
          <w:sz w:val="24"/>
          <w:szCs w:val="24"/>
          <w:lang w:val="en-GB"/>
        </w:rPr>
        <w:t xml:space="preserve">, H. (2024). Global currency risks and economic exposure: A systematic review of hedging strategies. </w:t>
      </w:r>
      <w:r w:rsidRPr="001A6F69">
        <w:rPr>
          <w:rFonts w:ascii="Arial" w:hAnsi="Arial" w:cs="Arial"/>
          <w:i/>
          <w:iCs/>
          <w:sz w:val="24"/>
          <w:szCs w:val="24"/>
          <w:lang w:val="en-GB"/>
        </w:rPr>
        <w:t>SSRN Electronic Journal</w:t>
      </w:r>
      <w:r w:rsidRPr="001A6F69">
        <w:rPr>
          <w:rFonts w:ascii="Arial" w:hAnsi="Arial" w:cs="Arial"/>
          <w:sz w:val="24"/>
          <w:szCs w:val="24"/>
          <w:lang w:val="en-GB"/>
        </w:rPr>
        <w:t>. doi:10.2139/ssrn.4978886.</w:t>
      </w:r>
    </w:p>
    <w:p w14:paraId="1999ED80"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Bartlett, C.A. and Ghoshal, S. (1989). </w:t>
      </w:r>
      <w:r w:rsidRPr="001A6F69">
        <w:rPr>
          <w:rFonts w:ascii="Arial" w:hAnsi="Arial" w:cs="Arial"/>
          <w:i/>
          <w:iCs/>
          <w:sz w:val="24"/>
          <w:szCs w:val="24"/>
          <w:lang w:val="en-GB"/>
        </w:rPr>
        <w:t>Managing across borders: The transnational solution</w:t>
      </w:r>
      <w:r w:rsidRPr="001A6F69">
        <w:rPr>
          <w:rFonts w:ascii="Arial" w:hAnsi="Arial" w:cs="Arial"/>
          <w:sz w:val="24"/>
          <w:szCs w:val="24"/>
          <w:lang w:val="en-GB"/>
        </w:rPr>
        <w:t>. Boston, Mass.: Harvard Business School Press.</w:t>
      </w:r>
    </w:p>
    <w:p w14:paraId="4138FF52"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Brock, D.M. and </w:t>
      </w:r>
      <w:proofErr w:type="spellStart"/>
      <w:r w:rsidRPr="001A6F69">
        <w:rPr>
          <w:rFonts w:ascii="Arial" w:hAnsi="Arial" w:cs="Arial"/>
          <w:sz w:val="24"/>
          <w:szCs w:val="24"/>
          <w:lang w:val="en-GB"/>
        </w:rPr>
        <w:t>Hydle</w:t>
      </w:r>
      <w:proofErr w:type="spellEnd"/>
      <w:r w:rsidRPr="001A6F69">
        <w:rPr>
          <w:rFonts w:ascii="Arial" w:hAnsi="Arial" w:cs="Arial"/>
          <w:sz w:val="24"/>
          <w:szCs w:val="24"/>
          <w:lang w:val="en-GB"/>
        </w:rPr>
        <w:t xml:space="preserve">, K.M. (2018). Transnationality – sharpening the integration-responsiveness vision in global professional firms. </w:t>
      </w:r>
      <w:r w:rsidRPr="001A6F69">
        <w:rPr>
          <w:rFonts w:ascii="Arial" w:hAnsi="Arial" w:cs="Arial"/>
          <w:i/>
          <w:iCs/>
          <w:sz w:val="24"/>
          <w:szCs w:val="24"/>
          <w:lang w:val="en-GB"/>
        </w:rPr>
        <w:t>European Management Journal</w:t>
      </w:r>
      <w:r w:rsidRPr="001A6F69">
        <w:rPr>
          <w:rFonts w:ascii="Arial" w:hAnsi="Arial" w:cs="Arial"/>
          <w:sz w:val="24"/>
          <w:szCs w:val="24"/>
          <w:lang w:val="en-GB"/>
        </w:rPr>
        <w:t xml:space="preserve">, 36(1), pp.117–124. </w:t>
      </w:r>
      <w:proofErr w:type="gramStart"/>
      <w:r w:rsidRPr="001A6F69">
        <w:rPr>
          <w:rFonts w:ascii="Arial" w:hAnsi="Arial" w:cs="Arial"/>
          <w:sz w:val="24"/>
          <w:szCs w:val="24"/>
          <w:lang w:val="en-GB"/>
        </w:rPr>
        <w:t>doi:10.1016/j.emj</w:t>
      </w:r>
      <w:proofErr w:type="gramEnd"/>
      <w:r w:rsidRPr="001A6F69">
        <w:rPr>
          <w:rFonts w:ascii="Arial" w:hAnsi="Arial" w:cs="Arial"/>
          <w:sz w:val="24"/>
          <w:szCs w:val="24"/>
          <w:lang w:val="en-GB"/>
        </w:rPr>
        <w:t>.2017.01.003.</w:t>
      </w:r>
    </w:p>
    <w:p w14:paraId="42A7D2FE" w14:textId="77777777" w:rsidR="001A6F69" w:rsidRPr="001A6F69" w:rsidRDefault="001A6F69" w:rsidP="001A6F69">
      <w:pPr>
        <w:spacing w:after="210" w:line="360" w:lineRule="auto"/>
        <w:jc w:val="both"/>
        <w:rPr>
          <w:rFonts w:ascii="Arial" w:hAnsi="Arial" w:cs="Arial"/>
          <w:sz w:val="24"/>
          <w:szCs w:val="24"/>
          <w:lang w:val="en-GB"/>
        </w:rPr>
      </w:pPr>
      <w:proofErr w:type="spellStart"/>
      <w:r w:rsidRPr="001A6F69">
        <w:rPr>
          <w:rFonts w:ascii="Arial" w:hAnsi="Arial" w:cs="Arial"/>
          <w:sz w:val="24"/>
          <w:szCs w:val="24"/>
          <w:lang w:val="en-GB"/>
        </w:rPr>
        <w:t>Brouthers</w:t>
      </w:r>
      <w:proofErr w:type="spellEnd"/>
      <w:r w:rsidRPr="001A6F69">
        <w:rPr>
          <w:rFonts w:ascii="Arial" w:hAnsi="Arial" w:cs="Arial"/>
          <w:sz w:val="24"/>
          <w:szCs w:val="24"/>
          <w:lang w:val="en-GB"/>
        </w:rPr>
        <w:t xml:space="preserve">, K. D (2012). A retrospective on: Institutional, cultural and transaction cost influences on entry mode choice and performance. </w:t>
      </w:r>
      <w:r w:rsidRPr="001A6F69">
        <w:rPr>
          <w:rFonts w:ascii="Arial" w:hAnsi="Arial" w:cs="Arial"/>
          <w:i/>
          <w:iCs/>
          <w:sz w:val="24"/>
          <w:szCs w:val="24"/>
          <w:lang w:val="en-GB"/>
        </w:rPr>
        <w:t>Journal of International Business Studies</w:t>
      </w:r>
      <w:r w:rsidRPr="001A6F69">
        <w:rPr>
          <w:rFonts w:ascii="Arial" w:hAnsi="Arial" w:cs="Arial"/>
          <w:sz w:val="24"/>
          <w:szCs w:val="24"/>
          <w:lang w:val="en-GB"/>
        </w:rPr>
        <w:t>, 44(1), pp.14–22. doi:10.1057/jibs.2012.23.</w:t>
      </w:r>
    </w:p>
    <w:p w14:paraId="3B562AD2"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Bruneel, J., </w:t>
      </w:r>
      <w:proofErr w:type="spellStart"/>
      <w:r w:rsidRPr="001A6F69">
        <w:rPr>
          <w:rFonts w:ascii="Arial" w:hAnsi="Arial" w:cs="Arial"/>
          <w:sz w:val="24"/>
          <w:szCs w:val="24"/>
          <w:lang w:val="en-GB"/>
        </w:rPr>
        <w:t>Yli</w:t>
      </w:r>
      <w:proofErr w:type="spellEnd"/>
      <w:r w:rsidRPr="001A6F69">
        <w:rPr>
          <w:rFonts w:ascii="Arial" w:hAnsi="Arial" w:cs="Arial"/>
          <w:sz w:val="24"/>
          <w:szCs w:val="24"/>
          <w:lang w:val="en-GB"/>
        </w:rPr>
        <w:t xml:space="preserve">-Renko, H. and </w:t>
      </w:r>
      <w:proofErr w:type="spellStart"/>
      <w:r w:rsidRPr="001A6F69">
        <w:rPr>
          <w:rFonts w:ascii="Arial" w:hAnsi="Arial" w:cs="Arial"/>
          <w:sz w:val="24"/>
          <w:szCs w:val="24"/>
          <w:lang w:val="en-GB"/>
        </w:rPr>
        <w:t>Clarysse</w:t>
      </w:r>
      <w:proofErr w:type="spellEnd"/>
      <w:r w:rsidRPr="001A6F69">
        <w:rPr>
          <w:rFonts w:ascii="Arial" w:hAnsi="Arial" w:cs="Arial"/>
          <w:sz w:val="24"/>
          <w:szCs w:val="24"/>
          <w:lang w:val="en-GB"/>
        </w:rPr>
        <w:t xml:space="preserve">, B. (2010). Learning from experience and learning from others: How congenital and interorganizational learning substitute for experiential learning in young firm internationalization. </w:t>
      </w:r>
      <w:r w:rsidRPr="001A6F69">
        <w:rPr>
          <w:rFonts w:ascii="Arial" w:hAnsi="Arial" w:cs="Arial"/>
          <w:i/>
          <w:iCs/>
          <w:sz w:val="24"/>
          <w:szCs w:val="24"/>
          <w:lang w:val="en-GB"/>
        </w:rPr>
        <w:t>Strategic Entrepreneurship Journal</w:t>
      </w:r>
      <w:r w:rsidRPr="001A6F69">
        <w:rPr>
          <w:rFonts w:ascii="Arial" w:hAnsi="Arial" w:cs="Arial"/>
          <w:sz w:val="24"/>
          <w:szCs w:val="24"/>
          <w:lang w:val="en-GB"/>
        </w:rPr>
        <w:t>, [online] 4(2), pp.164–182. doi:10.1002/sej.89.</w:t>
      </w:r>
    </w:p>
    <w:p w14:paraId="73B59E3E"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Dunning, J.H. (1988). The eclectic paradigm of international production: A restatement and some possible extensions. </w:t>
      </w:r>
      <w:r w:rsidRPr="001A6F69">
        <w:rPr>
          <w:rFonts w:ascii="Arial" w:hAnsi="Arial" w:cs="Arial"/>
          <w:i/>
          <w:iCs/>
          <w:sz w:val="24"/>
          <w:szCs w:val="24"/>
          <w:lang w:val="en-GB"/>
        </w:rPr>
        <w:t>Journal of International Business Studies</w:t>
      </w:r>
      <w:r w:rsidRPr="001A6F69">
        <w:rPr>
          <w:rFonts w:ascii="Arial" w:hAnsi="Arial" w:cs="Arial"/>
          <w:sz w:val="24"/>
          <w:szCs w:val="24"/>
          <w:lang w:val="en-GB"/>
        </w:rPr>
        <w:t xml:space="preserve">, 19(1), pp.1–31. </w:t>
      </w:r>
      <w:proofErr w:type="spellStart"/>
      <w:proofErr w:type="gramStart"/>
      <w:r w:rsidRPr="001A6F69">
        <w:rPr>
          <w:rFonts w:ascii="Arial" w:hAnsi="Arial" w:cs="Arial"/>
          <w:sz w:val="24"/>
          <w:szCs w:val="24"/>
          <w:lang w:val="en-GB"/>
        </w:rPr>
        <w:t>doi:https</w:t>
      </w:r>
      <w:proofErr w:type="spellEnd"/>
      <w:r w:rsidRPr="001A6F69">
        <w:rPr>
          <w:rFonts w:ascii="Arial" w:hAnsi="Arial" w:cs="Arial"/>
          <w:sz w:val="24"/>
          <w:szCs w:val="24"/>
          <w:lang w:val="en-GB"/>
        </w:rPr>
        <w:t>://doi.org/10.1057/palgrave.jibs.8490372</w:t>
      </w:r>
      <w:proofErr w:type="gramEnd"/>
      <w:r w:rsidRPr="001A6F69">
        <w:rPr>
          <w:rFonts w:ascii="Arial" w:hAnsi="Arial" w:cs="Arial"/>
          <w:sz w:val="24"/>
          <w:szCs w:val="24"/>
          <w:lang w:val="en-GB"/>
        </w:rPr>
        <w:t>.</w:t>
      </w:r>
    </w:p>
    <w:p w14:paraId="19849634"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European Commission (2025). </w:t>
      </w:r>
      <w:r w:rsidRPr="001A6F69">
        <w:rPr>
          <w:rFonts w:ascii="Arial" w:hAnsi="Arial" w:cs="Arial"/>
          <w:i/>
          <w:iCs/>
          <w:sz w:val="24"/>
          <w:szCs w:val="24"/>
          <w:lang w:val="en-GB"/>
        </w:rPr>
        <w:t>AI act</w:t>
      </w:r>
      <w:r w:rsidRPr="001A6F69">
        <w:rPr>
          <w:rFonts w:ascii="Arial" w:hAnsi="Arial" w:cs="Arial"/>
          <w:sz w:val="24"/>
          <w:szCs w:val="24"/>
          <w:lang w:val="en-GB"/>
        </w:rPr>
        <w:t xml:space="preserve">. [online] </w:t>
      </w:r>
      <w:r w:rsidRPr="001A6F69">
        <w:rPr>
          <w:rFonts w:ascii="Arial" w:hAnsi="Arial" w:cs="Arial"/>
          <w:i/>
          <w:iCs/>
          <w:sz w:val="24"/>
          <w:szCs w:val="24"/>
          <w:lang w:val="en-GB"/>
        </w:rPr>
        <w:t>European Commission</w:t>
      </w:r>
      <w:r w:rsidRPr="001A6F69">
        <w:rPr>
          <w:rFonts w:ascii="Arial" w:hAnsi="Arial" w:cs="Arial"/>
          <w:sz w:val="24"/>
          <w:szCs w:val="24"/>
          <w:lang w:val="en-GB"/>
        </w:rPr>
        <w:t>. Available at: https://digital-strategy.ec.europa.eu/en/policies/regulatory-framework-ai.</w:t>
      </w:r>
    </w:p>
    <w:p w14:paraId="0E830F1A"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France 2025 digital decade country report | shaping Europe’s digital future. (2025a). [online] </w:t>
      </w:r>
      <w:r w:rsidRPr="001A6F69">
        <w:rPr>
          <w:rFonts w:ascii="Arial" w:hAnsi="Arial" w:cs="Arial"/>
          <w:i/>
          <w:iCs/>
          <w:sz w:val="24"/>
          <w:szCs w:val="24"/>
          <w:lang w:val="en-GB"/>
        </w:rPr>
        <w:t>Europa.eu</w:t>
      </w:r>
      <w:r w:rsidRPr="001A6F69">
        <w:rPr>
          <w:rFonts w:ascii="Arial" w:hAnsi="Arial" w:cs="Arial"/>
          <w:sz w:val="24"/>
          <w:szCs w:val="24"/>
          <w:lang w:val="en-GB"/>
        </w:rPr>
        <w:t>. Available at: https://digital-strategy.ec.europa.eu/en/factpages/france-2025-digital-decade-country-report.</w:t>
      </w:r>
    </w:p>
    <w:p w14:paraId="54E7137D"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Gibbs, G. (1988). Learning by doing: A guide to teaching and learning methods. </w:t>
      </w:r>
      <w:r w:rsidRPr="001A6F69">
        <w:rPr>
          <w:rFonts w:ascii="Arial" w:hAnsi="Arial" w:cs="Arial"/>
          <w:i/>
          <w:iCs/>
          <w:sz w:val="24"/>
          <w:szCs w:val="24"/>
          <w:lang w:val="en-GB"/>
        </w:rPr>
        <w:t>Programmed Learning &amp; Educational Technology</w:t>
      </w:r>
      <w:r w:rsidRPr="001A6F69">
        <w:rPr>
          <w:rFonts w:ascii="Arial" w:hAnsi="Arial" w:cs="Arial"/>
          <w:sz w:val="24"/>
          <w:szCs w:val="24"/>
          <w:lang w:val="en-GB"/>
        </w:rPr>
        <w:t>, 25(2).</w:t>
      </w:r>
    </w:p>
    <w:p w14:paraId="3FE38158"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Griffith, D.A., Dean, T. and Hoppner, J. (2021). EXPRESS: Choices and consequences: Recommendations for an improved understanding of cultural distance </w:t>
      </w:r>
      <w:r w:rsidRPr="001A6F69">
        <w:rPr>
          <w:rFonts w:ascii="Arial" w:hAnsi="Arial" w:cs="Arial"/>
          <w:sz w:val="24"/>
          <w:szCs w:val="24"/>
          <w:lang w:val="en-GB"/>
        </w:rPr>
        <w:lastRenderedPageBreak/>
        <w:t xml:space="preserve">in international marketing research. </w:t>
      </w:r>
      <w:r w:rsidRPr="001A6F69">
        <w:rPr>
          <w:rFonts w:ascii="Arial" w:hAnsi="Arial" w:cs="Arial"/>
          <w:i/>
          <w:iCs/>
          <w:sz w:val="24"/>
          <w:szCs w:val="24"/>
          <w:lang w:val="en-GB"/>
        </w:rPr>
        <w:t>Journal of International Marketing</w:t>
      </w:r>
      <w:r w:rsidRPr="001A6F69">
        <w:rPr>
          <w:rFonts w:ascii="Arial" w:hAnsi="Arial" w:cs="Arial"/>
          <w:sz w:val="24"/>
          <w:szCs w:val="24"/>
          <w:lang w:val="en-GB"/>
        </w:rPr>
        <w:t>, 29(3), p.1069031X2110021. doi:10.1177/1069031x211002193.</w:t>
      </w:r>
    </w:p>
    <w:p w14:paraId="15E5EC21"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Johanson, J. and Vahlne, J.-E. (2009). The </w:t>
      </w:r>
      <w:proofErr w:type="spellStart"/>
      <w:r w:rsidRPr="001A6F69">
        <w:rPr>
          <w:rFonts w:ascii="Arial" w:hAnsi="Arial" w:cs="Arial"/>
          <w:sz w:val="24"/>
          <w:szCs w:val="24"/>
          <w:lang w:val="en-GB"/>
        </w:rPr>
        <w:t>uppsala</w:t>
      </w:r>
      <w:proofErr w:type="spellEnd"/>
      <w:r w:rsidRPr="001A6F69">
        <w:rPr>
          <w:rFonts w:ascii="Arial" w:hAnsi="Arial" w:cs="Arial"/>
          <w:sz w:val="24"/>
          <w:szCs w:val="24"/>
          <w:lang w:val="en-GB"/>
        </w:rPr>
        <w:t xml:space="preserve"> internationalization process model revisited: From liability of foreignness to liability of </w:t>
      </w:r>
      <w:proofErr w:type="spellStart"/>
      <w:r w:rsidRPr="001A6F69">
        <w:rPr>
          <w:rFonts w:ascii="Arial" w:hAnsi="Arial" w:cs="Arial"/>
          <w:sz w:val="24"/>
          <w:szCs w:val="24"/>
          <w:lang w:val="en-GB"/>
        </w:rPr>
        <w:t>outsidership</w:t>
      </w:r>
      <w:proofErr w:type="spellEnd"/>
      <w:r w:rsidRPr="001A6F69">
        <w:rPr>
          <w:rFonts w:ascii="Arial" w:hAnsi="Arial" w:cs="Arial"/>
          <w:sz w:val="24"/>
          <w:szCs w:val="24"/>
          <w:lang w:val="en-GB"/>
        </w:rPr>
        <w:t xml:space="preserve">. </w:t>
      </w:r>
      <w:r w:rsidRPr="001A6F69">
        <w:rPr>
          <w:rFonts w:ascii="Arial" w:hAnsi="Arial" w:cs="Arial"/>
          <w:i/>
          <w:iCs/>
          <w:sz w:val="24"/>
          <w:szCs w:val="24"/>
          <w:lang w:val="en-GB"/>
        </w:rPr>
        <w:t>Journal of International Business Studies</w:t>
      </w:r>
      <w:r w:rsidRPr="001A6F69">
        <w:rPr>
          <w:rFonts w:ascii="Arial" w:hAnsi="Arial" w:cs="Arial"/>
          <w:sz w:val="24"/>
          <w:szCs w:val="24"/>
          <w:lang w:val="en-GB"/>
        </w:rPr>
        <w:t>, 40(9), pp.1411–1431. doi:10.1057/jibs.2009.24.</w:t>
      </w:r>
    </w:p>
    <w:p w14:paraId="30A07BB1"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Linden, R., Müller, M. and Abdullah Özel (2018). </w:t>
      </w:r>
      <w:r w:rsidRPr="001A6F69">
        <w:rPr>
          <w:rFonts w:ascii="Arial" w:hAnsi="Arial" w:cs="Arial"/>
          <w:i/>
          <w:iCs/>
          <w:sz w:val="24"/>
          <w:szCs w:val="24"/>
          <w:lang w:val="en-GB"/>
        </w:rPr>
        <w:t>Challenges of client-vendor relationships in information technology outsourcing engagements: An interpretive structural modelling approach</w:t>
      </w:r>
      <w:r w:rsidRPr="001A6F69">
        <w:rPr>
          <w:rFonts w:ascii="Arial" w:hAnsi="Arial" w:cs="Arial"/>
          <w:sz w:val="24"/>
          <w:szCs w:val="24"/>
          <w:lang w:val="en-GB"/>
        </w:rPr>
        <w:t>. [online] AIS Electronic Library (</w:t>
      </w:r>
      <w:proofErr w:type="spellStart"/>
      <w:r w:rsidRPr="001A6F69">
        <w:rPr>
          <w:rFonts w:ascii="Arial" w:hAnsi="Arial" w:cs="Arial"/>
          <w:sz w:val="24"/>
          <w:szCs w:val="24"/>
          <w:lang w:val="en-GB"/>
        </w:rPr>
        <w:t>AISeL</w:t>
      </w:r>
      <w:proofErr w:type="spellEnd"/>
      <w:r w:rsidRPr="001A6F69">
        <w:rPr>
          <w:rFonts w:ascii="Arial" w:hAnsi="Arial" w:cs="Arial"/>
          <w:sz w:val="24"/>
          <w:szCs w:val="24"/>
          <w:lang w:val="en-GB"/>
        </w:rPr>
        <w:t>). Available at: https://aisel.aisnet.org/ecis2018_rp/94/.</w:t>
      </w:r>
    </w:p>
    <w:p w14:paraId="17B5F6A4"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Manning, S., Larsen, M.M. and Bharati, P. (2015). Global delivery models: The role of talent, speed and time zones in the global outsourcing industry. </w:t>
      </w:r>
      <w:r w:rsidRPr="001A6F69">
        <w:rPr>
          <w:rFonts w:ascii="Arial" w:hAnsi="Arial" w:cs="Arial"/>
          <w:i/>
          <w:iCs/>
          <w:sz w:val="24"/>
          <w:szCs w:val="24"/>
          <w:lang w:val="en-GB"/>
        </w:rPr>
        <w:t>Journal of International Business Studies</w:t>
      </w:r>
      <w:r w:rsidRPr="001A6F69">
        <w:rPr>
          <w:rFonts w:ascii="Arial" w:hAnsi="Arial" w:cs="Arial"/>
          <w:sz w:val="24"/>
          <w:szCs w:val="24"/>
          <w:lang w:val="en-GB"/>
        </w:rPr>
        <w:t>, 46(7), pp.850–877.</w:t>
      </w:r>
    </w:p>
    <w:p w14:paraId="3AC3B40A" w14:textId="77777777" w:rsidR="001A6F69" w:rsidRPr="001A6F69" w:rsidRDefault="001A6F69" w:rsidP="001A6F69">
      <w:pPr>
        <w:spacing w:after="210" w:line="360" w:lineRule="auto"/>
        <w:jc w:val="both"/>
        <w:rPr>
          <w:rFonts w:ascii="Arial" w:hAnsi="Arial" w:cs="Arial"/>
          <w:sz w:val="24"/>
          <w:szCs w:val="24"/>
          <w:lang w:val="en-GB"/>
        </w:rPr>
      </w:pPr>
      <w:proofErr w:type="spellStart"/>
      <w:r w:rsidRPr="001A6F69">
        <w:rPr>
          <w:rFonts w:ascii="Arial" w:hAnsi="Arial" w:cs="Arial"/>
          <w:sz w:val="24"/>
          <w:szCs w:val="24"/>
          <w:lang w:val="en-GB"/>
        </w:rPr>
        <w:t>Ramioul</w:t>
      </w:r>
      <w:proofErr w:type="spellEnd"/>
      <w:r w:rsidRPr="001A6F69">
        <w:rPr>
          <w:rFonts w:ascii="Arial" w:hAnsi="Arial" w:cs="Arial"/>
          <w:sz w:val="24"/>
          <w:szCs w:val="24"/>
          <w:lang w:val="en-GB"/>
        </w:rPr>
        <w:t xml:space="preserve">, H., Liégeois, A., Dejardin, R. and </w:t>
      </w:r>
      <w:proofErr w:type="spellStart"/>
      <w:r w:rsidRPr="001A6F69">
        <w:rPr>
          <w:rFonts w:ascii="Arial" w:hAnsi="Arial" w:cs="Arial"/>
          <w:sz w:val="24"/>
          <w:szCs w:val="24"/>
          <w:lang w:val="en-GB"/>
        </w:rPr>
        <w:t>Lefèbvre</w:t>
      </w:r>
      <w:proofErr w:type="spellEnd"/>
      <w:r w:rsidRPr="001A6F69">
        <w:rPr>
          <w:rFonts w:ascii="Arial" w:hAnsi="Arial" w:cs="Arial"/>
          <w:sz w:val="24"/>
          <w:szCs w:val="24"/>
          <w:lang w:val="en-GB"/>
        </w:rPr>
        <w:t xml:space="preserve">, C. (2009). Un </w:t>
      </w:r>
      <w:proofErr w:type="spellStart"/>
      <w:r w:rsidRPr="001A6F69">
        <w:rPr>
          <w:rFonts w:ascii="Arial" w:hAnsi="Arial" w:cs="Arial"/>
          <w:sz w:val="24"/>
          <w:szCs w:val="24"/>
          <w:lang w:val="en-GB"/>
        </w:rPr>
        <w:t>cas</w:t>
      </w:r>
      <w:proofErr w:type="spellEnd"/>
      <w:r w:rsidRPr="001A6F69">
        <w:rPr>
          <w:rFonts w:ascii="Arial" w:hAnsi="Arial" w:cs="Arial"/>
          <w:sz w:val="24"/>
          <w:szCs w:val="24"/>
          <w:lang w:val="en-GB"/>
        </w:rPr>
        <w:t xml:space="preserve"> de </w:t>
      </w:r>
      <w:proofErr w:type="spellStart"/>
      <w:r w:rsidRPr="001A6F69">
        <w:rPr>
          <w:rFonts w:ascii="Arial" w:hAnsi="Arial" w:cs="Arial"/>
          <w:sz w:val="24"/>
          <w:szCs w:val="24"/>
          <w:lang w:val="en-GB"/>
        </w:rPr>
        <w:t>mastite</w:t>
      </w:r>
      <w:proofErr w:type="spellEnd"/>
      <w:r w:rsidRPr="001A6F69">
        <w:rPr>
          <w:rFonts w:ascii="Arial" w:hAnsi="Arial" w:cs="Arial"/>
          <w:sz w:val="24"/>
          <w:szCs w:val="24"/>
          <w:lang w:val="en-GB"/>
        </w:rPr>
        <w:t xml:space="preserve"> </w:t>
      </w:r>
      <w:proofErr w:type="spellStart"/>
      <w:r w:rsidRPr="001A6F69">
        <w:rPr>
          <w:rFonts w:ascii="Arial" w:hAnsi="Arial" w:cs="Arial"/>
          <w:sz w:val="24"/>
          <w:szCs w:val="24"/>
          <w:lang w:val="en-GB"/>
        </w:rPr>
        <w:t>granulomateuse</w:t>
      </w:r>
      <w:proofErr w:type="spellEnd"/>
      <w:r w:rsidRPr="001A6F69">
        <w:rPr>
          <w:rFonts w:ascii="Arial" w:hAnsi="Arial" w:cs="Arial"/>
          <w:sz w:val="24"/>
          <w:szCs w:val="24"/>
          <w:lang w:val="en-GB"/>
        </w:rPr>
        <w:t xml:space="preserve"> simulant la </w:t>
      </w:r>
      <w:proofErr w:type="spellStart"/>
      <w:r w:rsidRPr="001A6F69">
        <w:rPr>
          <w:rFonts w:ascii="Arial" w:hAnsi="Arial" w:cs="Arial"/>
          <w:sz w:val="24"/>
          <w:szCs w:val="24"/>
          <w:lang w:val="en-GB"/>
        </w:rPr>
        <w:t>mastite</w:t>
      </w:r>
      <w:proofErr w:type="spellEnd"/>
      <w:r w:rsidRPr="001A6F69">
        <w:rPr>
          <w:rFonts w:ascii="Arial" w:hAnsi="Arial" w:cs="Arial"/>
          <w:sz w:val="24"/>
          <w:szCs w:val="24"/>
          <w:lang w:val="en-GB"/>
        </w:rPr>
        <w:t xml:space="preserve"> </w:t>
      </w:r>
      <w:proofErr w:type="spellStart"/>
      <w:r w:rsidRPr="001A6F69">
        <w:rPr>
          <w:rFonts w:ascii="Arial" w:hAnsi="Arial" w:cs="Arial"/>
          <w:sz w:val="24"/>
          <w:szCs w:val="24"/>
          <w:lang w:val="en-GB"/>
        </w:rPr>
        <w:t>néoplasique</w:t>
      </w:r>
      <w:proofErr w:type="spellEnd"/>
      <w:r w:rsidRPr="001A6F69">
        <w:rPr>
          <w:rFonts w:ascii="Arial" w:hAnsi="Arial" w:cs="Arial"/>
          <w:sz w:val="24"/>
          <w:szCs w:val="24"/>
          <w:lang w:val="en-GB"/>
        </w:rPr>
        <w:t xml:space="preserve">. </w:t>
      </w:r>
      <w:proofErr w:type="spellStart"/>
      <w:r w:rsidRPr="001A6F69">
        <w:rPr>
          <w:rFonts w:ascii="Arial" w:hAnsi="Arial" w:cs="Arial"/>
          <w:i/>
          <w:iCs/>
          <w:sz w:val="24"/>
          <w:szCs w:val="24"/>
          <w:lang w:val="en-GB"/>
        </w:rPr>
        <w:t>Gynäkologische</w:t>
      </w:r>
      <w:proofErr w:type="spellEnd"/>
      <w:r w:rsidRPr="001A6F69">
        <w:rPr>
          <w:rFonts w:ascii="Arial" w:hAnsi="Arial" w:cs="Arial"/>
          <w:i/>
          <w:iCs/>
          <w:sz w:val="24"/>
          <w:szCs w:val="24"/>
          <w:lang w:val="en-GB"/>
        </w:rPr>
        <w:t xml:space="preserve"> </w:t>
      </w:r>
      <w:proofErr w:type="spellStart"/>
      <w:r w:rsidRPr="001A6F69">
        <w:rPr>
          <w:rFonts w:ascii="Arial" w:hAnsi="Arial" w:cs="Arial"/>
          <w:i/>
          <w:iCs/>
          <w:sz w:val="24"/>
          <w:szCs w:val="24"/>
          <w:lang w:val="en-GB"/>
        </w:rPr>
        <w:t>Rundschau</w:t>
      </w:r>
      <w:proofErr w:type="spellEnd"/>
      <w:r w:rsidRPr="001A6F69">
        <w:rPr>
          <w:rFonts w:ascii="Arial" w:hAnsi="Arial" w:cs="Arial"/>
          <w:sz w:val="24"/>
          <w:szCs w:val="24"/>
          <w:lang w:val="en-GB"/>
        </w:rPr>
        <w:t>, pp.78–83. doi:10.1159/000269130.</w:t>
      </w:r>
    </w:p>
    <w:p w14:paraId="00DEC1E6"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Rao, B. and </w:t>
      </w:r>
      <w:proofErr w:type="spellStart"/>
      <w:r w:rsidRPr="001A6F69">
        <w:rPr>
          <w:rFonts w:ascii="Arial" w:hAnsi="Arial" w:cs="Arial"/>
          <w:sz w:val="24"/>
          <w:szCs w:val="24"/>
          <w:lang w:val="en-GB"/>
        </w:rPr>
        <w:t>Mulloth</w:t>
      </w:r>
      <w:proofErr w:type="spellEnd"/>
      <w:r w:rsidRPr="001A6F69">
        <w:rPr>
          <w:rFonts w:ascii="Arial" w:hAnsi="Arial" w:cs="Arial"/>
          <w:sz w:val="24"/>
          <w:szCs w:val="24"/>
          <w:lang w:val="en-GB"/>
        </w:rPr>
        <w:t xml:space="preserve">, B. (2017). The role of universities in encouraging growth of technology-based New Ventures. </w:t>
      </w:r>
      <w:r w:rsidRPr="001A6F69">
        <w:rPr>
          <w:rFonts w:ascii="Arial" w:hAnsi="Arial" w:cs="Arial"/>
          <w:i/>
          <w:iCs/>
          <w:sz w:val="24"/>
          <w:szCs w:val="24"/>
          <w:lang w:val="en-GB"/>
        </w:rPr>
        <w:t>International Journal of Innovation and Technology Management</w:t>
      </w:r>
      <w:r w:rsidRPr="001A6F69">
        <w:rPr>
          <w:rFonts w:ascii="Arial" w:hAnsi="Arial" w:cs="Arial"/>
          <w:sz w:val="24"/>
          <w:szCs w:val="24"/>
          <w:lang w:val="en-GB"/>
        </w:rPr>
        <w:t>, 14(04), p.1750014. doi:10.1142/s0219877017500146.</w:t>
      </w:r>
    </w:p>
    <w:p w14:paraId="7CC134FF"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TCS opens new delivery centre in France to drive AI-Powered transformation for the aerospace and Defence Industries. (2025b). [online] </w:t>
      </w:r>
      <w:r w:rsidRPr="001A6F69">
        <w:rPr>
          <w:rFonts w:ascii="Arial" w:hAnsi="Arial" w:cs="Arial"/>
          <w:i/>
          <w:iCs/>
          <w:sz w:val="24"/>
          <w:szCs w:val="24"/>
          <w:lang w:val="en-GB"/>
        </w:rPr>
        <w:t>Tcs.com</w:t>
      </w:r>
      <w:r w:rsidRPr="001A6F69">
        <w:rPr>
          <w:rFonts w:ascii="Arial" w:hAnsi="Arial" w:cs="Arial"/>
          <w:sz w:val="24"/>
          <w:szCs w:val="24"/>
          <w:lang w:val="en-GB"/>
        </w:rPr>
        <w:t>. Available at: https://www.tcs.com/who-we-are/newsroom/press-release/tcs-opens-new-delivery-centre-in-france-to-drive-ai-powered-transformation-for-the-aerospace-and-defence-industries.</w:t>
      </w:r>
    </w:p>
    <w:p w14:paraId="1B1B0D6E"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TCS starts FY2025 on a strong note with broad-based growth. (2025c). [online] </w:t>
      </w:r>
      <w:r w:rsidRPr="001A6F69">
        <w:rPr>
          <w:rFonts w:ascii="Arial" w:hAnsi="Arial" w:cs="Arial"/>
          <w:i/>
          <w:iCs/>
          <w:sz w:val="24"/>
          <w:szCs w:val="24"/>
          <w:lang w:val="en-GB"/>
        </w:rPr>
        <w:t>Tcs.com</w:t>
      </w:r>
      <w:r w:rsidRPr="001A6F69">
        <w:rPr>
          <w:rFonts w:ascii="Arial" w:hAnsi="Arial" w:cs="Arial"/>
          <w:sz w:val="24"/>
          <w:szCs w:val="24"/>
          <w:lang w:val="en-GB"/>
        </w:rPr>
        <w:t>. Available at: https://www.tcs.com/who-we-are/newsroom/press-release/tcs-financial-results-q1-fy-2025.</w:t>
      </w:r>
    </w:p>
    <w:p w14:paraId="77DEFE76"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TCS to set up first-of-its-kind human-centric AI center of excellence in France. (n.d.). [online] </w:t>
      </w:r>
      <w:r w:rsidRPr="001A6F69">
        <w:rPr>
          <w:rFonts w:ascii="Arial" w:hAnsi="Arial" w:cs="Arial"/>
          <w:i/>
          <w:iCs/>
          <w:sz w:val="24"/>
          <w:szCs w:val="24"/>
          <w:lang w:val="en-GB"/>
        </w:rPr>
        <w:t>www.tcs.com</w:t>
      </w:r>
      <w:r w:rsidRPr="001A6F69">
        <w:rPr>
          <w:rFonts w:ascii="Arial" w:hAnsi="Arial" w:cs="Arial"/>
          <w:sz w:val="24"/>
          <w:szCs w:val="24"/>
          <w:lang w:val="en-GB"/>
        </w:rPr>
        <w:t>. Available at: https://www.tcs.com/who-we-</w:t>
      </w:r>
      <w:r w:rsidRPr="001A6F69">
        <w:rPr>
          <w:rFonts w:ascii="Arial" w:hAnsi="Arial" w:cs="Arial"/>
          <w:sz w:val="24"/>
          <w:szCs w:val="24"/>
          <w:lang w:val="en-GB"/>
        </w:rPr>
        <w:lastRenderedPageBreak/>
        <w:t>are/newsroom/press-release/tcs-set-up-first-of-its-kind-human-centric-ai-center-excellence-france.</w:t>
      </w:r>
    </w:p>
    <w:p w14:paraId="40D4FC56" w14:textId="77777777" w:rsidR="001A6F69" w:rsidRPr="001A6F69" w:rsidRDefault="001A6F69" w:rsidP="001A6F69">
      <w:pPr>
        <w:spacing w:after="210" w:line="360" w:lineRule="auto"/>
        <w:jc w:val="both"/>
        <w:rPr>
          <w:rFonts w:ascii="Arial" w:hAnsi="Arial" w:cs="Arial"/>
          <w:sz w:val="24"/>
          <w:szCs w:val="24"/>
          <w:lang w:val="en-GB"/>
        </w:rPr>
      </w:pPr>
      <w:r w:rsidRPr="001A6F69">
        <w:rPr>
          <w:rFonts w:ascii="Arial" w:hAnsi="Arial" w:cs="Arial"/>
          <w:sz w:val="24"/>
          <w:szCs w:val="24"/>
          <w:lang w:val="en-GB"/>
        </w:rPr>
        <w:t xml:space="preserve">Tcs.com. (2013). </w:t>
      </w:r>
      <w:r w:rsidRPr="001A6F69">
        <w:rPr>
          <w:rFonts w:ascii="Arial" w:hAnsi="Arial" w:cs="Arial"/>
          <w:i/>
          <w:iCs/>
          <w:sz w:val="24"/>
          <w:szCs w:val="24"/>
          <w:lang w:val="en-GB"/>
        </w:rPr>
        <w:t xml:space="preserve">TCS </w:t>
      </w:r>
      <w:proofErr w:type="spellStart"/>
      <w:r w:rsidRPr="001A6F69">
        <w:rPr>
          <w:rFonts w:ascii="Arial" w:hAnsi="Arial" w:cs="Arial"/>
          <w:i/>
          <w:iCs/>
          <w:sz w:val="24"/>
          <w:szCs w:val="24"/>
          <w:lang w:val="en-GB"/>
        </w:rPr>
        <w:t>annonce</w:t>
      </w:r>
      <w:proofErr w:type="spellEnd"/>
      <w:r w:rsidRPr="001A6F69">
        <w:rPr>
          <w:rFonts w:ascii="Arial" w:hAnsi="Arial" w:cs="Arial"/>
          <w:i/>
          <w:iCs/>
          <w:sz w:val="24"/>
          <w:szCs w:val="24"/>
          <w:lang w:val="en-GB"/>
        </w:rPr>
        <w:t xml:space="preserve"> </w:t>
      </w:r>
      <w:proofErr w:type="spellStart"/>
      <w:r w:rsidRPr="001A6F69">
        <w:rPr>
          <w:rFonts w:ascii="Arial" w:hAnsi="Arial" w:cs="Arial"/>
          <w:i/>
          <w:iCs/>
          <w:sz w:val="24"/>
          <w:szCs w:val="24"/>
          <w:lang w:val="en-GB"/>
        </w:rPr>
        <w:t>l’acquisition</w:t>
      </w:r>
      <w:proofErr w:type="spellEnd"/>
      <w:r w:rsidRPr="001A6F69">
        <w:rPr>
          <w:rFonts w:ascii="Arial" w:hAnsi="Arial" w:cs="Arial"/>
          <w:i/>
          <w:iCs/>
          <w:sz w:val="24"/>
          <w:szCs w:val="24"/>
          <w:lang w:val="en-GB"/>
        </w:rPr>
        <w:t xml:space="preserve"> de ALTI pour 75 </w:t>
      </w:r>
      <w:proofErr w:type="gramStart"/>
      <w:r w:rsidRPr="001A6F69">
        <w:rPr>
          <w:rFonts w:ascii="Arial" w:hAnsi="Arial" w:cs="Arial"/>
          <w:i/>
          <w:iCs/>
          <w:sz w:val="24"/>
          <w:szCs w:val="24"/>
          <w:lang w:val="en-GB"/>
        </w:rPr>
        <w:t>millions</w:t>
      </w:r>
      <w:proofErr w:type="gramEnd"/>
      <w:r w:rsidRPr="001A6F69">
        <w:rPr>
          <w:rFonts w:ascii="Arial" w:hAnsi="Arial" w:cs="Arial"/>
          <w:i/>
          <w:iCs/>
          <w:sz w:val="24"/>
          <w:szCs w:val="24"/>
          <w:lang w:val="en-GB"/>
        </w:rPr>
        <w:t xml:space="preserve"> </w:t>
      </w:r>
      <w:proofErr w:type="spellStart"/>
      <w:r w:rsidRPr="001A6F69">
        <w:rPr>
          <w:rFonts w:ascii="Arial" w:hAnsi="Arial" w:cs="Arial"/>
          <w:i/>
          <w:iCs/>
          <w:sz w:val="24"/>
          <w:szCs w:val="24"/>
          <w:lang w:val="en-GB"/>
        </w:rPr>
        <w:t>d’euros</w:t>
      </w:r>
      <w:proofErr w:type="spellEnd"/>
      <w:r w:rsidRPr="001A6F69">
        <w:rPr>
          <w:rFonts w:ascii="Arial" w:hAnsi="Arial" w:cs="Arial"/>
          <w:i/>
          <w:iCs/>
          <w:sz w:val="24"/>
          <w:szCs w:val="24"/>
          <w:lang w:val="en-GB"/>
        </w:rPr>
        <w:t xml:space="preserve"> </w:t>
      </w:r>
      <w:proofErr w:type="spellStart"/>
      <w:r w:rsidRPr="001A6F69">
        <w:rPr>
          <w:rFonts w:ascii="Arial" w:hAnsi="Arial" w:cs="Arial"/>
          <w:i/>
          <w:iCs/>
          <w:sz w:val="24"/>
          <w:szCs w:val="24"/>
          <w:lang w:val="en-GB"/>
        </w:rPr>
        <w:t>afin</w:t>
      </w:r>
      <w:proofErr w:type="spellEnd"/>
      <w:r w:rsidRPr="001A6F69">
        <w:rPr>
          <w:rFonts w:ascii="Arial" w:hAnsi="Arial" w:cs="Arial"/>
          <w:i/>
          <w:iCs/>
          <w:sz w:val="24"/>
          <w:szCs w:val="24"/>
          <w:lang w:val="en-GB"/>
        </w:rPr>
        <w:t xml:space="preserve"> </w:t>
      </w:r>
      <w:proofErr w:type="spellStart"/>
      <w:r w:rsidRPr="001A6F69">
        <w:rPr>
          <w:rFonts w:ascii="Arial" w:hAnsi="Arial" w:cs="Arial"/>
          <w:i/>
          <w:iCs/>
          <w:sz w:val="24"/>
          <w:szCs w:val="24"/>
          <w:lang w:val="en-GB"/>
        </w:rPr>
        <w:t>d’accélerer</w:t>
      </w:r>
      <w:proofErr w:type="spellEnd"/>
      <w:r w:rsidRPr="001A6F69">
        <w:rPr>
          <w:rFonts w:ascii="Arial" w:hAnsi="Arial" w:cs="Arial"/>
          <w:i/>
          <w:iCs/>
          <w:sz w:val="24"/>
          <w:szCs w:val="24"/>
          <w:lang w:val="en-GB"/>
        </w:rPr>
        <w:t xml:space="preserve"> son </w:t>
      </w:r>
      <w:proofErr w:type="spellStart"/>
      <w:r w:rsidRPr="001A6F69">
        <w:rPr>
          <w:rFonts w:ascii="Arial" w:hAnsi="Arial" w:cs="Arial"/>
          <w:i/>
          <w:iCs/>
          <w:sz w:val="24"/>
          <w:szCs w:val="24"/>
          <w:lang w:val="en-GB"/>
        </w:rPr>
        <w:t>développement</w:t>
      </w:r>
      <w:proofErr w:type="spellEnd"/>
      <w:r w:rsidRPr="001A6F69">
        <w:rPr>
          <w:rFonts w:ascii="Arial" w:hAnsi="Arial" w:cs="Arial"/>
          <w:i/>
          <w:iCs/>
          <w:sz w:val="24"/>
          <w:szCs w:val="24"/>
          <w:lang w:val="en-GB"/>
        </w:rPr>
        <w:t xml:space="preserve"> </w:t>
      </w:r>
      <w:proofErr w:type="spellStart"/>
      <w:r w:rsidRPr="001A6F69">
        <w:rPr>
          <w:rFonts w:ascii="Arial" w:hAnsi="Arial" w:cs="Arial"/>
          <w:i/>
          <w:iCs/>
          <w:sz w:val="24"/>
          <w:szCs w:val="24"/>
          <w:lang w:val="en-GB"/>
        </w:rPr>
        <w:t>en</w:t>
      </w:r>
      <w:proofErr w:type="spellEnd"/>
      <w:r w:rsidRPr="001A6F69">
        <w:rPr>
          <w:rFonts w:ascii="Arial" w:hAnsi="Arial" w:cs="Arial"/>
          <w:i/>
          <w:iCs/>
          <w:sz w:val="24"/>
          <w:szCs w:val="24"/>
          <w:lang w:val="en-GB"/>
        </w:rPr>
        <w:t xml:space="preserve"> France</w:t>
      </w:r>
      <w:r w:rsidRPr="001A6F69">
        <w:rPr>
          <w:rFonts w:ascii="Arial" w:hAnsi="Arial" w:cs="Arial"/>
          <w:sz w:val="24"/>
          <w:szCs w:val="24"/>
          <w:lang w:val="en-GB"/>
        </w:rPr>
        <w:t>. [online] Available at: https://www.tcs.com/who-we-are/newsroom/press-release/tcs-annonce-acquisition-de-alti-pour-75-millions-euros-france0.</w:t>
      </w:r>
    </w:p>
    <w:p w14:paraId="5EAC056C" w14:textId="77777777" w:rsidR="001A392A" w:rsidRDefault="001A392A">
      <w:pPr>
        <w:spacing w:after="210" w:line="360" w:lineRule="auto"/>
        <w:jc w:val="both"/>
        <w:rPr>
          <w:rFonts w:ascii="Arial" w:hAnsi="Arial" w:cs="Arial"/>
          <w:sz w:val="24"/>
          <w:szCs w:val="24"/>
          <w:lang w:val="en-GB"/>
        </w:rPr>
      </w:pPr>
    </w:p>
    <w:p w14:paraId="1E075632" w14:textId="25C6D99A" w:rsidR="001A392A" w:rsidRPr="00F92496" w:rsidRDefault="007E23EA">
      <w:pPr>
        <w:spacing w:after="210" w:line="360" w:lineRule="auto"/>
        <w:jc w:val="both"/>
        <w:rPr>
          <w:rFonts w:ascii="Arial" w:hAnsi="Arial" w:cs="Arial"/>
          <w:b/>
          <w:bCs/>
          <w:sz w:val="24"/>
          <w:szCs w:val="24"/>
        </w:rPr>
      </w:pPr>
      <w:r w:rsidRPr="00F92496">
        <w:rPr>
          <w:rFonts w:ascii="Arial" w:hAnsi="Arial" w:cs="Arial"/>
          <w:b/>
          <w:bCs/>
          <w:sz w:val="24"/>
          <w:szCs w:val="24"/>
        </w:rPr>
        <w:t>Figure Source</w:t>
      </w:r>
    </w:p>
    <w:p w14:paraId="262F3F12" w14:textId="1DDB3B26" w:rsidR="007E23EA" w:rsidRDefault="007E23EA" w:rsidP="007E23EA">
      <w:pPr>
        <w:spacing w:after="210" w:line="360" w:lineRule="auto"/>
        <w:jc w:val="both"/>
        <w:rPr>
          <w:rFonts w:ascii="Arial" w:hAnsi="Arial" w:cs="Arial"/>
          <w:sz w:val="24"/>
          <w:szCs w:val="24"/>
        </w:rPr>
      </w:pPr>
      <w:r>
        <w:rPr>
          <w:rFonts w:ascii="Arial" w:hAnsi="Arial" w:cs="Arial"/>
          <w:sz w:val="24"/>
          <w:szCs w:val="24"/>
        </w:rPr>
        <w:t xml:space="preserve">1. </w:t>
      </w:r>
      <w:r w:rsidRPr="007E23EA">
        <w:rPr>
          <w:rFonts w:ascii="Arial" w:hAnsi="Arial" w:cs="Arial"/>
          <w:sz w:val="24"/>
          <w:szCs w:val="24"/>
        </w:rPr>
        <w:t xml:space="preserve">Source: INSEE (2026), Turnover index—Information services (NAF Rev. 2, Division 63), France; base 100 in 2021. Annual averages calculated from monthly official </w:t>
      </w:r>
      <w:proofErr w:type="spellStart"/>
      <w:proofErr w:type="gramStart"/>
      <w:r w:rsidRPr="007E23EA">
        <w:rPr>
          <w:rFonts w:ascii="Arial" w:hAnsi="Arial" w:cs="Arial"/>
          <w:sz w:val="24"/>
          <w:szCs w:val="24"/>
        </w:rPr>
        <w:t>data.insee</w:t>
      </w:r>
      <w:proofErr w:type="spellEnd"/>
      <w:proofErr w:type="gramEnd"/>
    </w:p>
    <w:p w14:paraId="08B71764" w14:textId="7F4D9D8D" w:rsidR="007E23EA" w:rsidRDefault="007E23EA" w:rsidP="00FC7FE9">
      <w:pPr>
        <w:spacing w:after="210" w:line="360" w:lineRule="auto"/>
        <w:jc w:val="both"/>
        <w:rPr>
          <w:rFonts w:ascii="Arial" w:hAnsi="Arial" w:cs="Arial"/>
          <w:sz w:val="24"/>
          <w:szCs w:val="24"/>
        </w:rPr>
      </w:pPr>
      <w:r>
        <w:rPr>
          <w:rFonts w:ascii="Arial" w:hAnsi="Arial" w:cs="Arial"/>
          <w:sz w:val="24"/>
          <w:szCs w:val="24"/>
        </w:rPr>
        <w:t xml:space="preserve">2. </w:t>
      </w:r>
      <w:r w:rsidR="00FC7FE9" w:rsidRPr="00FC7FE9">
        <w:rPr>
          <w:rFonts w:ascii="Arial" w:hAnsi="Arial" w:cs="Arial"/>
          <w:sz w:val="24"/>
          <w:szCs w:val="24"/>
        </w:rPr>
        <w:t xml:space="preserve">Source: </w:t>
      </w:r>
      <w:proofErr w:type="spellStart"/>
      <w:r w:rsidR="00FC7FE9" w:rsidRPr="00FC7FE9">
        <w:rPr>
          <w:rFonts w:ascii="Arial" w:hAnsi="Arial" w:cs="Arial"/>
          <w:sz w:val="24"/>
          <w:szCs w:val="24"/>
        </w:rPr>
        <w:t>Numeum</w:t>
      </w:r>
      <w:proofErr w:type="spellEnd"/>
      <w:r w:rsidR="00FC7FE9" w:rsidRPr="00FC7FE9">
        <w:rPr>
          <w:rFonts w:ascii="Arial" w:hAnsi="Arial" w:cs="Arial"/>
          <w:sz w:val="24"/>
          <w:szCs w:val="24"/>
        </w:rPr>
        <w:t xml:space="preserve"> data reported by </w:t>
      </w:r>
      <w:proofErr w:type="spellStart"/>
      <w:r w:rsidR="00FC7FE9" w:rsidRPr="00FC7FE9">
        <w:rPr>
          <w:rFonts w:ascii="Arial" w:hAnsi="Arial" w:cs="Arial"/>
          <w:sz w:val="24"/>
          <w:szCs w:val="24"/>
        </w:rPr>
        <w:t>BoondManager</w:t>
      </w:r>
      <w:proofErr w:type="spellEnd"/>
      <w:r w:rsidR="00FC7FE9" w:rsidRPr="00FC7FE9">
        <w:rPr>
          <w:rFonts w:ascii="Arial" w:hAnsi="Arial" w:cs="Arial"/>
          <w:sz w:val="24"/>
          <w:szCs w:val="24"/>
        </w:rPr>
        <w:t xml:space="preserve"> (2024). Note: Figures represent segments within France’s IT-service-company/digital-services market and are not directly equivalent to Statista’s IT Consulting &amp; Implementation market </w:t>
      </w:r>
      <w:proofErr w:type="spellStart"/>
      <w:proofErr w:type="gramStart"/>
      <w:r w:rsidR="00FC7FE9" w:rsidRPr="00FC7FE9">
        <w:rPr>
          <w:rFonts w:ascii="Arial" w:hAnsi="Arial" w:cs="Arial"/>
          <w:sz w:val="24"/>
          <w:szCs w:val="24"/>
        </w:rPr>
        <w:t>definition.boondmanager</w:t>
      </w:r>
      <w:proofErr w:type="spellEnd"/>
      <w:proofErr w:type="gramEnd"/>
    </w:p>
    <w:p w14:paraId="6917A23A" w14:textId="19E629AD" w:rsidR="00FC7FE9" w:rsidRDefault="00FC7FE9" w:rsidP="00FC7FE9">
      <w:pPr>
        <w:spacing w:after="210" w:line="360" w:lineRule="auto"/>
        <w:jc w:val="both"/>
        <w:rPr>
          <w:rFonts w:ascii="Arial" w:hAnsi="Arial" w:cs="Arial"/>
          <w:sz w:val="24"/>
          <w:szCs w:val="24"/>
        </w:rPr>
      </w:pPr>
      <w:r>
        <w:rPr>
          <w:rFonts w:ascii="Arial" w:hAnsi="Arial" w:cs="Arial"/>
          <w:sz w:val="24"/>
          <w:szCs w:val="24"/>
        </w:rPr>
        <w:t xml:space="preserve">3. </w:t>
      </w:r>
      <w:r w:rsidR="005A1B99" w:rsidRPr="005A1B99">
        <w:rPr>
          <w:rFonts w:ascii="Arial" w:hAnsi="Arial" w:cs="Arial"/>
          <w:sz w:val="24"/>
          <w:szCs w:val="24"/>
        </w:rPr>
        <w:t xml:space="preserve">Source: Ministère de </w:t>
      </w:r>
      <w:proofErr w:type="spellStart"/>
      <w:r w:rsidR="005A1B99" w:rsidRPr="005A1B99">
        <w:rPr>
          <w:rFonts w:ascii="Arial" w:hAnsi="Arial" w:cs="Arial"/>
          <w:sz w:val="24"/>
          <w:szCs w:val="24"/>
        </w:rPr>
        <w:t>l’Économie</w:t>
      </w:r>
      <w:proofErr w:type="spellEnd"/>
      <w:r w:rsidR="005A1B99" w:rsidRPr="005A1B99">
        <w:rPr>
          <w:rFonts w:ascii="Arial" w:hAnsi="Arial" w:cs="Arial"/>
          <w:sz w:val="24"/>
          <w:szCs w:val="24"/>
        </w:rPr>
        <w:t xml:space="preserve">, des Finances et de la </w:t>
      </w:r>
      <w:proofErr w:type="spellStart"/>
      <w:r w:rsidR="005A1B99" w:rsidRPr="005A1B99">
        <w:rPr>
          <w:rFonts w:ascii="Arial" w:hAnsi="Arial" w:cs="Arial"/>
          <w:sz w:val="24"/>
          <w:szCs w:val="24"/>
        </w:rPr>
        <w:t>Souveraineté</w:t>
      </w:r>
      <w:proofErr w:type="spellEnd"/>
      <w:r w:rsidR="005A1B99" w:rsidRPr="005A1B99">
        <w:rPr>
          <w:rFonts w:ascii="Arial" w:hAnsi="Arial" w:cs="Arial"/>
          <w:sz w:val="24"/>
          <w:szCs w:val="24"/>
        </w:rPr>
        <w:t xml:space="preserve"> </w:t>
      </w:r>
      <w:proofErr w:type="spellStart"/>
      <w:r w:rsidR="005A1B99" w:rsidRPr="005A1B99">
        <w:rPr>
          <w:rFonts w:ascii="Arial" w:hAnsi="Arial" w:cs="Arial"/>
          <w:sz w:val="24"/>
          <w:szCs w:val="24"/>
        </w:rPr>
        <w:t>industrielle</w:t>
      </w:r>
      <w:proofErr w:type="spellEnd"/>
      <w:r w:rsidR="005A1B99" w:rsidRPr="005A1B99">
        <w:rPr>
          <w:rFonts w:ascii="Arial" w:hAnsi="Arial" w:cs="Arial"/>
          <w:sz w:val="24"/>
          <w:szCs w:val="24"/>
        </w:rPr>
        <w:t xml:space="preserve"> et numérique (2024), France 2030: National Strategy for Artificial Intelligence.</w:t>
      </w:r>
    </w:p>
    <w:p w14:paraId="0D9D2A2A" w14:textId="025F6E6C" w:rsidR="005A1B99" w:rsidRDefault="005A1B99" w:rsidP="00FC7FE9">
      <w:pPr>
        <w:spacing w:after="210" w:line="360" w:lineRule="auto"/>
        <w:jc w:val="both"/>
        <w:rPr>
          <w:rFonts w:ascii="Arial" w:hAnsi="Arial" w:cs="Arial"/>
          <w:sz w:val="24"/>
          <w:szCs w:val="24"/>
        </w:rPr>
      </w:pPr>
      <w:r>
        <w:rPr>
          <w:rFonts w:ascii="Arial" w:hAnsi="Arial" w:cs="Arial"/>
          <w:sz w:val="24"/>
          <w:szCs w:val="24"/>
        </w:rPr>
        <w:t xml:space="preserve">4. </w:t>
      </w:r>
      <w:r w:rsidR="00F41A8B" w:rsidRPr="00F41A8B">
        <w:rPr>
          <w:rFonts w:ascii="Arial" w:hAnsi="Arial" w:cs="Arial"/>
          <w:sz w:val="24"/>
          <w:szCs w:val="24"/>
        </w:rPr>
        <w:t xml:space="preserve">Source: </w:t>
      </w:r>
      <w:proofErr w:type="spellStart"/>
      <w:r w:rsidR="00F41A8B" w:rsidRPr="00F41A8B">
        <w:rPr>
          <w:rFonts w:ascii="Arial" w:hAnsi="Arial" w:cs="Arial"/>
          <w:sz w:val="24"/>
          <w:szCs w:val="24"/>
        </w:rPr>
        <w:t>Numeum</w:t>
      </w:r>
      <w:proofErr w:type="spellEnd"/>
      <w:r w:rsidR="00F41A8B" w:rsidRPr="00F41A8B">
        <w:rPr>
          <w:rFonts w:ascii="Arial" w:hAnsi="Arial" w:cs="Arial"/>
          <w:sz w:val="24"/>
          <w:szCs w:val="24"/>
        </w:rPr>
        <w:t xml:space="preserve"> (2025), France’s digital market: 2024 results and outlook for 2025; International Trade Administration (2024), France—Digital Economy.</w:t>
      </w:r>
    </w:p>
    <w:p w14:paraId="2180ADDB" w14:textId="6A1116B4" w:rsidR="00F41A8B" w:rsidRDefault="00F41A8B" w:rsidP="00FC7FE9">
      <w:pPr>
        <w:spacing w:after="210" w:line="360" w:lineRule="auto"/>
        <w:jc w:val="both"/>
        <w:rPr>
          <w:rFonts w:ascii="Arial" w:hAnsi="Arial" w:cs="Arial"/>
          <w:sz w:val="24"/>
          <w:szCs w:val="24"/>
        </w:rPr>
      </w:pPr>
      <w:r>
        <w:rPr>
          <w:rFonts w:ascii="Arial" w:hAnsi="Arial" w:cs="Arial"/>
          <w:sz w:val="24"/>
          <w:szCs w:val="24"/>
        </w:rPr>
        <w:t xml:space="preserve">5. </w:t>
      </w:r>
      <w:r w:rsidR="00D5749C" w:rsidRPr="00D5749C">
        <w:rPr>
          <w:rFonts w:ascii="Arial" w:hAnsi="Arial" w:cs="Arial"/>
          <w:sz w:val="24"/>
          <w:szCs w:val="24"/>
        </w:rPr>
        <w:t>Source: International Trade Administration (2024), France—Digital Economy</w:t>
      </w:r>
      <w:r w:rsidR="00D5749C">
        <w:rPr>
          <w:rFonts w:ascii="Arial" w:hAnsi="Arial" w:cs="Arial"/>
          <w:sz w:val="24"/>
          <w:szCs w:val="24"/>
        </w:rPr>
        <w:t>.</w:t>
      </w:r>
    </w:p>
    <w:p w14:paraId="1E075633" w14:textId="22489C02" w:rsidR="001A392A" w:rsidRPr="00082052" w:rsidRDefault="00082052">
      <w:pPr>
        <w:spacing w:after="210" w:line="360" w:lineRule="auto"/>
        <w:rPr>
          <w:rFonts w:ascii="Arial" w:hAnsi="Arial" w:cs="Arial"/>
          <w:sz w:val="24"/>
          <w:szCs w:val="24"/>
        </w:rPr>
      </w:pPr>
      <w:r>
        <w:t>6.</w:t>
      </w:r>
      <w:r w:rsidRPr="00082052">
        <w:rPr>
          <w:rFonts w:ascii="Arial" w:hAnsi="Arial" w:cs="Arial"/>
          <w:sz w:val="24"/>
          <w:szCs w:val="24"/>
        </w:rPr>
        <w:t xml:space="preserve"> Source: Created by Lerner, adapted from Gibbs’ Reflective Cycle (Gibbs, 1988).</w:t>
      </w:r>
    </w:p>
    <w:p w14:paraId="1E075634" w14:textId="77777777" w:rsidR="001A392A" w:rsidRDefault="001A392A">
      <w:pPr>
        <w:spacing w:line="360" w:lineRule="auto"/>
        <w:jc w:val="both"/>
        <w:rPr>
          <w:rFonts w:ascii="Arial" w:hAnsi="Arial" w:cs="Arial"/>
          <w:sz w:val="24"/>
          <w:szCs w:val="24"/>
          <w:lang w:val="en-GB"/>
        </w:rPr>
      </w:pPr>
    </w:p>
    <w:p w14:paraId="1E075635" w14:textId="77777777" w:rsidR="001A392A" w:rsidRDefault="001A392A">
      <w:pPr>
        <w:spacing w:line="360" w:lineRule="auto"/>
        <w:jc w:val="both"/>
        <w:rPr>
          <w:rFonts w:ascii="Arial" w:hAnsi="Arial" w:cs="Arial"/>
          <w:sz w:val="24"/>
          <w:szCs w:val="24"/>
          <w:lang w:val="en-GB"/>
        </w:rPr>
      </w:pPr>
    </w:p>
    <w:p w14:paraId="1E075636" w14:textId="77777777" w:rsidR="001A392A" w:rsidRDefault="001A392A">
      <w:pPr>
        <w:spacing w:line="360" w:lineRule="auto"/>
        <w:jc w:val="both"/>
        <w:rPr>
          <w:rFonts w:ascii="Arial" w:hAnsi="Arial" w:cs="Arial"/>
          <w:sz w:val="24"/>
          <w:szCs w:val="24"/>
          <w:lang w:val="en-GB"/>
        </w:rPr>
      </w:pPr>
    </w:p>
    <w:p w14:paraId="1E075637" w14:textId="77777777" w:rsidR="001A392A" w:rsidRDefault="001A392A">
      <w:pPr>
        <w:spacing w:line="360" w:lineRule="auto"/>
        <w:jc w:val="both"/>
        <w:rPr>
          <w:rFonts w:ascii="Arial" w:hAnsi="Arial" w:cs="Arial"/>
          <w:sz w:val="24"/>
          <w:szCs w:val="24"/>
          <w:lang w:val="en-GB"/>
        </w:rPr>
      </w:pPr>
    </w:p>
    <w:p w14:paraId="1E075638" w14:textId="77777777" w:rsidR="001A392A" w:rsidRDefault="004E013E">
      <w:pPr>
        <w:spacing w:before="315" w:after="105" w:line="360" w:lineRule="auto"/>
        <w:ind w:left="-30"/>
        <w:jc w:val="both"/>
        <w:rPr>
          <w:rFonts w:ascii="Arial" w:hAnsi="Arial" w:cs="Arial"/>
          <w:sz w:val="24"/>
          <w:szCs w:val="24"/>
        </w:rPr>
      </w:pPr>
      <w:r>
        <w:rPr>
          <w:rFonts w:ascii="Arial" w:hAnsi="Arial" w:cs="Arial"/>
          <w:sz w:val="24"/>
          <w:szCs w:val="24"/>
        </w:rPr>
        <w:t xml:space="preserve"> </w:t>
      </w:r>
    </w:p>
    <w:p w14:paraId="1E075639" w14:textId="77777777" w:rsidR="001A392A" w:rsidRDefault="001A392A">
      <w:pPr>
        <w:spacing w:line="360" w:lineRule="auto"/>
        <w:jc w:val="both"/>
        <w:rPr>
          <w:rFonts w:ascii="Arial" w:hAnsi="Arial" w:cs="Arial"/>
          <w:sz w:val="24"/>
          <w:szCs w:val="24"/>
        </w:rPr>
      </w:pPr>
    </w:p>
    <w:sectPr w:rsidR="001A392A">
      <w:footerReference w:type="even" r:id="rId16"/>
      <w:footerReference w:type="default" r:id="rId1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CB222D" w14:textId="77777777" w:rsidR="00C063EB" w:rsidRDefault="00C063EB">
      <w:pPr>
        <w:spacing w:after="0" w:line="240" w:lineRule="auto"/>
      </w:pPr>
      <w:r>
        <w:separator/>
      </w:r>
    </w:p>
  </w:endnote>
  <w:endnote w:type="continuationSeparator" w:id="0">
    <w:p w14:paraId="54565F33" w14:textId="77777777" w:rsidR="00C063EB" w:rsidRDefault="00C06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 w:name="source serif 4">
    <w:altName w:val="Cambria"/>
    <w:panose1 w:val="020B0604020202020204"/>
    <w:charset w:val="00"/>
    <w:family w:val="roman"/>
    <w:pitch w:val="default"/>
  </w:font>
  <w:font w:name="source sans 3">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27504449"/>
      <w:docPartObj>
        <w:docPartGallery w:val="Page Numbers (Bottom of Page)"/>
        <w:docPartUnique/>
      </w:docPartObj>
    </w:sdtPr>
    <w:sdtContent>
      <w:p w14:paraId="6BD254A0" w14:textId="0C4E61FF" w:rsidR="001C48A2" w:rsidRDefault="001C48A2" w:rsidP="009A7C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8DC05AB" w14:textId="77777777" w:rsidR="001C48A2" w:rsidRDefault="001C48A2" w:rsidP="001C48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53230045"/>
      <w:docPartObj>
        <w:docPartGallery w:val="Page Numbers (Bottom of Page)"/>
        <w:docPartUnique/>
      </w:docPartObj>
    </w:sdtPr>
    <w:sdtContent>
      <w:p w14:paraId="7A0D4E0B" w14:textId="25F972AD" w:rsidR="001C48A2" w:rsidRDefault="001C48A2" w:rsidP="009A7C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F7B3EDD" w14:textId="3EC56726" w:rsidR="001A6F69" w:rsidRDefault="001A6F69" w:rsidP="001C48A2">
    <w:pPr>
      <w:pStyle w:val="Footer"/>
      <w:ind w:right="360"/>
      <w:jc w:val="center"/>
    </w:pPr>
  </w:p>
  <w:p w14:paraId="2442D63F" w14:textId="77777777" w:rsidR="001A6F69" w:rsidRDefault="001A6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C2793FC" w14:textId="77777777" w:rsidR="00C063EB" w:rsidRDefault="00C063EB">
      <w:pPr>
        <w:spacing w:after="0" w:line="240" w:lineRule="auto"/>
      </w:pPr>
      <w:r>
        <w:rPr>
          <w:color w:val="000000"/>
        </w:rPr>
        <w:separator/>
      </w:r>
    </w:p>
  </w:footnote>
  <w:footnote w:type="continuationSeparator" w:id="0">
    <w:p w14:paraId="6C555EF1" w14:textId="77777777" w:rsidR="00C063EB" w:rsidRDefault="00C06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0C0AE4"/>
    <w:multiLevelType w:val="multilevel"/>
    <w:tmpl w:val="048E34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EC7631C"/>
    <w:multiLevelType w:val="multilevel"/>
    <w:tmpl w:val="FD008E1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DD628EB"/>
    <w:multiLevelType w:val="multilevel"/>
    <w:tmpl w:val="60B8E75E"/>
    <w:lvl w:ilvl="0">
      <w:start w:val="1"/>
      <w:numFmt w:val="decimal"/>
      <w:lvlText w:val="%1."/>
      <w:lvlJc w:val="left"/>
      <w:pPr>
        <w:ind w:left="360" w:hanging="360"/>
      </w:pPr>
      <w:rPr>
        <w:rFonts w:ascii="Arial" w:hAnsi="Arial" w:cs="Arial" w:hint="default"/>
        <w:color w:val="000000" w:themeColor="text1"/>
        <w:sz w:val="24"/>
        <w:szCs w:val="24"/>
      </w:rPr>
    </w:lvl>
    <w:lvl w:ilvl="1">
      <w:start w:val="1"/>
      <w:numFmt w:val="lowerLetter"/>
      <w:lvlText w:val="."/>
      <w:lvlJc w:val="left"/>
      <w:pPr>
        <w:ind w:left="1080" w:hanging="360"/>
      </w:pPr>
    </w:lvl>
    <w:lvl w:ilvl="2">
      <w:start w:val="1"/>
      <w:numFmt w:val="lowerRoman"/>
      <w:lvlText w:val="."/>
      <w:lvlJc w:val="right"/>
      <w:pPr>
        <w:ind w:left="1800" w:hanging="180"/>
      </w:pPr>
    </w:lvl>
    <w:lvl w:ilvl="3">
      <w:start w:val="1"/>
      <w:numFmt w:val="decimal"/>
      <w:lvlText w:val="."/>
      <w:lvlJc w:val="left"/>
      <w:pPr>
        <w:ind w:left="2520" w:hanging="360"/>
      </w:pPr>
    </w:lvl>
    <w:lvl w:ilvl="4">
      <w:start w:val="1"/>
      <w:numFmt w:val="lowerLetter"/>
      <w:lvlText w:val="."/>
      <w:lvlJc w:val="left"/>
      <w:pPr>
        <w:ind w:left="3240" w:hanging="360"/>
      </w:pPr>
    </w:lvl>
    <w:lvl w:ilvl="5">
      <w:start w:val="1"/>
      <w:numFmt w:val="lowerRoman"/>
      <w:lvlText w:val="."/>
      <w:lvlJc w:val="right"/>
      <w:pPr>
        <w:ind w:left="3960" w:hanging="180"/>
      </w:pPr>
    </w:lvl>
    <w:lvl w:ilvl="6">
      <w:start w:val="1"/>
      <w:numFmt w:val="decimal"/>
      <w:lvlText w:val="."/>
      <w:lvlJc w:val="left"/>
      <w:pPr>
        <w:ind w:left="4680" w:hanging="360"/>
      </w:pPr>
    </w:lvl>
    <w:lvl w:ilvl="7">
      <w:start w:val="1"/>
      <w:numFmt w:val="lowerLetter"/>
      <w:lvlText w:val="."/>
      <w:lvlJc w:val="left"/>
      <w:pPr>
        <w:ind w:left="5400" w:hanging="360"/>
      </w:pPr>
    </w:lvl>
    <w:lvl w:ilvl="8">
      <w:start w:val="1"/>
      <w:numFmt w:val="lowerRoman"/>
      <w:lvlText w:val="."/>
      <w:lvlJc w:val="right"/>
      <w:pPr>
        <w:ind w:left="6120" w:hanging="180"/>
      </w:pPr>
    </w:lvl>
  </w:abstractNum>
  <w:num w:numId="1" w16cid:durableId="1365517652">
    <w:abstractNumId w:val="2"/>
  </w:num>
  <w:num w:numId="2" w16cid:durableId="1438014694">
    <w:abstractNumId w:val="0"/>
  </w:num>
  <w:num w:numId="3" w16cid:durableId="204709570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92A"/>
    <w:rsid w:val="00000774"/>
    <w:rsid w:val="00024779"/>
    <w:rsid w:val="00042BF0"/>
    <w:rsid w:val="00082052"/>
    <w:rsid w:val="0009584C"/>
    <w:rsid w:val="000A712C"/>
    <w:rsid w:val="001008E4"/>
    <w:rsid w:val="00105F33"/>
    <w:rsid w:val="00141EE8"/>
    <w:rsid w:val="001A392A"/>
    <w:rsid w:val="001A6F69"/>
    <w:rsid w:val="001C48A2"/>
    <w:rsid w:val="00200B56"/>
    <w:rsid w:val="00213145"/>
    <w:rsid w:val="00224B2C"/>
    <w:rsid w:val="002B2B8F"/>
    <w:rsid w:val="002C4F84"/>
    <w:rsid w:val="002E16B3"/>
    <w:rsid w:val="00323F24"/>
    <w:rsid w:val="00440591"/>
    <w:rsid w:val="00446D8C"/>
    <w:rsid w:val="0049553C"/>
    <w:rsid w:val="004C05E4"/>
    <w:rsid w:val="004D4089"/>
    <w:rsid w:val="004E013E"/>
    <w:rsid w:val="00581FEA"/>
    <w:rsid w:val="005A1B99"/>
    <w:rsid w:val="005A7112"/>
    <w:rsid w:val="005B3B48"/>
    <w:rsid w:val="00615FF5"/>
    <w:rsid w:val="00645696"/>
    <w:rsid w:val="006E7CCF"/>
    <w:rsid w:val="007051D5"/>
    <w:rsid w:val="007131FD"/>
    <w:rsid w:val="00727104"/>
    <w:rsid w:val="007E23EA"/>
    <w:rsid w:val="00810905"/>
    <w:rsid w:val="008451CF"/>
    <w:rsid w:val="00864D2C"/>
    <w:rsid w:val="008B3967"/>
    <w:rsid w:val="00912A92"/>
    <w:rsid w:val="0092425D"/>
    <w:rsid w:val="009372D2"/>
    <w:rsid w:val="00A75AFB"/>
    <w:rsid w:val="00A93A20"/>
    <w:rsid w:val="00AA60CA"/>
    <w:rsid w:val="00AD19FC"/>
    <w:rsid w:val="00B94720"/>
    <w:rsid w:val="00BB3A5F"/>
    <w:rsid w:val="00BC33DA"/>
    <w:rsid w:val="00C063EB"/>
    <w:rsid w:val="00C15DA8"/>
    <w:rsid w:val="00C9520A"/>
    <w:rsid w:val="00CD6614"/>
    <w:rsid w:val="00D27564"/>
    <w:rsid w:val="00D5749C"/>
    <w:rsid w:val="00D91F0D"/>
    <w:rsid w:val="00DA6EE1"/>
    <w:rsid w:val="00DC5C69"/>
    <w:rsid w:val="00EA6E1E"/>
    <w:rsid w:val="00F31F27"/>
    <w:rsid w:val="00F41A8B"/>
    <w:rsid w:val="00F642CF"/>
    <w:rsid w:val="00F65F5E"/>
    <w:rsid w:val="00F92496"/>
    <w:rsid w:val="00FA3F4F"/>
    <w:rsid w:val="00FC7FE9"/>
    <w:rsid w:val="00FD0550"/>
    <w:rsid w:val="00FF20F0"/>
    <w:rsid w:val="00FF7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754BA"/>
  <w15:docId w15:val="{2017263C-878E-4A4E-913A-7A2616C44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20" w:line="240" w:lineRule="atLeast"/>
    </w:pPr>
    <w:rPr>
      <w:rFonts w:ascii="Georgia" w:hAnsi="Georgia"/>
      <w:kern w:val="0"/>
      <w:sz w:val="21"/>
      <w:szCs w:val="22"/>
      <w:lang w:val="en-US"/>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Georgia" w:hAnsi="Georgia"/>
      <w:kern w:val="0"/>
      <w:sz w:val="21"/>
      <w:szCs w:val="22"/>
      <w:lang w:val="en-US"/>
    </w:rPr>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rPr>
      <w:rFonts w:ascii="Georgia" w:hAnsi="Georgia"/>
      <w:kern w:val="0"/>
      <w:sz w:val="21"/>
      <w:szCs w:val="22"/>
      <w:lang w:val="en-US"/>
    </w:rPr>
  </w:style>
  <w:style w:type="paragraph" w:styleId="TOCHeading">
    <w:name w:val="TOC Heading"/>
    <w:basedOn w:val="Heading1"/>
    <w:next w:val="Normal"/>
    <w:uiPriority w:val="39"/>
    <w:qFormat/>
    <w:pPr>
      <w:spacing w:before="240" w:after="0" w:line="256" w:lineRule="auto"/>
    </w:pPr>
    <w:rPr>
      <w:sz w:val="32"/>
      <w:szCs w:val="32"/>
      <w:lang w:val="en-GB" w:eastAsia="en-GB"/>
    </w:rPr>
  </w:style>
  <w:style w:type="paragraph" w:styleId="TOC1">
    <w:name w:val="toc 1"/>
    <w:basedOn w:val="Normal"/>
    <w:next w:val="Normal"/>
    <w:autoRedefine/>
    <w:uiPriority w:val="39"/>
    <w:rsid w:val="001A6F69"/>
    <w:pPr>
      <w:tabs>
        <w:tab w:val="right" w:leader="dot" w:pos="9016"/>
      </w:tabs>
      <w:spacing w:after="100" w:line="360" w:lineRule="auto"/>
    </w:pPr>
  </w:style>
  <w:style w:type="paragraph" w:styleId="NoSpacing">
    <w:name w:val="No Spacing"/>
    <w:uiPriority w:val="1"/>
    <w:qFormat/>
    <w:rsid w:val="001A6F69"/>
    <w:pPr>
      <w:suppressAutoHyphens/>
      <w:spacing w:after="0" w:line="240" w:lineRule="auto"/>
    </w:pPr>
    <w:rPr>
      <w:rFonts w:ascii="Georgia" w:hAnsi="Georgia"/>
      <w:kern w:val="0"/>
      <w:sz w:val="21"/>
      <w:szCs w:val="22"/>
      <w:lang w:val="en-US"/>
    </w:rPr>
  </w:style>
  <w:style w:type="character" w:styleId="PageNumber">
    <w:name w:val="page number"/>
    <w:basedOn w:val="DefaultParagraphFont"/>
    <w:uiPriority w:val="99"/>
    <w:semiHidden/>
    <w:unhideWhenUsed/>
    <w:rsid w:val="001C48A2"/>
  </w:style>
  <w:style w:type="character" w:styleId="Emphasis">
    <w:name w:val="Emphasis"/>
    <w:basedOn w:val="DefaultParagraphFont"/>
    <w:uiPriority w:val="20"/>
    <w:qFormat/>
    <w:rsid w:val="005A7112"/>
    <w:rPr>
      <w:i/>
      <w:iCs/>
    </w:rPr>
  </w:style>
  <w:style w:type="paragraph" w:customStyle="1" w:styleId="my-2">
    <w:name w:val="my-2"/>
    <w:basedOn w:val="Normal"/>
    <w:rsid w:val="005A7112"/>
    <w:pPr>
      <w:suppressAutoHyphens w:val="0"/>
      <w:autoSpaceDN/>
      <w:spacing w:before="100" w:beforeAutospacing="1" w:after="100" w:afterAutospacing="1" w:line="240" w:lineRule="auto"/>
    </w:pPr>
    <w:rPr>
      <w:rFonts w:ascii="Times New Roman" w:eastAsia="Times New Roman" w:hAnsi="Times New Roman"/>
      <w:sz w:val="24"/>
      <w:szCs w:val="24"/>
      <w:lang w:val="en-GB" w:eastAsia="en-GB"/>
    </w:rPr>
  </w:style>
  <w:style w:type="character" w:styleId="Strong">
    <w:name w:val="Strong"/>
    <w:basedOn w:val="DefaultParagraphFont"/>
    <w:uiPriority w:val="22"/>
    <w:qFormat/>
    <w:rsid w:val="005A7112"/>
    <w:rPr>
      <w:b/>
      <w:bCs/>
    </w:rPr>
  </w:style>
  <w:style w:type="character" w:customStyle="1" w:styleId="inline-block">
    <w:name w:val="inline-block"/>
    <w:basedOn w:val="DefaultParagraphFont"/>
    <w:rsid w:val="005A7112"/>
  </w:style>
  <w:style w:type="paragraph" w:customStyle="1" w:styleId="p1">
    <w:name w:val="p1"/>
    <w:basedOn w:val="Normal"/>
    <w:rsid w:val="007131FD"/>
    <w:pPr>
      <w:suppressAutoHyphens w:val="0"/>
      <w:autoSpaceDN/>
      <w:spacing w:after="0" w:line="240" w:lineRule="auto"/>
    </w:pPr>
    <w:rPr>
      <w:rFonts w:ascii="Arial" w:eastAsia="Times New Roman" w:hAnsi="Arial" w:cs="Arial"/>
      <w:color w:val="000000"/>
      <w:sz w:val="17"/>
      <w:szCs w:val="17"/>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08E76-B80A-4F53-96B3-6F8149899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31</Pages>
  <Words>6462</Words>
  <Characters>36839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swasti sakariya</dc:creator>
  <dc:description/>
  <cp:lastModifiedBy>Tirth Ghanshyambhai Patel (2522415)</cp:lastModifiedBy>
  <cp:revision>73</cp:revision>
  <dcterms:created xsi:type="dcterms:W3CDTF">2026-08-13T19:44:00Z</dcterms:created>
  <dcterms:modified xsi:type="dcterms:W3CDTF">2026-08-14T10:20:00Z</dcterms:modified>
</cp:coreProperties>
</file>