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8F1ABC">
      <w:pPr>
        <w:rPr>
          <w:b/>
        </w:rPr>
      </w:pPr>
    </w:p>
    <w:p w:rsidR="008F1ABC">
      <w:pPr>
        <w:rPr>
          <w:b/>
        </w:rPr>
      </w:pPr>
    </w:p>
    <w:p w:rsidR="008F1ABC">
      <w:pPr>
        <w:rPr>
          <w:b/>
        </w:rPr>
      </w:pPr>
    </w:p>
    <w:p w:rsidR="00FB7281" w:rsidRPr="00FB7281" w:rsidP="00FB7281">
      <w:pPr>
        <w:jc w:val="center"/>
        <w:rPr>
          <w:b/>
        </w:rPr>
      </w:pPr>
      <w:r w:rsidRPr="00FB7281">
        <w:rPr>
          <w:b/>
        </w:rPr>
        <w:t>Module Code: BMPL 4002</w:t>
      </w:r>
    </w:p>
    <w:p w:rsidR="00FB7281" w:rsidRPr="00FB7281" w:rsidP="00FB7281">
      <w:pPr>
        <w:jc w:val="center"/>
        <w:rPr>
          <w:b/>
        </w:rPr>
      </w:pPr>
      <w:r w:rsidRPr="00FB7281">
        <w:rPr>
          <w:b/>
        </w:rPr>
        <w:t>Module Title: Preparing for Professional Police Practice</w:t>
      </w:r>
    </w:p>
    <w:p w:rsidR="008F1ABC" w:rsidP="00FB7281">
      <w:pPr>
        <w:jc w:val="center"/>
        <w:rPr>
          <w:b/>
        </w:rPr>
      </w:pPr>
      <w:r w:rsidRPr="00FB7281">
        <w:rPr>
          <w:b/>
        </w:rPr>
        <w:t>Word Count: 1500 words</w:t>
      </w:r>
      <w:r>
        <w:rPr>
          <w:b/>
        </w:rPr>
        <w:br w:type="page"/>
      </w:r>
    </w:p>
    <w:sdt>
      <w:sdtPr>
        <w:rPr>
          <w:rFonts w:ascii="Times New Roman" w:hAnsi="Times New Roman" w:eastAsiaTheme="minorHAnsi" w:cstheme="minorBidi"/>
          <w:b w:val="0"/>
          <w:bCs w:val="0"/>
          <w:color w:val="auto"/>
          <w:sz w:val="24"/>
          <w:szCs w:val="22"/>
        </w:rPr>
        <w:id w:val="369839110"/>
        <w:docPartObj>
          <w:docPartGallery w:val="Table of Contents"/>
          <w:docPartUnique/>
        </w:docPartObj>
      </w:sdtPr>
      <w:sdtContent>
        <w:p w:rsidR="008F1ABC" w:rsidRPr="008F1ABC" w:rsidP="008F1ABC">
          <w:pPr>
            <w:pStyle w:val="TOCHeading"/>
            <w:jc w:val="center"/>
            <w:rPr>
              <w:rFonts w:ascii="Times New Roman" w:hAnsi="Times New Roman" w:cs="Times New Roman"/>
              <w:color w:val="000000" w:themeColor="text1"/>
              <w:sz w:val="24"/>
              <w:szCs w:val="24"/>
            </w:rPr>
          </w:pPr>
          <w:r w:rsidRPr="008F1ABC">
            <w:rPr>
              <w:rFonts w:ascii="Times New Roman" w:hAnsi="Times New Roman" w:cs="Times New Roman"/>
              <w:color w:val="000000" w:themeColor="text1"/>
              <w:sz w:val="24"/>
              <w:szCs w:val="24"/>
            </w:rPr>
            <w:t>Table of Contents</w:t>
          </w:r>
        </w:p>
        <w:p w:rsidR="007762D3">
          <w:pPr>
            <w:pStyle w:val="TOC1"/>
            <w:tabs>
              <w:tab w:val="left" w:pos="440"/>
              <w:tab w:val="right" w:leader="dot" w:pos="9350"/>
            </w:tabs>
            <w:rPr>
              <w:rFonts w:asciiTheme="minorHAnsi" w:eastAsiaTheme="minorEastAsia" w:hAnsiTheme="minorHAnsi"/>
              <w:noProof/>
              <w:sz w:val="22"/>
            </w:rPr>
          </w:pPr>
          <w:r w:rsidRPr="008F1ABC">
            <w:rPr>
              <w:rFonts w:cs="Times New Roman"/>
              <w:color w:val="000000" w:themeColor="text1"/>
              <w:szCs w:val="24"/>
            </w:rPr>
            <w:fldChar w:fldCharType="begin"/>
          </w:r>
          <w:r w:rsidRPr="008F1ABC" w:rsidR="00D505DF">
            <w:rPr>
              <w:rFonts w:cs="Times New Roman"/>
              <w:color w:val="000000" w:themeColor="text1"/>
              <w:szCs w:val="24"/>
            </w:rPr>
            <w:instrText xml:space="preserve"> TOC \o "1-3" \h \z \u </w:instrText>
          </w:r>
          <w:r w:rsidRPr="008F1ABC">
            <w:rPr>
              <w:rFonts w:cs="Times New Roman"/>
              <w:color w:val="000000" w:themeColor="text1"/>
              <w:szCs w:val="24"/>
            </w:rPr>
            <w:fldChar w:fldCharType="separate"/>
          </w:r>
          <w:hyperlink w:anchor="_Toc122535304" w:history="1">
            <w:r w:rsidRPr="003B663A">
              <w:rPr>
                <w:rStyle w:val="Hyperlink"/>
                <w:rFonts w:cs="Times New Roman"/>
                <w:noProof/>
              </w:rPr>
              <w:t>1</w:t>
            </w:r>
            <w:r>
              <w:rPr>
                <w:rFonts w:asciiTheme="minorHAnsi" w:eastAsiaTheme="minorEastAsia" w:hAnsiTheme="minorHAnsi"/>
                <w:noProof/>
                <w:sz w:val="22"/>
              </w:rPr>
              <w:tab/>
            </w:r>
            <w:r w:rsidRPr="003B663A">
              <w:rPr>
                <w:rStyle w:val="Hyperlink"/>
                <w:rFonts w:cs="Times New Roman"/>
                <w:noProof/>
              </w:rPr>
              <w:t>Introduction</w:t>
            </w:r>
            <w:r>
              <w:rPr>
                <w:noProof/>
                <w:webHidden/>
              </w:rPr>
              <w:tab/>
            </w:r>
            <w:r>
              <w:rPr>
                <w:noProof/>
                <w:webHidden/>
              </w:rPr>
              <w:fldChar w:fldCharType="begin"/>
            </w:r>
            <w:r>
              <w:rPr>
                <w:noProof/>
                <w:webHidden/>
              </w:rPr>
              <w:instrText xml:space="preserve"> PAGEREF _Toc122535304 \h </w:instrText>
            </w:r>
            <w:r>
              <w:rPr>
                <w:noProof/>
                <w:webHidden/>
              </w:rPr>
              <w:fldChar w:fldCharType="separate"/>
            </w:r>
            <w:r>
              <w:rPr>
                <w:noProof/>
                <w:webHidden/>
              </w:rPr>
              <w:t>3</w:t>
            </w:r>
            <w:r>
              <w:rPr>
                <w:noProof/>
                <w:webHidden/>
              </w:rPr>
              <w:fldChar w:fldCharType="end"/>
            </w:r>
          </w:hyperlink>
        </w:p>
        <w:p w:rsidR="007762D3">
          <w:pPr>
            <w:pStyle w:val="TOC1"/>
            <w:tabs>
              <w:tab w:val="left" w:pos="440"/>
              <w:tab w:val="right" w:leader="dot" w:pos="9350"/>
            </w:tabs>
            <w:rPr>
              <w:rFonts w:asciiTheme="minorHAnsi" w:eastAsiaTheme="minorEastAsia" w:hAnsiTheme="minorHAnsi"/>
              <w:noProof/>
              <w:sz w:val="22"/>
            </w:rPr>
          </w:pPr>
          <w:hyperlink w:anchor="_Toc122535305" w:history="1">
            <w:r w:rsidRPr="003B663A">
              <w:rPr>
                <w:rStyle w:val="Hyperlink"/>
                <w:rFonts w:cs="Times New Roman"/>
                <w:noProof/>
              </w:rPr>
              <w:t>2</w:t>
            </w:r>
            <w:r>
              <w:rPr>
                <w:rFonts w:asciiTheme="minorHAnsi" w:eastAsiaTheme="minorEastAsia" w:hAnsiTheme="minorHAnsi"/>
                <w:noProof/>
                <w:sz w:val="22"/>
              </w:rPr>
              <w:tab/>
            </w:r>
            <w:r w:rsidRPr="003B663A">
              <w:rPr>
                <w:rStyle w:val="Hyperlink"/>
                <w:rFonts w:cs="Times New Roman"/>
                <w:noProof/>
              </w:rPr>
              <w:t>Main Body</w:t>
            </w:r>
            <w:r>
              <w:rPr>
                <w:noProof/>
                <w:webHidden/>
              </w:rPr>
              <w:tab/>
            </w:r>
            <w:r>
              <w:rPr>
                <w:noProof/>
                <w:webHidden/>
              </w:rPr>
              <w:fldChar w:fldCharType="begin"/>
            </w:r>
            <w:r>
              <w:rPr>
                <w:noProof/>
                <w:webHidden/>
              </w:rPr>
              <w:instrText xml:space="preserve"> PAGEREF _Toc122535305 \h </w:instrText>
            </w:r>
            <w:r>
              <w:rPr>
                <w:noProof/>
                <w:webHidden/>
              </w:rPr>
              <w:fldChar w:fldCharType="separate"/>
            </w:r>
            <w:r>
              <w:rPr>
                <w:noProof/>
                <w:webHidden/>
              </w:rPr>
              <w:t>3</w:t>
            </w:r>
            <w:r>
              <w:rPr>
                <w:noProof/>
                <w:webHidden/>
              </w:rPr>
              <w:fldChar w:fldCharType="end"/>
            </w:r>
          </w:hyperlink>
        </w:p>
        <w:p w:rsidR="007762D3">
          <w:pPr>
            <w:pStyle w:val="TOC1"/>
            <w:tabs>
              <w:tab w:val="left" w:pos="440"/>
              <w:tab w:val="right" w:leader="dot" w:pos="9350"/>
            </w:tabs>
            <w:rPr>
              <w:rFonts w:asciiTheme="minorHAnsi" w:eastAsiaTheme="minorEastAsia" w:hAnsiTheme="minorHAnsi"/>
              <w:noProof/>
              <w:sz w:val="22"/>
            </w:rPr>
          </w:pPr>
          <w:hyperlink w:anchor="_Toc122535306" w:history="1">
            <w:r w:rsidRPr="003B663A">
              <w:rPr>
                <w:rStyle w:val="Hyperlink"/>
                <w:rFonts w:cs="Times New Roman"/>
                <w:noProof/>
              </w:rPr>
              <w:t>3</w:t>
            </w:r>
            <w:r>
              <w:rPr>
                <w:rFonts w:asciiTheme="minorHAnsi" w:eastAsiaTheme="minorEastAsia" w:hAnsiTheme="minorHAnsi"/>
                <w:noProof/>
                <w:sz w:val="22"/>
              </w:rPr>
              <w:tab/>
            </w:r>
            <w:r w:rsidRPr="003B663A">
              <w:rPr>
                <w:rStyle w:val="Hyperlink"/>
                <w:rFonts w:cs="Times New Roman"/>
                <w:noProof/>
              </w:rPr>
              <w:t>Conclusion</w:t>
            </w:r>
            <w:r>
              <w:rPr>
                <w:noProof/>
                <w:webHidden/>
              </w:rPr>
              <w:tab/>
            </w:r>
            <w:r>
              <w:rPr>
                <w:noProof/>
                <w:webHidden/>
              </w:rPr>
              <w:fldChar w:fldCharType="begin"/>
            </w:r>
            <w:r>
              <w:rPr>
                <w:noProof/>
                <w:webHidden/>
              </w:rPr>
              <w:instrText xml:space="preserve"> PAGEREF _Toc122535306 \h </w:instrText>
            </w:r>
            <w:r>
              <w:rPr>
                <w:noProof/>
                <w:webHidden/>
              </w:rPr>
              <w:fldChar w:fldCharType="separate"/>
            </w:r>
            <w:r>
              <w:rPr>
                <w:noProof/>
                <w:webHidden/>
              </w:rPr>
              <w:t>6</w:t>
            </w:r>
            <w:r>
              <w:rPr>
                <w:noProof/>
                <w:webHidden/>
              </w:rPr>
              <w:fldChar w:fldCharType="end"/>
            </w:r>
          </w:hyperlink>
        </w:p>
        <w:p w:rsidR="007762D3">
          <w:pPr>
            <w:pStyle w:val="TOC1"/>
            <w:tabs>
              <w:tab w:val="left" w:pos="440"/>
              <w:tab w:val="right" w:leader="dot" w:pos="9350"/>
            </w:tabs>
            <w:rPr>
              <w:rFonts w:asciiTheme="minorHAnsi" w:eastAsiaTheme="minorEastAsia" w:hAnsiTheme="minorHAnsi"/>
              <w:noProof/>
              <w:sz w:val="22"/>
            </w:rPr>
          </w:pPr>
          <w:hyperlink w:anchor="_Toc122535307" w:history="1">
            <w:r w:rsidRPr="003B663A">
              <w:rPr>
                <w:rStyle w:val="Hyperlink"/>
                <w:rFonts w:cs="Times New Roman"/>
                <w:noProof/>
              </w:rPr>
              <w:t>4</w:t>
            </w:r>
            <w:r>
              <w:rPr>
                <w:rFonts w:asciiTheme="minorHAnsi" w:eastAsiaTheme="minorEastAsia" w:hAnsiTheme="minorHAnsi"/>
                <w:noProof/>
                <w:sz w:val="22"/>
              </w:rPr>
              <w:tab/>
            </w:r>
            <w:r w:rsidRPr="003B663A">
              <w:rPr>
                <w:rStyle w:val="Hyperlink"/>
                <w:rFonts w:cs="Times New Roman"/>
                <w:noProof/>
              </w:rPr>
              <w:t>References</w:t>
            </w:r>
            <w:r>
              <w:rPr>
                <w:noProof/>
                <w:webHidden/>
              </w:rPr>
              <w:tab/>
            </w:r>
            <w:r>
              <w:rPr>
                <w:noProof/>
                <w:webHidden/>
              </w:rPr>
              <w:fldChar w:fldCharType="begin"/>
            </w:r>
            <w:r>
              <w:rPr>
                <w:noProof/>
                <w:webHidden/>
              </w:rPr>
              <w:instrText xml:space="preserve"> PAGEREF _Toc122535307 \h </w:instrText>
            </w:r>
            <w:r>
              <w:rPr>
                <w:noProof/>
                <w:webHidden/>
              </w:rPr>
              <w:fldChar w:fldCharType="separate"/>
            </w:r>
            <w:r>
              <w:rPr>
                <w:noProof/>
                <w:webHidden/>
              </w:rPr>
              <w:t>7</w:t>
            </w:r>
            <w:r>
              <w:rPr>
                <w:noProof/>
                <w:webHidden/>
              </w:rPr>
              <w:fldChar w:fldCharType="end"/>
            </w:r>
          </w:hyperlink>
        </w:p>
        <w:p w:rsidR="008F1ABC" w:rsidP="008F1ABC">
          <w:pPr>
            <w:jc w:val="center"/>
          </w:pPr>
          <w:r w:rsidRPr="008F1ABC">
            <w:rPr>
              <w:rFonts w:cs="Times New Roman"/>
              <w:color w:val="000000" w:themeColor="text1"/>
              <w:szCs w:val="24"/>
            </w:rPr>
            <w:fldChar w:fldCharType="end"/>
          </w:r>
        </w:p>
      </w:sdtContent>
    </w:sdt>
    <w:p w:rsidR="008F1ABC">
      <w:pPr>
        <w:rPr>
          <w:b/>
        </w:rPr>
      </w:pPr>
      <w:r>
        <w:rPr>
          <w:b/>
        </w:rPr>
        <w:br w:type="page"/>
      </w:r>
      <w:bookmarkStart w:id="0" w:name="_GoBack"/>
      <w:bookmarkEnd w:id="0"/>
    </w:p>
    <w:p w:rsidR="00AE4DA6" w:rsidRPr="00F54CBD" w:rsidP="00AE4DA6">
      <w:pPr>
        <w:rPr>
          <w:b/>
        </w:rPr>
      </w:pPr>
      <w:r w:rsidRPr="00F54CBD">
        <w:rPr>
          <w:b/>
        </w:rPr>
        <w:t>Explore the necessity of maintaining Professional Standards within the police service by considering the impact of the Code of Ethics and the Standards of Professional Behaviour.</w:t>
      </w:r>
    </w:p>
    <w:p w:rsidR="00F54CBD" w:rsidP="00F54CBD">
      <w:pPr>
        <w:pStyle w:val="Heading1"/>
        <w:rPr>
          <w:rFonts w:ascii="Times New Roman" w:hAnsi="Times New Roman" w:cs="Times New Roman"/>
          <w:color w:val="000000" w:themeColor="text1"/>
          <w:sz w:val="24"/>
        </w:rPr>
      </w:pPr>
      <w:bookmarkStart w:id="1" w:name="_Toc122535304"/>
      <w:r>
        <w:rPr>
          <w:rFonts w:ascii="Times New Roman" w:hAnsi="Times New Roman" w:cs="Times New Roman"/>
          <w:color w:val="000000" w:themeColor="text1"/>
          <w:sz w:val="24"/>
        </w:rPr>
        <w:t>Introduction</w:t>
      </w:r>
      <w:bookmarkEnd w:id="1"/>
      <w:r>
        <w:rPr>
          <w:rFonts w:ascii="Times New Roman" w:hAnsi="Times New Roman" w:cs="Times New Roman"/>
          <w:color w:val="000000" w:themeColor="text1"/>
          <w:sz w:val="24"/>
        </w:rPr>
        <w:t xml:space="preserve"> </w:t>
      </w:r>
    </w:p>
    <w:p w:rsidR="00A238F4" w:rsidRPr="00A238F4" w:rsidP="00A238F4">
      <w:r>
        <w:t xml:space="preserve">Professional standards define the knowledge, behaviour and skills that characterise practice and support professional growth. Professional standards in police service play a fundamental role in the maintenance of citizens' confidence and trust in the police. </w:t>
      </w:r>
      <w:r w:rsidR="00C61BC0">
        <w:t xml:space="preserve">It is required by police officers to abide by and accept the professional standards that have been set for the service. </w:t>
      </w:r>
      <w:r w:rsidR="001B7C9D">
        <w:t xml:space="preserve">This essay will highlight the professional standards of police services as well as describe the </w:t>
      </w:r>
      <w:r>
        <w:t>influence</w:t>
      </w:r>
      <w:r w:rsidR="001B7C9D">
        <w:t xml:space="preserve"> of the code of ethics and </w:t>
      </w:r>
      <w:r>
        <w:t>principles</w:t>
      </w:r>
      <w:r w:rsidR="001B7C9D">
        <w:t xml:space="preserve"> of professional behaviour. </w:t>
      </w:r>
    </w:p>
    <w:p w:rsidR="00F54CBD" w:rsidP="00F54CBD">
      <w:pPr>
        <w:pStyle w:val="Heading1"/>
        <w:rPr>
          <w:rFonts w:ascii="Times New Roman" w:hAnsi="Times New Roman" w:cs="Times New Roman"/>
          <w:color w:val="000000" w:themeColor="text1"/>
          <w:sz w:val="24"/>
        </w:rPr>
      </w:pPr>
      <w:bookmarkStart w:id="2" w:name="_Toc122535305"/>
      <w:r>
        <w:rPr>
          <w:rFonts w:ascii="Times New Roman" w:hAnsi="Times New Roman" w:cs="Times New Roman"/>
          <w:color w:val="000000" w:themeColor="text1"/>
          <w:sz w:val="24"/>
        </w:rPr>
        <w:t>Main Body</w:t>
      </w:r>
      <w:bookmarkEnd w:id="2"/>
      <w:r>
        <w:rPr>
          <w:rFonts w:ascii="Times New Roman" w:hAnsi="Times New Roman" w:cs="Times New Roman"/>
          <w:color w:val="000000" w:themeColor="text1"/>
          <w:sz w:val="24"/>
        </w:rPr>
        <w:t xml:space="preserve"> </w:t>
      </w:r>
    </w:p>
    <w:p w:rsidR="000504B9" w:rsidP="000504B9">
      <w:r>
        <w:t xml:space="preserve">According to </w:t>
      </w:r>
      <w:r w:rsidR="00D75046">
        <w:t>Fisher</w:t>
      </w:r>
      <w:r w:rsidRPr="00E70B14" w:rsidR="00D75046">
        <w:t xml:space="preserve"> and Phillips</w:t>
      </w:r>
      <w:r w:rsidR="00D75046">
        <w:t xml:space="preserve"> </w:t>
      </w:r>
      <w:r>
        <w:t>(</w:t>
      </w:r>
      <w:r w:rsidR="00D75046">
        <w:t>2015</w:t>
      </w:r>
      <w:r>
        <w:t>), the policing by consent principle relies on the confidence and trust that the citizens have in the functions of police officers as well as law enforcement society. Professional standards play a fundamental role in the protection of that confidence and trust. Confidence and faith can be undermined by a disappointment in managing and vetting investigating counter-corruption activities or complaints and misconduct efficiently. It is vital that such problems are dealt with robustly and openly in consideration of the Code of Ethics. The professional standards include vetting, governance, counter corruption and misconduct and complaints.</w:t>
      </w:r>
      <w:r w:rsidR="006123A5">
        <w:t xml:space="preserve"> Every applicant for police in the UK requires a vetting clearance before they can start their police service. This vetting clearance needs to be renewed every 10 years. This is done to assess that any negative knowledge about the individual can pose a threat to public safety and national security. </w:t>
      </w:r>
    </w:p>
    <w:p w:rsidR="008440C8" w:rsidP="000504B9">
      <w:r>
        <w:t xml:space="preserve">In the view of </w:t>
      </w:r>
      <w:r w:rsidRPr="00DF4E38" w:rsidR="00D75046">
        <w:t>Caldero</w:t>
      </w:r>
      <w:r w:rsidR="00D75046">
        <w:t xml:space="preserve"> </w:t>
      </w:r>
      <w:r w:rsidRPr="00D75046" w:rsidR="00D75046">
        <w:rPr>
          <w:i/>
        </w:rPr>
        <w:t>et al.</w:t>
      </w:r>
      <w:r w:rsidR="00D75046">
        <w:t xml:space="preserve"> </w:t>
      </w:r>
      <w:r>
        <w:t>(</w:t>
      </w:r>
      <w:r w:rsidR="00D75046">
        <w:t>2018</w:t>
      </w:r>
      <w:r>
        <w:t xml:space="preserve">), while it is clear that police staff are professional and committed and that corruption is common in the police service, there is a very small number of officers that are still involved in corrupt activities which are putting an adverse impact on public confidence. The authorised professional practice on this corruption seeks to aid practitioners in addressing the corrupt activity threat by police staff, volunteers, officers and partners to the security of operational activity and information within law enforcement organisations. It is further divided into intelligence, enforcement, engagement and communication and prevention. </w:t>
      </w:r>
      <w:r w:rsidR="0023199B">
        <w:t xml:space="preserve">The </w:t>
      </w:r>
      <w:r w:rsidR="0023199B">
        <w:t xml:space="preserve">importance of professional standards importance in police service means that senior leadership should take responsibility for making sure that there is a capability to address problems in professional standards. This is in association with the resources, monitoring, learning, proper structures, assessments and reporting. </w:t>
      </w:r>
      <w:r w:rsidR="00426A04">
        <w:t xml:space="preserve">Critical problems in professional standards arise from an omission or act by police staff or officers working in police service. </w:t>
      </w:r>
    </w:p>
    <w:p w:rsidR="008703E8" w:rsidP="000504B9">
      <w:r>
        <w:t>Wilson</w:t>
      </w:r>
      <w:r w:rsidRPr="00E55D53">
        <w:t xml:space="preserve"> and Kelling</w:t>
      </w:r>
      <w:r>
        <w:t xml:space="preserve"> </w:t>
      </w:r>
      <w:r w:rsidR="00760C9F">
        <w:t>(</w:t>
      </w:r>
      <w:r>
        <w:t>2017</w:t>
      </w:r>
      <w:r w:rsidR="00760C9F">
        <w:t xml:space="preserve">) described that </w:t>
      </w:r>
      <w:r w:rsidR="007B3A6E">
        <w:t>professional standards aid in protecting society as well as police officers. Professional standards are considered a fundamental part of police services. These standards generate pressure on law enforcement agencies to adapt and grow to service society and increase trust, efficiency and transparency.</w:t>
      </w:r>
      <w:r w:rsidR="00E94117">
        <w:t xml:space="preserve"> Local and state police services need to improve and assess their standards and practices to make sure safe, accountable and transparent delivery of police services to society. </w:t>
      </w:r>
      <w:r w:rsidR="00611E9D">
        <w:t xml:space="preserve">Professional standards of police service play a fundamental role in this procedure. First, efficient standards aid in equipping police officers with proper training and also provide adequate knowledge on how to deal with complex circumstances. This aid in equipping police officers for safe and effective policing. </w:t>
      </w:r>
      <w:r w:rsidR="0042257A">
        <w:t xml:space="preserve">A second step is to provide access to professional standards to the citizens. When society has access to professional standards, they are informed about the manner police would respond. This would develop a degree of connection and trust that would make individuals safer. </w:t>
      </w:r>
      <w:r w:rsidR="00AA2877">
        <w:t>Based on the research of Ryan et al. (2018), professional standards aid police services in making lawful and ethical decisions related to management and discipline.</w:t>
      </w:r>
      <w:r w:rsidR="001A1DE3">
        <w:t xml:space="preserve"> These standards aid in improving public safety and health by providing protection and serving as first responders.</w:t>
      </w:r>
      <w:r w:rsidR="004C7C6D">
        <w:t xml:space="preserve"> Police officers mandated to enforce the law in the nation play a fundamental role in this regard, as it is their responsibility to protect and secure individuals.</w:t>
      </w:r>
      <w:r w:rsidR="000B3393">
        <w:t xml:space="preserve"> </w:t>
      </w:r>
    </w:p>
    <w:p w:rsidR="00777870" w:rsidRPr="004B1A2D" w:rsidP="000504B9">
      <w:pPr>
        <w:rPr>
          <w:shd w:val="clear" w:color="auto" w:fill="FFFFFF"/>
        </w:rPr>
      </w:pPr>
      <w:r>
        <w:rPr>
          <w:shd w:val="clear" w:color="auto" w:fill="FFFFFF"/>
        </w:rPr>
        <w:t>Hough et al. (</w:t>
      </w:r>
      <w:r>
        <w:rPr>
          <w:shd w:val="clear" w:color="auto" w:fill="FFFFFF"/>
        </w:rPr>
        <w:t>2018)</w:t>
      </w:r>
      <w:r>
        <w:rPr>
          <w:shd w:val="clear" w:color="auto" w:fill="FFFFFF"/>
        </w:rPr>
        <w:t xml:space="preserve"> stated </w:t>
      </w:r>
      <w:r>
        <w:t xml:space="preserve">that it is essential for police officers to fully oblige to their Code of Ethics because it not only provides an accurate framework for their daily decision-making but it also ensures the general public that they are safe in the hands of the accountable law enforcement officers. With that being clarified, the Code of Ethics has a significant impact. First of all, given how the Code of Ethics is strictly followed by the officers in their day-to-day decision-making processes, it influences the planned interventions and debriefing of the recruitment of newer police staff, impacting the efficiency of the coursework being provided in policing academies and educational institutions and lastly, influencing the annual reviews of the officers and providing aid for their </w:t>
      </w:r>
      <w:r>
        <w:t>promotion</w:t>
      </w:r>
      <w:r>
        <w:t xml:space="preserve"> </w:t>
      </w:r>
      <w:r>
        <w:rPr>
          <w:shd w:val="clear" w:color="auto" w:fill="FFFFFF"/>
        </w:rPr>
        <w:t>(</w:t>
      </w:r>
      <w:r>
        <w:rPr>
          <w:shd w:val="clear" w:color="auto" w:fill="FFFFFF"/>
        </w:rPr>
        <w:t>Droogenbroeck</w:t>
      </w:r>
      <w:r>
        <w:rPr>
          <w:shd w:val="clear" w:color="auto" w:fill="FFFFFF"/>
        </w:rPr>
        <w:t xml:space="preserve"> et al., 2019)</w:t>
      </w:r>
      <w:r>
        <w:t>. Such impact on the decision-making processes enables the policing staff to monitor their internal and external organisational actions, which also significantly impacts the manners of the people they are dealing with. In relation to this, the Code of Ethics permits the police staff to attain such an integrative attitude which influences other workers' behaviours as well. Furthermore, the effective obligation of the Code of Ethics could also lead police officers to inspire other workers in terms of professional development. For a prosperous group of police workers, continuous professional development is a must in terms of acquiring relevant knowledge and evidence for the selection of authentic choices. Similarly, the Code of Ethics affects the efficiency of the professional support supplied to the officers off and on duty</w:t>
      </w:r>
      <w:r>
        <w:rPr>
          <w:shd w:val="clear" w:color="auto" w:fill="FFFFFF"/>
        </w:rPr>
        <w:t xml:space="preserve"> (Williams and Cockcroft, 2018)</w:t>
      </w:r>
      <w:r>
        <w:t>. Moreover, the Code of Ethics also has a significant hand in establishing a stable connection between the general public and law enforcement workers. This connection is brought forth by the actions of police officers derived from the Code of Ethics. Such actions include a high rate of transparency and openness among the workers and the public, working with integrity and valuing other people's opinions, behaviours and character. On the last note, the Code of Ethics also influences the environment in which the public deals with their everyday operations. Police officers ensure that the environment of public is a secure, healthy and accessible one, and in order to fully execute such a plan, they monitor their decision-making procedures, maintain their duties and their operation and deal with the public in a compassionate manner</w:t>
      </w:r>
      <w:r>
        <w:t xml:space="preserve"> </w:t>
      </w:r>
      <w:r>
        <w:rPr>
          <w:shd w:val="clear" w:color="auto" w:fill="FFFFFF"/>
        </w:rPr>
        <w:t>(McDaniel, 2019)</w:t>
      </w:r>
      <w:r>
        <w:t xml:space="preserve">. The Code of Ethics also affects the moral courage of the policing staff, and as a result, they deal with criticism with a sense of professional responsibility and understanding. </w:t>
      </w:r>
    </w:p>
    <w:p w:rsidR="00EF2E24" w:rsidP="000504B9">
      <w:r>
        <w:t xml:space="preserve">According to </w:t>
      </w:r>
      <w:r w:rsidR="00A1047D">
        <w:t>Brooks</w:t>
      </w:r>
      <w:r w:rsidRPr="00C47CA7" w:rsidR="00A1047D">
        <w:t xml:space="preserve"> and Dunn</w:t>
      </w:r>
      <w:r w:rsidR="00A1047D">
        <w:t xml:space="preserve"> </w:t>
      </w:r>
      <w:r>
        <w:t>(</w:t>
      </w:r>
      <w:r w:rsidR="00A1047D">
        <w:t>2020</w:t>
      </w:r>
      <w:r>
        <w:t xml:space="preserve">), there is a necessity for maintaining professional standards in policy services as it also has a vital impact on professional behaviour standards. </w:t>
      </w:r>
      <w:r w:rsidR="00C133DC">
        <w:t xml:space="preserve">The standards of professional behaviour are respect, courtesy and authority, use of restraints, responsibilities and work, fitness for work, reporting and challenging improper conduct, integrity and honesty, diversity and equality, instructions, confidentiality, and discreditable conduct. </w:t>
      </w:r>
      <w:r w:rsidR="00D0208A">
        <w:t xml:space="preserve">Police officers, under professional standards, are required to be honest and act with integrity, and they have no right to abuse or compromise their position. A police officer is required to act with tolerance and self-control, treating citizens with courtesy and respect. Police officers have no right to abuse their authority and power and respect the rights of a citizen. The police officer needs to act with impartiality and fairness. They have no right to discriminate unfairly or </w:t>
      </w:r>
      <w:r w:rsidR="00D0208A">
        <w:t>unlawfully.</w:t>
      </w:r>
      <w:r w:rsidR="006D689A">
        <w:t xml:space="preserve"> </w:t>
      </w:r>
      <w:r w:rsidR="00361115">
        <w:t xml:space="preserve">A police officers may use restraint as part of their responsibility and roles to the extent that is required, reasonable and proportionate in all situations. They are required to carry and give reasonable instructions and follow these instructions and abide by Force procedures and policies. </w:t>
      </w:r>
      <w:r w:rsidR="001C5ABC">
        <w:t xml:space="preserve">They are required to be diligent in their responsibilities and work. </w:t>
      </w:r>
      <w:r w:rsidR="00E27AE2">
        <w:t>To foster respect and trust, police officers are required to make ethical decisions</w:t>
      </w:r>
      <w:r w:rsidR="00AE4DA6">
        <w:t xml:space="preserve"> (Westmarland</w:t>
      </w:r>
      <w:r w:rsidRPr="007B2C29" w:rsidR="00AE4DA6">
        <w:t xml:space="preserve"> and Rowe</w:t>
      </w:r>
      <w:r w:rsidR="00AE4DA6">
        <w:t>, 2018)</w:t>
      </w:r>
      <w:r w:rsidR="00E27AE2">
        <w:t xml:space="preserve">. </w:t>
      </w:r>
    </w:p>
    <w:p w:rsidR="007A2A53" w:rsidRPr="004C7C6D" w:rsidP="000504B9">
      <w:r>
        <w:t xml:space="preserve">In the view of </w:t>
      </w:r>
      <w:r w:rsidR="00A1047D">
        <w:t>Willis</w:t>
      </w:r>
      <w:r w:rsidRPr="0032603A" w:rsidR="00A1047D">
        <w:t xml:space="preserve"> and Mastrofski</w:t>
      </w:r>
      <w:r w:rsidR="00A1047D">
        <w:t xml:space="preserve"> </w:t>
      </w:r>
      <w:r>
        <w:t>(</w:t>
      </w:r>
      <w:r w:rsidR="00A1047D">
        <w:t>2018</w:t>
      </w:r>
      <w:r>
        <w:t>),</w:t>
      </w:r>
      <w:r w:rsidR="00DC61C8">
        <w:t xml:space="preserve"> </w:t>
      </w:r>
      <w:r w:rsidR="00077F6F">
        <w:t>For police officers, personal ethics are fundamental. Police discretion mainly means that officers have the freedom to decide what should be done in such circumstances. Discretion must be utilised to develop just and fair outcomes.</w:t>
      </w:r>
      <w:r w:rsidR="00C33140">
        <w:t xml:space="preserve"> </w:t>
      </w:r>
      <w:r w:rsidR="001D0228">
        <w:t xml:space="preserve">Those entrusted to manage and supervise individuals are considered role models for delivering impartial, effective and professional policing services by abiding by professional standards which directly impact the professional behaviour standards and code of ethics of police officers. The officers have a responsibility to maintain professional behaviour standards by showing solid leadership and dealing with conduct that falls below the standards. </w:t>
      </w:r>
    </w:p>
    <w:p w:rsidR="00AE4DA6" w:rsidP="00F54CBD">
      <w:pPr>
        <w:pStyle w:val="Heading1"/>
        <w:rPr>
          <w:rFonts w:ascii="Times New Roman" w:hAnsi="Times New Roman" w:cs="Times New Roman"/>
          <w:color w:val="000000" w:themeColor="text1"/>
          <w:sz w:val="24"/>
        </w:rPr>
      </w:pPr>
      <w:bookmarkStart w:id="3" w:name="_Toc122535306"/>
      <w:r w:rsidRPr="004759A5">
        <w:rPr>
          <w:rFonts w:ascii="Times New Roman" w:hAnsi="Times New Roman" w:cs="Times New Roman"/>
          <w:color w:val="000000" w:themeColor="text1"/>
          <w:sz w:val="24"/>
        </w:rPr>
        <w:t>Conclusion</w:t>
      </w:r>
      <w:bookmarkEnd w:id="3"/>
    </w:p>
    <w:p w:rsidR="004759A5" w:rsidRPr="004759A5" w:rsidP="004759A5">
      <w:r>
        <w:t>In a nutshell, the essay aided in underscoring several noteworthy pieces of information which compensated the practices necessary for any police officer. Given that, the essay highlighted the professional standards which the policing staff should oblige to, and therefore, it involves v</w:t>
      </w:r>
      <w:r>
        <w:t>etting, governance, countering corruption and misconduct and compla</w:t>
      </w:r>
      <w:r>
        <w:t xml:space="preserve">ints. Further, the essay provided the importance of professional standards as it stated that such standards look after the security of the common society. Lastly, the essay included general details regarding policing's Code of Ethics and thus evaluated its impact on police officers in terms of effective decision-making processes and professional development. </w:t>
      </w:r>
    </w:p>
    <w:p w:rsidR="00AE4DA6" w:rsidP="00AE4DA6">
      <w:pPr>
        <w:rPr>
          <w:rFonts w:eastAsiaTheme="majorEastAsia"/>
          <w:szCs w:val="28"/>
          <w:highlight w:val="yellow"/>
        </w:rPr>
      </w:pPr>
      <w:r>
        <w:rPr>
          <w:highlight w:val="yellow"/>
        </w:rPr>
        <w:br w:type="page"/>
      </w:r>
    </w:p>
    <w:p w:rsidR="00F54CBD" w:rsidP="00F54CBD">
      <w:pPr>
        <w:pStyle w:val="Heading1"/>
        <w:rPr>
          <w:rFonts w:ascii="Times New Roman" w:hAnsi="Times New Roman" w:cs="Times New Roman"/>
          <w:color w:val="000000" w:themeColor="text1"/>
          <w:sz w:val="24"/>
        </w:rPr>
      </w:pPr>
      <w:bookmarkStart w:id="4" w:name="_Toc122535307"/>
      <w:r>
        <w:rPr>
          <w:rFonts w:ascii="Times New Roman" w:hAnsi="Times New Roman" w:cs="Times New Roman"/>
          <w:color w:val="000000" w:themeColor="text1"/>
          <w:sz w:val="24"/>
        </w:rPr>
        <w:t>References</w:t>
      </w:r>
      <w:bookmarkEnd w:id="4"/>
    </w:p>
    <w:p w:rsidR="004B1A2D" w:rsidRPr="00AE4DA6" w:rsidP="00AE4DA6"/>
    <w:p w:rsidR="004B1A2D" w:rsidRPr="004831F2" w:rsidP="00AE4DA6">
      <w:pPr>
        <w:ind w:left="720" w:hanging="720"/>
        <w:rPr>
          <w:color w:val="000000" w:themeColor="text1"/>
        </w:rPr>
      </w:pPr>
      <w:r w:rsidRPr="004831F2">
        <w:rPr>
          <w:color w:val="000000" w:themeColor="text1"/>
        </w:rPr>
        <w:t>Brooks, L.J. and Dunn, P., 2020. </w:t>
      </w:r>
      <w:r w:rsidRPr="004831F2">
        <w:rPr>
          <w:i/>
          <w:iCs/>
          <w:color w:val="000000" w:themeColor="text1"/>
        </w:rPr>
        <w:t>Business and professional ethics</w:t>
      </w:r>
      <w:r w:rsidRPr="004831F2">
        <w:rPr>
          <w:color w:val="000000" w:themeColor="text1"/>
        </w:rPr>
        <w:t xml:space="preserve">. Cengage Learning. </w:t>
      </w:r>
    </w:p>
    <w:p w:rsidR="004B1A2D" w:rsidRPr="004831F2" w:rsidP="00AE4DA6">
      <w:pPr>
        <w:ind w:left="720" w:hanging="720"/>
        <w:rPr>
          <w:color w:val="000000" w:themeColor="text1"/>
        </w:rPr>
      </w:pPr>
      <w:r w:rsidRPr="004831F2">
        <w:rPr>
          <w:color w:val="000000" w:themeColor="text1"/>
        </w:rPr>
        <w:t>Caldero</w:t>
      </w:r>
      <w:r w:rsidRPr="004831F2">
        <w:rPr>
          <w:color w:val="000000" w:themeColor="text1"/>
        </w:rPr>
        <w:t>, M., Dailey, J. and Withrow, B., 2018. </w:t>
      </w:r>
      <w:r w:rsidRPr="004831F2">
        <w:rPr>
          <w:i/>
          <w:iCs/>
          <w:color w:val="000000" w:themeColor="text1"/>
        </w:rPr>
        <w:t>Police ethics: The corruption of noble cause</w:t>
      </w:r>
      <w:r w:rsidRPr="004831F2">
        <w:rPr>
          <w:color w:val="000000" w:themeColor="text1"/>
        </w:rPr>
        <w:t xml:space="preserve">. Routledge. </w:t>
      </w:r>
    </w:p>
    <w:p w:rsidR="004B1A2D" w:rsidP="004B1A2D">
      <w:pPr>
        <w:ind w:left="720" w:hanging="720"/>
        <w:rPr>
          <w:shd w:val="clear" w:color="auto" w:fill="FFFFFF"/>
        </w:rPr>
      </w:pPr>
      <w:r>
        <w:rPr>
          <w:shd w:val="clear" w:color="auto" w:fill="FFFFFF"/>
        </w:rPr>
        <w:t>Droogenbroeck</w:t>
      </w:r>
      <w:r>
        <w:rPr>
          <w:shd w:val="clear" w:color="auto" w:fill="FFFFFF"/>
        </w:rPr>
        <w:t xml:space="preserve">, F.V., </w:t>
      </w:r>
      <w:r>
        <w:rPr>
          <w:shd w:val="clear" w:color="auto" w:fill="FFFFFF"/>
        </w:rPr>
        <w:t>Spruyt</w:t>
      </w:r>
      <w:r>
        <w:rPr>
          <w:shd w:val="clear" w:color="auto" w:fill="FFFFFF"/>
        </w:rPr>
        <w:t xml:space="preserve">, B., </w:t>
      </w:r>
      <w:r>
        <w:rPr>
          <w:shd w:val="clear" w:color="auto" w:fill="FFFFFF"/>
        </w:rPr>
        <w:t>Kutnjak</w:t>
      </w:r>
      <w:r>
        <w:rPr>
          <w:shd w:val="clear" w:color="auto" w:fill="FFFFFF"/>
        </w:rPr>
        <w:t xml:space="preserve"> </w:t>
      </w:r>
      <w:r>
        <w:rPr>
          <w:shd w:val="clear" w:color="auto" w:fill="FFFFFF"/>
        </w:rPr>
        <w:t>Ivković</w:t>
      </w:r>
      <w:r>
        <w:rPr>
          <w:shd w:val="clear" w:color="auto" w:fill="FFFFFF"/>
        </w:rPr>
        <w:t xml:space="preserve">, S. and </w:t>
      </w:r>
      <w:r>
        <w:rPr>
          <w:shd w:val="clear" w:color="auto" w:fill="FFFFFF"/>
        </w:rPr>
        <w:t>Haberfeld</w:t>
      </w:r>
      <w:r>
        <w:rPr>
          <w:shd w:val="clear" w:color="auto" w:fill="FFFFFF"/>
        </w:rPr>
        <w:t>, M.R., 2019. The effects of ethics training on police integrity. In </w:t>
      </w:r>
      <w:r>
        <w:rPr>
          <w:i/>
          <w:iCs/>
          <w:shd w:val="clear" w:color="auto" w:fill="FFFFFF"/>
        </w:rPr>
        <w:t>Exploring</w:t>
      </w:r>
      <w:r>
        <w:rPr>
          <w:i/>
          <w:iCs/>
          <w:shd w:val="clear" w:color="auto" w:fill="FFFFFF"/>
        </w:rPr>
        <w:t xml:space="preserve"> police integrity</w:t>
      </w:r>
      <w:r>
        <w:rPr>
          <w:shd w:val="clear" w:color="auto" w:fill="FFFFFF"/>
        </w:rPr>
        <w:t> (pp. 365-382). Springer, Cham.</w:t>
      </w:r>
    </w:p>
    <w:p w:rsidR="004B1A2D" w:rsidRPr="004831F2" w:rsidP="00AE4DA6">
      <w:pPr>
        <w:ind w:left="720" w:hanging="720"/>
        <w:rPr>
          <w:color w:val="000000" w:themeColor="text1"/>
        </w:rPr>
      </w:pPr>
      <w:r w:rsidRPr="004831F2">
        <w:rPr>
          <w:color w:val="000000" w:themeColor="text1"/>
        </w:rPr>
        <w:t>Fisher, A.C. and Phillips, J.M., 2015. Quo Vadis: A New Direction for Police Leadership Through Community Engagement?. In </w:t>
      </w:r>
      <w:r w:rsidRPr="004831F2">
        <w:rPr>
          <w:i/>
          <w:iCs/>
          <w:color w:val="000000" w:themeColor="text1"/>
        </w:rPr>
        <w:t>Police Services</w:t>
      </w:r>
      <w:r w:rsidRPr="004831F2">
        <w:rPr>
          <w:color w:val="000000" w:themeColor="text1"/>
        </w:rPr>
        <w:t xml:space="preserve"> (pp. 29-44). Springer, Cham. </w:t>
      </w:r>
    </w:p>
    <w:p w:rsidR="004B1A2D" w:rsidP="004B1A2D">
      <w:pPr>
        <w:ind w:left="720" w:hanging="720"/>
        <w:rPr>
          <w:shd w:val="clear" w:color="auto" w:fill="FFFFFF"/>
        </w:rPr>
      </w:pPr>
      <w:r>
        <w:rPr>
          <w:shd w:val="clear" w:color="auto" w:fill="FFFFFF"/>
        </w:rPr>
        <w:t xml:space="preserve">Hough, M., May, T., Hales, G. and </w:t>
      </w:r>
      <w:r>
        <w:rPr>
          <w:shd w:val="clear" w:color="auto" w:fill="FFFFFF"/>
        </w:rPr>
        <w:t>Belur</w:t>
      </w:r>
      <w:r>
        <w:rPr>
          <w:shd w:val="clear" w:color="auto" w:fill="FFFFFF"/>
        </w:rPr>
        <w:t>, J., 2018. Misconduct by police leaders in England and Wales: an exploratory study. </w:t>
      </w:r>
      <w:r>
        <w:rPr>
          <w:i/>
          <w:iCs/>
          <w:shd w:val="clear" w:color="auto" w:fill="FFFFFF"/>
        </w:rPr>
        <w:t>Policing and society</w:t>
      </w:r>
      <w:r>
        <w:rPr>
          <w:shd w:val="clear" w:color="auto" w:fill="FFFFFF"/>
        </w:rPr>
        <w:t>, </w:t>
      </w:r>
      <w:r>
        <w:rPr>
          <w:i/>
          <w:iCs/>
          <w:shd w:val="clear" w:color="auto" w:fill="FFFFFF"/>
        </w:rPr>
        <w:t>28</w:t>
      </w:r>
      <w:r>
        <w:rPr>
          <w:shd w:val="clear" w:color="auto" w:fill="FFFFFF"/>
        </w:rPr>
        <w:t>(5), pp.541-552.</w:t>
      </w:r>
    </w:p>
    <w:p w:rsidR="004B1A2D" w:rsidP="004B1A2D">
      <w:pPr>
        <w:ind w:left="720" w:hanging="720"/>
        <w:rPr>
          <w:shd w:val="clear" w:color="auto" w:fill="FFFFFF"/>
        </w:rPr>
      </w:pPr>
      <w:r>
        <w:rPr>
          <w:shd w:val="clear" w:color="auto" w:fill="FFFFFF"/>
        </w:rPr>
        <w:t>McDaniel, J.L., 2019. Reconciling mental health, public policing and police accountability. </w:t>
      </w:r>
      <w:r>
        <w:rPr>
          <w:i/>
          <w:iCs/>
          <w:shd w:val="clear" w:color="auto" w:fill="FFFFFF"/>
        </w:rPr>
        <w:t>The Police Journal</w:t>
      </w:r>
      <w:r>
        <w:rPr>
          <w:shd w:val="clear" w:color="auto" w:fill="FFFFFF"/>
        </w:rPr>
        <w:t>, </w:t>
      </w:r>
      <w:r>
        <w:rPr>
          <w:i/>
          <w:iCs/>
          <w:shd w:val="clear" w:color="auto" w:fill="FFFFFF"/>
        </w:rPr>
        <w:t>92</w:t>
      </w:r>
      <w:r>
        <w:rPr>
          <w:shd w:val="clear" w:color="auto" w:fill="FFFFFF"/>
        </w:rPr>
        <w:t>(1), pp.72-94.</w:t>
      </w:r>
    </w:p>
    <w:p w:rsidR="004B1A2D" w:rsidP="00AE4DA6">
      <w:pPr>
        <w:ind w:left="720" w:hanging="720"/>
        <w:rPr>
          <w:color w:val="000000" w:themeColor="text1"/>
        </w:rPr>
      </w:pPr>
      <w:r w:rsidRPr="004831F2">
        <w:rPr>
          <w:color w:val="000000" w:themeColor="text1"/>
        </w:rPr>
        <w:t xml:space="preserve">Ryan, J.B., </w:t>
      </w:r>
      <w:r w:rsidRPr="004831F2">
        <w:rPr>
          <w:color w:val="000000" w:themeColor="text1"/>
        </w:rPr>
        <w:t>Katsiyannis</w:t>
      </w:r>
      <w:r w:rsidRPr="004831F2">
        <w:rPr>
          <w:color w:val="000000" w:themeColor="text1"/>
        </w:rPr>
        <w:t>, A., Counts, J.M. and Shelnut, J.C., 2018. The growing concerns regarding school resource officers. Intervention in School and Clinic, 53(3), pp.188-192.</w:t>
      </w:r>
    </w:p>
    <w:p w:rsidR="004B1A2D" w:rsidRPr="004831F2" w:rsidP="00AE4DA6">
      <w:pPr>
        <w:ind w:left="720" w:hanging="720"/>
        <w:rPr>
          <w:color w:val="000000" w:themeColor="text1"/>
        </w:rPr>
      </w:pPr>
      <w:r w:rsidRPr="004831F2">
        <w:rPr>
          <w:color w:val="000000" w:themeColor="text1"/>
        </w:rPr>
        <w:t>Westmarland</w:t>
      </w:r>
      <w:r w:rsidRPr="004831F2">
        <w:rPr>
          <w:color w:val="000000" w:themeColor="text1"/>
        </w:rPr>
        <w:t xml:space="preserve">, L. and Rowe, M., 2018. Police ethics and integrity: can a new code overturn the blue code? </w:t>
      </w:r>
      <w:r w:rsidRPr="004831F2">
        <w:rPr>
          <w:i/>
          <w:iCs/>
          <w:color w:val="000000" w:themeColor="text1"/>
        </w:rPr>
        <w:t>Policing and society</w:t>
      </w:r>
      <w:r w:rsidRPr="004831F2">
        <w:rPr>
          <w:color w:val="000000" w:themeColor="text1"/>
        </w:rPr>
        <w:t>, </w:t>
      </w:r>
      <w:r w:rsidRPr="004831F2">
        <w:rPr>
          <w:i/>
          <w:iCs/>
          <w:color w:val="000000" w:themeColor="text1"/>
        </w:rPr>
        <w:t>28</w:t>
      </w:r>
      <w:r w:rsidRPr="004831F2">
        <w:rPr>
          <w:color w:val="000000" w:themeColor="text1"/>
        </w:rPr>
        <w:t>(7), pp.854-870.</w:t>
      </w:r>
    </w:p>
    <w:p w:rsidR="004B1A2D" w:rsidP="004B1A2D">
      <w:pPr>
        <w:ind w:left="720" w:hanging="720"/>
        <w:rPr>
          <w:shd w:val="clear" w:color="auto" w:fill="FFFFFF"/>
        </w:rPr>
      </w:pPr>
      <w:r>
        <w:rPr>
          <w:shd w:val="clear" w:color="auto" w:fill="FFFFFF"/>
        </w:rPr>
        <w:t xml:space="preserve">Williams, E. and Cockcroft, T., 2018. Knowledge wars: </w:t>
      </w:r>
      <w:r>
        <w:rPr>
          <w:shd w:val="clear" w:color="auto" w:fill="FFFFFF"/>
        </w:rPr>
        <w:t>professionalisation</w:t>
      </w:r>
      <w:r>
        <w:rPr>
          <w:shd w:val="clear" w:color="auto" w:fill="FFFFFF"/>
        </w:rPr>
        <w:t xml:space="preserve">, </w:t>
      </w:r>
      <w:r>
        <w:rPr>
          <w:shd w:val="clear" w:color="auto" w:fill="FFFFFF"/>
        </w:rPr>
        <w:t>organisational</w:t>
      </w:r>
      <w:r>
        <w:rPr>
          <w:shd w:val="clear" w:color="auto" w:fill="FFFFFF"/>
        </w:rPr>
        <w:t xml:space="preserve"> justice and competing knowledge paradigms in British policing. </w:t>
      </w:r>
      <w:r>
        <w:rPr>
          <w:i/>
          <w:iCs/>
          <w:shd w:val="clear" w:color="auto" w:fill="FFFFFF"/>
        </w:rPr>
        <w:t>Evidence-based policing: An introduction</w:t>
      </w:r>
      <w:r>
        <w:rPr>
          <w:shd w:val="clear" w:color="auto" w:fill="FFFFFF"/>
        </w:rPr>
        <w:t>, pp.131-144.</w:t>
      </w:r>
    </w:p>
    <w:p w:rsidR="004B1A2D" w:rsidRPr="004831F2" w:rsidP="00AE4DA6">
      <w:pPr>
        <w:ind w:left="720" w:hanging="720"/>
        <w:rPr>
          <w:color w:val="000000" w:themeColor="text1"/>
        </w:rPr>
      </w:pPr>
      <w:r w:rsidRPr="004831F2">
        <w:rPr>
          <w:color w:val="000000" w:themeColor="text1"/>
        </w:rPr>
        <w:t xml:space="preserve">Willis, J.J. and </w:t>
      </w:r>
      <w:r w:rsidRPr="004831F2">
        <w:rPr>
          <w:color w:val="000000" w:themeColor="text1"/>
        </w:rPr>
        <w:t>Mastrofski</w:t>
      </w:r>
      <w:r w:rsidRPr="004831F2">
        <w:rPr>
          <w:color w:val="000000" w:themeColor="text1"/>
        </w:rPr>
        <w:t xml:space="preserve">, S.D., 2018. Improving policing by integrating craft and science: what can patrol officers teach us about good police work? </w:t>
      </w:r>
      <w:r w:rsidRPr="004831F2">
        <w:rPr>
          <w:i/>
          <w:iCs/>
          <w:color w:val="000000" w:themeColor="text1"/>
        </w:rPr>
        <w:t>Policing and society</w:t>
      </w:r>
      <w:r w:rsidRPr="004831F2">
        <w:rPr>
          <w:color w:val="000000" w:themeColor="text1"/>
        </w:rPr>
        <w:t>, </w:t>
      </w:r>
      <w:r w:rsidRPr="004831F2">
        <w:rPr>
          <w:i/>
          <w:iCs/>
          <w:color w:val="000000" w:themeColor="text1"/>
        </w:rPr>
        <w:t>28</w:t>
      </w:r>
      <w:r w:rsidRPr="004831F2">
        <w:rPr>
          <w:color w:val="000000" w:themeColor="text1"/>
        </w:rPr>
        <w:t>(1), pp.27-44.</w:t>
      </w:r>
    </w:p>
    <w:p w:rsidR="004B1A2D" w:rsidRPr="004831F2" w:rsidP="00AE4DA6">
      <w:pPr>
        <w:ind w:left="720" w:hanging="720"/>
        <w:rPr>
          <w:color w:val="000000" w:themeColor="text1"/>
        </w:rPr>
      </w:pPr>
      <w:r w:rsidRPr="004831F2">
        <w:rPr>
          <w:color w:val="000000" w:themeColor="text1"/>
        </w:rPr>
        <w:t xml:space="preserve">Wilson, J.Q. and </w:t>
      </w:r>
      <w:r w:rsidRPr="004831F2">
        <w:rPr>
          <w:color w:val="000000" w:themeColor="text1"/>
        </w:rPr>
        <w:t>Kelling</w:t>
      </w:r>
      <w:r w:rsidRPr="004831F2">
        <w:rPr>
          <w:color w:val="000000" w:themeColor="text1"/>
        </w:rPr>
        <w:t>, G.L., 2017. The police and neighborhood safety Broken Windows. In </w:t>
      </w:r>
      <w:r w:rsidRPr="004831F2">
        <w:rPr>
          <w:i/>
          <w:iCs/>
          <w:color w:val="000000" w:themeColor="text1"/>
        </w:rPr>
        <w:t>Social, Ecological and Environmental Theories of Crime</w:t>
      </w:r>
      <w:r w:rsidRPr="004831F2">
        <w:rPr>
          <w:color w:val="000000" w:themeColor="text1"/>
        </w:rPr>
        <w:t> (pp. 169-178). Routledge.</w:t>
      </w:r>
    </w:p>
    <w:sectPr w:rsidSect="00CD22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313D3D4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CBD"/>
    <w:rsid w:val="0000239F"/>
    <w:rsid w:val="00002ED9"/>
    <w:rsid w:val="000504B9"/>
    <w:rsid w:val="00077F6F"/>
    <w:rsid w:val="000B3393"/>
    <w:rsid w:val="00160107"/>
    <w:rsid w:val="001A1DE3"/>
    <w:rsid w:val="001B7C9D"/>
    <w:rsid w:val="001C5ABC"/>
    <w:rsid w:val="001D0228"/>
    <w:rsid w:val="0023199B"/>
    <w:rsid w:val="002E1118"/>
    <w:rsid w:val="0032603A"/>
    <w:rsid w:val="00361115"/>
    <w:rsid w:val="003A7247"/>
    <w:rsid w:val="003B663A"/>
    <w:rsid w:val="0042257A"/>
    <w:rsid w:val="00426A04"/>
    <w:rsid w:val="004371CF"/>
    <w:rsid w:val="004759A5"/>
    <w:rsid w:val="004831F2"/>
    <w:rsid w:val="004A7C8E"/>
    <w:rsid w:val="004B1A2D"/>
    <w:rsid w:val="004C7C6D"/>
    <w:rsid w:val="005911D3"/>
    <w:rsid w:val="00611E9D"/>
    <w:rsid w:val="006123A5"/>
    <w:rsid w:val="00621365"/>
    <w:rsid w:val="006D689A"/>
    <w:rsid w:val="007127F3"/>
    <w:rsid w:val="007351D8"/>
    <w:rsid w:val="00760C9F"/>
    <w:rsid w:val="007762D3"/>
    <w:rsid w:val="00777870"/>
    <w:rsid w:val="007A2A53"/>
    <w:rsid w:val="007B2C29"/>
    <w:rsid w:val="007B3A6E"/>
    <w:rsid w:val="00820CFF"/>
    <w:rsid w:val="00841F6C"/>
    <w:rsid w:val="008440C8"/>
    <w:rsid w:val="008703E8"/>
    <w:rsid w:val="008F1ABC"/>
    <w:rsid w:val="0092701A"/>
    <w:rsid w:val="009C665B"/>
    <w:rsid w:val="009F636B"/>
    <w:rsid w:val="00A1047D"/>
    <w:rsid w:val="00A238F4"/>
    <w:rsid w:val="00A92BFF"/>
    <w:rsid w:val="00AA2877"/>
    <w:rsid w:val="00AE4DA6"/>
    <w:rsid w:val="00BE055F"/>
    <w:rsid w:val="00C133DC"/>
    <w:rsid w:val="00C33140"/>
    <w:rsid w:val="00C47CA7"/>
    <w:rsid w:val="00C61BC0"/>
    <w:rsid w:val="00CD22DB"/>
    <w:rsid w:val="00D0208A"/>
    <w:rsid w:val="00D505DF"/>
    <w:rsid w:val="00D75046"/>
    <w:rsid w:val="00D96415"/>
    <w:rsid w:val="00DC61C8"/>
    <w:rsid w:val="00DF4E38"/>
    <w:rsid w:val="00E27AE2"/>
    <w:rsid w:val="00E4087F"/>
    <w:rsid w:val="00E55D53"/>
    <w:rsid w:val="00E70B14"/>
    <w:rsid w:val="00E94117"/>
    <w:rsid w:val="00EF2E24"/>
    <w:rsid w:val="00F07F11"/>
    <w:rsid w:val="00F54CBD"/>
    <w:rsid w:val="00FB728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docId w15:val="{93EDE812-EF6A-4B11-8C2B-03773799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DB"/>
  </w:style>
  <w:style w:type="paragraph" w:styleId="Heading1">
    <w:name w:val="heading 1"/>
    <w:basedOn w:val="Normal"/>
    <w:next w:val="Normal"/>
    <w:link w:val="Heading1Char"/>
    <w:uiPriority w:val="9"/>
    <w:qFormat/>
    <w:rsid w:val="00F54CBD"/>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54CBD"/>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54CBD"/>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54CB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54CB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54CB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54CB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54CB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54CB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CB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54CB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54CB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54CB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54CBD"/>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54CB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54CB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54CB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54CBD"/>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8F1ABC"/>
    <w:pPr>
      <w:numPr>
        <w:numId w:val="0"/>
      </w:numPr>
      <w:spacing w:line="276" w:lineRule="auto"/>
      <w:jc w:val="left"/>
      <w:outlineLvl w:val="9"/>
    </w:pPr>
  </w:style>
  <w:style w:type="paragraph" w:styleId="TOC1">
    <w:name w:val="toc 1"/>
    <w:basedOn w:val="Normal"/>
    <w:next w:val="Normal"/>
    <w:autoRedefine/>
    <w:uiPriority w:val="39"/>
    <w:unhideWhenUsed/>
    <w:rsid w:val="008F1ABC"/>
    <w:pPr>
      <w:spacing w:after="100"/>
    </w:pPr>
  </w:style>
  <w:style w:type="character" w:styleId="Hyperlink">
    <w:name w:val="Hyperlink"/>
    <w:basedOn w:val="DefaultParagraphFont"/>
    <w:uiPriority w:val="99"/>
    <w:unhideWhenUsed/>
    <w:rsid w:val="008F1ABC"/>
    <w:rPr>
      <w:color w:val="0000FF" w:themeColor="hyperlink"/>
      <w:u w:val="single"/>
    </w:rPr>
  </w:style>
  <w:style w:type="paragraph" w:styleId="BalloonText">
    <w:name w:val="Balloon Text"/>
    <w:basedOn w:val="Normal"/>
    <w:link w:val="BalloonTextChar"/>
    <w:uiPriority w:val="99"/>
    <w:semiHidden/>
    <w:unhideWhenUsed/>
    <w:rsid w:val="008F1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A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9F6EA-6504-4A83-BDCE-29F294998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1827</Words>
  <Characters>10415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Mariyum</dc:creator>
  <cp:lastModifiedBy>Microsoft account</cp:lastModifiedBy>
  <cp:revision>51</cp:revision>
  <dcterms:created xsi:type="dcterms:W3CDTF">2022-12-21T05:13:00Z</dcterms:created>
  <dcterms:modified xsi:type="dcterms:W3CDTF">2022-12-21T12:14:00Z</dcterms:modified>
</cp:coreProperties>
</file>