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17350F4" wp14:paraId="2C078E63" wp14:textId="6AD5BADA">
      <w:pPr>
        <w:rPr>
          <w:rFonts w:ascii="Arial" w:hAnsi="Arial" w:eastAsia="Arial" w:cs="Arial"/>
        </w:rPr>
      </w:pPr>
      <w:bookmarkStart w:name="_Int_RPV1ysss" w:id="2088621048"/>
      <w:r w:rsidRPr="417350F4" w:rsidR="0FD46E4F">
        <w:rPr>
          <w:rFonts w:ascii="Arial" w:hAnsi="Arial" w:eastAsia="Arial" w:cs="Arial"/>
        </w:rPr>
        <w:t>Part 2</w:t>
      </w:r>
      <w:bookmarkEnd w:id="2088621048"/>
    </w:p>
    <w:p w:rsidR="0792D852" w:rsidP="417350F4" w:rsidRDefault="0792D852" w14:paraId="1B93DF76" w14:textId="5CAF42C4">
      <w:pPr>
        <w:pStyle w:val="Normal"/>
        <w:rPr>
          <w:rFonts w:ascii="Arial" w:hAnsi="Arial" w:eastAsia="Arial" w:cs="Arial"/>
          <w:noProof w:val="0"/>
          <w:sz w:val="24"/>
          <w:szCs w:val="24"/>
          <w:lang w:val="en-US"/>
        </w:rPr>
      </w:pPr>
      <w:r w:rsidRPr="417350F4" w:rsidR="0792D852">
        <w:rPr>
          <w:rFonts w:ascii="Arial" w:hAnsi="Arial" w:eastAsia="Arial" w:cs="Arial"/>
          <w:sz w:val="24"/>
          <w:szCs w:val="24"/>
        </w:rPr>
        <w:t xml:space="preserve">Early reading skill development is essential for children's learning and later academic success (Bennet, 2002). Numerous early reading skill categories have </w:t>
      </w:r>
      <w:bookmarkStart w:name="_Int_Q5Ie8ZZt" w:id="1465975155"/>
      <w:r w:rsidRPr="417350F4" w:rsidR="0792D852">
        <w:rPr>
          <w:rFonts w:ascii="Arial" w:hAnsi="Arial" w:eastAsia="Arial" w:cs="Arial"/>
          <w:sz w:val="24"/>
          <w:szCs w:val="24"/>
        </w:rPr>
        <w:t>come to light</w:t>
      </w:r>
      <w:bookmarkEnd w:id="1465975155"/>
      <w:r w:rsidRPr="417350F4" w:rsidR="0792D852">
        <w:rPr>
          <w:rFonts w:ascii="Arial" w:hAnsi="Arial" w:eastAsia="Arial" w:cs="Arial"/>
          <w:sz w:val="24"/>
          <w:szCs w:val="24"/>
        </w:rPr>
        <w:t xml:space="preserve"> in early childhood studies. Oral language comprehension, print awareness, and phonological skills are typically included in the core early literacy skills (Rohde Citation 2015). Early reading skills development in kindergarten is often handled by teacher-led literacy instruction, which is followed by drill-and-practice activities (Zettler-Greeley et al. Citation2018). According to several long-term research, these activities have a major positive impact on children's development of literacy abilities (Piasta, Purpura, and Wagner Citation 2010).</w:t>
      </w:r>
      <w:r w:rsidRPr="417350F4" w:rsidR="7586DE47">
        <w:rPr>
          <w:rFonts w:ascii="Arial" w:hAnsi="Arial" w:eastAsia="Arial" w:cs="Arial"/>
          <w:sz w:val="24"/>
          <w:szCs w:val="24"/>
        </w:rPr>
        <w:t xml:space="preserve"> However, despite these encouraging results, opinions </w:t>
      </w:r>
      <w:r w:rsidRPr="417350F4" w:rsidR="7586DE47">
        <w:rPr>
          <w:rFonts w:ascii="Arial" w:hAnsi="Arial" w:eastAsia="Arial" w:cs="Arial"/>
          <w:sz w:val="24"/>
          <w:szCs w:val="24"/>
        </w:rPr>
        <w:t>regarding</w:t>
      </w:r>
      <w:r w:rsidRPr="417350F4" w:rsidR="7586DE47">
        <w:rPr>
          <w:rFonts w:ascii="Arial" w:hAnsi="Arial" w:eastAsia="Arial" w:cs="Arial"/>
          <w:sz w:val="24"/>
          <w:szCs w:val="24"/>
        </w:rPr>
        <w:t xml:space="preserve"> how best to organize this kind of instruction in early childhood education vary. That is, according to other studies, teachers should not rely on overly structured conventional instructional approaches in this situation as they do not necessarily guarantee long-term achievement (</w:t>
      </w:r>
      <w:r w:rsidRPr="417350F4" w:rsidR="7586DE47">
        <w:rPr>
          <w:rFonts w:ascii="Arial" w:hAnsi="Arial" w:eastAsia="Arial" w:cs="Arial"/>
          <w:sz w:val="24"/>
          <w:szCs w:val="24"/>
        </w:rPr>
        <w:t>Bodrova</w:t>
      </w:r>
      <w:r w:rsidRPr="417350F4" w:rsidR="7586DE47">
        <w:rPr>
          <w:rFonts w:ascii="Arial" w:hAnsi="Arial" w:eastAsia="Arial" w:cs="Arial"/>
          <w:sz w:val="24"/>
          <w:szCs w:val="24"/>
        </w:rPr>
        <w:t xml:space="preserve">  2008). Rather, a method of instructional design that complements children's innate learning styles should be used, with carefully thought-out, methodical guidance for developing early reading skills (Hirsh-Pasek et al.,2009).</w:t>
      </w:r>
      <w:r w:rsidRPr="417350F4" w:rsidR="3BC9DC17">
        <w:rPr>
          <w:rFonts w:ascii="Arial" w:hAnsi="Arial" w:eastAsia="Arial" w:cs="Arial"/>
          <w:sz w:val="24"/>
          <w:szCs w:val="24"/>
        </w:rPr>
        <w:t xml:space="preserve"> According to Kennedy et al. (2012), literacy is broadly defined as the capacity for reading, writing, speaking, and interacting with others through print and digital media. Early literacy development is a lifelong process that is constantly evolving (Banerjee, Alsalman, and </w:t>
      </w:r>
      <w:r w:rsidRPr="417350F4" w:rsidR="3BC9DC17">
        <w:rPr>
          <w:rFonts w:ascii="Arial" w:hAnsi="Arial" w:eastAsia="Arial" w:cs="Arial"/>
          <w:sz w:val="24"/>
          <w:szCs w:val="24"/>
        </w:rPr>
        <w:t>Alqafari</w:t>
      </w:r>
      <w:r w:rsidRPr="417350F4" w:rsidR="3BC9DC17">
        <w:rPr>
          <w:rFonts w:ascii="Arial" w:hAnsi="Arial" w:eastAsia="Arial" w:cs="Arial"/>
          <w:sz w:val="24"/>
          <w:szCs w:val="24"/>
        </w:rPr>
        <w:t>, 2016). Its fundamentals must therefore be covered in early childhood education. According to Missall et al. (2008), early literacy development should concentrate on the abilities that serve as the foundation for more traditional kinds of writing and reading.</w:t>
      </w:r>
      <w:r w:rsidRPr="417350F4" w:rsidR="43F6223D">
        <w:rPr>
          <w:rFonts w:ascii="Arial" w:hAnsi="Arial" w:eastAsia="Arial" w:cs="Arial"/>
          <w:sz w:val="24"/>
          <w:szCs w:val="24"/>
        </w:rPr>
        <w:t xml:space="preserve"> A semiotic system is a language symbol and a cognitive tool, according to Vygotsky. Children learn to think through speaking and interacting with others. They do this by taking in other people's ideas and words on a social level and </w:t>
      </w:r>
      <w:r w:rsidRPr="417350F4" w:rsidR="43F6223D">
        <w:rPr>
          <w:rFonts w:ascii="Arial" w:hAnsi="Arial" w:eastAsia="Arial" w:cs="Arial"/>
          <w:sz w:val="24"/>
          <w:szCs w:val="24"/>
        </w:rPr>
        <w:t>subsequently</w:t>
      </w:r>
      <w:r w:rsidRPr="417350F4" w:rsidR="43F6223D">
        <w:rPr>
          <w:rFonts w:ascii="Arial" w:hAnsi="Arial" w:eastAsia="Arial" w:cs="Arial"/>
          <w:sz w:val="24"/>
          <w:szCs w:val="24"/>
        </w:rPr>
        <w:t xml:space="preserve"> internalizing them on a psychological one. Sociocultural theory (SCT) and Vygotsky both hold that the mind and the culture of a community are semiotically organized functional systems that are </w:t>
      </w:r>
      <w:r w:rsidRPr="417350F4" w:rsidR="1496329F">
        <w:rPr>
          <w:rFonts w:ascii="Arial" w:hAnsi="Arial" w:eastAsia="Arial" w:cs="Arial"/>
          <w:sz w:val="24"/>
          <w:szCs w:val="24"/>
        </w:rPr>
        <w:t>dialectical</w:t>
      </w:r>
      <w:r w:rsidRPr="417350F4" w:rsidR="43F6223D">
        <w:rPr>
          <w:rFonts w:ascii="Arial" w:hAnsi="Arial" w:eastAsia="Arial" w:cs="Arial"/>
          <w:sz w:val="24"/>
          <w:szCs w:val="24"/>
        </w:rPr>
        <w:t xml:space="preserve"> (Vygotsky 1978; </w:t>
      </w:r>
      <w:r w:rsidRPr="417350F4" w:rsidR="43F6223D">
        <w:rPr>
          <w:rFonts w:ascii="Arial" w:hAnsi="Arial" w:eastAsia="Arial" w:cs="Arial"/>
          <w:sz w:val="24"/>
          <w:szCs w:val="24"/>
        </w:rPr>
        <w:t>Wertsch</w:t>
      </w:r>
      <w:r w:rsidRPr="417350F4" w:rsidR="43F6223D">
        <w:rPr>
          <w:rFonts w:ascii="Arial" w:hAnsi="Arial" w:eastAsia="Arial" w:cs="Arial"/>
          <w:sz w:val="24"/>
          <w:szCs w:val="24"/>
        </w:rPr>
        <w:t xml:space="preserve"> 1985). "During ontogenesis the biologically specified mental endowment of infants is modified in specific ways once it interfaces with cultural factors as children are apprenticed into their local culture," according to </w:t>
      </w:r>
      <w:r w:rsidRPr="417350F4" w:rsidR="43F6223D">
        <w:rPr>
          <w:rFonts w:ascii="Arial" w:hAnsi="Arial" w:eastAsia="Arial" w:cs="Arial"/>
          <w:sz w:val="24"/>
          <w:szCs w:val="24"/>
        </w:rPr>
        <w:t>Lantolf</w:t>
      </w:r>
      <w:r w:rsidRPr="417350F4" w:rsidR="43F6223D">
        <w:rPr>
          <w:rFonts w:ascii="Arial" w:hAnsi="Arial" w:eastAsia="Arial" w:cs="Arial"/>
          <w:sz w:val="24"/>
          <w:szCs w:val="24"/>
        </w:rPr>
        <w:t xml:space="preserve"> (1999), is how the process of cultural acquisition in children is described.</w:t>
      </w:r>
      <w:r w:rsidRPr="417350F4" w:rsidR="6D97C78F">
        <w:rPr>
          <w:rFonts w:ascii="Arial" w:hAnsi="Arial" w:eastAsia="Arial" w:cs="Arial"/>
          <w:sz w:val="24"/>
          <w:szCs w:val="24"/>
        </w:rPr>
        <w:t xml:space="preserve"> Integrating both cultural and linguistic aspects are two main benefits </w:t>
      </w:r>
      <w:r w:rsidRPr="417350F4" w:rsidR="29107E1C">
        <w:rPr>
          <w:rFonts w:ascii="Arial" w:hAnsi="Arial" w:eastAsia="Arial" w:cs="Arial"/>
          <w:sz w:val="24"/>
          <w:szCs w:val="24"/>
        </w:rPr>
        <w:t xml:space="preserve">that support early years development. </w:t>
      </w:r>
      <w:r w:rsidRPr="417350F4" w:rsidR="54E1343F">
        <w:rPr>
          <w:rFonts w:ascii="Arial" w:hAnsi="Arial" w:eastAsia="Arial" w:cs="Arial"/>
          <w:sz w:val="24"/>
          <w:szCs w:val="24"/>
        </w:rPr>
        <w:t xml:space="preserve">The theory behind extensive parenting, also known as sensitive or responsive parenting (Belsky, Lerner, &amp; Spanier, 1984), holds that a mother's (or caregiver's) consistent involvement, her emotional and verbal responsiveness, and her provision of developmentally </w:t>
      </w:r>
      <w:r w:rsidRPr="417350F4" w:rsidR="54E1343F">
        <w:rPr>
          <w:rFonts w:ascii="Arial" w:hAnsi="Arial" w:eastAsia="Arial" w:cs="Arial"/>
          <w:sz w:val="24"/>
          <w:szCs w:val="24"/>
        </w:rPr>
        <w:t>appropriate stimulation</w:t>
      </w:r>
      <w:r w:rsidRPr="417350F4" w:rsidR="54E1343F">
        <w:rPr>
          <w:rFonts w:ascii="Arial" w:hAnsi="Arial" w:eastAsia="Arial" w:cs="Arial"/>
          <w:sz w:val="24"/>
          <w:szCs w:val="24"/>
        </w:rPr>
        <w:t xml:space="preserve"> that is specifically </w:t>
      </w:r>
      <w:r w:rsidRPr="417350F4" w:rsidR="533B17D0">
        <w:rPr>
          <w:rFonts w:ascii="Arial" w:hAnsi="Arial" w:eastAsia="Arial" w:cs="Arial"/>
          <w:sz w:val="24"/>
          <w:szCs w:val="24"/>
        </w:rPr>
        <w:t>customized</w:t>
      </w:r>
      <w:r w:rsidRPr="417350F4" w:rsidR="54E1343F">
        <w:rPr>
          <w:rFonts w:ascii="Arial" w:hAnsi="Arial" w:eastAsia="Arial" w:cs="Arial"/>
          <w:sz w:val="24"/>
          <w:szCs w:val="24"/>
        </w:rPr>
        <w:t xml:space="preserve"> for each child are vital for a child's healthy growth. Hays (1996) highlighted the gendered nature of this theory. The premise of parental determinism—that individual parents' efforts to develop their children's abilities and skills </w:t>
      </w:r>
      <w:r w:rsidRPr="417350F4" w:rsidR="54E1343F">
        <w:rPr>
          <w:rFonts w:ascii="Arial" w:hAnsi="Arial" w:eastAsia="Arial" w:cs="Arial"/>
          <w:sz w:val="24"/>
          <w:szCs w:val="24"/>
        </w:rPr>
        <w:t>determine</w:t>
      </w:r>
      <w:r w:rsidRPr="417350F4" w:rsidR="54E1343F">
        <w:rPr>
          <w:rFonts w:ascii="Arial" w:hAnsi="Arial" w:eastAsia="Arial" w:cs="Arial"/>
          <w:sz w:val="24"/>
          <w:szCs w:val="24"/>
        </w:rPr>
        <w:t xml:space="preserve"> children's developmental and educational outcomes—is a key </w:t>
      </w:r>
      <w:r w:rsidRPr="417350F4" w:rsidR="54E1343F">
        <w:rPr>
          <w:rFonts w:ascii="Arial" w:hAnsi="Arial" w:eastAsia="Arial" w:cs="Arial"/>
          <w:sz w:val="24"/>
          <w:szCs w:val="24"/>
        </w:rPr>
        <w:t>component</w:t>
      </w:r>
      <w:r w:rsidRPr="417350F4" w:rsidR="54E1343F">
        <w:rPr>
          <w:rFonts w:ascii="Arial" w:hAnsi="Arial" w:eastAsia="Arial" w:cs="Arial"/>
          <w:sz w:val="24"/>
          <w:szCs w:val="24"/>
        </w:rPr>
        <w:t xml:space="preserve"> of intensive parenting, which can </w:t>
      </w:r>
      <w:r w:rsidRPr="417350F4" w:rsidR="27FBC940">
        <w:rPr>
          <w:rFonts w:ascii="Arial" w:hAnsi="Arial" w:eastAsia="Arial" w:cs="Arial"/>
          <w:sz w:val="24"/>
          <w:szCs w:val="24"/>
        </w:rPr>
        <w:t>jeopardize</w:t>
      </w:r>
      <w:r w:rsidRPr="417350F4" w:rsidR="54E1343F">
        <w:rPr>
          <w:rFonts w:ascii="Arial" w:hAnsi="Arial" w:eastAsia="Arial" w:cs="Arial"/>
          <w:sz w:val="24"/>
          <w:szCs w:val="24"/>
        </w:rPr>
        <w:t xml:space="preserve"> the wellbeing of parents (Faircloth, 2014; Milkie &amp; Warner, 2014; Villalobos, 2014).</w:t>
      </w:r>
      <w:r w:rsidRPr="417350F4" w:rsidR="2B5393B1">
        <w:rPr>
          <w:rFonts w:ascii="Arial" w:hAnsi="Arial" w:eastAsia="Arial" w:cs="Arial"/>
          <w:sz w:val="24"/>
          <w:szCs w:val="24"/>
        </w:rPr>
        <w:t xml:space="preserve"> For the brain to grow to its full potential and for socio-emotional, linguistic, and cognitive skills to </w:t>
      </w:r>
      <w:r w:rsidRPr="417350F4" w:rsidR="2B5393B1">
        <w:rPr>
          <w:rFonts w:ascii="Arial" w:hAnsi="Arial" w:eastAsia="Arial" w:cs="Arial"/>
          <w:sz w:val="24"/>
          <w:szCs w:val="24"/>
        </w:rPr>
        <w:t>emerge</w:t>
      </w:r>
      <w:r w:rsidRPr="417350F4" w:rsidR="2B5393B1">
        <w:rPr>
          <w:rFonts w:ascii="Arial" w:hAnsi="Arial" w:eastAsia="Arial" w:cs="Arial"/>
          <w:sz w:val="24"/>
          <w:szCs w:val="24"/>
        </w:rPr>
        <w:t xml:space="preserve">, early infancy is essential (Sheridan et al., 2018). Children learn in the framework of connections and shared influences in their homes, communities, and places. Creating alliances in these contexts is vitally crucial. Consequently, one of the standards for community involvement in the national quality framework for early childhood education and care (ECECC) settings is found in the Centre for Early Childhood Development &amp; Education [CECDE], 2006, which states that "the establishment of networks and connections evidenced by policies, procedures and actions which extend and support all adult's and children's engagement with the wider community" (CECDE, 16.1). Moreover, the significance of children's families and communities is often </w:t>
      </w:r>
      <w:r w:rsidRPr="417350F4" w:rsidR="0EB3CE5D">
        <w:rPr>
          <w:rFonts w:ascii="Arial" w:hAnsi="Arial" w:eastAsia="Arial" w:cs="Arial"/>
          <w:sz w:val="24"/>
          <w:szCs w:val="24"/>
        </w:rPr>
        <w:t>emphasized</w:t>
      </w:r>
      <w:r w:rsidRPr="417350F4" w:rsidR="2B5393B1">
        <w:rPr>
          <w:rFonts w:ascii="Arial" w:hAnsi="Arial" w:eastAsia="Arial" w:cs="Arial"/>
          <w:sz w:val="24"/>
          <w:szCs w:val="24"/>
        </w:rPr>
        <w:t xml:space="preserve"> in Aistear, a national curriculum framework for ECEC (National Council for Curriculum and Assessment [NCCA], 2009). The Department of Education and Skills [DES], 2011; DES, 2017 define community engagement as schools collaborating with community initiatives that could be found in libraries, health services, family resource </w:t>
      </w:r>
      <w:r w:rsidRPr="417350F4" w:rsidR="38B31095">
        <w:rPr>
          <w:rFonts w:ascii="Arial" w:hAnsi="Arial" w:eastAsia="Arial" w:cs="Arial"/>
          <w:sz w:val="24"/>
          <w:szCs w:val="24"/>
        </w:rPr>
        <w:t>centres</w:t>
      </w:r>
      <w:r w:rsidRPr="417350F4" w:rsidR="2B5393B1">
        <w:rPr>
          <w:rFonts w:ascii="Arial" w:hAnsi="Arial" w:eastAsia="Arial" w:cs="Arial"/>
          <w:sz w:val="24"/>
          <w:szCs w:val="24"/>
        </w:rPr>
        <w:t>, clubs, organisations, and adult and family literacy services.</w:t>
      </w:r>
      <w:r w:rsidRPr="417350F4" w:rsidR="73B0DA8B">
        <w:rPr>
          <w:rFonts w:ascii="Arial" w:hAnsi="Arial" w:eastAsia="Arial" w:cs="Arial"/>
          <w:sz w:val="24"/>
          <w:szCs w:val="24"/>
        </w:rPr>
        <w:t xml:space="preserve"> </w:t>
      </w:r>
      <w:r w:rsidRPr="417350F4" w:rsidR="73B0DA8B">
        <w:rPr>
          <w:rFonts w:ascii="Arial" w:hAnsi="Arial" w:eastAsia="Arial" w:cs="Arial"/>
          <w:noProof w:val="0"/>
          <w:sz w:val="24"/>
          <w:szCs w:val="24"/>
          <w:lang w:val="en-GB"/>
        </w:rPr>
        <w:t xml:space="preserve">However, the idea of community engagement is nuanced and acknowledges that it is a two-way process that governments use to involve communities and other stakeholders in policy development, planning, decision-making, service delivery, and assessment. It is based on "the aspirations, concerns, needs, and values of citizens and communities" (United Nations, 2005, p.1). As such, the </w:t>
      </w:r>
      <w:r w:rsidRPr="417350F4" w:rsidR="12FCF18C">
        <w:rPr>
          <w:rFonts w:ascii="Arial" w:hAnsi="Arial" w:eastAsia="Arial" w:cs="Arial"/>
          <w:noProof w:val="0"/>
          <w:sz w:val="24"/>
          <w:szCs w:val="24"/>
          <w:lang w:val="en-GB"/>
        </w:rPr>
        <w:t>realisation that</w:t>
      </w:r>
      <w:r w:rsidRPr="417350F4" w:rsidR="73B0DA8B">
        <w:rPr>
          <w:rFonts w:ascii="Arial" w:hAnsi="Arial" w:eastAsia="Arial" w:cs="Arial"/>
          <w:noProof w:val="0"/>
          <w:sz w:val="24"/>
          <w:szCs w:val="24"/>
          <w:lang w:val="en-GB"/>
        </w:rPr>
        <w:t xml:space="preserve"> community engagement is a two-way street. </w:t>
      </w:r>
    </w:p>
    <w:p w:rsidR="73B0DA8B" w:rsidP="417350F4" w:rsidRDefault="73B0DA8B" w14:paraId="5D3E6475" w14:textId="36EF6D0F">
      <w:pPr>
        <w:pStyle w:val="Normal"/>
      </w:pPr>
      <w:r w:rsidRPr="417350F4" w:rsidR="73B0DA8B">
        <w:rPr>
          <w:rFonts w:ascii="Arial" w:hAnsi="Arial" w:eastAsia="Arial" w:cs="Arial"/>
          <w:noProof w:val="0"/>
          <w:sz w:val="24"/>
          <w:szCs w:val="24"/>
          <w:lang w:val="en-GB"/>
        </w:rPr>
        <w:t>Throughout the National Strategy to Improve Literacy among Children and Young People 2011-2020 (DES, 2011), the community's role in fostering children's literacy is interwoven. Government "raising public awareness of the role that the family, community, school system, libraries and other bodies may play together in fostering successful reading and numeracy learning" was one of the strategies' main points.</w:t>
      </w:r>
      <w:r w:rsidRPr="417350F4" w:rsidR="37F4E41F">
        <w:rPr>
          <w:rFonts w:ascii="Arial" w:hAnsi="Arial" w:eastAsia="Arial" w:cs="Arial"/>
          <w:noProof w:val="0"/>
          <w:sz w:val="24"/>
          <w:szCs w:val="24"/>
          <w:lang w:val="en-GB"/>
        </w:rPr>
        <w:t xml:space="preserve"> </w:t>
      </w:r>
    </w:p>
    <w:p w:rsidR="37F4E41F" w:rsidP="417350F4" w:rsidRDefault="37F4E41F" w14:paraId="5DADFF50" w14:textId="48D03061">
      <w:pPr>
        <w:pStyle w:val="Normal"/>
        <w:rPr>
          <w:rFonts w:ascii="Arial" w:hAnsi="Arial" w:eastAsia="Arial" w:cs="Arial"/>
          <w:noProof w:val="0"/>
          <w:sz w:val="24"/>
          <w:szCs w:val="24"/>
          <w:lang w:val="en-GB"/>
        </w:rPr>
      </w:pPr>
      <w:r w:rsidRPr="417350F4" w:rsidR="37F4E41F">
        <w:rPr>
          <w:rFonts w:ascii="Arial" w:hAnsi="Arial" w:eastAsia="Arial" w:cs="Arial"/>
          <w:noProof w:val="0"/>
          <w:sz w:val="24"/>
          <w:szCs w:val="24"/>
          <w:lang w:val="en-GB"/>
        </w:rPr>
        <w:t>Currently in St. Vincent and the Grenadines</w:t>
      </w:r>
      <w:r w:rsidRPr="417350F4" w:rsidR="318E4DBB">
        <w:rPr>
          <w:rFonts w:ascii="Arial" w:hAnsi="Arial" w:eastAsia="Arial" w:cs="Arial"/>
          <w:noProof w:val="0"/>
          <w:sz w:val="24"/>
          <w:szCs w:val="24"/>
          <w:lang w:val="en-GB"/>
        </w:rPr>
        <w:t xml:space="preserve"> </w:t>
      </w:r>
      <w:bookmarkStart w:name="_Int_iigdur7z" w:id="1431226765"/>
      <w:r w:rsidRPr="417350F4" w:rsidR="318E4DBB">
        <w:rPr>
          <w:rFonts w:ascii="Arial" w:hAnsi="Arial" w:eastAsia="Arial" w:cs="Arial"/>
          <w:noProof w:val="0"/>
          <w:sz w:val="24"/>
          <w:szCs w:val="24"/>
          <w:lang w:val="en-GB"/>
        </w:rPr>
        <w:t>in order to</w:t>
      </w:r>
      <w:bookmarkEnd w:id="1431226765"/>
      <w:r w:rsidRPr="417350F4" w:rsidR="318E4DBB">
        <w:rPr>
          <w:rFonts w:ascii="Arial" w:hAnsi="Arial" w:eastAsia="Arial" w:cs="Arial"/>
          <w:noProof w:val="0"/>
          <w:sz w:val="24"/>
          <w:szCs w:val="24"/>
          <w:lang w:val="en-GB"/>
        </w:rPr>
        <w:t xml:space="preserve"> fulfil its mission of creating children's libraries that are sustainable, Keeping Hands Across the Sea must adapt to the sometimes-urgent demands of its clients. In the Eastern Caribbean, where climate change poses a persistent threat of volatility, this </w:t>
      </w:r>
      <w:r w:rsidRPr="417350F4" w:rsidR="318E4DBB">
        <w:rPr>
          <w:rFonts w:ascii="Arial" w:hAnsi="Arial" w:eastAsia="Arial" w:cs="Arial"/>
          <w:noProof w:val="0"/>
          <w:sz w:val="24"/>
          <w:szCs w:val="24"/>
          <w:lang w:val="en-GB"/>
        </w:rPr>
        <w:t>frequently</w:t>
      </w:r>
      <w:r w:rsidRPr="417350F4" w:rsidR="318E4DBB">
        <w:rPr>
          <w:rFonts w:ascii="Arial" w:hAnsi="Arial" w:eastAsia="Arial" w:cs="Arial"/>
          <w:noProof w:val="0"/>
          <w:sz w:val="24"/>
          <w:szCs w:val="24"/>
          <w:lang w:val="en-GB"/>
        </w:rPr>
        <w:t xml:space="preserve"> entails acting swiftly and decisively to shield thousands of underprivileged children from learning deficits that could last a lifetime. Many schools were forced to turn their libraries into auxiliary rooms in the months that followed the 2021 volcanic eruption, while the schools themselves functioned as shelters for displaced families and children. Many of the 12 primary schools in the Red Zone, which serve 2,230 pupils, would not have had the chance to invite children back into the library for regular or structured study until the 2022–2023 school year reopened more than a year later. </w:t>
      </w:r>
      <w:bookmarkStart w:name="_Int_a50G1K1N" w:id="814801808"/>
      <w:r w:rsidRPr="417350F4" w:rsidR="318E4DBB">
        <w:rPr>
          <w:rFonts w:ascii="Arial" w:hAnsi="Arial" w:eastAsia="Arial" w:cs="Arial"/>
          <w:noProof w:val="0"/>
          <w:sz w:val="24"/>
          <w:szCs w:val="24"/>
          <w:lang w:val="en-GB"/>
        </w:rPr>
        <w:t>Unfortunately, school leadership is limited in its ability due to a combination of teacher shortages and growing learning losses.</w:t>
      </w:r>
      <w:bookmarkEnd w:id="814801808"/>
      <w:r w:rsidRPr="417350F4" w:rsidR="318E4DBB">
        <w:rPr>
          <w:rFonts w:ascii="Arial" w:hAnsi="Arial" w:eastAsia="Arial" w:cs="Arial"/>
          <w:noProof w:val="0"/>
          <w:sz w:val="24"/>
          <w:szCs w:val="24"/>
          <w:lang w:val="en-GB"/>
        </w:rPr>
        <w:t xml:space="preserve"> The state of the libraries, the majority of which experienced severe damage to the building and collections because of the volcano and </w:t>
      </w:r>
      <w:r w:rsidRPr="417350F4" w:rsidR="318E4DBB">
        <w:rPr>
          <w:rFonts w:ascii="Arial" w:hAnsi="Arial" w:eastAsia="Arial" w:cs="Arial"/>
          <w:noProof w:val="0"/>
          <w:sz w:val="24"/>
          <w:szCs w:val="24"/>
          <w:lang w:val="en-GB"/>
        </w:rPr>
        <w:t>subsequent</w:t>
      </w:r>
      <w:r w:rsidRPr="417350F4" w:rsidR="318E4DBB">
        <w:rPr>
          <w:rFonts w:ascii="Arial" w:hAnsi="Arial" w:eastAsia="Arial" w:cs="Arial"/>
          <w:noProof w:val="0"/>
          <w:sz w:val="24"/>
          <w:szCs w:val="24"/>
          <w:lang w:val="en-GB"/>
        </w:rPr>
        <w:t xml:space="preserve"> cyclone, only makes the situation worse</w:t>
      </w:r>
      <w:r w:rsidRPr="417350F4" w:rsidR="4BD544BE">
        <w:rPr>
          <w:rFonts w:ascii="Arial" w:hAnsi="Arial" w:eastAsia="Arial" w:cs="Arial"/>
          <w:noProof w:val="0"/>
          <w:sz w:val="24"/>
          <w:szCs w:val="24"/>
          <w:lang w:val="en-GB"/>
        </w:rPr>
        <w:t xml:space="preserve"> (Gov.vc, n.d. and </w:t>
      </w:r>
      <w:r w:rsidRPr="417350F4" w:rsidR="6C82D225">
        <w:rPr>
          <w:rFonts w:ascii="Arial" w:hAnsi="Arial" w:eastAsia="Arial" w:cs="Arial"/>
          <w:noProof w:val="0"/>
          <w:sz w:val="24"/>
          <w:szCs w:val="24"/>
          <w:lang w:val="en-GB"/>
        </w:rPr>
        <w:t>Hands Across the Sea, n.d.)</w:t>
      </w:r>
      <w:r w:rsidRPr="417350F4" w:rsidR="7C06348A">
        <w:rPr>
          <w:rFonts w:ascii="Arial" w:hAnsi="Arial" w:eastAsia="Arial" w:cs="Arial"/>
          <w:noProof w:val="0"/>
          <w:sz w:val="24"/>
          <w:szCs w:val="24"/>
          <w:lang w:val="en-GB"/>
        </w:rPr>
        <w:t>. Similarly, reading wonderland plans to support underserved communities</w:t>
      </w:r>
      <w:r w:rsidRPr="417350F4" w:rsidR="07EFC988">
        <w:rPr>
          <w:rFonts w:ascii="Arial" w:hAnsi="Arial" w:eastAsia="Arial" w:cs="Arial"/>
          <w:noProof w:val="0"/>
          <w:sz w:val="24"/>
          <w:szCs w:val="24"/>
          <w:lang w:val="en-GB"/>
        </w:rPr>
        <w:t>.</w:t>
      </w:r>
    </w:p>
    <w:p w:rsidR="417350F4" w:rsidP="417350F4" w:rsidRDefault="417350F4" w14:paraId="093E6587" w14:textId="5E1A2729">
      <w:pPr>
        <w:pStyle w:val="Normal"/>
        <w:rPr>
          <w:rFonts w:ascii="Arial" w:hAnsi="Arial" w:eastAsia="Arial" w:cs="Arial"/>
          <w:noProof w:val="0"/>
          <w:sz w:val="24"/>
          <w:szCs w:val="24"/>
          <w:lang w:val="en-GB"/>
        </w:rPr>
      </w:pPr>
    </w:p>
    <w:p w:rsidR="525D2A10" w:rsidP="417350F4" w:rsidRDefault="525D2A10" w14:paraId="5654640C" w14:textId="25855747">
      <w:pPr>
        <w:pStyle w:val="Normal"/>
      </w:pPr>
      <w:r w:rsidRPr="417350F4" w:rsidR="525D2A10">
        <w:rPr>
          <w:rFonts w:ascii="Arial" w:hAnsi="Arial" w:eastAsia="Arial" w:cs="Arial"/>
          <w:noProof w:val="0"/>
          <w:sz w:val="24"/>
          <w:szCs w:val="24"/>
          <w:lang w:val="en-GB"/>
        </w:rPr>
        <w:t xml:space="preserve">Without looking for </w:t>
      </w:r>
      <w:r w:rsidRPr="417350F4" w:rsidR="525D2A10">
        <w:rPr>
          <w:rFonts w:ascii="Arial" w:hAnsi="Arial" w:eastAsia="Arial" w:cs="Arial"/>
          <w:noProof w:val="0"/>
          <w:sz w:val="24"/>
          <w:szCs w:val="24"/>
          <w:lang w:val="en-GB"/>
        </w:rPr>
        <w:t>additional</w:t>
      </w:r>
      <w:r w:rsidRPr="417350F4" w:rsidR="525D2A10">
        <w:rPr>
          <w:rFonts w:ascii="Arial" w:hAnsi="Arial" w:eastAsia="Arial" w:cs="Arial"/>
          <w:noProof w:val="0"/>
          <w:sz w:val="24"/>
          <w:szCs w:val="24"/>
          <w:lang w:val="en-GB"/>
        </w:rPr>
        <w:t xml:space="preserve"> funding or taking out a high-interest business loan, business equipment finance can help the business </w:t>
      </w:r>
      <w:r w:rsidRPr="417350F4" w:rsidR="525D2A10">
        <w:rPr>
          <w:rFonts w:ascii="Arial" w:hAnsi="Arial" w:eastAsia="Arial" w:cs="Arial"/>
          <w:noProof w:val="0"/>
          <w:sz w:val="24"/>
          <w:szCs w:val="24"/>
          <w:lang w:val="en-GB"/>
        </w:rPr>
        <w:t>acquire</w:t>
      </w:r>
      <w:r w:rsidRPr="417350F4" w:rsidR="525D2A10">
        <w:rPr>
          <w:rFonts w:ascii="Arial" w:hAnsi="Arial" w:eastAsia="Arial" w:cs="Arial"/>
          <w:noProof w:val="0"/>
          <w:sz w:val="24"/>
          <w:szCs w:val="24"/>
          <w:lang w:val="en-GB"/>
        </w:rPr>
        <w:t xml:space="preserve"> the essential assets and equipment that is needed to meet the growth KPIs. It also gives SMEs the financial flexibility they need. </w:t>
      </w:r>
      <w:r w:rsidRPr="417350F4" w:rsidR="525D2A10">
        <w:rPr>
          <w:rFonts w:ascii="Arial" w:hAnsi="Arial" w:eastAsia="Arial" w:cs="Arial"/>
          <w:noProof w:val="0"/>
          <w:sz w:val="24"/>
          <w:szCs w:val="24"/>
          <w:lang w:val="en-GB"/>
        </w:rPr>
        <w:t xml:space="preserve">the company can simplify budgeting by extending the lease charges over a longer length of time with a fixed interest rate. This will </w:t>
      </w:r>
      <w:r w:rsidRPr="417350F4" w:rsidR="465CAEF1">
        <w:rPr>
          <w:rFonts w:ascii="Arial" w:hAnsi="Arial" w:eastAsia="Arial" w:cs="Arial"/>
          <w:noProof w:val="0"/>
          <w:sz w:val="24"/>
          <w:szCs w:val="24"/>
          <w:lang w:val="en-GB"/>
        </w:rPr>
        <w:t>help to</w:t>
      </w:r>
      <w:r w:rsidRPr="417350F4" w:rsidR="525D2A10">
        <w:rPr>
          <w:rFonts w:ascii="Arial" w:hAnsi="Arial" w:eastAsia="Arial" w:cs="Arial"/>
          <w:noProof w:val="0"/>
          <w:sz w:val="24"/>
          <w:szCs w:val="24"/>
          <w:lang w:val="en-GB"/>
        </w:rPr>
        <w:t xml:space="preserve"> precisely forecast for recurring direct debit payments, enhancing cash </w:t>
      </w:r>
      <w:r w:rsidRPr="417350F4" w:rsidR="4AF22DFA">
        <w:rPr>
          <w:rFonts w:ascii="Arial" w:hAnsi="Arial" w:eastAsia="Arial" w:cs="Arial"/>
          <w:noProof w:val="0"/>
          <w:sz w:val="24"/>
          <w:szCs w:val="24"/>
          <w:lang w:val="en-GB"/>
        </w:rPr>
        <w:t>flow,</w:t>
      </w:r>
      <w:r w:rsidRPr="417350F4" w:rsidR="525D2A10">
        <w:rPr>
          <w:rFonts w:ascii="Arial" w:hAnsi="Arial" w:eastAsia="Arial" w:cs="Arial"/>
          <w:noProof w:val="0"/>
          <w:sz w:val="24"/>
          <w:szCs w:val="24"/>
          <w:lang w:val="en-GB"/>
        </w:rPr>
        <w:t xml:space="preserve"> and avoiding significant upfront costs. Additionally, since the equipment can be returned at the conclusion of the lease, businesses can lease it without worrying about natural depreciation. Furthermore, rented equipment can </w:t>
      </w:r>
      <w:r w:rsidRPr="417350F4" w:rsidR="525D2A10">
        <w:rPr>
          <w:rFonts w:ascii="Arial" w:hAnsi="Arial" w:eastAsia="Arial" w:cs="Arial"/>
          <w:noProof w:val="0"/>
          <w:sz w:val="24"/>
          <w:szCs w:val="24"/>
          <w:lang w:val="en-GB"/>
        </w:rPr>
        <w:t>frequently</w:t>
      </w:r>
      <w:r w:rsidRPr="417350F4" w:rsidR="525D2A10">
        <w:rPr>
          <w:rFonts w:ascii="Arial" w:hAnsi="Arial" w:eastAsia="Arial" w:cs="Arial"/>
          <w:noProof w:val="0"/>
          <w:sz w:val="24"/>
          <w:szCs w:val="24"/>
          <w:lang w:val="en-GB"/>
        </w:rPr>
        <w:t xml:space="preserve"> be upgraded for a little rental difference at the conclusion of the lease, giving the business access to the newest innovations</w:t>
      </w:r>
      <w:r w:rsidRPr="417350F4" w:rsidR="78DE0ECF">
        <w:rPr>
          <w:rFonts w:ascii="Arial" w:hAnsi="Arial" w:eastAsia="Arial" w:cs="Arial"/>
          <w:noProof w:val="0"/>
          <w:sz w:val="24"/>
          <w:szCs w:val="24"/>
          <w:lang w:val="en-GB"/>
        </w:rPr>
        <w:t xml:space="preserve"> (Shire leasing,2020).</w:t>
      </w:r>
      <w:r w:rsidRPr="417350F4" w:rsidR="75C3233D">
        <w:rPr>
          <w:rFonts w:ascii="Arial" w:hAnsi="Arial" w:eastAsia="Arial" w:cs="Arial"/>
          <w:noProof w:val="0"/>
          <w:sz w:val="24"/>
          <w:szCs w:val="24"/>
          <w:lang w:val="en-GB"/>
        </w:rPr>
        <w:t xml:space="preserve"> </w:t>
      </w:r>
      <w:r w:rsidRPr="417350F4" w:rsidR="75C3233D">
        <w:rPr>
          <w:rFonts w:ascii="Arial" w:hAnsi="Arial" w:eastAsia="Arial" w:cs="Arial"/>
          <w:noProof w:val="0"/>
          <w:sz w:val="24"/>
          <w:szCs w:val="24"/>
          <w:lang w:val="en-GB"/>
        </w:rPr>
        <w:t xml:space="preserve">Density of population is one major factor. Dense populations will yield higher service levels, but the mobile device is best suited for dispersed populations by design. </w:t>
      </w:r>
      <w:bookmarkStart w:name="_Int_4tghcfbI" w:id="280742004"/>
      <w:r w:rsidRPr="417350F4" w:rsidR="75C3233D">
        <w:rPr>
          <w:rFonts w:ascii="Arial" w:hAnsi="Arial" w:eastAsia="Arial" w:cs="Arial"/>
          <w:noProof w:val="0"/>
          <w:sz w:val="24"/>
          <w:szCs w:val="24"/>
          <w:lang w:val="en-GB"/>
        </w:rPr>
        <w:t>It is important to keep this in mind while comparing the efficiency of branch libraries.</w:t>
      </w:r>
      <w:bookmarkEnd w:id="280742004"/>
      <w:r w:rsidRPr="417350F4" w:rsidR="75C3233D">
        <w:rPr>
          <w:rFonts w:ascii="Arial" w:hAnsi="Arial" w:eastAsia="Arial" w:cs="Arial"/>
          <w:noProof w:val="0"/>
          <w:sz w:val="24"/>
          <w:szCs w:val="24"/>
          <w:lang w:val="en-GB"/>
        </w:rPr>
        <w:t xml:space="preserve"> </w:t>
      </w:r>
    </w:p>
    <w:p w:rsidR="75C3233D" w:rsidRDefault="75C3233D" w14:paraId="340DC5E2" w14:textId="12850E6E">
      <w:r w:rsidRPr="417350F4" w:rsidR="75C3233D">
        <w:rPr>
          <w:rFonts w:ascii="Arial" w:hAnsi="Arial" w:eastAsia="Arial" w:cs="Arial"/>
          <w:noProof w:val="0"/>
          <w:sz w:val="24"/>
          <w:szCs w:val="24"/>
          <w:lang w:val="en-GB"/>
        </w:rPr>
        <w:t xml:space="preserve">The less mobile population, such as the elderly, those without cars, and areas with inadequate or </w:t>
      </w:r>
      <w:r w:rsidRPr="417350F4" w:rsidR="75C3233D">
        <w:rPr>
          <w:rFonts w:ascii="Arial" w:hAnsi="Arial" w:eastAsia="Arial" w:cs="Arial"/>
          <w:noProof w:val="0"/>
          <w:sz w:val="24"/>
          <w:szCs w:val="24"/>
          <w:lang w:val="en-GB"/>
        </w:rPr>
        <w:t>non-existent</w:t>
      </w:r>
      <w:r w:rsidRPr="417350F4" w:rsidR="75C3233D">
        <w:rPr>
          <w:rFonts w:ascii="Arial" w:hAnsi="Arial" w:eastAsia="Arial" w:cs="Arial"/>
          <w:noProof w:val="0"/>
          <w:sz w:val="24"/>
          <w:szCs w:val="24"/>
          <w:lang w:val="en-GB"/>
        </w:rPr>
        <w:t xml:space="preserve"> public transportation, must be given priority. </w:t>
      </w:r>
    </w:p>
    <w:p w:rsidR="75C3233D" w:rsidP="417350F4" w:rsidRDefault="75C3233D" w14:paraId="1B0C955A" w14:textId="48D268DE">
      <w:pPr>
        <w:pStyle w:val="Normal"/>
        <w:rPr>
          <w:rFonts w:ascii="Arial" w:hAnsi="Arial" w:eastAsia="Arial" w:cs="Arial"/>
          <w:noProof w:val="0"/>
          <w:sz w:val="24"/>
          <w:szCs w:val="24"/>
          <w:lang w:val="en-GB"/>
        </w:rPr>
      </w:pPr>
      <w:r w:rsidRPr="417350F4" w:rsidR="75C3233D">
        <w:rPr>
          <w:rFonts w:ascii="Arial" w:hAnsi="Arial" w:eastAsia="Arial" w:cs="Arial"/>
          <w:noProof w:val="0"/>
          <w:sz w:val="24"/>
          <w:szCs w:val="24"/>
          <w:lang w:val="en-GB"/>
        </w:rPr>
        <w:t>Road conditions, staffing availability, operating hours, service centre locations, and power supply should all be considered</w:t>
      </w:r>
      <w:r w:rsidRPr="417350F4" w:rsidR="3FD635F6">
        <w:rPr>
          <w:rFonts w:ascii="Arial" w:hAnsi="Arial" w:eastAsia="Arial" w:cs="Arial"/>
          <w:noProof w:val="0"/>
          <w:sz w:val="24"/>
          <w:szCs w:val="24"/>
          <w:lang w:val="en-GB"/>
        </w:rPr>
        <w:t xml:space="preserve"> (IFLA,2019).</w:t>
      </w:r>
    </w:p>
    <w:p w:rsidR="7615B550" w:rsidP="417350F4" w:rsidRDefault="7615B550" w14:paraId="489AD425" w14:textId="612C75D0">
      <w:pPr>
        <w:pStyle w:val="Normal"/>
      </w:pPr>
      <w:r w:rsidRPr="417350F4" w:rsidR="7615B550">
        <w:rPr>
          <w:rFonts w:ascii="Arial" w:hAnsi="Arial" w:eastAsia="Arial" w:cs="Arial"/>
          <w:noProof w:val="0"/>
          <w:sz w:val="24"/>
          <w:szCs w:val="24"/>
          <w:lang w:val="en-GB"/>
        </w:rPr>
        <w:t xml:space="preserve">The cost of mobile library vehicles varies significantly based on the vehicle type selected, the fittings' quality, import taxes, local market pressures, and technical standards. Every car should be designed with a specific purpose in mind to avoid the </w:t>
      </w:r>
      <w:r w:rsidRPr="417350F4" w:rsidR="7615B550">
        <w:rPr>
          <w:rFonts w:ascii="Arial" w:hAnsi="Arial" w:eastAsia="Arial" w:cs="Arial"/>
          <w:noProof w:val="0"/>
          <w:sz w:val="24"/>
          <w:szCs w:val="24"/>
          <w:lang w:val="en-GB"/>
        </w:rPr>
        <w:t>numerous</w:t>
      </w:r>
      <w:r w:rsidRPr="417350F4" w:rsidR="7615B550">
        <w:rPr>
          <w:rFonts w:ascii="Arial" w:hAnsi="Arial" w:eastAsia="Arial" w:cs="Arial"/>
          <w:noProof w:val="0"/>
          <w:sz w:val="24"/>
          <w:szCs w:val="24"/>
          <w:lang w:val="en-GB"/>
        </w:rPr>
        <w:t xml:space="preserve"> issues that might occur when a vehicle's kind and intended function are incompatible. Funds can be raised directly from the government or through a mix of loan funding, bank overdraft, and fund raising. Financial planning should start as soon as a car is bought </w:t>
      </w:r>
      <w:r w:rsidRPr="417350F4" w:rsidR="1878FDC5">
        <w:rPr>
          <w:rFonts w:ascii="Arial" w:hAnsi="Arial" w:eastAsia="Arial" w:cs="Arial"/>
          <w:noProof w:val="0"/>
          <w:sz w:val="24"/>
          <w:szCs w:val="24"/>
          <w:lang w:val="en-GB"/>
        </w:rPr>
        <w:t>to</w:t>
      </w:r>
      <w:r w:rsidRPr="417350F4" w:rsidR="7615B550">
        <w:rPr>
          <w:rFonts w:ascii="Arial" w:hAnsi="Arial" w:eastAsia="Arial" w:cs="Arial"/>
          <w:noProof w:val="0"/>
          <w:sz w:val="24"/>
          <w:szCs w:val="24"/>
          <w:lang w:val="en-GB"/>
        </w:rPr>
        <w:t xml:space="preserve"> set aside money for future repairs.</w:t>
      </w:r>
      <w:r w:rsidRPr="417350F4" w:rsidR="753F80BE">
        <w:rPr>
          <w:rFonts w:ascii="Arial" w:hAnsi="Arial" w:eastAsia="Arial" w:cs="Arial"/>
          <w:noProof w:val="0"/>
          <w:sz w:val="24"/>
          <w:szCs w:val="24"/>
          <w:lang w:val="en-GB"/>
        </w:rPr>
        <w:t xml:space="preserve"> When the expense of repairs is combined with the inconvenience of the automobile being off the road and having antiquated design elements, it becomes imperative to replace the vehicle. Outweigh the advantages and costs of </w:t>
      </w:r>
      <w:r w:rsidRPr="417350F4" w:rsidR="753F80BE">
        <w:rPr>
          <w:rFonts w:ascii="Arial" w:hAnsi="Arial" w:eastAsia="Arial" w:cs="Arial"/>
          <w:noProof w:val="0"/>
          <w:sz w:val="24"/>
          <w:szCs w:val="24"/>
          <w:lang w:val="en-GB"/>
        </w:rPr>
        <w:t>purchasing</w:t>
      </w:r>
      <w:r w:rsidRPr="417350F4" w:rsidR="753F80BE">
        <w:rPr>
          <w:rFonts w:ascii="Arial" w:hAnsi="Arial" w:eastAsia="Arial" w:cs="Arial"/>
          <w:noProof w:val="0"/>
          <w:sz w:val="24"/>
          <w:szCs w:val="24"/>
          <w:lang w:val="en-GB"/>
        </w:rPr>
        <w:t xml:space="preserve"> an updated vehicle with contemporary amenities The vehicle's life may be estimated to be 10 years on average, with a negligible trade-in value at the conclusion of the term</w:t>
      </w:r>
      <w:r w:rsidRPr="417350F4" w:rsidR="7B96C9D9">
        <w:rPr>
          <w:rFonts w:ascii="Arial" w:hAnsi="Arial" w:eastAsia="Arial" w:cs="Arial"/>
          <w:noProof w:val="0"/>
          <w:sz w:val="24"/>
          <w:szCs w:val="24"/>
          <w:lang w:val="en-GB"/>
        </w:rPr>
        <w:t xml:space="preserve"> (Ford and Despeisse,2016 and IFLA,2019).</w:t>
      </w:r>
    </w:p>
    <w:p w:rsidR="753F80BE" w:rsidP="417350F4" w:rsidRDefault="753F80BE" w14:paraId="6872BFF0" w14:textId="56D352A2">
      <w:pPr>
        <w:pStyle w:val="Normal"/>
      </w:pPr>
      <w:r w:rsidRPr="417350F4" w:rsidR="753F80BE">
        <w:rPr>
          <w:rFonts w:ascii="Arial" w:hAnsi="Arial" w:eastAsia="Arial" w:cs="Arial"/>
          <w:noProof w:val="0"/>
          <w:sz w:val="24"/>
          <w:szCs w:val="24"/>
          <w:lang w:val="en-GB"/>
        </w:rPr>
        <w:t>The yearly budget of the authority should include a replacement fund for mobile libraries, with enough money set out to cover replacements after ten years. It is necessary to include annual inflation rates when creating the budget</w:t>
      </w:r>
      <w:r w:rsidRPr="417350F4" w:rsidR="4F9E626A">
        <w:rPr>
          <w:rFonts w:ascii="Arial" w:hAnsi="Arial" w:eastAsia="Arial" w:cs="Arial"/>
          <w:noProof w:val="0"/>
          <w:sz w:val="24"/>
          <w:szCs w:val="24"/>
          <w:lang w:val="en-GB"/>
        </w:rPr>
        <w:t xml:space="preserve"> (Luthra and Mangla,2018).</w:t>
      </w:r>
    </w:p>
    <w:p w:rsidR="45B89A38" w:rsidP="417350F4" w:rsidRDefault="45B89A38" w14:paraId="0839EA88" w14:textId="3D312F63">
      <w:pPr>
        <w:pStyle w:val="Normal"/>
      </w:pPr>
      <w:r w:rsidRPr="417350F4" w:rsidR="45B89A38">
        <w:rPr>
          <w:rFonts w:ascii="Arial" w:hAnsi="Arial" w:eastAsia="Arial" w:cs="Arial"/>
          <w:noProof w:val="0"/>
          <w:sz w:val="24"/>
          <w:szCs w:val="24"/>
          <w:lang w:val="en-GB"/>
        </w:rPr>
        <w:t>In conclusion, the business initiative "Reading Wonderland" hopes to expand across the island, fight poverty via the power of books, and eventually bring in additional cultures. As time goes on, things change, and "reading wonderland" will keep researching culture and unity to create a more inclusive nation. This business will have an impact not only locally but also regionally, encouraging other Caribbean islands to implement similar practices within their own borders and eventually drawing in more investors.</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OaKPJdXRMbA5IO" int2:id="cF8tdEAJ">
      <int2:state int2:type="AugLoop_Text_Critique" int2:value="Rejected"/>
    </int2:textHash>
    <int2:textHash int2:hashCode="liUYptCuMG03td" int2:id="toL5AjzH">
      <int2:state int2:type="AugLoop_Text_Critique" int2:value="Rejected"/>
    </int2:textHash>
    <int2:textHash int2:hashCode="FpdhgnM8kughf1" int2:id="zzmtm2dN">
      <int2:state int2:type="AugLoop_Text_Critique" int2:value="Rejected"/>
    </int2:textHash>
    <int2:textHash int2:hashCode="uG26IEd+FPxHDy" int2:id="4bIpWa9L">
      <int2:state int2:type="AugLoop_Text_Critique" int2:value="Rejected"/>
    </int2:textHash>
    <int2:bookmark int2:bookmarkName="_Int_a50G1K1N" int2:invalidationBookmarkName="" int2:hashCode="sBPoQsCNp29y2c" int2:id="jOvdMQbJ">
      <int2:state int2:type="WordDesignerPullQuotesAnnotation" int2:value="Reviewed"/>
    </int2:bookmark>
    <int2:bookmark int2:bookmarkName="_Int_4tghcfbI" int2:invalidationBookmarkName="" int2:hashCode="DKzxMv5birlZxz" int2:id="AzUYVNk8">
      <int2:state int2:type="WordDesignerPullQuotesAnnotation" int2:value="Reviewed"/>
    </int2:bookmark>
    <int2:bookmark int2:bookmarkName="_Int_iigdur7z" int2:invalidationBookmarkName="" int2:hashCode="e0dMsLOcF3PXGS" int2:id="eGcnR7LA">
      <int2:state int2:type="AugLoop_Text_Critique" int2:value="Rejected"/>
    </int2:bookmark>
    <int2:bookmark int2:bookmarkName="_Int_Q5Ie8ZZt" int2:invalidationBookmarkName="" int2:hashCode="9RlKRnUnFBa/Mm" int2:id="LWpGgJu1">
      <int2:state int2:type="AugLoop_Text_Critique" int2:value="Rejected"/>
    </int2:bookmark>
    <int2:bookmark int2:bookmarkName="_Int_RPV1ysss" int2:invalidationBookmarkName="" int2:hashCode="WgHbby1gbypwG3" int2:id="ZJrp8bLv">
      <int2:state int2:type="WordDesignerSuggestedImage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8CDF0D"/>
    <w:rsid w:val="02276B21"/>
    <w:rsid w:val="026F00F0"/>
    <w:rsid w:val="04A3CEF7"/>
    <w:rsid w:val="0792D852"/>
    <w:rsid w:val="07EFC988"/>
    <w:rsid w:val="0EB3CE5D"/>
    <w:rsid w:val="0FD46E4F"/>
    <w:rsid w:val="0FD85DFF"/>
    <w:rsid w:val="11851F1E"/>
    <w:rsid w:val="12FCF18C"/>
    <w:rsid w:val="1496329F"/>
    <w:rsid w:val="1878FDC5"/>
    <w:rsid w:val="193E9F74"/>
    <w:rsid w:val="1B6F8797"/>
    <w:rsid w:val="22ABDCE8"/>
    <w:rsid w:val="251669DD"/>
    <w:rsid w:val="2545926E"/>
    <w:rsid w:val="26091942"/>
    <w:rsid w:val="27FBC940"/>
    <w:rsid w:val="287D3330"/>
    <w:rsid w:val="29107E1C"/>
    <w:rsid w:val="2B2E72E4"/>
    <w:rsid w:val="2B5393B1"/>
    <w:rsid w:val="2E33B854"/>
    <w:rsid w:val="318E4DBB"/>
    <w:rsid w:val="31B1C6F6"/>
    <w:rsid w:val="37848362"/>
    <w:rsid w:val="37F4E41F"/>
    <w:rsid w:val="3846B54C"/>
    <w:rsid w:val="38B31095"/>
    <w:rsid w:val="3BC9DC17"/>
    <w:rsid w:val="3FD635F6"/>
    <w:rsid w:val="3FD70CF1"/>
    <w:rsid w:val="417350F4"/>
    <w:rsid w:val="43F6223D"/>
    <w:rsid w:val="45B89A38"/>
    <w:rsid w:val="465CAEF1"/>
    <w:rsid w:val="4AF22DFA"/>
    <w:rsid w:val="4BD544BE"/>
    <w:rsid w:val="4C947B11"/>
    <w:rsid w:val="4E304B72"/>
    <w:rsid w:val="4F9E626A"/>
    <w:rsid w:val="4FCC1BD3"/>
    <w:rsid w:val="5167EC34"/>
    <w:rsid w:val="525D2A10"/>
    <w:rsid w:val="533B17D0"/>
    <w:rsid w:val="54C90306"/>
    <w:rsid w:val="54E1343F"/>
    <w:rsid w:val="5A26E989"/>
    <w:rsid w:val="5FB7131B"/>
    <w:rsid w:val="5FF83FD1"/>
    <w:rsid w:val="60803571"/>
    <w:rsid w:val="6716A768"/>
    <w:rsid w:val="6C82D225"/>
    <w:rsid w:val="6D97C78F"/>
    <w:rsid w:val="6F1E053F"/>
    <w:rsid w:val="7175A3FE"/>
    <w:rsid w:val="7186E96D"/>
    <w:rsid w:val="72D0AB55"/>
    <w:rsid w:val="72F962AF"/>
    <w:rsid w:val="73810AF0"/>
    <w:rsid w:val="73B0DA8B"/>
    <w:rsid w:val="753F80BE"/>
    <w:rsid w:val="7586DE47"/>
    <w:rsid w:val="75C3233D"/>
    <w:rsid w:val="7615B550"/>
    <w:rsid w:val="771712FF"/>
    <w:rsid w:val="785C4C96"/>
    <w:rsid w:val="78C4E785"/>
    <w:rsid w:val="78DE0ECF"/>
    <w:rsid w:val="7B919438"/>
    <w:rsid w:val="7B96C9D9"/>
    <w:rsid w:val="7C06348A"/>
    <w:rsid w:val="7E8CDF0D"/>
    <w:rsid w:val="7F53B2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CDF0D"/>
  <w15:chartTrackingRefBased/>
  <w15:docId w15:val="{A454C4F9-073B-47B8-BCCD-26A6C1E836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17350F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17350F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17350F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17350F4"/>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17350F4"/>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17350F4"/>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17350F4"/>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17350F4"/>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17350F4"/>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17350F4"/>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17350F4"/>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17350F4"/>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17350F4"/>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17350F4"/>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17350F4"/>
    <w:pPr>
      <w:spacing/>
      <w:ind w:left="720"/>
      <w:contextualSpacing/>
    </w:pPr>
  </w:style>
  <w:style w:type="paragraph" w:styleId="TOC1">
    <w:uiPriority w:val="39"/>
    <w:name w:val="toc 1"/>
    <w:basedOn w:val="Normal"/>
    <w:next w:val="Normal"/>
    <w:unhideWhenUsed/>
    <w:rsid w:val="417350F4"/>
    <w:pPr>
      <w:spacing w:after="100"/>
    </w:pPr>
  </w:style>
  <w:style w:type="paragraph" w:styleId="TOC2">
    <w:uiPriority w:val="39"/>
    <w:name w:val="toc 2"/>
    <w:basedOn w:val="Normal"/>
    <w:next w:val="Normal"/>
    <w:unhideWhenUsed/>
    <w:rsid w:val="417350F4"/>
    <w:pPr>
      <w:spacing w:after="100"/>
      <w:ind w:left="220"/>
    </w:pPr>
  </w:style>
  <w:style w:type="paragraph" w:styleId="TOC3">
    <w:uiPriority w:val="39"/>
    <w:name w:val="toc 3"/>
    <w:basedOn w:val="Normal"/>
    <w:next w:val="Normal"/>
    <w:unhideWhenUsed/>
    <w:rsid w:val="417350F4"/>
    <w:pPr>
      <w:spacing w:after="100"/>
      <w:ind w:left="440"/>
    </w:pPr>
  </w:style>
  <w:style w:type="paragraph" w:styleId="TOC4">
    <w:uiPriority w:val="39"/>
    <w:name w:val="toc 4"/>
    <w:basedOn w:val="Normal"/>
    <w:next w:val="Normal"/>
    <w:unhideWhenUsed/>
    <w:rsid w:val="417350F4"/>
    <w:pPr>
      <w:spacing w:after="100"/>
      <w:ind w:left="660"/>
    </w:pPr>
  </w:style>
  <w:style w:type="paragraph" w:styleId="TOC5">
    <w:uiPriority w:val="39"/>
    <w:name w:val="toc 5"/>
    <w:basedOn w:val="Normal"/>
    <w:next w:val="Normal"/>
    <w:unhideWhenUsed/>
    <w:rsid w:val="417350F4"/>
    <w:pPr>
      <w:spacing w:after="100"/>
      <w:ind w:left="880"/>
    </w:pPr>
  </w:style>
  <w:style w:type="paragraph" w:styleId="TOC6">
    <w:uiPriority w:val="39"/>
    <w:name w:val="toc 6"/>
    <w:basedOn w:val="Normal"/>
    <w:next w:val="Normal"/>
    <w:unhideWhenUsed/>
    <w:rsid w:val="417350F4"/>
    <w:pPr>
      <w:spacing w:after="100"/>
      <w:ind w:left="1100"/>
    </w:pPr>
  </w:style>
  <w:style w:type="paragraph" w:styleId="TOC7">
    <w:uiPriority w:val="39"/>
    <w:name w:val="toc 7"/>
    <w:basedOn w:val="Normal"/>
    <w:next w:val="Normal"/>
    <w:unhideWhenUsed/>
    <w:rsid w:val="417350F4"/>
    <w:pPr>
      <w:spacing w:after="100"/>
      <w:ind w:left="1320"/>
    </w:pPr>
  </w:style>
  <w:style w:type="paragraph" w:styleId="TOC8">
    <w:uiPriority w:val="39"/>
    <w:name w:val="toc 8"/>
    <w:basedOn w:val="Normal"/>
    <w:next w:val="Normal"/>
    <w:unhideWhenUsed/>
    <w:rsid w:val="417350F4"/>
    <w:pPr>
      <w:spacing w:after="100"/>
      <w:ind w:left="1540"/>
    </w:pPr>
  </w:style>
  <w:style w:type="paragraph" w:styleId="TOC9">
    <w:uiPriority w:val="39"/>
    <w:name w:val="toc 9"/>
    <w:basedOn w:val="Normal"/>
    <w:next w:val="Normal"/>
    <w:unhideWhenUsed/>
    <w:rsid w:val="417350F4"/>
    <w:pPr>
      <w:spacing w:after="100"/>
      <w:ind w:left="1760"/>
    </w:pPr>
  </w:style>
  <w:style w:type="paragraph" w:styleId="EndnoteText">
    <w:uiPriority w:val="99"/>
    <w:name w:val="endnote text"/>
    <w:basedOn w:val="Normal"/>
    <w:semiHidden/>
    <w:unhideWhenUsed/>
    <w:link w:val="EndnoteTextChar"/>
    <w:rsid w:val="417350F4"/>
    <w:rPr>
      <w:sz w:val="20"/>
      <w:szCs w:val="20"/>
    </w:rPr>
    <w:pPr>
      <w:spacing w:after="0" w:line="240" w:lineRule="auto"/>
    </w:pPr>
  </w:style>
  <w:style w:type="paragraph" w:styleId="Footer">
    <w:uiPriority w:val="99"/>
    <w:name w:val="footer"/>
    <w:basedOn w:val="Normal"/>
    <w:unhideWhenUsed/>
    <w:link w:val="FooterChar"/>
    <w:rsid w:val="417350F4"/>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17350F4"/>
    <w:rPr>
      <w:sz w:val="20"/>
      <w:szCs w:val="20"/>
    </w:rPr>
    <w:pPr>
      <w:spacing w:after="0" w:line="240" w:lineRule="auto"/>
    </w:pPr>
  </w:style>
  <w:style w:type="paragraph" w:styleId="Header">
    <w:uiPriority w:val="99"/>
    <w:name w:val="header"/>
    <w:basedOn w:val="Normal"/>
    <w:unhideWhenUsed/>
    <w:link w:val="HeaderChar"/>
    <w:rsid w:val="417350F4"/>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e04429a8d2240d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2024-03-03T06:20:00.2537066Z</dcterms:created>
  <dcterms:modified xsi:type="dcterms:W3CDTF">2024-03-03T16:26:32.2387240Z</dcterms:modified>
  <dc:creator>Samiya Alexander (2114405)</dc:creator>
  <lastModifiedBy>Samiya Alexander (2114405)</lastModifiedBy>
</coreProperties>
</file>