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A4D334" w14:textId="77777777" w:rsidR="00A925F6" w:rsidRDefault="00A925F6" w:rsidP="008023D3">
      <w:pPr>
        <w:ind w:firstLine="0"/>
        <w:rPr>
          <w:rFonts w:cs="Arial"/>
          <w:szCs w:val="24"/>
        </w:rPr>
      </w:pPr>
    </w:p>
    <w:p w14:paraId="5D07C636" w14:textId="77777777" w:rsidR="00AD71A3" w:rsidRPr="008023D3" w:rsidRDefault="00AD71A3" w:rsidP="008023D3">
      <w:pPr>
        <w:ind w:firstLine="0"/>
        <w:rPr>
          <w:rFonts w:cs="Arial"/>
          <w:szCs w:val="24"/>
        </w:rPr>
      </w:pPr>
    </w:p>
    <w:p w14:paraId="71A13B95" w14:textId="77777777" w:rsidR="00334258" w:rsidRPr="008023D3" w:rsidRDefault="00334258" w:rsidP="008023D3">
      <w:pPr>
        <w:rPr>
          <w:rFonts w:cs="Arial"/>
          <w:b/>
          <w:szCs w:val="24"/>
        </w:rPr>
      </w:pPr>
    </w:p>
    <w:p w14:paraId="5177CA13" w14:textId="77777777" w:rsidR="00334258" w:rsidRPr="008023D3" w:rsidRDefault="00334258" w:rsidP="008023D3">
      <w:pPr>
        <w:rPr>
          <w:rFonts w:cs="Arial"/>
          <w:b/>
          <w:szCs w:val="24"/>
        </w:rPr>
      </w:pPr>
    </w:p>
    <w:p w14:paraId="7B9019FC" w14:textId="77777777" w:rsidR="00334258" w:rsidRPr="008023D3" w:rsidRDefault="00334258" w:rsidP="008023D3">
      <w:pPr>
        <w:rPr>
          <w:rFonts w:cs="Arial"/>
          <w:b/>
          <w:szCs w:val="24"/>
        </w:rPr>
      </w:pPr>
    </w:p>
    <w:p w14:paraId="483CFB90" w14:textId="77777777" w:rsidR="0078410E" w:rsidRPr="00096A81" w:rsidRDefault="0078410E" w:rsidP="008023D3">
      <w:pPr>
        <w:ind w:firstLine="0"/>
        <w:jc w:val="center"/>
        <w:rPr>
          <w:rFonts w:cs="Arial"/>
          <w:b/>
          <w:bCs/>
          <w:szCs w:val="24"/>
        </w:rPr>
      </w:pPr>
      <w:r w:rsidRPr="00096A81">
        <w:rPr>
          <w:rFonts w:cs="Arial"/>
          <w:b/>
          <w:bCs/>
          <w:szCs w:val="24"/>
        </w:rPr>
        <w:t>BA (Hons) Hospitality &amp; Hotel Management</w:t>
      </w:r>
    </w:p>
    <w:p w14:paraId="6241C5A4" w14:textId="4E249072" w:rsidR="00334258" w:rsidRPr="00096A81" w:rsidRDefault="0078410E" w:rsidP="008023D3">
      <w:pPr>
        <w:ind w:firstLine="0"/>
        <w:jc w:val="center"/>
        <w:rPr>
          <w:rFonts w:cs="Arial"/>
          <w:b/>
          <w:bCs/>
          <w:szCs w:val="24"/>
        </w:rPr>
      </w:pPr>
      <w:r w:rsidRPr="00096A81">
        <w:rPr>
          <w:rFonts w:cs="Arial"/>
          <w:b/>
          <w:bCs/>
          <w:szCs w:val="24"/>
        </w:rPr>
        <w:t>Contemporary Themes in the Hotel and Hospitality Sector</w:t>
      </w:r>
    </w:p>
    <w:p w14:paraId="253E47D3" w14:textId="0301A8B1" w:rsidR="00D906E3" w:rsidRPr="00096A81" w:rsidRDefault="00DD6F15" w:rsidP="008023D3">
      <w:pPr>
        <w:ind w:firstLine="0"/>
        <w:jc w:val="center"/>
        <w:rPr>
          <w:rFonts w:cs="Arial"/>
          <w:szCs w:val="24"/>
        </w:rPr>
      </w:pPr>
      <w:r w:rsidRPr="00096A81">
        <w:rPr>
          <w:rFonts w:cs="Arial"/>
          <w:b/>
          <w:bCs/>
          <w:szCs w:val="24"/>
        </w:rPr>
        <w:t xml:space="preserve">Module Code: </w:t>
      </w:r>
      <w:r w:rsidR="00D906E3" w:rsidRPr="00096A81">
        <w:rPr>
          <w:rFonts w:cs="Arial"/>
          <w:szCs w:val="24"/>
        </w:rPr>
        <w:t>BMIH6001</w:t>
      </w:r>
    </w:p>
    <w:p w14:paraId="3DA643F0" w14:textId="7DCCB27B" w:rsidR="00D906E3" w:rsidRDefault="00D906E3" w:rsidP="008023D3">
      <w:pPr>
        <w:ind w:firstLine="0"/>
        <w:jc w:val="center"/>
        <w:rPr>
          <w:rFonts w:cs="Arial"/>
          <w:szCs w:val="24"/>
        </w:rPr>
      </w:pPr>
      <w:r w:rsidRPr="00096A81">
        <w:rPr>
          <w:rFonts w:cs="Arial"/>
          <w:b/>
          <w:bCs/>
          <w:szCs w:val="24"/>
        </w:rPr>
        <w:t xml:space="preserve">Module Lead: </w:t>
      </w:r>
      <w:r w:rsidRPr="00096A81">
        <w:rPr>
          <w:rFonts w:cs="Arial"/>
          <w:szCs w:val="24"/>
        </w:rPr>
        <w:t>Dr Ernest Balutie Wavei</w:t>
      </w:r>
    </w:p>
    <w:p w14:paraId="2E3A5AEC" w14:textId="4AFE6A4F" w:rsidR="00807070" w:rsidRPr="00096A81" w:rsidRDefault="00807070" w:rsidP="00807070">
      <w:pPr>
        <w:ind w:firstLine="0"/>
        <w:jc w:val="center"/>
        <w:rPr>
          <w:rFonts w:cs="Arial"/>
          <w:szCs w:val="24"/>
        </w:rPr>
      </w:pPr>
      <w:r w:rsidRPr="003905F4">
        <w:rPr>
          <w:rFonts w:cs="Arial"/>
          <w:b/>
          <w:bCs/>
          <w:szCs w:val="24"/>
        </w:rPr>
        <w:t>Assignment Title:</w:t>
      </w:r>
      <w:r>
        <w:rPr>
          <w:rFonts w:cs="Arial"/>
          <w:szCs w:val="24"/>
        </w:rPr>
        <w:t xml:space="preserve"> </w:t>
      </w:r>
      <w:r w:rsidR="00AD008C" w:rsidRPr="00AD008C">
        <w:rPr>
          <w:rFonts w:cs="Arial"/>
          <w:szCs w:val="24"/>
        </w:rPr>
        <w:t>Assignment One Conference Research Paper</w:t>
      </w:r>
    </w:p>
    <w:p w14:paraId="7847A725" w14:textId="1DCCC2E0" w:rsidR="00AB4DC4" w:rsidRPr="00096A81" w:rsidRDefault="00AB4DC4" w:rsidP="008023D3">
      <w:pPr>
        <w:ind w:firstLine="0"/>
        <w:jc w:val="center"/>
        <w:rPr>
          <w:rFonts w:cs="Arial"/>
          <w:b/>
          <w:bCs/>
          <w:szCs w:val="24"/>
        </w:rPr>
      </w:pPr>
      <w:r w:rsidRPr="00096A81">
        <w:rPr>
          <w:rFonts w:cs="Arial"/>
          <w:b/>
          <w:bCs/>
          <w:szCs w:val="24"/>
        </w:rPr>
        <w:t xml:space="preserve">Topic: </w:t>
      </w:r>
      <w:r w:rsidRPr="00096A81">
        <w:rPr>
          <w:rFonts w:cs="Arial"/>
          <w:szCs w:val="24"/>
        </w:rPr>
        <w:t>Burnout, Stigma and Staff Turnover: Examining the Mental Health Crisis in the Hospitality Industry</w:t>
      </w:r>
    </w:p>
    <w:p w14:paraId="10481067" w14:textId="35E5487D" w:rsidR="00334258" w:rsidRPr="00096A81" w:rsidRDefault="00334258" w:rsidP="008023D3">
      <w:pPr>
        <w:ind w:firstLine="0"/>
        <w:jc w:val="center"/>
        <w:rPr>
          <w:rFonts w:cs="Arial"/>
          <w:szCs w:val="24"/>
        </w:rPr>
      </w:pPr>
      <w:r w:rsidRPr="00096A81">
        <w:rPr>
          <w:rFonts w:cs="Arial"/>
          <w:szCs w:val="24"/>
        </w:rPr>
        <w:t>Name of Student:</w:t>
      </w:r>
      <w:r w:rsidR="003B035B">
        <w:rPr>
          <w:rFonts w:cs="Arial"/>
          <w:szCs w:val="24"/>
        </w:rPr>
        <w:t xml:space="preserve">  Fat</w:t>
      </w:r>
      <w:r w:rsidR="0046190B">
        <w:rPr>
          <w:rFonts w:cs="Arial"/>
          <w:szCs w:val="24"/>
        </w:rPr>
        <w:t>e</w:t>
      </w:r>
      <w:r w:rsidR="003B035B">
        <w:rPr>
          <w:rFonts w:cs="Arial"/>
          <w:szCs w:val="24"/>
        </w:rPr>
        <w:t>m</w:t>
      </w:r>
      <w:r w:rsidR="000A37CE">
        <w:rPr>
          <w:rFonts w:cs="Arial"/>
          <w:szCs w:val="24"/>
        </w:rPr>
        <w:t>a</w:t>
      </w:r>
      <w:r w:rsidR="003B035B">
        <w:rPr>
          <w:rFonts w:cs="Arial"/>
          <w:szCs w:val="24"/>
        </w:rPr>
        <w:t xml:space="preserve"> Uddin</w:t>
      </w:r>
    </w:p>
    <w:p w14:paraId="37AA0181" w14:textId="3CDEA1D4" w:rsidR="00334258" w:rsidRDefault="00334258" w:rsidP="008023D3">
      <w:pPr>
        <w:ind w:firstLine="0"/>
        <w:jc w:val="center"/>
        <w:rPr>
          <w:rFonts w:cs="Arial"/>
          <w:szCs w:val="24"/>
        </w:rPr>
      </w:pPr>
      <w:r w:rsidRPr="00096A81">
        <w:rPr>
          <w:rFonts w:cs="Arial"/>
          <w:szCs w:val="24"/>
        </w:rPr>
        <w:t>Student ID:</w:t>
      </w:r>
      <w:r w:rsidR="003B035B">
        <w:rPr>
          <w:rFonts w:cs="Arial"/>
          <w:szCs w:val="24"/>
        </w:rPr>
        <w:t xml:space="preserve"> 2131514</w:t>
      </w:r>
    </w:p>
    <w:p w14:paraId="10E7C527" w14:textId="020054E9" w:rsidR="00C352C4" w:rsidRPr="00096A81" w:rsidRDefault="00C352C4" w:rsidP="008023D3">
      <w:pPr>
        <w:ind w:firstLine="0"/>
        <w:jc w:val="center"/>
        <w:rPr>
          <w:rFonts w:cs="Arial"/>
          <w:szCs w:val="24"/>
        </w:rPr>
      </w:pPr>
      <w:r>
        <w:rPr>
          <w:rFonts w:cs="Arial"/>
          <w:szCs w:val="24"/>
        </w:rPr>
        <w:t xml:space="preserve">Word count: </w:t>
      </w:r>
      <w:r w:rsidR="00B63CB4">
        <w:rPr>
          <w:rFonts w:cs="Arial"/>
          <w:szCs w:val="24"/>
        </w:rPr>
        <w:t>2758</w:t>
      </w:r>
    </w:p>
    <w:p w14:paraId="7453F7FF" w14:textId="77777777" w:rsidR="000A37CE" w:rsidRDefault="000A37CE" w:rsidP="008023D3">
      <w:pPr>
        <w:ind w:firstLine="0"/>
        <w:rPr>
          <w:rFonts w:cs="Arial"/>
          <w:b/>
          <w:szCs w:val="24"/>
        </w:rPr>
      </w:pPr>
    </w:p>
    <w:p w14:paraId="334A3479" w14:textId="77777777" w:rsidR="000A37CE" w:rsidRDefault="000A37CE" w:rsidP="008023D3">
      <w:pPr>
        <w:ind w:firstLine="0"/>
        <w:rPr>
          <w:rFonts w:cs="Arial"/>
          <w:b/>
          <w:szCs w:val="24"/>
        </w:rPr>
      </w:pPr>
    </w:p>
    <w:p w14:paraId="645EB46E" w14:textId="77777777" w:rsidR="000A37CE" w:rsidRDefault="000A37CE" w:rsidP="008023D3">
      <w:pPr>
        <w:ind w:firstLine="0"/>
        <w:rPr>
          <w:rFonts w:cs="Arial"/>
          <w:b/>
          <w:szCs w:val="24"/>
        </w:rPr>
      </w:pPr>
    </w:p>
    <w:p w14:paraId="59E96302" w14:textId="77777777" w:rsidR="000A37CE" w:rsidRDefault="000A37CE" w:rsidP="008023D3">
      <w:pPr>
        <w:ind w:firstLine="0"/>
        <w:rPr>
          <w:rFonts w:cs="Arial"/>
          <w:b/>
          <w:szCs w:val="24"/>
        </w:rPr>
      </w:pPr>
    </w:p>
    <w:p w14:paraId="2619B2E4" w14:textId="77777777" w:rsidR="000A37CE" w:rsidRDefault="000A37CE" w:rsidP="008023D3">
      <w:pPr>
        <w:ind w:firstLine="0"/>
        <w:rPr>
          <w:rFonts w:cs="Arial"/>
          <w:b/>
          <w:szCs w:val="24"/>
        </w:rPr>
      </w:pPr>
    </w:p>
    <w:p w14:paraId="261C0B49" w14:textId="77777777" w:rsidR="000A37CE" w:rsidRDefault="000A37CE" w:rsidP="008023D3">
      <w:pPr>
        <w:ind w:firstLine="0"/>
        <w:rPr>
          <w:rFonts w:cs="Arial"/>
          <w:b/>
          <w:szCs w:val="24"/>
        </w:rPr>
      </w:pPr>
    </w:p>
    <w:p w14:paraId="4F3AC777" w14:textId="77777777" w:rsidR="000A37CE" w:rsidRDefault="000A37CE" w:rsidP="008023D3">
      <w:pPr>
        <w:ind w:firstLine="0"/>
        <w:rPr>
          <w:rFonts w:cs="Arial"/>
          <w:b/>
          <w:szCs w:val="24"/>
        </w:rPr>
      </w:pPr>
    </w:p>
    <w:p w14:paraId="16E42ED8" w14:textId="77777777" w:rsidR="000A37CE" w:rsidRDefault="000A37CE" w:rsidP="008023D3">
      <w:pPr>
        <w:ind w:firstLine="0"/>
        <w:rPr>
          <w:rFonts w:cs="Arial"/>
          <w:b/>
          <w:szCs w:val="24"/>
        </w:rPr>
      </w:pPr>
    </w:p>
    <w:p w14:paraId="6B6E0982" w14:textId="77777777" w:rsidR="000A37CE" w:rsidRDefault="000A37CE" w:rsidP="008023D3">
      <w:pPr>
        <w:ind w:firstLine="0"/>
        <w:rPr>
          <w:rFonts w:cs="Arial"/>
          <w:b/>
          <w:szCs w:val="24"/>
        </w:rPr>
      </w:pPr>
    </w:p>
    <w:p w14:paraId="11C39557" w14:textId="77777777" w:rsidR="000A37CE" w:rsidRDefault="000A37CE" w:rsidP="008023D3">
      <w:pPr>
        <w:ind w:firstLine="0"/>
        <w:rPr>
          <w:rFonts w:cs="Arial"/>
          <w:b/>
          <w:szCs w:val="24"/>
        </w:rPr>
      </w:pPr>
    </w:p>
    <w:p w14:paraId="3C87F053" w14:textId="776FA96C" w:rsidR="00AD23EF" w:rsidRPr="00096A81" w:rsidRDefault="00AD23EF" w:rsidP="008023D3">
      <w:pPr>
        <w:ind w:firstLine="0"/>
        <w:rPr>
          <w:rFonts w:cs="Arial"/>
          <w:b/>
          <w:szCs w:val="24"/>
        </w:rPr>
      </w:pPr>
      <w:r w:rsidRPr="00096A81">
        <w:rPr>
          <w:rFonts w:cs="Arial"/>
          <w:b/>
          <w:szCs w:val="24"/>
        </w:rPr>
        <w:t>AI Declaration:</w:t>
      </w:r>
    </w:p>
    <w:p w14:paraId="4125666B" w14:textId="77777777" w:rsidR="00AD23EF" w:rsidRDefault="00AD23EF" w:rsidP="008023D3">
      <w:pPr>
        <w:ind w:firstLine="0"/>
        <w:rPr>
          <w:rFonts w:cs="Arial"/>
          <w:szCs w:val="24"/>
        </w:rPr>
      </w:pPr>
      <w:r w:rsidRPr="00096A81">
        <w:rPr>
          <w:rFonts w:cs="Arial"/>
          <w:szCs w:val="24"/>
        </w:rPr>
        <w:t>I confirm that I have not used any AI tools in the research and creation of this assignment. I confirm that I have not presented any AI-generated materials as my work. I confirm I have copies of my drafts, notes, and other resources I used, which I may be asked to provide in evidence.</w:t>
      </w:r>
    </w:p>
    <w:p w14:paraId="0439D3FB" w14:textId="77777777" w:rsidR="00D80437" w:rsidRDefault="00D80437" w:rsidP="008023D3">
      <w:pPr>
        <w:ind w:firstLine="0"/>
        <w:rPr>
          <w:rFonts w:cs="Arial"/>
          <w:szCs w:val="24"/>
        </w:rPr>
      </w:pPr>
    </w:p>
    <w:p w14:paraId="619F001E" w14:textId="77777777" w:rsidR="00E725F0" w:rsidRDefault="00E725F0" w:rsidP="008023D3">
      <w:pPr>
        <w:ind w:firstLine="0"/>
        <w:rPr>
          <w:rFonts w:cs="Arial"/>
          <w:szCs w:val="24"/>
        </w:rPr>
      </w:pPr>
    </w:p>
    <w:p w14:paraId="112B64FC" w14:textId="77777777" w:rsidR="00E725F0" w:rsidRDefault="00E725F0" w:rsidP="008023D3">
      <w:pPr>
        <w:ind w:firstLine="0"/>
        <w:rPr>
          <w:rFonts w:cs="Arial"/>
          <w:szCs w:val="24"/>
        </w:rPr>
      </w:pPr>
    </w:p>
    <w:p w14:paraId="1A03B614" w14:textId="77777777" w:rsidR="00E725F0" w:rsidRDefault="00E725F0" w:rsidP="008023D3">
      <w:pPr>
        <w:ind w:firstLine="0"/>
        <w:rPr>
          <w:rFonts w:cs="Arial"/>
          <w:szCs w:val="24"/>
        </w:rPr>
      </w:pPr>
    </w:p>
    <w:p w14:paraId="3A8AC3EF" w14:textId="77777777" w:rsidR="00E725F0" w:rsidRDefault="00E725F0" w:rsidP="008023D3">
      <w:pPr>
        <w:ind w:firstLine="0"/>
        <w:rPr>
          <w:rFonts w:cs="Arial"/>
          <w:szCs w:val="24"/>
        </w:rPr>
      </w:pPr>
    </w:p>
    <w:p w14:paraId="1B72E300" w14:textId="77777777" w:rsidR="00E725F0" w:rsidRDefault="00E725F0" w:rsidP="008023D3">
      <w:pPr>
        <w:ind w:firstLine="0"/>
        <w:rPr>
          <w:rFonts w:cs="Arial"/>
          <w:szCs w:val="24"/>
        </w:rPr>
      </w:pPr>
    </w:p>
    <w:p w14:paraId="0FD6BC71" w14:textId="77777777" w:rsidR="00E725F0" w:rsidRDefault="00E725F0" w:rsidP="008023D3">
      <w:pPr>
        <w:ind w:firstLine="0"/>
        <w:rPr>
          <w:rFonts w:cs="Arial"/>
          <w:szCs w:val="24"/>
        </w:rPr>
      </w:pPr>
    </w:p>
    <w:p w14:paraId="160ED176" w14:textId="77777777" w:rsidR="00E725F0" w:rsidRDefault="00E725F0" w:rsidP="008023D3">
      <w:pPr>
        <w:ind w:firstLine="0"/>
        <w:rPr>
          <w:rFonts w:cs="Arial"/>
          <w:szCs w:val="24"/>
        </w:rPr>
      </w:pPr>
    </w:p>
    <w:p w14:paraId="29F7A520" w14:textId="77777777" w:rsidR="00E725F0" w:rsidRDefault="00E725F0" w:rsidP="008023D3">
      <w:pPr>
        <w:ind w:firstLine="0"/>
        <w:rPr>
          <w:rFonts w:cs="Arial"/>
          <w:szCs w:val="24"/>
        </w:rPr>
      </w:pPr>
    </w:p>
    <w:p w14:paraId="6D1720A6" w14:textId="77777777" w:rsidR="00E725F0" w:rsidRPr="00096A81" w:rsidRDefault="00E725F0" w:rsidP="008023D3">
      <w:pPr>
        <w:ind w:firstLine="0"/>
        <w:rPr>
          <w:rFonts w:cs="Arial"/>
          <w:szCs w:val="24"/>
        </w:rPr>
      </w:pPr>
    </w:p>
    <w:p w14:paraId="461B799E" w14:textId="7F642D28" w:rsidR="00AD23EF" w:rsidRDefault="00AD23EF" w:rsidP="008023D3">
      <w:pPr>
        <w:ind w:firstLine="0"/>
        <w:rPr>
          <w:rFonts w:cs="Arial"/>
          <w:b/>
          <w:szCs w:val="24"/>
        </w:rPr>
      </w:pPr>
    </w:p>
    <w:p w14:paraId="6D1082B3" w14:textId="77777777" w:rsidR="00E725F0" w:rsidRDefault="00E725F0" w:rsidP="008023D3">
      <w:pPr>
        <w:ind w:firstLine="0"/>
        <w:rPr>
          <w:rFonts w:cs="Arial"/>
          <w:b/>
          <w:szCs w:val="24"/>
        </w:rPr>
      </w:pPr>
    </w:p>
    <w:p w14:paraId="2DE70F30" w14:textId="77777777" w:rsidR="00E725F0" w:rsidRDefault="00E725F0" w:rsidP="008023D3">
      <w:pPr>
        <w:ind w:firstLine="0"/>
        <w:rPr>
          <w:rFonts w:cs="Arial"/>
          <w:b/>
          <w:szCs w:val="24"/>
        </w:rPr>
      </w:pPr>
    </w:p>
    <w:p w14:paraId="2CF53B23" w14:textId="77777777" w:rsidR="00E725F0" w:rsidRDefault="00E725F0" w:rsidP="008023D3">
      <w:pPr>
        <w:ind w:firstLine="0"/>
        <w:rPr>
          <w:rFonts w:cs="Arial"/>
          <w:b/>
          <w:szCs w:val="24"/>
        </w:rPr>
      </w:pPr>
    </w:p>
    <w:p w14:paraId="5E16760E" w14:textId="77777777" w:rsidR="00E725F0" w:rsidRPr="00096A81" w:rsidRDefault="00E725F0" w:rsidP="008023D3">
      <w:pPr>
        <w:ind w:firstLine="0"/>
        <w:rPr>
          <w:rFonts w:cs="Arial"/>
          <w:b/>
          <w:szCs w:val="24"/>
        </w:rPr>
      </w:pPr>
    </w:p>
    <w:p w14:paraId="6819F7F2" w14:textId="19155014" w:rsidR="00D7508A" w:rsidRDefault="00D7508A">
      <w:pPr>
        <w:spacing w:before="0" w:after="200" w:line="276" w:lineRule="auto"/>
        <w:ind w:firstLine="0"/>
        <w:jc w:val="left"/>
        <w:rPr>
          <w:rFonts w:eastAsia="Calibri" w:cs="Arial"/>
          <w:b/>
          <w:szCs w:val="24"/>
        </w:rPr>
      </w:pPr>
      <w:bookmarkStart w:id="0" w:name="_Toc219577926"/>
    </w:p>
    <w:p w14:paraId="64A12636" w14:textId="5EAE8465" w:rsidR="00AB4DC4" w:rsidRPr="00096A81" w:rsidRDefault="00AB4DC4" w:rsidP="008023D3">
      <w:pPr>
        <w:pStyle w:val="Heading1"/>
        <w:numPr>
          <w:ilvl w:val="0"/>
          <w:numId w:val="0"/>
        </w:numPr>
        <w:jc w:val="center"/>
        <w:rPr>
          <w:rFonts w:eastAsia="Calibri" w:cs="Arial"/>
          <w:szCs w:val="24"/>
        </w:rPr>
      </w:pPr>
      <w:r w:rsidRPr="00096A81">
        <w:rPr>
          <w:rFonts w:eastAsia="Calibri" w:cs="Arial"/>
          <w:szCs w:val="24"/>
        </w:rPr>
        <w:lastRenderedPageBreak/>
        <w:t>Abstract</w:t>
      </w:r>
      <w:bookmarkEnd w:id="0"/>
    </w:p>
    <w:p w14:paraId="3676DEF5" w14:textId="4F1763B1" w:rsidR="00AB4DC4" w:rsidRPr="00096A81" w:rsidRDefault="000B1850" w:rsidP="0056185B">
      <w:pPr>
        <w:ind w:firstLine="0"/>
        <w:rPr>
          <w:rFonts w:cs="Arial"/>
          <w:szCs w:val="24"/>
        </w:rPr>
      </w:pPr>
      <w:r w:rsidRPr="00096A81">
        <w:rPr>
          <w:rFonts w:cs="Arial"/>
          <w:szCs w:val="24"/>
        </w:rPr>
        <w:t>Th</w:t>
      </w:r>
      <w:r w:rsidR="004D2F87">
        <w:rPr>
          <w:rFonts w:cs="Arial"/>
          <w:szCs w:val="24"/>
        </w:rPr>
        <w:t xml:space="preserve">e conference research </w:t>
      </w:r>
      <w:r w:rsidRPr="00096A81">
        <w:rPr>
          <w:rFonts w:cs="Arial"/>
          <w:szCs w:val="24"/>
        </w:rPr>
        <w:t>paper discusses burnout, mental-health stigma, and staff turnover as factors that are interwoven with one another to contribute to the mental-health crisis that is currently affecting the hospitality sector. Based on modern academic sources and evidence provided by the industry, it critically reviews the context of how stressful working conditions, widespread social stigmatisation, and poor organisational support destroy the well-being of employees, as well as put their retention at risk. The analysis will use a PESTEL framework to take a systematic approach in exploring the political, economic, social, technological, environmental, and legal forces that define these challenges. The results show that long working hours, economic insecurity, deep-rooted cultural values, online monitoring, post-pandemic recovery demands, and inadequate practise of duty-of-care are all contributors to burnout and turnover. The paper argues that the current industry reactions are partial and cosmetic and concludes by arguing in favour of increased enforcement of labour laws, leadership, eradication of stigma, and equitable job design to maintain health in workforces.</w:t>
      </w:r>
    </w:p>
    <w:p w14:paraId="7F80C5DC" w14:textId="77777777" w:rsidR="00AB4DC4" w:rsidRPr="00096A81" w:rsidRDefault="00AB4DC4" w:rsidP="008023D3">
      <w:pPr>
        <w:rPr>
          <w:rFonts w:cs="Arial"/>
          <w:szCs w:val="24"/>
        </w:rPr>
      </w:pPr>
    </w:p>
    <w:p w14:paraId="6ABA9AE7" w14:textId="77777777" w:rsidR="00C556C4" w:rsidRPr="00096A81" w:rsidRDefault="00C556C4" w:rsidP="008023D3">
      <w:pPr>
        <w:spacing w:before="0" w:after="200"/>
        <w:ind w:firstLine="0"/>
        <w:jc w:val="left"/>
        <w:rPr>
          <w:rFonts w:eastAsiaTheme="majorEastAsia" w:cs="Arial"/>
          <w:b/>
          <w:szCs w:val="24"/>
        </w:rPr>
      </w:pPr>
      <w:r w:rsidRPr="00096A81">
        <w:rPr>
          <w:rFonts w:cs="Arial"/>
          <w:szCs w:val="24"/>
        </w:rPr>
        <w:br w:type="page"/>
      </w:r>
    </w:p>
    <w:p w14:paraId="7BF06F6D" w14:textId="2E75B0E8" w:rsidR="00334258" w:rsidRPr="00096A81" w:rsidRDefault="00334258" w:rsidP="008023D3">
      <w:pPr>
        <w:pStyle w:val="Heading1"/>
        <w:rPr>
          <w:rFonts w:cs="Arial"/>
          <w:szCs w:val="24"/>
        </w:rPr>
      </w:pPr>
      <w:bookmarkStart w:id="1" w:name="_Toc219577927"/>
      <w:r w:rsidRPr="00096A81">
        <w:rPr>
          <w:rFonts w:cs="Arial"/>
          <w:szCs w:val="24"/>
        </w:rPr>
        <w:lastRenderedPageBreak/>
        <w:t>Introduction</w:t>
      </w:r>
      <w:bookmarkEnd w:id="1"/>
      <w:r w:rsidRPr="00096A81">
        <w:rPr>
          <w:rFonts w:cs="Arial"/>
          <w:szCs w:val="24"/>
        </w:rPr>
        <w:t xml:space="preserve"> </w:t>
      </w:r>
    </w:p>
    <w:p w14:paraId="2B7E655B" w14:textId="28648794" w:rsidR="000B1850" w:rsidRPr="00096A81" w:rsidRDefault="000B1850" w:rsidP="008023D3">
      <w:pPr>
        <w:rPr>
          <w:rFonts w:cs="Arial"/>
          <w:szCs w:val="24"/>
        </w:rPr>
      </w:pPr>
      <w:r w:rsidRPr="00096A81">
        <w:rPr>
          <w:rFonts w:cs="Arial"/>
          <w:szCs w:val="24"/>
        </w:rPr>
        <w:t>The hospitality industry is facing an intensifying mental-health crisis that is being driven by chronic burnout, endemic mental-health stigma, and unusual employee attrition. In their study, Batatyal and Das (2019) claim that modern hospitality management is challenged by persistent workforce issues such as job pressure and occupational stress that continue to deteriorate the well-being and retention. Hospitality work is not only demanding in long and irregular working hours, emotional labour, time pressure, and high customer interaction, but also exerts significant psychological pressure on an employee. Tribe</w:t>
      </w:r>
      <w:r w:rsidR="009D60D6">
        <w:rPr>
          <w:rFonts w:cs="Arial"/>
          <w:szCs w:val="24"/>
        </w:rPr>
        <w:t>,</w:t>
      </w:r>
      <w:r w:rsidRPr="00096A81">
        <w:rPr>
          <w:rFonts w:cs="Arial"/>
          <w:szCs w:val="24"/>
        </w:rPr>
        <w:t xml:space="preserve"> (2009) argues that tourism and hospitality must be analysed in ethical and humanist terms and acknowledge the well-being of the employees as one of the key factors of sustainable development of the industry. However, labour is often prioritised in the hospitality industry as the work is focused on service delivery and efficiency, at the expense of the employee, which leads to a long-term, stressful experience and detachment. </w:t>
      </w:r>
    </w:p>
    <w:p w14:paraId="3E136602" w14:textId="506122EA" w:rsidR="00334258" w:rsidRPr="00096A81" w:rsidRDefault="00332F01" w:rsidP="008023D3">
      <w:pPr>
        <w:rPr>
          <w:rFonts w:cs="Arial"/>
          <w:szCs w:val="24"/>
          <w:lang w:val="en-US"/>
        </w:rPr>
      </w:pPr>
      <w:r>
        <w:rPr>
          <w:rFonts w:cs="Arial"/>
          <w:szCs w:val="24"/>
        </w:rPr>
        <w:t>In addition to this, a</w:t>
      </w:r>
      <w:r w:rsidR="000B1850" w:rsidRPr="00096A81">
        <w:rPr>
          <w:rFonts w:cs="Arial"/>
          <w:szCs w:val="24"/>
        </w:rPr>
        <w:t>ccording to Cooper and Hall</w:t>
      </w:r>
      <w:r w:rsidR="009D60D6">
        <w:rPr>
          <w:rFonts w:cs="Arial"/>
          <w:szCs w:val="24"/>
        </w:rPr>
        <w:t>,</w:t>
      </w:r>
      <w:r w:rsidR="000B1850" w:rsidRPr="00096A81">
        <w:rPr>
          <w:rFonts w:cs="Arial"/>
          <w:szCs w:val="24"/>
        </w:rPr>
        <w:t xml:space="preserve"> (2022), precarious employment, long working hours, and emotional labour also start to influence the labour conditions, which is a significant concern in terms of employee wellbeing. Increased awareness of mental-health issues has not overcome the stigma that is core to hospitality workplace culture, promoting non-disclosure of psychological distress or even seeking support. Evidence in the industry suggests that financial insecurity is associated with stress and anxiety, as well as high turnover rates among hospitality employees Wagestream, </w:t>
      </w:r>
      <w:r w:rsidR="009D60D6">
        <w:rPr>
          <w:rFonts w:cs="Arial"/>
          <w:szCs w:val="24"/>
        </w:rPr>
        <w:t>(</w:t>
      </w:r>
      <w:r w:rsidR="000B1850" w:rsidRPr="00096A81">
        <w:rPr>
          <w:rFonts w:cs="Arial"/>
          <w:szCs w:val="24"/>
        </w:rPr>
        <w:t>2025). There is a need to investigate the issue of burnout, stigma, and turnover because they are interconnected and will help to better understand modern workforce issues and develop sustainable policies that will help improve the health of the personnel, the quality of the services provided, and the performance of the organisation.</w:t>
      </w:r>
    </w:p>
    <w:p w14:paraId="2B930674" w14:textId="33B80A30" w:rsidR="00AB4DC4" w:rsidRPr="00096A81" w:rsidRDefault="00AB4DC4" w:rsidP="008023D3">
      <w:pPr>
        <w:pStyle w:val="Heading1"/>
        <w:rPr>
          <w:rFonts w:eastAsia="Calibri" w:cs="Arial"/>
          <w:szCs w:val="24"/>
        </w:rPr>
      </w:pPr>
      <w:bookmarkStart w:id="2" w:name="_Toc219577928"/>
      <w:r w:rsidRPr="00096A81">
        <w:rPr>
          <w:rFonts w:eastAsia="Calibri" w:cs="Arial"/>
          <w:szCs w:val="24"/>
        </w:rPr>
        <w:t>Literature Review</w:t>
      </w:r>
      <w:bookmarkEnd w:id="2"/>
    </w:p>
    <w:p w14:paraId="11AFB9F4" w14:textId="1D7D83D5" w:rsidR="008302A0" w:rsidRPr="00096A81" w:rsidRDefault="00F73CC8" w:rsidP="008023D3">
      <w:pPr>
        <w:pStyle w:val="Heading2"/>
        <w:rPr>
          <w:rFonts w:cs="Arial"/>
          <w:szCs w:val="24"/>
        </w:rPr>
      </w:pPr>
      <w:bookmarkStart w:id="3" w:name="_Toc219577929"/>
      <w:r w:rsidRPr="00096A81">
        <w:rPr>
          <w:rFonts w:cs="Arial"/>
          <w:szCs w:val="24"/>
        </w:rPr>
        <w:t>Burnout in the Hospitality Workforce</w:t>
      </w:r>
      <w:bookmarkEnd w:id="3"/>
    </w:p>
    <w:p w14:paraId="0EDDD525" w14:textId="44EA6AE5" w:rsidR="004B3D11" w:rsidRPr="00096A81" w:rsidRDefault="000B1850" w:rsidP="008023D3">
      <w:pPr>
        <w:rPr>
          <w:rFonts w:cs="Arial"/>
          <w:szCs w:val="24"/>
        </w:rPr>
      </w:pPr>
      <w:r w:rsidRPr="00096A81">
        <w:rPr>
          <w:rFonts w:cs="Arial"/>
          <w:szCs w:val="24"/>
        </w:rPr>
        <w:t xml:space="preserve">It is a well-known fact that burnout is an important effect of extended job stress in hospitality settings. It is generally characterised by emotional exhaustion, </w:t>
      </w:r>
      <w:r w:rsidRPr="00096A81">
        <w:rPr>
          <w:rFonts w:cs="Arial"/>
          <w:szCs w:val="24"/>
        </w:rPr>
        <w:lastRenderedPageBreak/>
        <w:t xml:space="preserve">depersonalisation and diminished personal accomplishment- aspects that are common in service-intensive settings. The empirical evidence is always clear that job stress is a significant contributor to burnout and turnover intentions in hospitality industry employees, mainly in a low job security situation. According to Yoo (2023), the main stressors that negatively influence the psychological well-being in hospitality work are emotional labour, workload intensity, and time pressure. Salama et al. (2022) demonstrate that work stress management and maintenance in a hotel setting have a direct impact on the development of burnout, which subsequently significantly leads to employee turnover intentions. </w:t>
      </w:r>
    </w:p>
    <w:p w14:paraId="74AD48A1" w14:textId="3036412A" w:rsidR="00F73CC8" w:rsidRPr="00096A81" w:rsidRDefault="00284AA2" w:rsidP="008023D3">
      <w:pPr>
        <w:rPr>
          <w:rFonts w:cs="Arial"/>
          <w:szCs w:val="24"/>
          <w:lang w:val="en-US"/>
        </w:rPr>
      </w:pPr>
      <w:r>
        <w:rPr>
          <w:rFonts w:cs="Arial"/>
          <w:szCs w:val="24"/>
        </w:rPr>
        <w:t xml:space="preserve">Moreover, </w:t>
      </w:r>
      <w:r w:rsidR="000B1850" w:rsidRPr="00096A81">
        <w:rPr>
          <w:rFonts w:cs="Arial"/>
          <w:szCs w:val="24"/>
        </w:rPr>
        <w:t>Jung et al. (2022) also emphasise that the problem of emotional exhaustion in hotel workers is aggravated by psychological isolation and a lack of recovery spaces, which supports the fact that burnout is cumulative. These pressures have been increased by post-pandemic labour gaps</w:t>
      </w:r>
      <w:r w:rsidR="003F5D2A" w:rsidRPr="00096A81">
        <w:rPr>
          <w:rFonts w:cs="Arial"/>
          <w:szCs w:val="24"/>
        </w:rPr>
        <w:t>,</w:t>
      </w:r>
      <w:r w:rsidR="000B1850" w:rsidRPr="00096A81">
        <w:rPr>
          <w:rFonts w:cs="Arial"/>
          <w:szCs w:val="24"/>
        </w:rPr>
        <w:t xml:space="preserve"> understaffing raises workloads and emotional burdens on the remaining staff. Park and Jang (2024)</w:t>
      </w:r>
      <w:r w:rsidR="00664D03">
        <w:rPr>
          <w:rFonts w:cs="Arial"/>
          <w:szCs w:val="24"/>
        </w:rPr>
        <w:t>,</w:t>
      </w:r>
      <w:r w:rsidR="000B1850" w:rsidRPr="00096A81">
        <w:rPr>
          <w:rFonts w:cs="Arial"/>
          <w:szCs w:val="24"/>
        </w:rPr>
        <w:t xml:space="preserve"> discovered that high job demands and a lack of adequate psychological resources lead to high levels of burnout and turnover intention among hotel employees, which negatively impact on the well-being of the employees and the quality of the services. This fact proves the thesis that burnout in hospitality is a structural response to the high demands of the job, lack of autonomy, and support of the organisation, instead of personal inability.</w:t>
      </w:r>
    </w:p>
    <w:p w14:paraId="79E88EBC" w14:textId="69B8BCA7" w:rsidR="008302A0" w:rsidRPr="00096A81" w:rsidRDefault="00F73CC8" w:rsidP="008023D3">
      <w:pPr>
        <w:pStyle w:val="Heading2"/>
        <w:rPr>
          <w:rFonts w:cs="Arial"/>
          <w:szCs w:val="24"/>
        </w:rPr>
      </w:pPr>
      <w:bookmarkStart w:id="4" w:name="_Toc219577930"/>
      <w:r w:rsidRPr="00096A81">
        <w:rPr>
          <w:rFonts w:cs="Arial"/>
          <w:szCs w:val="24"/>
        </w:rPr>
        <w:t>Mental Health Stigma in Hospitality Settings</w:t>
      </w:r>
      <w:bookmarkEnd w:id="4"/>
    </w:p>
    <w:p w14:paraId="3943C688" w14:textId="574C60F4" w:rsidR="00F73CC8" w:rsidRPr="00096A81" w:rsidRDefault="000B1850" w:rsidP="008023D3">
      <w:pPr>
        <w:rPr>
          <w:rFonts w:cs="Arial"/>
          <w:szCs w:val="24"/>
          <w:lang w:val="en-US"/>
        </w:rPr>
      </w:pPr>
      <w:r w:rsidRPr="00096A81">
        <w:rPr>
          <w:rFonts w:cs="Arial"/>
          <w:szCs w:val="24"/>
        </w:rPr>
        <w:t xml:space="preserve">Mental-health stigma is one of the biggest barriers to burnout in the hospitality industry. According to Ghazali et al. (2024), stigma is one of the decisive factors that result in employees not getting early assistance in dealing with stress and mental issues. The workplace environment of hospitality can tend to create resilience and endurance cultures, which normalise stress and view mental-health disclosure as a weakness. This discourages a free conversation and continues the silence on mental distress. It has been shown that the stigma is most acute among frontline, junior, and migrant employees, who might be worried about losing their jobs or getting shorter working hours in case of revealing mental-health issues. Wavei et al. (2025) believe that frontline hotel workers have to face overwhelming emotional and cognitive stress, which </w:t>
      </w:r>
      <w:r w:rsidRPr="00096A81">
        <w:rPr>
          <w:rFonts w:cs="Arial"/>
          <w:szCs w:val="24"/>
        </w:rPr>
        <w:lastRenderedPageBreak/>
        <w:t xml:space="preserve">can have devastating consequences on wellbeing in case of organisational insufficiency. </w:t>
      </w:r>
    </w:p>
    <w:p w14:paraId="457A5C1E" w14:textId="022CC27E" w:rsidR="008302A0" w:rsidRPr="00096A81" w:rsidRDefault="00F73CC8" w:rsidP="008023D3">
      <w:pPr>
        <w:pStyle w:val="Heading2"/>
        <w:rPr>
          <w:rFonts w:cs="Arial"/>
          <w:szCs w:val="24"/>
        </w:rPr>
      </w:pPr>
      <w:bookmarkStart w:id="5" w:name="_Toc219577931"/>
      <w:r w:rsidRPr="00096A81">
        <w:rPr>
          <w:rFonts w:cs="Arial"/>
          <w:szCs w:val="24"/>
        </w:rPr>
        <w:t>Staff Turnover and Organisational Consequences</w:t>
      </w:r>
      <w:bookmarkEnd w:id="5"/>
    </w:p>
    <w:p w14:paraId="7023F26A" w14:textId="3B6289F6" w:rsidR="000B1850" w:rsidRPr="00096A81" w:rsidRDefault="000B1850" w:rsidP="008023D3">
      <w:pPr>
        <w:rPr>
          <w:rFonts w:cs="Arial"/>
          <w:szCs w:val="24"/>
        </w:rPr>
      </w:pPr>
      <w:r w:rsidRPr="00096A81">
        <w:rPr>
          <w:rFonts w:cs="Arial"/>
          <w:szCs w:val="24"/>
        </w:rPr>
        <w:t xml:space="preserve">Staff turnover has always been a characteristic of the hospitality industry, but recent studies have questioned its acceptability. According to Michael and Fotiadis (2022), considering high turnover as a normal situation covers the underlying issues associated with the manifestation of stress, burnout, and the lack of support on a mental level. Xu et al. (2022) discovered that work-life quality is a high contributor to turnover intentions in hospitality, which is why the management practises are crucial in promoting well-being. As shown by Baquero (2023), the connection between burnout and intention to quit is enhanced by psychological distress and financial insecurity, which show how economic vulnerability exacerbates the effect of mental health. </w:t>
      </w:r>
    </w:p>
    <w:p w14:paraId="309BF7A1" w14:textId="15B4AFC7" w:rsidR="000A6D19" w:rsidRPr="00096A81" w:rsidRDefault="000B1850" w:rsidP="008023D3">
      <w:pPr>
        <w:rPr>
          <w:rFonts w:cs="Arial"/>
          <w:szCs w:val="24"/>
          <w:lang w:val="en-US"/>
        </w:rPr>
      </w:pPr>
      <w:r w:rsidRPr="00096A81">
        <w:rPr>
          <w:rFonts w:cs="Arial"/>
          <w:szCs w:val="24"/>
        </w:rPr>
        <w:t>As Biswakarma et al. (2024) demonstrate, workplace bullying significantly raises turnover intentions of employees within the hospitality sector due to its tendency to aggravate mental pressure, emotional burnout, and feelings of an unsafe workplace. Data available in the industry reports that the turnover rates in the hospitality industry are often above 70</w:t>
      </w:r>
      <w:r w:rsidR="00F4584F">
        <w:rPr>
          <w:rFonts w:cs="Arial"/>
          <w:szCs w:val="24"/>
        </w:rPr>
        <w:t>%</w:t>
      </w:r>
      <w:r w:rsidRPr="00096A81">
        <w:rPr>
          <w:rFonts w:cs="Arial"/>
          <w:szCs w:val="24"/>
        </w:rPr>
        <w:t xml:space="preserve"> creating high costs in recruitment, a lack of service consistency, and more pressure on the remaining staff. According to Nafees et al. (2024), disengagement expresses itself in the long-term of employees, which is closely correlated with poor workplace wellbeing. In addition, Costa and Costa (2023) argue that hospitality requires long-term competitiveness through sustainable workforce practises.</w:t>
      </w:r>
      <w:r w:rsidR="006104ED" w:rsidRPr="00096A81">
        <w:rPr>
          <w:rFonts w:cs="Arial"/>
          <w:szCs w:val="24"/>
        </w:rPr>
        <w:t xml:space="preserve"> </w:t>
      </w:r>
    </w:p>
    <w:p w14:paraId="14B23355" w14:textId="676E11F6" w:rsidR="00AB4DC4" w:rsidRPr="00096A81" w:rsidRDefault="00AB4DC4" w:rsidP="008023D3">
      <w:pPr>
        <w:pStyle w:val="Heading1"/>
        <w:rPr>
          <w:rFonts w:eastAsia="Calibri" w:cs="Arial"/>
          <w:szCs w:val="24"/>
        </w:rPr>
      </w:pPr>
      <w:bookmarkStart w:id="6" w:name="_Toc219577932"/>
      <w:r w:rsidRPr="00096A81">
        <w:rPr>
          <w:rFonts w:eastAsia="Calibri" w:cs="Arial"/>
          <w:szCs w:val="24"/>
        </w:rPr>
        <w:t>Method</w:t>
      </w:r>
      <w:bookmarkEnd w:id="6"/>
    </w:p>
    <w:p w14:paraId="08112CEB" w14:textId="03E77977" w:rsidR="003161CE" w:rsidRPr="00096A81" w:rsidRDefault="00F4584F" w:rsidP="008023D3">
      <w:pPr>
        <w:rPr>
          <w:rFonts w:cs="Arial"/>
          <w:szCs w:val="24"/>
          <w:lang w:val="en-US"/>
        </w:rPr>
      </w:pPr>
      <w:r>
        <w:rPr>
          <w:rFonts w:cs="Arial"/>
          <w:szCs w:val="24"/>
          <w:lang w:val="en-US"/>
        </w:rPr>
        <w:t>It is certain that f</w:t>
      </w:r>
      <w:r w:rsidR="003161CE" w:rsidRPr="00096A81">
        <w:rPr>
          <w:rFonts w:cs="Arial"/>
          <w:szCs w:val="24"/>
          <w:lang w:val="en-US"/>
        </w:rPr>
        <w:t xml:space="preserve">or the purpose of this inquiry, a qualitative research approach has been used, which is based on a thorough evaluation of the available academic literature and industry reporting. Through the use of search phrases that included the following, the publications that were published between the years 2019 and 2025 were collected from databases such as Google Scholar and Scopus. The search terms that were used included burnout, stigma, work stress, and staff turnover. Journals that have </w:t>
      </w:r>
      <w:r w:rsidR="003161CE" w:rsidRPr="00096A81">
        <w:rPr>
          <w:rFonts w:cs="Arial"/>
          <w:szCs w:val="24"/>
          <w:lang w:val="en-US"/>
        </w:rPr>
        <w:lastRenderedPageBreak/>
        <w:t>been subjected to peer review, reports from the industry, and publications from organi</w:t>
      </w:r>
      <w:r w:rsidR="008023D3" w:rsidRPr="00096A81">
        <w:rPr>
          <w:rFonts w:cs="Arial"/>
          <w:szCs w:val="24"/>
          <w:lang w:val="en-US"/>
        </w:rPr>
        <w:t>s</w:t>
      </w:r>
      <w:r w:rsidR="003161CE" w:rsidRPr="00096A81">
        <w:rPr>
          <w:rFonts w:cs="Arial"/>
          <w:szCs w:val="24"/>
          <w:lang w:val="en-US"/>
        </w:rPr>
        <w:t>ations that are of a high quality were used as the foundation for selecting articles based on their pertinentness, credibility, and compliance with the objectives of the study.</w:t>
      </w:r>
    </w:p>
    <w:p w14:paraId="52EFD88B" w14:textId="7AEC60D2" w:rsidR="002F73D4" w:rsidRPr="00096A81" w:rsidRDefault="00F4584F" w:rsidP="008023D3">
      <w:pPr>
        <w:rPr>
          <w:rFonts w:cs="Arial"/>
          <w:szCs w:val="24"/>
        </w:rPr>
      </w:pPr>
      <w:r>
        <w:rPr>
          <w:rFonts w:cs="Arial"/>
          <w:szCs w:val="24"/>
        </w:rPr>
        <w:t>Moreover, t</w:t>
      </w:r>
      <w:r w:rsidR="000B1850" w:rsidRPr="00096A81">
        <w:rPr>
          <w:rFonts w:cs="Arial"/>
          <w:szCs w:val="24"/>
        </w:rPr>
        <w:t xml:space="preserve">he thematic analysis was performed to identify the patterns and interrelations that were repeated across the content, especially the ones that connected job requirements, mental health stigma, burnout, and turnover outcomes. </w:t>
      </w:r>
      <w:r w:rsidR="003161CE" w:rsidRPr="00096A81">
        <w:rPr>
          <w:rFonts w:cs="Arial"/>
          <w:szCs w:val="24"/>
          <w:lang w:val="en-US"/>
        </w:rPr>
        <w:t>The job-expectations-resource framework served as a source of inspiration for the interpretative process, which made it possible to investigate the impact that high demands and a dearth of psychological resources have on the well-being and retention of workers. A design like this made it possible to compare the many hospitality settings, such as hotels, restaurants, and food-service operations, and it led to an overall understanding of the mental-health problem that is now occurring in the workforce of the hospitality industry.</w:t>
      </w:r>
    </w:p>
    <w:p w14:paraId="35E4C04E" w14:textId="483E66D8" w:rsidR="00AB4DC4" w:rsidRDefault="00AB4DC4" w:rsidP="008023D3">
      <w:pPr>
        <w:pStyle w:val="Heading1"/>
        <w:rPr>
          <w:rFonts w:eastAsia="Calibri" w:cs="Arial"/>
          <w:szCs w:val="24"/>
        </w:rPr>
      </w:pPr>
      <w:bookmarkStart w:id="7" w:name="_Toc219577933"/>
      <w:r w:rsidRPr="00096A81">
        <w:rPr>
          <w:rFonts w:eastAsia="Calibri" w:cs="Arial"/>
          <w:szCs w:val="24"/>
        </w:rPr>
        <w:t xml:space="preserve">Theme </w:t>
      </w:r>
      <w:r w:rsidR="00F1492B" w:rsidRPr="00096A81">
        <w:rPr>
          <w:rFonts w:eastAsia="Calibri" w:cs="Arial"/>
          <w:szCs w:val="24"/>
        </w:rPr>
        <w:t>Impact Analysis</w:t>
      </w:r>
      <w:bookmarkEnd w:id="7"/>
    </w:p>
    <w:p w14:paraId="2CD32FC5" w14:textId="77777777" w:rsidR="00EF1746" w:rsidRPr="00F95E5B" w:rsidRDefault="00EF1746" w:rsidP="00EF1746">
      <w:pPr>
        <w:pStyle w:val="Heading1"/>
      </w:pPr>
      <w:r w:rsidRPr="00F95E5B">
        <w:t>Theme Impact Analysis Using the STAR Framework</w:t>
      </w:r>
    </w:p>
    <w:p w14:paraId="3CDC6BD0" w14:textId="77777777" w:rsidR="00EF1746" w:rsidRPr="00F95E5B" w:rsidRDefault="00EF1746" w:rsidP="00EF1746">
      <w:pPr>
        <w:pStyle w:val="Heading3"/>
      </w:pPr>
      <w:r w:rsidRPr="00F95E5B">
        <w:t>Situation</w:t>
      </w:r>
    </w:p>
    <w:p w14:paraId="6F20DCD5" w14:textId="110C09F5" w:rsidR="00EF1746" w:rsidRPr="00F95E5B" w:rsidRDefault="008E2A13" w:rsidP="00EF1746">
      <w:r w:rsidRPr="008E2A13">
        <w:t xml:space="preserve">Hospitality industry is characterised by long working hours, high levels of emotional labour, chronic labour shortage and high level of interaction with the customers. The increased workloads have been experienced in the backdrop of the post-COVID recovery pressures, and the stigma of mental health is deeply rooted in the organisational cultures, thus discouraging the open discussion and help-seeking behaviour Feltmann et al., </w:t>
      </w:r>
      <w:r w:rsidR="009D6100">
        <w:t>(</w:t>
      </w:r>
      <w:r w:rsidRPr="008E2A13">
        <w:t>2023).</w:t>
      </w:r>
    </w:p>
    <w:p w14:paraId="5AC4C227" w14:textId="77777777" w:rsidR="00EF1746" w:rsidRPr="00F95E5B" w:rsidRDefault="00EF1746" w:rsidP="00EF1746">
      <w:pPr>
        <w:pStyle w:val="Heading3"/>
      </w:pPr>
      <w:r w:rsidRPr="00F95E5B">
        <w:t>Task</w:t>
      </w:r>
    </w:p>
    <w:p w14:paraId="495925DD" w14:textId="6E3E22B5" w:rsidR="00EF1746" w:rsidRPr="00F95E5B" w:rsidRDefault="008E2A13" w:rsidP="00EF1746">
      <w:r w:rsidRPr="008E2A13">
        <w:t>The hospitality organisations have to face two categories of challenges: first, the need to maintain the quality of the services and the stability of operations</w:t>
      </w:r>
      <w:r w:rsidR="00A427B7">
        <w:t>. S</w:t>
      </w:r>
      <w:r w:rsidRPr="008E2A13">
        <w:t>econd</w:t>
      </w:r>
      <w:r w:rsidR="00A427B7">
        <w:t>ly</w:t>
      </w:r>
      <w:r w:rsidRPr="008E2A13">
        <w:t xml:space="preserve">, the increasing rates of burnout, the stigma of mental health, and the increased turnover of </w:t>
      </w:r>
      <w:r w:rsidRPr="008E2A13">
        <w:lastRenderedPageBreak/>
        <w:t xml:space="preserve">the staff, which threatens to impact the sustainability of the workforce Salama et al., </w:t>
      </w:r>
      <w:r w:rsidR="00055A35">
        <w:t>(</w:t>
      </w:r>
      <w:r w:rsidRPr="008E2A13">
        <w:t>2022).</w:t>
      </w:r>
    </w:p>
    <w:p w14:paraId="7C0E6500" w14:textId="77777777" w:rsidR="00EF1746" w:rsidRPr="00F95E5B" w:rsidRDefault="00EF1746" w:rsidP="00EF1746">
      <w:pPr>
        <w:pStyle w:val="Heading3"/>
      </w:pPr>
      <w:r w:rsidRPr="00F95E5B">
        <w:t>Action</w:t>
      </w:r>
    </w:p>
    <w:p w14:paraId="4F45A969" w14:textId="6B81B590" w:rsidR="00EF1746" w:rsidRPr="00F95E5B" w:rsidRDefault="008E2A13" w:rsidP="00EF1746">
      <w:r w:rsidRPr="008E2A13">
        <w:t>In response to these concerns, organisations have established wellbeing policies, employee assistance programmes, flexible working hours and mental-health awareness programmes. Some of them have also added wellness and leadership development programmes to strengthen supportive management practises Saito et al., </w:t>
      </w:r>
      <w:r w:rsidR="000E402B">
        <w:t>(</w:t>
      </w:r>
      <w:r w:rsidRPr="008E2A13">
        <w:t>2025). However, such interventions often remain in a reactive form, intermittent and often more geared towards individual coping mechanisms and not a total redesign of working structures.</w:t>
      </w:r>
      <w:r w:rsidR="00F95E5B" w:rsidRPr="00F95E5B">
        <w:t xml:space="preserve"> </w:t>
      </w:r>
    </w:p>
    <w:p w14:paraId="3E80F716" w14:textId="77777777" w:rsidR="00EF1746" w:rsidRPr="00F95E5B" w:rsidRDefault="00EF1746" w:rsidP="00EF1746">
      <w:pPr>
        <w:pStyle w:val="Heading3"/>
      </w:pPr>
      <w:r w:rsidRPr="00F95E5B">
        <w:t>Result</w:t>
      </w:r>
    </w:p>
    <w:p w14:paraId="4D9D7660" w14:textId="657047A1" w:rsidR="00EF1746" w:rsidRPr="00EF1746" w:rsidRDefault="008E2A13" w:rsidP="00EF1746">
      <w:r w:rsidRPr="008E2A13">
        <w:t>Although there is improved awareness due to such efforts, the general effect is still minimal. Burnout and turnover remain a problem that can be explained by the unaddressed underlying factors, including understaffing, employment insecurity, and increased performance demands. The existing solutions cannot bring lasting changes to the wellbeing and staff retention of employees in the hospitality industry unless the organisation undergoes significant, organisation-wide change to reduce job pressures and mental-health support becomes standardised Dean et al.,</w:t>
      </w:r>
      <w:r>
        <w:rPr>
          <w:rFonts w:cs="Arial"/>
        </w:rPr>
        <w:t xml:space="preserve"> </w:t>
      </w:r>
      <w:r w:rsidR="00B14F87">
        <w:rPr>
          <w:rFonts w:cs="Arial"/>
        </w:rPr>
        <w:t>(</w:t>
      </w:r>
      <w:r w:rsidRPr="008E2A13">
        <w:t>2025).</w:t>
      </w:r>
    </w:p>
    <w:p w14:paraId="36E1A326" w14:textId="50FB94E4" w:rsidR="003B2DB6" w:rsidRPr="00096A81" w:rsidRDefault="003B2DB6" w:rsidP="008023D3">
      <w:pPr>
        <w:pStyle w:val="Heading2"/>
        <w:rPr>
          <w:rFonts w:cs="Arial"/>
          <w:szCs w:val="24"/>
        </w:rPr>
      </w:pPr>
      <w:bookmarkStart w:id="8" w:name="_Toc219577934"/>
      <w:r w:rsidRPr="00096A81">
        <w:rPr>
          <w:rFonts w:cs="Arial"/>
          <w:szCs w:val="24"/>
        </w:rPr>
        <w:t>PESTEL Analysis of the Mental Health Crisis in Hospitality</w:t>
      </w:r>
      <w:bookmarkEnd w:id="8"/>
    </w:p>
    <w:p w14:paraId="243C45E4" w14:textId="77777777" w:rsidR="002D35AF" w:rsidRPr="00096A81" w:rsidRDefault="002D35AF" w:rsidP="008023D3">
      <w:pPr>
        <w:pStyle w:val="Heading3"/>
        <w:rPr>
          <w:rFonts w:cs="Arial"/>
        </w:rPr>
      </w:pPr>
      <w:bookmarkStart w:id="9" w:name="_Toc219577935"/>
      <w:r w:rsidRPr="00096A81">
        <w:rPr>
          <w:rFonts w:cs="Arial"/>
        </w:rPr>
        <w:t>Political Factors: Labour Laws and Wellbeing Policies</w:t>
      </w:r>
      <w:bookmarkEnd w:id="9"/>
    </w:p>
    <w:p w14:paraId="375201E3" w14:textId="2FFC4F20" w:rsidR="002D35AF" w:rsidRPr="00096A81" w:rsidRDefault="000B1850" w:rsidP="008023D3">
      <w:pPr>
        <w:rPr>
          <w:rFonts w:cs="Arial"/>
          <w:szCs w:val="24"/>
        </w:rPr>
      </w:pPr>
      <w:r w:rsidRPr="00096A81">
        <w:rPr>
          <w:rFonts w:cs="Arial"/>
          <w:szCs w:val="24"/>
        </w:rPr>
        <w:t xml:space="preserve">The politics and regulations that influence the management of mental-health in the hospitality industry are determined by politics and regulations. Labour law, which stipulates the working time and rest time, is supposed to reduce the strain among workers, but this has not been enforced all the time. Prolonged working hours are common in peak-season operations as a result of labour supply shortages and the commonality of non-binding and contractual relationships. According to Liang et al. (2025), mental aspects of work stress, emotional exhaustion, and perceived organisational pressure are the main factors that determine the rate of turnover within </w:t>
      </w:r>
      <w:r w:rsidRPr="00096A81">
        <w:rPr>
          <w:rFonts w:cs="Arial"/>
          <w:szCs w:val="24"/>
        </w:rPr>
        <w:lastRenderedPageBreak/>
        <w:t xml:space="preserve">the luxury hotel setting. Despite the well-being policies that provide mental-health awareness to the government, they are usually generic and not well-coordinated to the realities of hospitality work, thus tolerating the excessive working hours and burnout to continue. </w:t>
      </w:r>
    </w:p>
    <w:p w14:paraId="601F34EF" w14:textId="77777777" w:rsidR="002D35AF" w:rsidRPr="00096A81" w:rsidRDefault="002D35AF" w:rsidP="008023D3">
      <w:pPr>
        <w:pStyle w:val="Heading3"/>
        <w:rPr>
          <w:rFonts w:cs="Arial"/>
        </w:rPr>
      </w:pPr>
      <w:bookmarkStart w:id="10" w:name="_Toc219577936"/>
      <w:r w:rsidRPr="00096A81">
        <w:rPr>
          <w:rFonts w:cs="Arial"/>
        </w:rPr>
        <w:t>Economic Factors: Wages and Cost-of-Living Pressure</w:t>
      </w:r>
      <w:bookmarkEnd w:id="10"/>
    </w:p>
    <w:p w14:paraId="283E9C01" w14:textId="1E6FA222" w:rsidR="002D35AF" w:rsidRPr="00096A81" w:rsidRDefault="000B1850" w:rsidP="008023D3">
      <w:pPr>
        <w:rPr>
          <w:rFonts w:cs="Arial"/>
          <w:szCs w:val="24"/>
        </w:rPr>
      </w:pPr>
      <w:r w:rsidRPr="00096A81">
        <w:rPr>
          <w:rFonts w:cs="Arial"/>
          <w:szCs w:val="24"/>
        </w:rPr>
        <w:t xml:space="preserve">Economic pressure is one of the main predictors of burnout and turnover. As shown by Unguren et al. (2024), financial dependence also enhances the psychological impacts of job stress, which in turn empowers emotional distress and attrition. It has also been demonstrated by Danzer and Zeidler (2025) that economic pressure combined with decision fatigue only worsens the level of stress, especially in low-wage situations. Industrial evidence suggests that financial insecurity is directly connected with stress, anxiety and the rates of turnover, in particular, when the cost of living increases and the employees have to work extra hours or are forced to have more than one job. </w:t>
      </w:r>
    </w:p>
    <w:p w14:paraId="04F38A6A" w14:textId="77777777" w:rsidR="002D35AF" w:rsidRPr="00096A81" w:rsidRDefault="002D35AF" w:rsidP="008023D3">
      <w:pPr>
        <w:pStyle w:val="Heading3"/>
        <w:rPr>
          <w:rFonts w:cs="Arial"/>
        </w:rPr>
      </w:pPr>
      <w:bookmarkStart w:id="11" w:name="_Toc219577937"/>
      <w:r w:rsidRPr="00096A81">
        <w:rPr>
          <w:rFonts w:cs="Arial"/>
        </w:rPr>
        <w:t>Social Factors: Mental Health Stigma and Workforce Values</w:t>
      </w:r>
      <w:bookmarkEnd w:id="11"/>
    </w:p>
    <w:p w14:paraId="0E11B2E4" w14:textId="7247E66B" w:rsidR="002D35AF" w:rsidRPr="00096A81" w:rsidRDefault="000B1850" w:rsidP="008023D3">
      <w:pPr>
        <w:rPr>
          <w:rFonts w:cs="Arial"/>
          <w:szCs w:val="24"/>
        </w:rPr>
      </w:pPr>
      <w:r w:rsidRPr="00096A81">
        <w:rPr>
          <w:rFonts w:cs="Arial"/>
          <w:szCs w:val="24"/>
        </w:rPr>
        <w:t>Hospitality social norms have a greater impact on experiences with mental-health. The continued stigma supports the ideas of fortitude and endurance, and the resulting weakness is frequently denied. The younger employees who seek work-life balance and mental safety often disagree with the traditional hospitality cultures. Hospitality Action (2024) notes that the increased working hours, financial issues, and job insecurity are driving a growing mental-health epidemic. Leadership behaviour is critical in either increasing or creating a free and welcoming workplace culture.</w:t>
      </w:r>
    </w:p>
    <w:p w14:paraId="58089903" w14:textId="77777777" w:rsidR="002D35AF" w:rsidRPr="00096A81" w:rsidRDefault="002D35AF" w:rsidP="008023D3">
      <w:pPr>
        <w:pStyle w:val="Heading3"/>
        <w:rPr>
          <w:rFonts w:cs="Arial"/>
        </w:rPr>
      </w:pPr>
      <w:bookmarkStart w:id="12" w:name="_Toc219577938"/>
      <w:r w:rsidRPr="00096A81">
        <w:rPr>
          <w:rFonts w:cs="Arial"/>
        </w:rPr>
        <w:t>Technological Factors: Digitalisation and Monitoring</w:t>
      </w:r>
      <w:bookmarkEnd w:id="12"/>
    </w:p>
    <w:p w14:paraId="5CE2ED2B" w14:textId="5307D6B7" w:rsidR="002D35AF" w:rsidRPr="00096A81" w:rsidRDefault="000B1850" w:rsidP="008023D3">
      <w:pPr>
        <w:rPr>
          <w:rFonts w:cs="Arial"/>
          <w:szCs w:val="24"/>
        </w:rPr>
      </w:pPr>
      <w:r w:rsidRPr="00096A81">
        <w:rPr>
          <w:rFonts w:cs="Arial"/>
          <w:szCs w:val="24"/>
        </w:rPr>
        <w:t xml:space="preserve">The digitisation of the hospitality processes led to the emergence of new stressors. Checking the use of digital monitoring and performance-measurement systems, Chkonya (2021) states that it may increase the pressure and feelings of anxiety when implemented wrongly. Constant live evaluation through the use of guest reviews and performance measures can have detrimental effects on psychological health. Although technology can be beneficial to the increase of efficiency and wellbeing </w:t>
      </w:r>
      <w:r w:rsidRPr="00096A81">
        <w:rPr>
          <w:rFonts w:cs="Arial"/>
          <w:szCs w:val="24"/>
        </w:rPr>
        <w:lastRenderedPageBreak/>
        <w:t xml:space="preserve">programmes, its implementation is under a critical issue of fair application and sufficient management skills. </w:t>
      </w:r>
      <w:r w:rsidR="006104ED" w:rsidRPr="00096A81">
        <w:rPr>
          <w:rFonts w:cs="Arial"/>
          <w:szCs w:val="24"/>
        </w:rPr>
        <w:t xml:space="preserve"> </w:t>
      </w:r>
    </w:p>
    <w:p w14:paraId="08B165BD" w14:textId="77777777" w:rsidR="002D35AF" w:rsidRPr="00096A81" w:rsidRDefault="002D35AF" w:rsidP="008023D3">
      <w:pPr>
        <w:pStyle w:val="Heading3"/>
        <w:rPr>
          <w:rFonts w:cs="Arial"/>
        </w:rPr>
      </w:pPr>
      <w:bookmarkStart w:id="13" w:name="_Toc219577939"/>
      <w:r w:rsidRPr="00096A81">
        <w:rPr>
          <w:rFonts w:cs="Arial"/>
        </w:rPr>
        <w:t>Environmental Factors: Post-Pandemic Recovery Pressure</w:t>
      </w:r>
      <w:bookmarkEnd w:id="13"/>
    </w:p>
    <w:p w14:paraId="1898B258" w14:textId="1F573902" w:rsidR="002D35AF" w:rsidRPr="00096A81" w:rsidRDefault="000B1850" w:rsidP="008023D3">
      <w:pPr>
        <w:rPr>
          <w:rFonts w:cs="Arial"/>
          <w:szCs w:val="24"/>
          <w:lang w:val="en-US"/>
        </w:rPr>
      </w:pPr>
      <w:r w:rsidRPr="00096A81">
        <w:rPr>
          <w:rFonts w:cs="Arial"/>
          <w:szCs w:val="24"/>
        </w:rPr>
        <w:t xml:space="preserve">The work pressure in hospitality organisations has heightened following the recovery after the pandemic. Numerous organisations have quickly reopened with fewer employees, and this has imposed more operational and emotional labour strains. According to Sociaci et al. (2020), work intensity is enhanced in environments that are focused on efficiency, thus adding to fatigue and stress indirectly. The presence of uncertainties and the need to maintain the quality of services are still shaping the burnout and turnover outcomes. </w:t>
      </w:r>
    </w:p>
    <w:p w14:paraId="34FE93AA" w14:textId="77777777" w:rsidR="002D35AF" w:rsidRPr="00096A81" w:rsidRDefault="002D35AF" w:rsidP="008023D3">
      <w:pPr>
        <w:pStyle w:val="Heading3"/>
        <w:rPr>
          <w:rFonts w:cs="Arial"/>
        </w:rPr>
      </w:pPr>
      <w:bookmarkStart w:id="14" w:name="_Toc219577940"/>
      <w:r w:rsidRPr="00096A81">
        <w:rPr>
          <w:rFonts w:cs="Arial"/>
        </w:rPr>
        <w:t>Legal Factors: Duty of Care and Mental Health Legislation</w:t>
      </w:r>
      <w:bookmarkEnd w:id="14"/>
    </w:p>
    <w:p w14:paraId="26993D23" w14:textId="15C54AE0" w:rsidR="00853FF4" w:rsidRPr="00096A81" w:rsidRDefault="000B1850" w:rsidP="00EF1746">
      <w:pPr>
        <w:rPr>
          <w:rFonts w:cs="Arial"/>
          <w:szCs w:val="24"/>
        </w:rPr>
      </w:pPr>
      <w:r w:rsidRPr="00096A81">
        <w:rPr>
          <w:rFonts w:cs="Arial"/>
          <w:szCs w:val="24"/>
        </w:rPr>
        <w:t>The employers have the legal obligation of care of ensuring they protect the health of the employees, including mental health. However, physical safety in the context of hospitality is usually given more priority than mental well-being. Clegg et al. (2021) argue that over-performance pressure may degenerate the long-term value creation by harming employee well-being. Although legislation in mental-health has increased, its efficacy is impaired unless the leadership effort is concentrated because the current systems have performance gaps.</w:t>
      </w:r>
    </w:p>
    <w:p w14:paraId="113EB547" w14:textId="3B303C53" w:rsidR="00AB4DC4" w:rsidRPr="00096A81" w:rsidRDefault="00AB4DC4" w:rsidP="008023D3">
      <w:pPr>
        <w:pStyle w:val="Heading1"/>
        <w:rPr>
          <w:rFonts w:eastAsia="Calibri" w:cs="Arial"/>
          <w:szCs w:val="24"/>
        </w:rPr>
      </w:pPr>
      <w:bookmarkStart w:id="15" w:name="_Toc219577941"/>
      <w:r w:rsidRPr="00096A81">
        <w:rPr>
          <w:rFonts w:eastAsia="Calibri" w:cs="Arial"/>
          <w:szCs w:val="24"/>
        </w:rPr>
        <w:t>Conclusion</w:t>
      </w:r>
      <w:bookmarkEnd w:id="15"/>
    </w:p>
    <w:p w14:paraId="7EA39825" w14:textId="3638BA31" w:rsidR="006B0545" w:rsidRPr="00096A81" w:rsidRDefault="00075ACB" w:rsidP="008023D3">
      <w:pPr>
        <w:rPr>
          <w:rFonts w:cs="Arial"/>
          <w:szCs w:val="24"/>
        </w:rPr>
      </w:pPr>
      <w:r>
        <w:rPr>
          <w:rFonts w:cs="Arial"/>
          <w:szCs w:val="24"/>
        </w:rPr>
        <w:t>It is concluded that t</w:t>
      </w:r>
      <w:r w:rsidR="000B1850" w:rsidRPr="00096A81">
        <w:rPr>
          <w:rFonts w:cs="Arial"/>
          <w:szCs w:val="24"/>
        </w:rPr>
        <w:t>he current discussion has delved into the multifaceted interconnections between burnout, mental-health stigma, and staff turnover in the hospitality industry, explaining why the three aspects of concern are making up the current mental-health crisis. Using the PESTEL analytical lens, it has been established how political, economic, social, technological, environmental, and legal factors combine to increase employee stress and interrupt employee continuity. The above empirical evidence, therefore, highlights the necessity of strengthened labour regulation, personnel leadership frameworks that focus on the welfare of employees, destigmati</w:t>
      </w:r>
      <w:r w:rsidR="008023D3" w:rsidRPr="00096A81">
        <w:rPr>
          <w:rFonts w:cs="Arial"/>
          <w:szCs w:val="24"/>
          <w:lang w:val="en-US"/>
        </w:rPr>
        <w:t>s</w:t>
      </w:r>
      <w:r w:rsidR="000B1850" w:rsidRPr="00096A81">
        <w:rPr>
          <w:rFonts w:cs="Arial"/>
          <w:szCs w:val="24"/>
        </w:rPr>
        <w:t xml:space="preserve">ation measures, and balanced organisational activities as key factors in building morale, service quality, and retention in the long term. It is estimated that such </w:t>
      </w:r>
      <w:r w:rsidR="000B1850" w:rsidRPr="00096A81">
        <w:rPr>
          <w:rFonts w:cs="Arial"/>
          <w:szCs w:val="24"/>
        </w:rPr>
        <w:lastRenderedPageBreak/>
        <w:t>interventions would strengthen the resilience of the workforce, enhance service delivery, and maintain the competitive positions of hospitality entities, both globally and locally, and increase the stakeholder value.</w:t>
      </w:r>
      <w:r w:rsidR="003B6E98" w:rsidRPr="00096A81">
        <w:rPr>
          <w:rFonts w:cs="Arial"/>
          <w:szCs w:val="24"/>
        </w:rPr>
        <w:t xml:space="preserve"> </w:t>
      </w:r>
    </w:p>
    <w:p w14:paraId="60D7D22A" w14:textId="11C04800" w:rsidR="00A84D87" w:rsidRPr="00096A81" w:rsidRDefault="00AB4DC4" w:rsidP="008023D3">
      <w:pPr>
        <w:pStyle w:val="Heading1"/>
        <w:rPr>
          <w:rFonts w:eastAsia="Calibri" w:cs="Arial"/>
          <w:szCs w:val="24"/>
        </w:rPr>
      </w:pPr>
      <w:bookmarkStart w:id="16" w:name="_Toc219577942"/>
      <w:r w:rsidRPr="00096A81">
        <w:rPr>
          <w:rFonts w:eastAsia="Calibri" w:cs="Arial"/>
          <w:szCs w:val="24"/>
        </w:rPr>
        <w:t>Recommendations</w:t>
      </w:r>
      <w:bookmarkEnd w:id="16"/>
    </w:p>
    <w:p w14:paraId="5A9A6559" w14:textId="702EF746" w:rsidR="00A925F6" w:rsidRPr="00096A81" w:rsidRDefault="006B0545" w:rsidP="008023D3">
      <w:pPr>
        <w:pStyle w:val="Heading2"/>
        <w:rPr>
          <w:rFonts w:cs="Arial"/>
          <w:szCs w:val="24"/>
        </w:rPr>
      </w:pPr>
      <w:bookmarkStart w:id="17" w:name="_Toc219577943"/>
      <w:r w:rsidRPr="00096A81">
        <w:rPr>
          <w:rFonts w:cs="Arial"/>
          <w:szCs w:val="24"/>
        </w:rPr>
        <w:t>Organisational Strategies for Reducing Burnout</w:t>
      </w:r>
      <w:bookmarkEnd w:id="17"/>
    </w:p>
    <w:p w14:paraId="46883C73" w14:textId="1B6FE1D2" w:rsidR="006B0545" w:rsidRPr="00096A81" w:rsidRDefault="000B1850" w:rsidP="008023D3">
      <w:pPr>
        <w:rPr>
          <w:rFonts w:cs="Arial"/>
          <w:szCs w:val="24"/>
        </w:rPr>
      </w:pPr>
      <w:r w:rsidRPr="00096A81">
        <w:rPr>
          <w:rFonts w:cs="Arial"/>
          <w:szCs w:val="24"/>
        </w:rPr>
        <w:t xml:space="preserve">Burnout as an issue within the hospitality organisations is a phenomenon that requires the redesign of task structures and workload intensity regulation to alleviate the negative implications. Multinational hotel chains have demonstrated empirically that equal distribution of shifts, sufficient staffing ratios, and rest intervals planned properly will significantly reduce physical and emotional fatigue Salama et al., </w:t>
      </w:r>
      <w:r w:rsidR="00B252E6">
        <w:rPr>
          <w:rFonts w:cs="Arial"/>
          <w:szCs w:val="24"/>
        </w:rPr>
        <w:t>(</w:t>
      </w:r>
      <w:r w:rsidRPr="00096A81">
        <w:rPr>
          <w:rFonts w:cs="Arial"/>
          <w:szCs w:val="24"/>
        </w:rPr>
        <w:t>2022). The introduction of the compressed workweek and flexible rostering, supported by the case-study results, has positive effects on employee vitality and job satisfaction. The identification of burnout risk factors at early stages, as well as supportive, as opposed to punitive, managerial responses, is dependent on increased leadership competence and awareness Yoo, </w:t>
      </w:r>
      <w:r w:rsidR="00996DDC">
        <w:rPr>
          <w:rFonts w:cs="Arial"/>
          <w:szCs w:val="24"/>
        </w:rPr>
        <w:t>(</w:t>
      </w:r>
      <w:r w:rsidRPr="00096A81">
        <w:rPr>
          <w:rFonts w:cs="Arial"/>
          <w:szCs w:val="24"/>
        </w:rPr>
        <w:t>2023). Rotational assignments that take employees out of high-emotional-labour conditions can also protect the mental health and maintain service delivery, whereas sustained regular checks of job demands and resilience training enhance organisational readiness to sector turbulence.</w:t>
      </w:r>
      <w:r w:rsidR="003B6E98" w:rsidRPr="00096A81">
        <w:rPr>
          <w:rFonts w:cs="Arial"/>
          <w:szCs w:val="24"/>
        </w:rPr>
        <w:t xml:space="preserve"> </w:t>
      </w:r>
    </w:p>
    <w:p w14:paraId="31BD2851" w14:textId="40C0802C" w:rsidR="00A925F6" w:rsidRPr="00096A81" w:rsidRDefault="006B0545" w:rsidP="008023D3">
      <w:pPr>
        <w:pStyle w:val="Heading2"/>
        <w:rPr>
          <w:rFonts w:cs="Arial"/>
          <w:szCs w:val="24"/>
        </w:rPr>
      </w:pPr>
      <w:bookmarkStart w:id="18" w:name="_Toc219577944"/>
      <w:r w:rsidRPr="00096A81">
        <w:rPr>
          <w:rFonts w:cs="Arial"/>
          <w:szCs w:val="24"/>
        </w:rPr>
        <w:t>Reducing Mental Health Stigma in the Workplace</w:t>
      </w:r>
      <w:bookmarkEnd w:id="18"/>
    </w:p>
    <w:p w14:paraId="2425CB13" w14:textId="1ACF72EE" w:rsidR="006B0545" w:rsidRPr="00096A81" w:rsidRDefault="00FE5993" w:rsidP="008023D3">
      <w:pPr>
        <w:rPr>
          <w:rFonts w:cs="Arial"/>
          <w:szCs w:val="24"/>
          <w:lang w:val="en-US"/>
        </w:rPr>
      </w:pPr>
      <w:r>
        <w:rPr>
          <w:rFonts w:cs="Arial"/>
          <w:szCs w:val="24"/>
        </w:rPr>
        <w:t>It is certain that</w:t>
      </w:r>
      <w:r w:rsidR="000B1850" w:rsidRPr="00096A81">
        <w:rPr>
          <w:rFonts w:cs="Arial"/>
          <w:szCs w:val="24"/>
        </w:rPr>
        <w:t xml:space="preserve"> to reduce the stigma that surrounds mental-health, hospitality organisations should develop the existence of clear and favourable organisational cultures. The impact of Leadership behaviour is significant on the aspect of normative attitudes towards psychological wellbeing making it rather apparent that the act of open communication normalises the mental-health discussions and mitigates concerns about disclosure Ghazali et al., </w:t>
      </w:r>
      <w:r w:rsidR="00647AD9">
        <w:rPr>
          <w:rFonts w:cs="Arial"/>
          <w:szCs w:val="24"/>
        </w:rPr>
        <w:t>(</w:t>
      </w:r>
      <w:r w:rsidR="000B1850" w:rsidRPr="00096A81">
        <w:rPr>
          <w:rFonts w:cs="Arial"/>
          <w:szCs w:val="24"/>
        </w:rPr>
        <w:t>2024).</w:t>
      </w:r>
      <w:r w:rsidR="00AD71A3">
        <w:rPr>
          <w:rFonts w:cs="Arial"/>
          <w:szCs w:val="24"/>
        </w:rPr>
        <w:t xml:space="preserve"> </w:t>
      </w:r>
      <w:r w:rsidR="000B1850" w:rsidRPr="00096A81">
        <w:rPr>
          <w:rFonts w:cs="Arial"/>
          <w:szCs w:val="24"/>
        </w:rPr>
        <w:t>There is more trust and increased employee engagement in hotels that have mental-health awareness programmes and confidential support channels. Employee assistance programmes and confidential counselling are most effective when they are supported by the strong legal and ethical protection of the privacy of employees Wavei et al.,</w:t>
      </w:r>
      <w:r w:rsidR="00647AD9">
        <w:rPr>
          <w:rFonts w:cs="Arial"/>
          <w:szCs w:val="24"/>
        </w:rPr>
        <w:t>(</w:t>
      </w:r>
      <w:r w:rsidR="000B1850" w:rsidRPr="00096A81">
        <w:rPr>
          <w:rFonts w:cs="Arial"/>
          <w:szCs w:val="24"/>
        </w:rPr>
        <w:t xml:space="preserve">2025). Indeed, the process of reinforcing the idea of </w:t>
      </w:r>
      <w:r w:rsidR="000B1850" w:rsidRPr="00096A81">
        <w:rPr>
          <w:rFonts w:cs="Arial"/>
          <w:szCs w:val="24"/>
        </w:rPr>
        <w:lastRenderedPageBreak/>
        <w:t>seeking support, contributing to the reduction of stigma, prompting early intervention and strengthening long-term organisational resilience will further reduce stigma.</w:t>
      </w:r>
    </w:p>
    <w:p w14:paraId="6A2D3327" w14:textId="63105EFE" w:rsidR="00A925F6" w:rsidRPr="00096A81" w:rsidRDefault="006B0545" w:rsidP="008023D3">
      <w:pPr>
        <w:pStyle w:val="Heading2"/>
        <w:rPr>
          <w:rFonts w:cs="Arial"/>
          <w:szCs w:val="24"/>
        </w:rPr>
      </w:pPr>
      <w:bookmarkStart w:id="19" w:name="_Toc219577945"/>
      <w:r w:rsidRPr="00096A81">
        <w:rPr>
          <w:rFonts w:cs="Arial"/>
          <w:szCs w:val="24"/>
        </w:rPr>
        <w:t>Improving Retention and Workforce Stability</w:t>
      </w:r>
      <w:bookmarkEnd w:id="19"/>
    </w:p>
    <w:p w14:paraId="7D2A93D6" w14:textId="392159A8" w:rsidR="00334258" w:rsidRPr="00D80437" w:rsidRDefault="00393464" w:rsidP="00D80437">
      <w:pPr>
        <w:rPr>
          <w:rFonts w:cs="Arial"/>
          <w:szCs w:val="24"/>
          <w:lang w:val="en-US"/>
        </w:rPr>
      </w:pPr>
      <w:r>
        <w:rPr>
          <w:rFonts w:cs="Arial"/>
          <w:szCs w:val="24"/>
        </w:rPr>
        <w:t>It is certain that t</w:t>
      </w:r>
      <w:r w:rsidR="000B1850" w:rsidRPr="00096A81">
        <w:rPr>
          <w:rFonts w:cs="Arial"/>
          <w:szCs w:val="24"/>
        </w:rPr>
        <w:t>o reduce staff turnover, hospitality organisations ought to combine well-being programmes with specific retention programmes. Regular studies have shown that career development plans, mentoring programmes, and fair reward systems have a tremendous impact on increasing organisational commitment and employee retention Xu et al.,</w:t>
      </w:r>
      <w:r w:rsidR="00475630">
        <w:rPr>
          <w:rFonts w:cs="Arial"/>
          <w:szCs w:val="24"/>
        </w:rPr>
        <w:t xml:space="preserve"> </w:t>
      </w:r>
      <w:r w:rsidR="00A61BD9">
        <w:rPr>
          <w:rFonts w:cs="Arial"/>
          <w:szCs w:val="24"/>
        </w:rPr>
        <w:t>(</w:t>
      </w:r>
      <w:r w:rsidR="000B1850" w:rsidRPr="00096A81">
        <w:rPr>
          <w:rFonts w:cs="Arial"/>
          <w:szCs w:val="24"/>
        </w:rPr>
        <w:t>2022). Hotels that support work-life balance and psychological well-being record low turnover intention and excellent workforce stability. Making mental-health values part of the core-corporate strategy but not regarding mental-health as a peripheral policy is an enhancement of long-term resilience and competitiveness Baquero, </w:t>
      </w:r>
      <w:r w:rsidR="00E357E5">
        <w:rPr>
          <w:rFonts w:cs="Arial"/>
          <w:szCs w:val="24"/>
        </w:rPr>
        <w:t>(</w:t>
      </w:r>
      <w:r w:rsidR="000B1850" w:rsidRPr="00096A81">
        <w:rPr>
          <w:rFonts w:cs="Arial"/>
          <w:szCs w:val="24"/>
        </w:rPr>
        <w:t>2023). The proactive retention practises and the continued performance in competitive hospitality markets is further supported by the application of data-driven workforce analytics to predict well-being and anticipate workforce needs ahead.</w:t>
      </w:r>
    </w:p>
    <w:p w14:paraId="5445B108" w14:textId="77777777" w:rsidR="006B78FC" w:rsidRDefault="006B78FC">
      <w:pPr>
        <w:spacing w:before="0" w:after="200" w:line="276" w:lineRule="auto"/>
        <w:ind w:firstLine="0"/>
        <w:jc w:val="left"/>
        <w:rPr>
          <w:rFonts w:eastAsiaTheme="majorEastAsia" w:cs="Arial"/>
          <w:b/>
          <w:szCs w:val="24"/>
        </w:rPr>
      </w:pPr>
      <w:bookmarkStart w:id="20" w:name="_Toc219577946"/>
      <w:r>
        <w:rPr>
          <w:rFonts w:cs="Arial"/>
          <w:szCs w:val="24"/>
        </w:rPr>
        <w:br w:type="page"/>
      </w:r>
    </w:p>
    <w:p w14:paraId="20764496" w14:textId="33E7877E" w:rsidR="00DB04E1" w:rsidRPr="00096A81" w:rsidRDefault="00334258" w:rsidP="008023D3">
      <w:pPr>
        <w:pStyle w:val="Heading1"/>
        <w:jc w:val="center"/>
        <w:rPr>
          <w:rFonts w:cs="Arial"/>
          <w:szCs w:val="24"/>
        </w:rPr>
      </w:pPr>
      <w:r w:rsidRPr="00096A81">
        <w:rPr>
          <w:rFonts w:cs="Arial"/>
          <w:szCs w:val="24"/>
        </w:rPr>
        <w:lastRenderedPageBreak/>
        <w:t>References</w:t>
      </w:r>
      <w:bookmarkEnd w:id="20"/>
    </w:p>
    <w:p w14:paraId="5AD74A55" w14:textId="77777777" w:rsidR="0010117F" w:rsidRPr="00F95E5B" w:rsidRDefault="0010117F" w:rsidP="004475BC">
      <w:pPr>
        <w:pStyle w:val="NormalWeb"/>
        <w:spacing w:line="360" w:lineRule="auto"/>
        <w:ind w:left="720" w:hanging="720"/>
        <w:jc w:val="both"/>
      </w:pPr>
      <w:r w:rsidRPr="00F95E5B">
        <w:t xml:space="preserve">Baquero, A. (2023) ‘Hotel employees’ burnout and intention to quit: the role of psychological distress and financial well-being in a moderation mediation model’, </w:t>
      </w:r>
      <w:r w:rsidRPr="00F95E5B">
        <w:rPr>
          <w:rStyle w:val="Emphasis"/>
          <w:rFonts w:eastAsiaTheme="majorEastAsia"/>
        </w:rPr>
        <w:t>Behavioral Sciences</w:t>
      </w:r>
      <w:r w:rsidRPr="00F95E5B">
        <w:t xml:space="preserve">, 13(2), p. 84. Available at: </w:t>
      </w:r>
      <w:hyperlink r:id="rId8" w:tgtFrame="_new" w:history="1">
        <w:r w:rsidRPr="00F95E5B">
          <w:rPr>
            <w:rStyle w:val="Hyperlink"/>
            <w:rFonts w:eastAsiaTheme="majorEastAsia"/>
          </w:rPr>
          <w:t>https://www.mdpi.com/2076-328X/13/2/84</w:t>
        </w:r>
      </w:hyperlink>
      <w:r w:rsidRPr="00F95E5B">
        <w:t xml:space="preserve"> (Accessed: 17 January 2026).</w:t>
      </w:r>
    </w:p>
    <w:p w14:paraId="104B896E" w14:textId="77777777" w:rsidR="0010117F" w:rsidRPr="00F95E5B" w:rsidRDefault="0010117F" w:rsidP="004475BC">
      <w:pPr>
        <w:pStyle w:val="NormalWeb"/>
        <w:spacing w:line="360" w:lineRule="auto"/>
        <w:ind w:left="720" w:hanging="720"/>
        <w:jc w:val="both"/>
      </w:pPr>
      <w:r w:rsidRPr="00F95E5B">
        <w:t xml:space="preserve">Batatyal, D. and Das, D.K. (eds.) (2019) </w:t>
      </w:r>
      <w:r w:rsidRPr="00F95E5B">
        <w:rPr>
          <w:rStyle w:val="Emphasis"/>
          <w:rFonts w:eastAsiaTheme="majorEastAsia"/>
        </w:rPr>
        <w:t>Global trends, practices, and challenges in contemporary tourism and hospitality management</w:t>
      </w:r>
      <w:r w:rsidRPr="00F95E5B">
        <w:t xml:space="preserve">. Hershey, PA: Business Science Reference (IGI Global). Available at: </w:t>
      </w:r>
      <w:hyperlink r:id="rId9" w:history="1">
        <w:r w:rsidRPr="00F95E5B">
          <w:rPr>
            <w:rStyle w:val="Hyperlink"/>
          </w:rPr>
          <w:t>https://www.researchgate.net/profile/Jose-Vargas-Hernandez/publication/318001165_The_FIBRAs_As_a_Tool_for_Investment_Diversification_in_Mexican_Hotel_Sector_The_Case_of_FIBRA_Inn.pdf</w:t>
        </w:r>
      </w:hyperlink>
      <w:r w:rsidRPr="00F95E5B">
        <w:t xml:space="preserve">  (Accessed: 17 January 2026).</w:t>
      </w:r>
    </w:p>
    <w:p w14:paraId="3CE3FFAD" w14:textId="77777777" w:rsidR="0010117F" w:rsidRPr="00F95E5B" w:rsidRDefault="0010117F" w:rsidP="004475BC">
      <w:pPr>
        <w:pStyle w:val="NormalWeb"/>
        <w:spacing w:line="360" w:lineRule="auto"/>
        <w:ind w:left="720" w:hanging="720"/>
        <w:jc w:val="both"/>
      </w:pPr>
      <w:r w:rsidRPr="00F95E5B">
        <w:t xml:space="preserve">Biswakarma, G., Aithal, P.S., Singh, S.K., Gnawali, A. and Ghimire, J. (2024) ‘Workplace bullying and employees’ turnover intention in the hospitality industry’, </w:t>
      </w:r>
      <w:r w:rsidRPr="00F95E5B">
        <w:rPr>
          <w:rStyle w:val="Emphasis"/>
          <w:rFonts w:eastAsiaTheme="majorEastAsia"/>
        </w:rPr>
        <w:t>Cogent Business &amp; Management</w:t>
      </w:r>
      <w:r w:rsidRPr="00F95E5B">
        <w:t xml:space="preserve">, 11(1), 2317197. Available at: </w:t>
      </w:r>
      <w:hyperlink r:id="rId10" w:tgtFrame="_new" w:history="1">
        <w:r w:rsidRPr="00F95E5B">
          <w:rPr>
            <w:rStyle w:val="Hyperlink"/>
            <w:rFonts w:eastAsiaTheme="majorEastAsia"/>
          </w:rPr>
          <w:t>https://www.tandfonline.com/doi/pdf/10.1080/23311975.2024.2317197</w:t>
        </w:r>
      </w:hyperlink>
      <w:r w:rsidRPr="00F95E5B">
        <w:t xml:space="preserve"> (Accessed: 17 January 2026).</w:t>
      </w:r>
    </w:p>
    <w:p w14:paraId="11D46AF7" w14:textId="77777777" w:rsidR="0010117F" w:rsidRPr="00F95E5B" w:rsidRDefault="0010117F" w:rsidP="004475BC">
      <w:pPr>
        <w:pStyle w:val="NormalWeb"/>
        <w:spacing w:line="360" w:lineRule="auto"/>
        <w:ind w:left="720" w:hanging="720"/>
        <w:jc w:val="both"/>
      </w:pPr>
      <w:r w:rsidRPr="00F95E5B">
        <w:t xml:space="preserve">Chkonya, V. (ed.) (2021) </w:t>
      </w:r>
      <w:r w:rsidRPr="00F95E5B">
        <w:rPr>
          <w:rStyle w:val="Emphasis"/>
          <w:rFonts w:eastAsiaTheme="majorEastAsia"/>
        </w:rPr>
        <w:t>Handbook of research on applied data science and artificial intelligence in business and industry</w:t>
      </w:r>
      <w:r w:rsidRPr="00F95E5B">
        <w:t>. Hershey, PA: IGI Global. Available at: https://books.google.com.pk/books?id=jRw6EAAAQBAJ (Accessed: 17 January 2026).</w:t>
      </w:r>
    </w:p>
    <w:p w14:paraId="1D18346A" w14:textId="77777777" w:rsidR="0010117F" w:rsidRPr="00F95E5B" w:rsidRDefault="0010117F" w:rsidP="004475BC">
      <w:pPr>
        <w:pStyle w:val="NormalWeb"/>
        <w:spacing w:line="360" w:lineRule="auto"/>
        <w:ind w:left="720" w:hanging="720"/>
        <w:jc w:val="both"/>
      </w:pPr>
      <w:r w:rsidRPr="00F95E5B">
        <w:t xml:space="preserve">Clegg, S.R., Skyttermoen, T. and Vaagaasar, A.L. (2021) </w:t>
      </w:r>
      <w:r w:rsidRPr="00F95E5B">
        <w:rPr>
          <w:rStyle w:val="Emphasis"/>
          <w:rFonts w:eastAsiaTheme="majorEastAsia"/>
        </w:rPr>
        <w:t>Project management: a value creation approach</w:t>
      </w:r>
      <w:r w:rsidRPr="00F95E5B">
        <w:t xml:space="preserve">. London: Sage. Available at: </w:t>
      </w:r>
      <w:hyperlink r:id="rId11" w:tgtFrame="_new" w:history="1">
        <w:r w:rsidRPr="00F95E5B">
          <w:rPr>
            <w:rStyle w:val="Hyperlink"/>
            <w:rFonts w:eastAsiaTheme="majorEastAsia"/>
          </w:rPr>
          <w:t>https://www.researchgate.net/publication/371225862_Project_Management_-_A_Value_Creation_Approach</w:t>
        </w:r>
      </w:hyperlink>
      <w:r w:rsidRPr="00F95E5B">
        <w:t xml:space="preserve"> (Accessed: 17 January 2026).</w:t>
      </w:r>
    </w:p>
    <w:p w14:paraId="449F8034" w14:textId="77777777" w:rsidR="0010117F" w:rsidRPr="00F95E5B" w:rsidRDefault="0010117F" w:rsidP="004475BC">
      <w:pPr>
        <w:pStyle w:val="NormalWeb"/>
        <w:spacing w:line="360" w:lineRule="auto"/>
        <w:ind w:left="720" w:hanging="720"/>
        <w:jc w:val="both"/>
      </w:pPr>
      <w:r w:rsidRPr="00F95E5B">
        <w:t xml:space="preserve">Cooper, C. and Hall, C.M. (2022) </w:t>
      </w:r>
      <w:r w:rsidRPr="00F95E5B">
        <w:rPr>
          <w:rStyle w:val="Emphasis"/>
          <w:rFonts w:eastAsiaTheme="majorEastAsia"/>
        </w:rPr>
        <w:t>Contemporary tourism: an international approach</w:t>
      </w:r>
      <w:r w:rsidRPr="00F95E5B">
        <w:t xml:space="preserve">. Oxford: Goodfellow Publishers. Available at: </w:t>
      </w:r>
      <w:hyperlink r:id="rId12" w:tgtFrame="_new" w:history="1">
        <w:r w:rsidRPr="00F95E5B">
          <w:rPr>
            <w:rStyle w:val="Hyperlink"/>
            <w:rFonts w:eastAsiaTheme="majorEastAsia"/>
          </w:rPr>
          <w:t>https://www.goodfellowpublishers.com/free_files/Preface,%20contents%20and%20copyright-49fb75618a791b44632d1b317a8d7aa8.pdf</w:t>
        </w:r>
      </w:hyperlink>
      <w:r w:rsidRPr="00F95E5B">
        <w:t xml:space="preserve"> (Accessed: 17 January 2026).</w:t>
      </w:r>
    </w:p>
    <w:p w14:paraId="36061F7C" w14:textId="77777777" w:rsidR="0010117F" w:rsidRPr="00F95E5B" w:rsidRDefault="0010117F" w:rsidP="004475BC">
      <w:pPr>
        <w:pStyle w:val="NormalWeb"/>
        <w:spacing w:line="360" w:lineRule="auto"/>
        <w:ind w:left="720" w:hanging="720"/>
        <w:jc w:val="both"/>
      </w:pPr>
      <w:r w:rsidRPr="00F95E5B">
        <w:t xml:space="preserve">Costa, J. and Costa, C. (eds.) (2023) </w:t>
      </w:r>
      <w:r w:rsidRPr="00F95E5B">
        <w:rPr>
          <w:rStyle w:val="Emphasis"/>
          <w:rFonts w:eastAsiaTheme="majorEastAsia"/>
        </w:rPr>
        <w:t>Sustainability and competitiveness in the hospitality industry</w:t>
      </w:r>
      <w:r w:rsidRPr="00F95E5B">
        <w:t xml:space="preserve">. Hershey, PA: Business Science Reference. Available at: </w:t>
      </w:r>
      <w:hyperlink r:id="rId13" w:tgtFrame="_new" w:history="1">
        <w:r w:rsidRPr="00F95E5B">
          <w:rPr>
            <w:rStyle w:val="Hyperlink"/>
            <w:rFonts w:eastAsiaTheme="majorEastAsia"/>
          </w:rPr>
          <w:t>https://www.asau.ru/files/pdf/3312733.pdf</w:t>
        </w:r>
      </w:hyperlink>
      <w:r w:rsidRPr="00F95E5B">
        <w:t xml:space="preserve"> (Accessed: 17 January 2026).</w:t>
      </w:r>
    </w:p>
    <w:p w14:paraId="23F2B4A9" w14:textId="77777777" w:rsidR="0010117F" w:rsidRPr="00F95E5B" w:rsidRDefault="0010117F" w:rsidP="004475BC">
      <w:pPr>
        <w:pStyle w:val="NormalWeb"/>
        <w:spacing w:line="360" w:lineRule="auto"/>
        <w:ind w:left="720" w:hanging="720"/>
        <w:jc w:val="both"/>
      </w:pPr>
      <w:r w:rsidRPr="00F95E5B">
        <w:t xml:space="preserve">Danzer, A. and Zeidler, H. (2025) ‘Food waste and dynamic inconsistency: a behavioral economics perspective’, </w:t>
      </w:r>
      <w:r w:rsidRPr="00F95E5B">
        <w:rPr>
          <w:rStyle w:val="Emphasis"/>
          <w:rFonts w:eastAsiaTheme="majorEastAsia"/>
        </w:rPr>
        <w:t>SSRN Working Paper</w:t>
      </w:r>
      <w:r w:rsidRPr="00F95E5B">
        <w:t xml:space="preserve">. Available at: </w:t>
      </w:r>
      <w:hyperlink r:id="rId14" w:tgtFrame="_new" w:history="1">
        <w:r w:rsidRPr="00F95E5B">
          <w:rPr>
            <w:rStyle w:val="Hyperlink"/>
            <w:rFonts w:eastAsiaTheme="majorEastAsia"/>
          </w:rPr>
          <w:t>https://papers.ssrn.com/sol3/Delivery.cfm?abstractid=5208074</w:t>
        </w:r>
      </w:hyperlink>
      <w:r w:rsidRPr="00F95E5B">
        <w:t xml:space="preserve"> (Accessed: 17 January 2026).</w:t>
      </w:r>
    </w:p>
    <w:p w14:paraId="31097E5A" w14:textId="77777777" w:rsidR="0010117F" w:rsidRPr="00F95E5B" w:rsidRDefault="0010117F" w:rsidP="0010117F">
      <w:pPr>
        <w:ind w:left="720" w:hanging="720"/>
        <w:rPr>
          <w:rFonts w:eastAsia="Times New Roman" w:cs="Arial"/>
          <w:szCs w:val="24"/>
          <w:lang w:val="en-US" w:eastAsia="en-GB"/>
        </w:rPr>
      </w:pPr>
      <w:r w:rsidRPr="0010117F">
        <w:rPr>
          <w:rFonts w:eastAsia="Times New Roman" w:cs="Arial"/>
          <w:szCs w:val="24"/>
          <w:lang w:val="en-US" w:eastAsia="en-GB"/>
        </w:rPr>
        <w:t xml:space="preserve">Dean, D., Kumar, S. and Kumar, S. (2025) ‘Workplace well-being and staff retention in the hospitality industry’, </w:t>
      </w:r>
      <w:r w:rsidRPr="0010117F">
        <w:rPr>
          <w:rFonts w:eastAsia="Times New Roman" w:cs="Arial"/>
          <w:i/>
          <w:iCs/>
          <w:szCs w:val="24"/>
          <w:lang w:val="en-US" w:eastAsia="en-GB"/>
        </w:rPr>
        <w:t>International Journal of Tourism and Hotel Management</w:t>
      </w:r>
      <w:r w:rsidRPr="0010117F">
        <w:rPr>
          <w:rFonts w:eastAsia="Times New Roman" w:cs="Arial"/>
          <w:szCs w:val="24"/>
          <w:lang w:val="en-US" w:eastAsia="en-GB"/>
        </w:rPr>
        <w:t xml:space="preserve">, 7(1), pp. 160–169. Available at: </w:t>
      </w:r>
      <w:hyperlink r:id="rId15" w:tgtFrame="_new" w:history="1">
        <w:r w:rsidRPr="0010117F">
          <w:rPr>
            <w:rStyle w:val="Hyperlink"/>
            <w:rFonts w:eastAsia="Times New Roman" w:cs="Arial"/>
            <w:szCs w:val="24"/>
            <w:lang w:val="en-US" w:eastAsia="en-GB"/>
          </w:rPr>
          <w:t>https://www.tourismjournal.net/article/view/145/7-1-44</w:t>
        </w:r>
      </w:hyperlink>
      <w:r w:rsidRPr="0010117F">
        <w:rPr>
          <w:rFonts w:eastAsia="Times New Roman" w:cs="Arial"/>
          <w:szCs w:val="24"/>
          <w:lang w:val="en-US" w:eastAsia="en-GB"/>
        </w:rPr>
        <w:t xml:space="preserve"> (Accessed: 6 February 2026).</w:t>
      </w:r>
    </w:p>
    <w:p w14:paraId="54411D0F" w14:textId="77777777" w:rsidR="0010117F" w:rsidRPr="0010117F" w:rsidRDefault="0010117F" w:rsidP="0010117F">
      <w:pPr>
        <w:ind w:left="720" w:hanging="720"/>
        <w:rPr>
          <w:rFonts w:eastAsia="Times New Roman" w:cs="Arial"/>
          <w:szCs w:val="24"/>
          <w:lang w:val="en-US" w:eastAsia="en-GB"/>
        </w:rPr>
      </w:pPr>
      <w:r w:rsidRPr="0010117F">
        <w:rPr>
          <w:rFonts w:eastAsia="Times New Roman" w:cs="Arial"/>
          <w:szCs w:val="24"/>
          <w:lang w:val="en-US" w:eastAsia="en-GB"/>
        </w:rPr>
        <w:t xml:space="preserve">Feltmann, K., Gustafsson, N.-K., Elgán, T.H., Gripenberg, J. and Kvillemo, P. (2023) ‘Effects of the COVID-19 pandemic on mental health, working, and life situation of employees in the Swedish hospitality industry’, </w:t>
      </w:r>
      <w:r w:rsidRPr="0010117F">
        <w:rPr>
          <w:rFonts w:eastAsia="Times New Roman" w:cs="Arial"/>
          <w:i/>
          <w:iCs/>
          <w:szCs w:val="24"/>
          <w:lang w:val="en-US" w:eastAsia="en-GB"/>
        </w:rPr>
        <w:t>Frontiers in Public Health</w:t>
      </w:r>
      <w:r w:rsidRPr="0010117F">
        <w:rPr>
          <w:rFonts w:eastAsia="Times New Roman" w:cs="Arial"/>
          <w:szCs w:val="24"/>
          <w:lang w:val="en-US" w:eastAsia="en-GB"/>
        </w:rPr>
        <w:t xml:space="preserve">, 11, pp. 1–15. Available at: </w:t>
      </w:r>
      <w:hyperlink r:id="rId16" w:tgtFrame="_new" w:history="1">
        <w:r w:rsidRPr="0010117F">
          <w:rPr>
            <w:rStyle w:val="Hyperlink"/>
            <w:rFonts w:eastAsia="Times New Roman" w:cs="Arial"/>
            <w:szCs w:val="24"/>
            <w:lang w:val="en-US" w:eastAsia="en-GB"/>
          </w:rPr>
          <w:t>https://www.frontiersin.org/articles/10.3389/fpubh.2023.1178847/full</w:t>
        </w:r>
      </w:hyperlink>
      <w:r w:rsidRPr="0010117F">
        <w:rPr>
          <w:rFonts w:eastAsia="Times New Roman" w:cs="Arial"/>
          <w:szCs w:val="24"/>
          <w:lang w:val="en-US" w:eastAsia="en-GB"/>
        </w:rPr>
        <w:t xml:space="preserve"> (Accessed: 6 February 2026).</w:t>
      </w:r>
    </w:p>
    <w:p w14:paraId="6104A489" w14:textId="77777777" w:rsidR="0010117F" w:rsidRPr="00F95E5B" w:rsidRDefault="0010117F" w:rsidP="004475BC">
      <w:pPr>
        <w:pStyle w:val="NormalWeb"/>
        <w:spacing w:line="360" w:lineRule="auto"/>
        <w:ind w:left="720" w:hanging="720"/>
        <w:jc w:val="both"/>
      </w:pPr>
      <w:r w:rsidRPr="00F95E5B">
        <w:t xml:space="preserve">Ghazali, H., Mohamad, S.F., Othman, M.A.R. and Ishak, M. (2024) ‘Hospitality employees’ mental health issues: a review’, </w:t>
      </w:r>
      <w:r w:rsidRPr="00F95E5B">
        <w:rPr>
          <w:rStyle w:val="Emphasis"/>
          <w:rFonts w:eastAsiaTheme="majorEastAsia"/>
        </w:rPr>
        <w:t>International Journal of Academic Research in Business and Social Sciences</w:t>
      </w:r>
      <w:r w:rsidRPr="00F95E5B">
        <w:t xml:space="preserve">, 14(7), pp. 239–252. Available at: </w:t>
      </w:r>
      <w:hyperlink r:id="rId17" w:tgtFrame="_new" w:history="1">
        <w:r w:rsidRPr="00F95E5B">
          <w:rPr>
            <w:rStyle w:val="Hyperlink"/>
            <w:rFonts w:eastAsiaTheme="majorEastAsia"/>
          </w:rPr>
          <w:t>https://kwpublications.com/papers_submitted/10895/hospitality-employees-mental-health-issues-a-review.pdf</w:t>
        </w:r>
      </w:hyperlink>
      <w:r w:rsidRPr="00F95E5B">
        <w:t xml:space="preserve"> (Accessed: 17 January 2026).</w:t>
      </w:r>
    </w:p>
    <w:p w14:paraId="0A28FEAE" w14:textId="77777777" w:rsidR="0010117F" w:rsidRPr="00F95E5B" w:rsidRDefault="0010117F" w:rsidP="004475BC">
      <w:pPr>
        <w:pStyle w:val="NormalWeb"/>
        <w:spacing w:line="360" w:lineRule="auto"/>
        <w:ind w:left="720" w:hanging="720"/>
        <w:jc w:val="both"/>
      </w:pPr>
      <w:r w:rsidRPr="00F95E5B">
        <w:lastRenderedPageBreak/>
        <w:t xml:space="preserve">Hospitality Action (2024) </w:t>
      </w:r>
      <w:r w:rsidRPr="00F95E5B">
        <w:rPr>
          <w:rStyle w:val="Emphasis"/>
          <w:rFonts w:eastAsiaTheme="majorEastAsia"/>
        </w:rPr>
        <w:t>Impact report 2024</w:t>
      </w:r>
      <w:r w:rsidRPr="00F95E5B">
        <w:t xml:space="preserve">. London: Hospitality Action. Available at: </w:t>
      </w:r>
      <w:hyperlink r:id="rId18" w:tgtFrame="_new" w:history="1">
        <w:r w:rsidRPr="00F95E5B">
          <w:rPr>
            <w:rStyle w:val="Hyperlink"/>
            <w:rFonts w:eastAsiaTheme="majorEastAsia"/>
          </w:rPr>
          <w:t>https://www.hospitalityaction.org.uk/media/tclhf4zs/ha-impact-report-2024.pdf</w:t>
        </w:r>
      </w:hyperlink>
      <w:r w:rsidRPr="00F95E5B">
        <w:t xml:space="preserve"> (Accessed: 17 January 2026).</w:t>
      </w:r>
    </w:p>
    <w:p w14:paraId="61BF03B2" w14:textId="77777777" w:rsidR="0010117F" w:rsidRPr="00F95E5B" w:rsidRDefault="0010117F" w:rsidP="004475BC">
      <w:pPr>
        <w:pStyle w:val="NormalWeb"/>
        <w:spacing w:line="360" w:lineRule="auto"/>
        <w:ind w:left="720" w:hanging="720"/>
        <w:jc w:val="both"/>
      </w:pPr>
      <w:r w:rsidRPr="00F95E5B">
        <w:t xml:space="preserve">Jung, Y.-S., Jung, H.-S. and Yoon, H.-H. (2022) ‘The effects of workplace loneliness on psychological detachment and emotional exhaustion of hotel employees’, </w:t>
      </w:r>
      <w:r w:rsidRPr="00F95E5B">
        <w:rPr>
          <w:rStyle w:val="Emphasis"/>
          <w:rFonts w:eastAsiaTheme="majorEastAsia"/>
        </w:rPr>
        <w:t>International Journal of Environmental Research and Public Health</w:t>
      </w:r>
      <w:r w:rsidRPr="00F95E5B">
        <w:t xml:space="preserve">, 19(9), 5228. Available at: </w:t>
      </w:r>
      <w:hyperlink r:id="rId19" w:tgtFrame="_new" w:history="1">
        <w:r w:rsidRPr="00F95E5B">
          <w:rPr>
            <w:rStyle w:val="Hyperlink"/>
            <w:rFonts w:eastAsiaTheme="majorEastAsia"/>
          </w:rPr>
          <w:t>https://www.mdpi.com/1660-4601/19/9/5228/pdf</w:t>
        </w:r>
      </w:hyperlink>
      <w:r w:rsidRPr="00F95E5B">
        <w:t xml:space="preserve"> (Accessed: 17 January 2026).</w:t>
      </w:r>
    </w:p>
    <w:p w14:paraId="77FD9D20" w14:textId="77777777" w:rsidR="0010117F" w:rsidRPr="00F95E5B" w:rsidRDefault="0010117F" w:rsidP="004475BC">
      <w:pPr>
        <w:pStyle w:val="NormalWeb"/>
        <w:spacing w:line="360" w:lineRule="auto"/>
        <w:ind w:left="720" w:hanging="720"/>
        <w:jc w:val="both"/>
      </w:pPr>
      <w:r w:rsidRPr="00F95E5B">
        <w:t xml:space="preserve">Liang, Y., Huang, X. and Lu, Y. (2025) ‘Psychological analysis of employee turnover rates in luxury hotels’, </w:t>
      </w:r>
      <w:r w:rsidRPr="00F95E5B">
        <w:rPr>
          <w:rStyle w:val="Emphasis"/>
          <w:rFonts w:eastAsiaTheme="majorEastAsia"/>
        </w:rPr>
        <w:t>Proceedings of Atlantis Press</w:t>
      </w:r>
      <w:r w:rsidRPr="00F95E5B">
        <w:t xml:space="preserve">, pp. 1–10. Available at: </w:t>
      </w:r>
      <w:hyperlink r:id="rId20" w:tgtFrame="_new" w:history="1">
        <w:r w:rsidRPr="00F95E5B">
          <w:rPr>
            <w:rStyle w:val="Hyperlink"/>
            <w:rFonts w:eastAsiaTheme="majorEastAsia"/>
          </w:rPr>
          <w:t>https://www.atlantis-press.com/article/126017885.pdf</w:t>
        </w:r>
      </w:hyperlink>
      <w:r w:rsidRPr="00F95E5B">
        <w:t xml:space="preserve"> (Accessed: 17 January 2026).</w:t>
      </w:r>
    </w:p>
    <w:p w14:paraId="5781D02E" w14:textId="77777777" w:rsidR="0010117F" w:rsidRPr="00F95E5B" w:rsidRDefault="0010117F" w:rsidP="004475BC">
      <w:pPr>
        <w:pStyle w:val="NormalWeb"/>
        <w:spacing w:line="360" w:lineRule="auto"/>
        <w:ind w:left="720" w:hanging="720"/>
        <w:jc w:val="both"/>
      </w:pPr>
      <w:r w:rsidRPr="00F95E5B">
        <w:t xml:space="preserve">Michael, N. and Fotiadis, A. (2022) ‘Employee turnover: the hotel industry perspective’, </w:t>
      </w:r>
      <w:r w:rsidRPr="00F95E5B">
        <w:rPr>
          <w:rStyle w:val="Emphasis"/>
          <w:rFonts w:eastAsiaTheme="majorEastAsia"/>
        </w:rPr>
        <w:t>Journal of Tourism, Hospitality and Sport Management</w:t>
      </w:r>
      <w:r w:rsidRPr="00F95E5B">
        <w:t xml:space="preserve">, 8(1), pp. 1–12. Available at: </w:t>
      </w:r>
      <w:hyperlink r:id="rId21" w:tgtFrame="_new" w:history="1">
        <w:r w:rsidRPr="00F95E5B">
          <w:rPr>
            <w:rStyle w:val="Hyperlink"/>
            <w:rFonts w:eastAsiaTheme="majorEastAsia"/>
          </w:rPr>
          <w:t>https://zenodo.org/record/6583698/files/8-1-4.pdf</w:t>
        </w:r>
      </w:hyperlink>
      <w:r w:rsidRPr="00F95E5B">
        <w:t xml:space="preserve"> (Accessed: 17 January 2026).</w:t>
      </w:r>
    </w:p>
    <w:p w14:paraId="2A1C62C8" w14:textId="77777777" w:rsidR="0010117F" w:rsidRPr="00F95E5B" w:rsidRDefault="0010117F" w:rsidP="004475BC">
      <w:pPr>
        <w:pStyle w:val="NormalWeb"/>
        <w:spacing w:line="360" w:lineRule="auto"/>
        <w:ind w:left="720" w:hanging="720"/>
        <w:jc w:val="both"/>
      </w:pPr>
      <w:r w:rsidRPr="00F95E5B">
        <w:t xml:space="preserve">Nafees, S., Hamid, S. and Sujood, S. (2024) ‘Unlocking employee well-being in tourism and hospitality: a systematic literature review’, </w:t>
      </w:r>
      <w:r w:rsidRPr="00F95E5B">
        <w:rPr>
          <w:rStyle w:val="Emphasis"/>
          <w:rFonts w:eastAsiaTheme="majorEastAsia"/>
        </w:rPr>
        <w:t>Journal of Tourism, Sustainability and Well-Being</w:t>
      </w:r>
      <w:r w:rsidRPr="00F95E5B">
        <w:t xml:space="preserve">, 12(2), pp. 111–129. Available at: </w:t>
      </w:r>
      <w:hyperlink r:id="rId22" w:tgtFrame="_new" w:history="1">
        <w:r w:rsidRPr="00F95E5B">
          <w:rPr>
            <w:rStyle w:val="Hyperlink"/>
            <w:rFonts w:eastAsiaTheme="majorEastAsia"/>
          </w:rPr>
          <w:t>https://journals.cinturs.pt/jtsw/article/view/458</w:t>
        </w:r>
      </w:hyperlink>
      <w:r w:rsidRPr="00F95E5B">
        <w:t xml:space="preserve"> (Accessed: 17 January 2026).</w:t>
      </w:r>
    </w:p>
    <w:p w14:paraId="1E0665FB" w14:textId="77777777" w:rsidR="0010117F" w:rsidRPr="00F95E5B" w:rsidRDefault="0010117F" w:rsidP="004475BC">
      <w:pPr>
        <w:pStyle w:val="NormalWeb"/>
        <w:spacing w:line="360" w:lineRule="auto"/>
        <w:ind w:left="720" w:hanging="720"/>
        <w:jc w:val="both"/>
      </w:pPr>
      <w:r w:rsidRPr="00F95E5B">
        <w:t xml:space="preserve">Park, S. and Jang, S. (2024) ‘Effects of hotel workers’ job demands on burnout and service quality: the mediating role of perceived organisational support’, </w:t>
      </w:r>
      <w:r w:rsidRPr="00F95E5B">
        <w:rPr>
          <w:rStyle w:val="Emphasis"/>
          <w:rFonts w:eastAsiaTheme="majorEastAsia"/>
        </w:rPr>
        <w:t>International Journal of Hospitality Management</w:t>
      </w:r>
      <w:r w:rsidRPr="00F95E5B">
        <w:t xml:space="preserve">, 109, 103516. Available at: </w:t>
      </w:r>
      <w:hyperlink r:id="rId23" w:tgtFrame="_new" w:history="1">
        <w:r w:rsidRPr="00F95E5B">
          <w:rPr>
            <w:rStyle w:val="Hyperlink"/>
            <w:rFonts w:eastAsiaTheme="majorEastAsia"/>
          </w:rPr>
          <w:t>https://doi.org/10.1016/j.ijhm.2023.103516</w:t>
        </w:r>
      </w:hyperlink>
      <w:r w:rsidRPr="00F95E5B">
        <w:t xml:space="preserve"> (Accessed: 17 January 2026).</w:t>
      </w:r>
    </w:p>
    <w:p w14:paraId="7683010F" w14:textId="77777777" w:rsidR="0010117F" w:rsidRPr="0010117F" w:rsidRDefault="0010117F" w:rsidP="0010117F">
      <w:pPr>
        <w:ind w:left="720" w:hanging="720"/>
        <w:rPr>
          <w:rFonts w:eastAsia="Times New Roman" w:cs="Arial"/>
          <w:szCs w:val="24"/>
          <w:lang w:val="en-US" w:eastAsia="en-GB"/>
        </w:rPr>
      </w:pPr>
      <w:r w:rsidRPr="0010117F">
        <w:rPr>
          <w:rFonts w:eastAsia="Times New Roman" w:cs="Arial"/>
          <w:szCs w:val="24"/>
          <w:lang w:val="en-US" w:eastAsia="en-GB"/>
        </w:rPr>
        <w:t xml:space="preserve">Saito, H., Brozović, D. and Baum, T. (2025) ‘Well-being of hospitality employees: A systematic literature review’, </w:t>
      </w:r>
      <w:r w:rsidRPr="0010117F">
        <w:rPr>
          <w:rFonts w:eastAsia="Times New Roman" w:cs="Arial"/>
          <w:i/>
          <w:iCs/>
          <w:szCs w:val="24"/>
          <w:lang w:val="en-US" w:eastAsia="en-GB"/>
        </w:rPr>
        <w:t>International Journal of Hospitality Management</w:t>
      </w:r>
      <w:r w:rsidRPr="0010117F">
        <w:rPr>
          <w:rFonts w:eastAsia="Times New Roman" w:cs="Arial"/>
          <w:szCs w:val="24"/>
          <w:lang w:val="en-US" w:eastAsia="en-GB"/>
        </w:rPr>
        <w:t xml:space="preserve">, 118, pp. 103955–103968. Available at: </w:t>
      </w:r>
      <w:hyperlink r:id="rId24" w:tgtFrame="_new" w:history="1">
        <w:r w:rsidRPr="0010117F">
          <w:rPr>
            <w:rStyle w:val="Hyperlink"/>
            <w:rFonts w:eastAsia="Times New Roman" w:cs="Arial"/>
            <w:szCs w:val="24"/>
            <w:lang w:val="en-US" w:eastAsia="en-GB"/>
          </w:rPr>
          <w:t>https://strathprints.strath.ac.uk/90845/7/Saito-etal-IJHM-2024-Well-being-of-hospitality-employees.pdf</w:t>
        </w:r>
      </w:hyperlink>
      <w:r w:rsidRPr="0010117F">
        <w:rPr>
          <w:rFonts w:eastAsia="Times New Roman" w:cs="Arial"/>
          <w:szCs w:val="24"/>
          <w:lang w:val="en-US" w:eastAsia="en-GB"/>
        </w:rPr>
        <w:t xml:space="preserve"> (Accessed: 6 February 2026).</w:t>
      </w:r>
    </w:p>
    <w:p w14:paraId="1ACC831B" w14:textId="77777777" w:rsidR="0010117F" w:rsidRPr="00F95E5B" w:rsidRDefault="0010117F" w:rsidP="004475BC">
      <w:pPr>
        <w:pStyle w:val="NormalWeb"/>
        <w:spacing w:line="360" w:lineRule="auto"/>
        <w:ind w:left="720" w:hanging="720"/>
        <w:jc w:val="both"/>
      </w:pPr>
      <w:r w:rsidRPr="00F95E5B">
        <w:t xml:space="preserve">Salama, W., Abdou, A.H., Mohamed, S.A.K. and Shehata, H.S. (2022) ‘Impact of work stress and job burnout on turnover intentions among hotel employees’, </w:t>
      </w:r>
      <w:r w:rsidRPr="00F95E5B">
        <w:rPr>
          <w:rStyle w:val="Emphasis"/>
          <w:rFonts w:eastAsiaTheme="majorEastAsia"/>
        </w:rPr>
        <w:t>International Journal of Environmental Research and Public Health</w:t>
      </w:r>
      <w:r w:rsidRPr="00F95E5B">
        <w:t xml:space="preserve">, 19(15), 9724. Available at: </w:t>
      </w:r>
      <w:hyperlink r:id="rId25" w:tgtFrame="_new" w:history="1">
        <w:r w:rsidRPr="00F95E5B">
          <w:rPr>
            <w:rStyle w:val="Hyperlink"/>
            <w:rFonts w:eastAsiaTheme="majorEastAsia"/>
          </w:rPr>
          <w:t>https://www.researchgate.net/publication/362553343_Impact_of_Work_Stress_and_Job_Burnout_on_Turnover_Intentions_among_Hotel_Employees</w:t>
        </w:r>
      </w:hyperlink>
      <w:r w:rsidRPr="00F95E5B">
        <w:t xml:space="preserve"> (Accessed: 17 January 2026).</w:t>
      </w:r>
    </w:p>
    <w:p w14:paraId="32CE5097" w14:textId="77777777" w:rsidR="0010117F" w:rsidRPr="0010117F" w:rsidRDefault="0010117F" w:rsidP="0010117F">
      <w:pPr>
        <w:ind w:left="720" w:hanging="720"/>
        <w:rPr>
          <w:rFonts w:eastAsia="Times New Roman" w:cs="Arial"/>
          <w:szCs w:val="24"/>
          <w:lang w:val="en-US" w:eastAsia="en-GB"/>
        </w:rPr>
      </w:pPr>
      <w:r w:rsidRPr="0010117F">
        <w:rPr>
          <w:rFonts w:eastAsia="Times New Roman" w:cs="Arial"/>
          <w:szCs w:val="24"/>
          <w:lang w:val="en-US" w:eastAsia="en-GB"/>
        </w:rPr>
        <w:t xml:space="preserve">Salama, W., Abdou, A.H., Mohamed, S.A.K. and Shehata, H.S. (2022) ‘Impact of work stress and job burnout on turnover intentions among hotel employees’, </w:t>
      </w:r>
      <w:r w:rsidRPr="0010117F">
        <w:rPr>
          <w:rFonts w:eastAsia="Times New Roman" w:cs="Arial"/>
          <w:i/>
          <w:iCs/>
          <w:szCs w:val="24"/>
          <w:lang w:val="en-US" w:eastAsia="en-GB"/>
        </w:rPr>
        <w:t>International Journal of Environmental Research and Public Health</w:t>
      </w:r>
      <w:r w:rsidRPr="0010117F">
        <w:rPr>
          <w:rFonts w:eastAsia="Times New Roman" w:cs="Arial"/>
          <w:szCs w:val="24"/>
          <w:lang w:val="en-US" w:eastAsia="en-GB"/>
        </w:rPr>
        <w:t xml:space="preserve">, 19(15), pp. 1–18. Available at: </w:t>
      </w:r>
      <w:hyperlink r:id="rId26" w:tgtFrame="_new" w:history="1">
        <w:r w:rsidRPr="0010117F">
          <w:rPr>
            <w:rStyle w:val="Hyperlink"/>
            <w:rFonts w:eastAsia="Times New Roman" w:cs="Arial"/>
            <w:szCs w:val="24"/>
            <w:lang w:val="en-US" w:eastAsia="en-GB"/>
          </w:rPr>
          <w:t>https://www.mdpi.com/1660-4601/19/15/9724</w:t>
        </w:r>
      </w:hyperlink>
      <w:r w:rsidRPr="0010117F">
        <w:rPr>
          <w:rFonts w:eastAsia="Times New Roman" w:cs="Arial"/>
          <w:szCs w:val="24"/>
          <w:lang w:val="en-US" w:eastAsia="en-GB"/>
        </w:rPr>
        <w:t xml:space="preserve"> (Accessed: 6 February 2026).</w:t>
      </w:r>
    </w:p>
    <w:p w14:paraId="2FF68A05" w14:textId="77777777" w:rsidR="0010117F" w:rsidRPr="00F95E5B" w:rsidRDefault="0010117F" w:rsidP="004475BC">
      <w:pPr>
        <w:pStyle w:val="NormalWeb"/>
        <w:spacing w:line="360" w:lineRule="auto"/>
        <w:ind w:left="720" w:hanging="720"/>
        <w:jc w:val="both"/>
      </w:pPr>
      <w:r w:rsidRPr="00F95E5B">
        <w:t xml:space="preserve">Socaci, S.A., Fărcaş, A.C., Aussenac, T. and Laguerre, J.C. (eds.) (2020) </w:t>
      </w:r>
      <w:r w:rsidRPr="00F95E5B">
        <w:rPr>
          <w:rStyle w:val="Emphasis"/>
          <w:rFonts w:eastAsiaTheme="majorEastAsia"/>
        </w:rPr>
        <w:t>Food preservation and waste exploitation</w:t>
      </w:r>
      <w:r w:rsidRPr="00F95E5B">
        <w:t>. BoD – Books on Demand. Available at: https://books.google.com.pk/books?id=cqf8DwAAQBAJ (Accessed: 17 January 2026).</w:t>
      </w:r>
    </w:p>
    <w:p w14:paraId="2019C181" w14:textId="77777777" w:rsidR="0010117F" w:rsidRPr="00F95E5B" w:rsidRDefault="0010117F" w:rsidP="004475BC">
      <w:pPr>
        <w:pStyle w:val="NormalWeb"/>
        <w:spacing w:line="360" w:lineRule="auto"/>
        <w:ind w:left="720" w:hanging="720"/>
        <w:jc w:val="both"/>
      </w:pPr>
      <w:r w:rsidRPr="00F95E5B">
        <w:t xml:space="preserve">Tribe, J. (2009) </w:t>
      </w:r>
      <w:r w:rsidRPr="00F95E5B">
        <w:rPr>
          <w:rStyle w:val="Emphasis"/>
          <w:rFonts w:eastAsiaTheme="majorEastAsia"/>
        </w:rPr>
        <w:t>Philosophical issues in tourism</w:t>
      </w:r>
      <w:r w:rsidRPr="00F95E5B">
        <w:t>. Bristol: Channel View Publications. Available at: https://books.google.com.pk/books?id=3XAHXFpPYSIC (Accessed: 17 January 2026).</w:t>
      </w:r>
    </w:p>
    <w:p w14:paraId="1721239E" w14:textId="77777777" w:rsidR="0010117F" w:rsidRPr="00F95E5B" w:rsidRDefault="0010117F" w:rsidP="004475BC">
      <w:pPr>
        <w:pStyle w:val="NormalWeb"/>
        <w:spacing w:line="360" w:lineRule="auto"/>
        <w:ind w:left="720" w:hanging="720"/>
        <w:jc w:val="both"/>
      </w:pPr>
      <w:r w:rsidRPr="00F95E5B">
        <w:t xml:space="preserve">Üngüren, E., Onur, N., Demirel, H. and Tekin, Ö.A. (2024) ‘The effects of job stress on burnout and turnover intention: the moderating effects of job security and financial dependency’, </w:t>
      </w:r>
      <w:r w:rsidRPr="00F95E5B">
        <w:rPr>
          <w:rStyle w:val="Emphasis"/>
          <w:rFonts w:eastAsiaTheme="majorEastAsia"/>
        </w:rPr>
        <w:t>Behavioral Sciences</w:t>
      </w:r>
      <w:r w:rsidRPr="00F95E5B">
        <w:t xml:space="preserve">, 14(4), 322. Available at: </w:t>
      </w:r>
      <w:hyperlink r:id="rId27" w:tgtFrame="_new" w:history="1">
        <w:r w:rsidRPr="00F95E5B">
          <w:rPr>
            <w:rStyle w:val="Hyperlink"/>
            <w:rFonts w:eastAsiaTheme="majorEastAsia"/>
          </w:rPr>
          <w:t>https://www.ncbi.nlm.nih.gov/pmc/articles/PMC11047568/pdf/behavioral-14-00322.pdf</w:t>
        </w:r>
      </w:hyperlink>
      <w:r w:rsidRPr="00F95E5B">
        <w:t xml:space="preserve"> (Accessed: 17 January 2026).</w:t>
      </w:r>
    </w:p>
    <w:p w14:paraId="6D602F40" w14:textId="77777777" w:rsidR="0010117F" w:rsidRPr="00F95E5B" w:rsidRDefault="0010117F" w:rsidP="004475BC">
      <w:pPr>
        <w:pStyle w:val="NormalWeb"/>
        <w:spacing w:line="360" w:lineRule="auto"/>
        <w:ind w:left="720" w:hanging="720"/>
        <w:jc w:val="both"/>
      </w:pPr>
      <w:r w:rsidRPr="00F95E5B">
        <w:lastRenderedPageBreak/>
        <w:t xml:space="preserve">Wagestream (2025) </w:t>
      </w:r>
      <w:r w:rsidRPr="00F95E5B">
        <w:rPr>
          <w:rStyle w:val="Emphasis"/>
          <w:rFonts w:eastAsiaTheme="majorEastAsia"/>
        </w:rPr>
        <w:t>The missing metric: hospitality edition – the state of financial wellbeing in hospitality</w:t>
      </w:r>
      <w:r w:rsidRPr="00F95E5B">
        <w:t xml:space="preserve">. London: Wagestream. Available at: </w:t>
      </w:r>
      <w:hyperlink r:id="rId28" w:tgtFrame="_new" w:history="1">
        <w:r w:rsidRPr="00F95E5B">
          <w:rPr>
            <w:rStyle w:val="Hyperlink"/>
            <w:rFonts w:eastAsiaTheme="majorEastAsia"/>
          </w:rPr>
          <w:t>https://stream.co/api/media/file/Missing%20Metric%20-%20Hospitality%20Edition%20-%20Final.pdf</w:t>
        </w:r>
      </w:hyperlink>
      <w:r w:rsidRPr="00F95E5B">
        <w:t xml:space="preserve"> (Accessed: 17 January 2026).</w:t>
      </w:r>
    </w:p>
    <w:p w14:paraId="1E0195B3" w14:textId="77777777" w:rsidR="0010117F" w:rsidRPr="00F95E5B" w:rsidRDefault="0010117F" w:rsidP="004475BC">
      <w:pPr>
        <w:pStyle w:val="NormalWeb"/>
        <w:spacing w:line="360" w:lineRule="auto"/>
        <w:ind w:left="720" w:hanging="720"/>
        <w:jc w:val="both"/>
      </w:pPr>
      <w:r w:rsidRPr="00F95E5B">
        <w:t xml:space="preserve">Wavei, E.B., Lo, A. and Gedecho, E.K. (2025) ‘Understanding frontline employees’ knowledge management in key aspects of customer relationship management: insights from contemporary hotels’, </w:t>
      </w:r>
      <w:r w:rsidRPr="00F95E5B">
        <w:rPr>
          <w:rStyle w:val="Emphasis"/>
          <w:rFonts w:eastAsiaTheme="majorEastAsia"/>
        </w:rPr>
        <w:t>International Journal of Hospitality &amp; Tourism Administration</w:t>
      </w:r>
      <w:r w:rsidRPr="00F95E5B">
        <w:t xml:space="preserve">, 26(1), pp. 1–29. Available at: </w:t>
      </w:r>
      <w:hyperlink r:id="rId29" w:tgtFrame="_new" w:history="1">
        <w:r w:rsidRPr="00F95E5B">
          <w:rPr>
            <w:rStyle w:val="Hyperlink"/>
            <w:rFonts w:eastAsiaTheme="majorEastAsia"/>
          </w:rPr>
          <w:t>https://ira.lib.polyu.edu.hk/bitstream/10397/115619/1/Wavei_Understanding_Frontline_Employees.pdf</w:t>
        </w:r>
      </w:hyperlink>
      <w:r w:rsidRPr="00F95E5B">
        <w:t xml:space="preserve"> (Accessed: 17 January 2026).</w:t>
      </w:r>
    </w:p>
    <w:p w14:paraId="3DD8B9C9" w14:textId="77777777" w:rsidR="0010117F" w:rsidRPr="00F95E5B" w:rsidRDefault="0010117F" w:rsidP="004475BC">
      <w:pPr>
        <w:pStyle w:val="NormalWeb"/>
        <w:spacing w:line="360" w:lineRule="auto"/>
        <w:ind w:left="720" w:hanging="720"/>
        <w:jc w:val="both"/>
      </w:pPr>
      <w:r w:rsidRPr="00F95E5B">
        <w:t xml:space="preserve">Xu, Y., Jie, D., Wu, H., Shi, X., Badulescu, D., Akbar, S. and Badulescu, A. (2022) ‘Reducing employee turnover intentions in the tourism and hospitality sector: the mediating effect of quality of work life and intrinsic motivation’, </w:t>
      </w:r>
      <w:r w:rsidRPr="00F95E5B">
        <w:rPr>
          <w:rStyle w:val="Emphasis"/>
          <w:rFonts w:eastAsiaTheme="majorEastAsia"/>
        </w:rPr>
        <w:t>International Journal of Environmental Research and Public Health</w:t>
      </w:r>
      <w:r w:rsidRPr="00F95E5B">
        <w:t xml:space="preserve">, 19(18), 11222. Available at: </w:t>
      </w:r>
      <w:hyperlink r:id="rId30" w:tgtFrame="_new" w:history="1">
        <w:r w:rsidRPr="00F95E5B">
          <w:rPr>
            <w:rStyle w:val="Hyperlink"/>
            <w:rFonts w:eastAsiaTheme="majorEastAsia"/>
          </w:rPr>
          <w:t>https://www.mdpi.com/1660-4601/19/18/11222/pdf</w:t>
        </w:r>
      </w:hyperlink>
      <w:r w:rsidRPr="00F95E5B">
        <w:t xml:space="preserve"> (Accessed: 17 January 2026).</w:t>
      </w:r>
    </w:p>
    <w:p w14:paraId="3E5C31FB" w14:textId="77777777" w:rsidR="0010117F" w:rsidRPr="00F95E5B" w:rsidRDefault="0010117F" w:rsidP="004475BC">
      <w:pPr>
        <w:pStyle w:val="NormalWeb"/>
        <w:spacing w:line="360" w:lineRule="auto"/>
        <w:ind w:left="720" w:hanging="720"/>
        <w:jc w:val="both"/>
      </w:pPr>
      <w:r w:rsidRPr="00F95E5B">
        <w:t xml:space="preserve">Yoo, D.Y. (2023) ‘The hospitality stress matrix: exploring job stressors and their effects on psychological well-being’, </w:t>
      </w:r>
      <w:r w:rsidRPr="00F95E5B">
        <w:rPr>
          <w:rStyle w:val="Emphasis"/>
          <w:rFonts w:eastAsiaTheme="majorEastAsia"/>
        </w:rPr>
        <w:t>Sustainability</w:t>
      </w:r>
      <w:r w:rsidRPr="00F95E5B">
        <w:t xml:space="preserve">, 15(17), 13116. Available at: </w:t>
      </w:r>
      <w:hyperlink r:id="rId31" w:tgtFrame="_new" w:history="1">
        <w:r w:rsidRPr="00F95E5B">
          <w:rPr>
            <w:rStyle w:val="Hyperlink"/>
            <w:rFonts w:eastAsiaTheme="majorEastAsia"/>
          </w:rPr>
          <w:t>https://www.mdpi.com/2071-1050/15/17/13116/pdf</w:t>
        </w:r>
      </w:hyperlink>
      <w:r w:rsidRPr="00F95E5B">
        <w:t xml:space="preserve"> (Accessed: 17 January 2026).</w:t>
      </w:r>
    </w:p>
    <w:sectPr w:rsidR="0010117F" w:rsidRPr="00F95E5B" w:rsidSect="009A0357">
      <w:headerReference w:type="default" r:id="rId3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5C9028" w14:textId="77777777" w:rsidR="00E73C51" w:rsidRDefault="00E73C51" w:rsidP="00123662">
      <w:pPr>
        <w:spacing w:before="0" w:after="0" w:line="240" w:lineRule="auto"/>
      </w:pPr>
      <w:r>
        <w:separator/>
      </w:r>
    </w:p>
  </w:endnote>
  <w:endnote w:type="continuationSeparator" w:id="0">
    <w:p w14:paraId="2EFD33C9" w14:textId="77777777" w:rsidR="00E73C51" w:rsidRDefault="00E73C51" w:rsidP="0012366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Franklin Gothic Book">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0DF86A" w14:textId="77777777" w:rsidR="00E73C51" w:rsidRDefault="00E73C51" w:rsidP="00123662">
      <w:pPr>
        <w:spacing w:before="0" w:after="0" w:line="240" w:lineRule="auto"/>
      </w:pPr>
      <w:r>
        <w:separator/>
      </w:r>
    </w:p>
  </w:footnote>
  <w:footnote w:type="continuationSeparator" w:id="0">
    <w:p w14:paraId="46579079" w14:textId="77777777" w:rsidR="00E73C51" w:rsidRDefault="00E73C51" w:rsidP="00123662">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9903985"/>
      <w:docPartObj>
        <w:docPartGallery w:val="Page Numbers (Top of Page)"/>
        <w:docPartUnique/>
      </w:docPartObj>
    </w:sdtPr>
    <w:sdtContent>
      <w:p w14:paraId="4B4D8552" w14:textId="356FCC04" w:rsidR="00EE5682" w:rsidRDefault="007970BE" w:rsidP="0067304C">
        <w:pPr>
          <w:pStyle w:val="Header"/>
          <w:jc w:val="right"/>
        </w:pPr>
        <w:r>
          <w:t xml:space="preserve"> </w:t>
        </w:r>
        <w:r w:rsidR="00EE5682">
          <w:t xml:space="preserve">              </w:t>
        </w:r>
        <w:r w:rsidR="00EE5682">
          <w:fldChar w:fldCharType="begin"/>
        </w:r>
        <w:r w:rsidR="00EE5682">
          <w:instrText xml:space="preserve"> PAGE   \* MERGEFORMAT </w:instrText>
        </w:r>
        <w:r w:rsidR="00EE5682">
          <w:fldChar w:fldCharType="separate"/>
        </w:r>
        <w:r w:rsidR="008F767A">
          <w:rPr>
            <w:noProof/>
          </w:rPr>
          <w:t>2</w:t>
        </w:r>
        <w:r w:rsidR="00EE5682">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D6F52"/>
    <w:multiLevelType w:val="multilevel"/>
    <w:tmpl w:val="EFF645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B166E6"/>
    <w:multiLevelType w:val="hybridMultilevel"/>
    <w:tmpl w:val="A6745274"/>
    <w:lvl w:ilvl="0" w:tplc="89004FDA">
      <w:start w:val="1"/>
      <w:numFmt w:val="bullet"/>
      <w:lvlText w:val="•"/>
      <w:lvlJc w:val="left"/>
      <w:pPr>
        <w:tabs>
          <w:tab w:val="num" w:pos="720"/>
        </w:tabs>
        <w:ind w:left="720" w:hanging="360"/>
      </w:pPr>
      <w:rPr>
        <w:rFonts w:ascii="Times New Roman" w:hAnsi="Times New Roman" w:hint="default"/>
      </w:rPr>
    </w:lvl>
    <w:lvl w:ilvl="1" w:tplc="F7868502" w:tentative="1">
      <w:start w:val="1"/>
      <w:numFmt w:val="bullet"/>
      <w:lvlText w:val="•"/>
      <w:lvlJc w:val="left"/>
      <w:pPr>
        <w:tabs>
          <w:tab w:val="num" w:pos="1440"/>
        </w:tabs>
        <w:ind w:left="1440" w:hanging="360"/>
      </w:pPr>
      <w:rPr>
        <w:rFonts w:ascii="Times New Roman" w:hAnsi="Times New Roman" w:hint="default"/>
      </w:rPr>
    </w:lvl>
    <w:lvl w:ilvl="2" w:tplc="17AA4E44" w:tentative="1">
      <w:start w:val="1"/>
      <w:numFmt w:val="bullet"/>
      <w:lvlText w:val="•"/>
      <w:lvlJc w:val="left"/>
      <w:pPr>
        <w:tabs>
          <w:tab w:val="num" w:pos="2160"/>
        </w:tabs>
        <w:ind w:left="2160" w:hanging="360"/>
      </w:pPr>
      <w:rPr>
        <w:rFonts w:ascii="Times New Roman" w:hAnsi="Times New Roman" w:hint="default"/>
      </w:rPr>
    </w:lvl>
    <w:lvl w:ilvl="3" w:tplc="F892A2A6" w:tentative="1">
      <w:start w:val="1"/>
      <w:numFmt w:val="bullet"/>
      <w:lvlText w:val="•"/>
      <w:lvlJc w:val="left"/>
      <w:pPr>
        <w:tabs>
          <w:tab w:val="num" w:pos="2880"/>
        </w:tabs>
        <w:ind w:left="2880" w:hanging="360"/>
      </w:pPr>
      <w:rPr>
        <w:rFonts w:ascii="Times New Roman" w:hAnsi="Times New Roman" w:hint="default"/>
      </w:rPr>
    </w:lvl>
    <w:lvl w:ilvl="4" w:tplc="5BD21BCE" w:tentative="1">
      <w:start w:val="1"/>
      <w:numFmt w:val="bullet"/>
      <w:lvlText w:val="•"/>
      <w:lvlJc w:val="left"/>
      <w:pPr>
        <w:tabs>
          <w:tab w:val="num" w:pos="3600"/>
        </w:tabs>
        <w:ind w:left="3600" w:hanging="360"/>
      </w:pPr>
      <w:rPr>
        <w:rFonts w:ascii="Times New Roman" w:hAnsi="Times New Roman" w:hint="default"/>
      </w:rPr>
    </w:lvl>
    <w:lvl w:ilvl="5" w:tplc="1FBA6B0A" w:tentative="1">
      <w:start w:val="1"/>
      <w:numFmt w:val="bullet"/>
      <w:lvlText w:val="•"/>
      <w:lvlJc w:val="left"/>
      <w:pPr>
        <w:tabs>
          <w:tab w:val="num" w:pos="4320"/>
        </w:tabs>
        <w:ind w:left="4320" w:hanging="360"/>
      </w:pPr>
      <w:rPr>
        <w:rFonts w:ascii="Times New Roman" w:hAnsi="Times New Roman" w:hint="default"/>
      </w:rPr>
    </w:lvl>
    <w:lvl w:ilvl="6" w:tplc="DA581358" w:tentative="1">
      <w:start w:val="1"/>
      <w:numFmt w:val="bullet"/>
      <w:lvlText w:val="•"/>
      <w:lvlJc w:val="left"/>
      <w:pPr>
        <w:tabs>
          <w:tab w:val="num" w:pos="5040"/>
        </w:tabs>
        <w:ind w:left="5040" w:hanging="360"/>
      </w:pPr>
      <w:rPr>
        <w:rFonts w:ascii="Times New Roman" w:hAnsi="Times New Roman" w:hint="default"/>
      </w:rPr>
    </w:lvl>
    <w:lvl w:ilvl="7" w:tplc="846A5A58" w:tentative="1">
      <w:start w:val="1"/>
      <w:numFmt w:val="bullet"/>
      <w:lvlText w:val="•"/>
      <w:lvlJc w:val="left"/>
      <w:pPr>
        <w:tabs>
          <w:tab w:val="num" w:pos="5760"/>
        </w:tabs>
        <w:ind w:left="5760" w:hanging="360"/>
      </w:pPr>
      <w:rPr>
        <w:rFonts w:ascii="Times New Roman" w:hAnsi="Times New Roman" w:hint="default"/>
      </w:rPr>
    </w:lvl>
    <w:lvl w:ilvl="8" w:tplc="5E22C1CE"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8C06604"/>
    <w:multiLevelType w:val="hybridMultilevel"/>
    <w:tmpl w:val="59DCE6F4"/>
    <w:lvl w:ilvl="0" w:tplc="3AECF50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9B32B7"/>
    <w:multiLevelType w:val="multilevel"/>
    <w:tmpl w:val="95A2EB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255768"/>
    <w:multiLevelType w:val="multilevel"/>
    <w:tmpl w:val="CD6EB0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E175F1"/>
    <w:multiLevelType w:val="hybridMultilevel"/>
    <w:tmpl w:val="F4FAC550"/>
    <w:lvl w:ilvl="0" w:tplc="2C9A639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178F74A">
      <w:start w:val="1"/>
      <w:numFmt w:val="bullet"/>
      <w:lvlText w:val="o"/>
      <w:lvlJc w:val="left"/>
      <w:pPr>
        <w:ind w:left="15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6E1EF178">
      <w:start w:val="1"/>
      <w:numFmt w:val="bullet"/>
      <w:lvlText w:val="▪"/>
      <w:lvlJc w:val="left"/>
      <w:pPr>
        <w:ind w:left="22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126642DA">
      <w:start w:val="1"/>
      <w:numFmt w:val="bullet"/>
      <w:lvlText w:val="•"/>
      <w:lvlJc w:val="left"/>
      <w:pPr>
        <w:ind w:left="29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31BA3E34">
      <w:start w:val="1"/>
      <w:numFmt w:val="bullet"/>
      <w:lvlText w:val="o"/>
      <w:lvlJc w:val="left"/>
      <w:pPr>
        <w:ind w:left="37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ACC8E46A">
      <w:start w:val="1"/>
      <w:numFmt w:val="bullet"/>
      <w:lvlText w:val="▪"/>
      <w:lvlJc w:val="left"/>
      <w:pPr>
        <w:ind w:left="44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3D46FF44">
      <w:start w:val="1"/>
      <w:numFmt w:val="bullet"/>
      <w:lvlText w:val="•"/>
      <w:lvlJc w:val="left"/>
      <w:pPr>
        <w:ind w:left="51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5AC49546">
      <w:start w:val="1"/>
      <w:numFmt w:val="bullet"/>
      <w:lvlText w:val="o"/>
      <w:lvlJc w:val="left"/>
      <w:pPr>
        <w:ind w:left="58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20DC17DE">
      <w:start w:val="1"/>
      <w:numFmt w:val="bullet"/>
      <w:lvlText w:val="▪"/>
      <w:lvlJc w:val="left"/>
      <w:pPr>
        <w:ind w:left="65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0FCD4DEE"/>
    <w:multiLevelType w:val="multilevel"/>
    <w:tmpl w:val="E7843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1C65B0"/>
    <w:multiLevelType w:val="hybridMultilevel"/>
    <w:tmpl w:val="DC4024E0"/>
    <w:lvl w:ilvl="0" w:tplc="0AD613F4">
      <w:start w:val="1"/>
      <w:numFmt w:val="bullet"/>
      <w:lvlText w:val="•"/>
      <w:lvlJc w:val="left"/>
      <w:pPr>
        <w:tabs>
          <w:tab w:val="num" w:pos="720"/>
        </w:tabs>
        <w:ind w:left="720" w:hanging="360"/>
      </w:pPr>
      <w:rPr>
        <w:rFonts w:ascii="Times New Roman" w:hAnsi="Times New Roman" w:hint="default"/>
      </w:rPr>
    </w:lvl>
    <w:lvl w:ilvl="1" w:tplc="E20EB1C6" w:tentative="1">
      <w:start w:val="1"/>
      <w:numFmt w:val="bullet"/>
      <w:lvlText w:val="•"/>
      <w:lvlJc w:val="left"/>
      <w:pPr>
        <w:tabs>
          <w:tab w:val="num" w:pos="1440"/>
        </w:tabs>
        <w:ind w:left="1440" w:hanging="360"/>
      </w:pPr>
      <w:rPr>
        <w:rFonts w:ascii="Times New Roman" w:hAnsi="Times New Roman" w:hint="default"/>
      </w:rPr>
    </w:lvl>
    <w:lvl w:ilvl="2" w:tplc="9F7020AA" w:tentative="1">
      <w:start w:val="1"/>
      <w:numFmt w:val="bullet"/>
      <w:lvlText w:val="•"/>
      <w:lvlJc w:val="left"/>
      <w:pPr>
        <w:tabs>
          <w:tab w:val="num" w:pos="2160"/>
        </w:tabs>
        <w:ind w:left="2160" w:hanging="360"/>
      </w:pPr>
      <w:rPr>
        <w:rFonts w:ascii="Times New Roman" w:hAnsi="Times New Roman" w:hint="default"/>
      </w:rPr>
    </w:lvl>
    <w:lvl w:ilvl="3" w:tplc="6B528F72" w:tentative="1">
      <w:start w:val="1"/>
      <w:numFmt w:val="bullet"/>
      <w:lvlText w:val="•"/>
      <w:lvlJc w:val="left"/>
      <w:pPr>
        <w:tabs>
          <w:tab w:val="num" w:pos="2880"/>
        </w:tabs>
        <w:ind w:left="2880" w:hanging="360"/>
      </w:pPr>
      <w:rPr>
        <w:rFonts w:ascii="Times New Roman" w:hAnsi="Times New Roman" w:hint="default"/>
      </w:rPr>
    </w:lvl>
    <w:lvl w:ilvl="4" w:tplc="8354A70A" w:tentative="1">
      <w:start w:val="1"/>
      <w:numFmt w:val="bullet"/>
      <w:lvlText w:val="•"/>
      <w:lvlJc w:val="left"/>
      <w:pPr>
        <w:tabs>
          <w:tab w:val="num" w:pos="3600"/>
        </w:tabs>
        <w:ind w:left="3600" w:hanging="360"/>
      </w:pPr>
      <w:rPr>
        <w:rFonts w:ascii="Times New Roman" w:hAnsi="Times New Roman" w:hint="default"/>
      </w:rPr>
    </w:lvl>
    <w:lvl w:ilvl="5" w:tplc="D60E6DC6" w:tentative="1">
      <w:start w:val="1"/>
      <w:numFmt w:val="bullet"/>
      <w:lvlText w:val="•"/>
      <w:lvlJc w:val="left"/>
      <w:pPr>
        <w:tabs>
          <w:tab w:val="num" w:pos="4320"/>
        </w:tabs>
        <w:ind w:left="4320" w:hanging="360"/>
      </w:pPr>
      <w:rPr>
        <w:rFonts w:ascii="Times New Roman" w:hAnsi="Times New Roman" w:hint="default"/>
      </w:rPr>
    </w:lvl>
    <w:lvl w:ilvl="6" w:tplc="C17C2EF2" w:tentative="1">
      <w:start w:val="1"/>
      <w:numFmt w:val="bullet"/>
      <w:lvlText w:val="•"/>
      <w:lvlJc w:val="left"/>
      <w:pPr>
        <w:tabs>
          <w:tab w:val="num" w:pos="5040"/>
        </w:tabs>
        <w:ind w:left="5040" w:hanging="360"/>
      </w:pPr>
      <w:rPr>
        <w:rFonts w:ascii="Times New Roman" w:hAnsi="Times New Roman" w:hint="default"/>
      </w:rPr>
    </w:lvl>
    <w:lvl w:ilvl="7" w:tplc="55F2A134" w:tentative="1">
      <w:start w:val="1"/>
      <w:numFmt w:val="bullet"/>
      <w:lvlText w:val="•"/>
      <w:lvlJc w:val="left"/>
      <w:pPr>
        <w:tabs>
          <w:tab w:val="num" w:pos="5760"/>
        </w:tabs>
        <w:ind w:left="5760" w:hanging="360"/>
      </w:pPr>
      <w:rPr>
        <w:rFonts w:ascii="Times New Roman" w:hAnsi="Times New Roman" w:hint="default"/>
      </w:rPr>
    </w:lvl>
    <w:lvl w:ilvl="8" w:tplc="F6F0F89E"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217947B4"/>
    <w:multiLevelType w:val="multilevel"/>
    <w:tmpl w:val="EA02F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2B6611A"/>
    <w:multiLevelType w:val="multilevel"/>
    <w:tmpl w:val="CC28B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E11C89"/>
    <w:multiLevelType w:val="hybridMultilevel"/>
    <w:tmpl w:val="D436D4CC"/>
    <w:lvl w:ilvl="0" w:tplc="1F9648F6">
      <w:start w:val="1"/>
      <w:numFmt w:val="decimal"/>
      <w:lvlText w:val="%1)"/>
      <w:lvlJc w:val="left"/>
      <w:pPr>
        <w:tabs>
          <w:tab w:val="num" w:pos="720"/>
        </w:tabs>
        <w:ind w:left="720" w:hanging="360"/>
      </w:pPr>
    </w:lvl>
    <w:lvl w:ilvl="1" w:tplc="916C40A0" w:tentative="1">
      <w:start w:val="1"/>
      <w:numFmt w:val="decimal"/>
      <w:lvlText w:val="%2)"/>
      <w:lvlJc w:val="left"/>
      <w:pPr>
        <w:tabs>
          <w:tab w:val="num" w:pos="1440"/>
        </w:tabs>
        <w:ind w:left="1440" w:hanging="360"/>
      </w:pPr>
    </w:lvl>
    <w:lvl w:ilvl="2" w:tplc="CA0E3334" w:tentative="1">
      <w:start w:val="1"/>
      <w:numFmt w:val="decimal"/>
      <w:lvlText w:val="%3)"/>
      <w:lvlJc w:val="left"/>
      <w:pPr>
        <w:tabs>
          <w:tab w:val="num" w:pos="2160"/>
        </w:tabs>
        <w:ind w:left="2160" w:hanging="360"/>
      </w:pPr>
    </w:lvl>
    <w:lvl w:ilvl="3" w:tplc="D0667654" w:tentative="1">
      <w:start w:val="1"/>
      <w:numFmt w:val="decimal"/>
      <w:lvlText w:val="%4)"/>
      <w:lvlJc w:val="left"/>
      <w:pPr>
        <w:tabs>
          <w:tab w:val="num" w:pos="2880"/>
        </w:tabs>
        <w:ind w:left="2880" w:hanging="360"/>
      </w:pPr>
    </w:lvl>
    <w:lvl w:ilvl="4" w:tplc="0BD897E8" w:tentative="1">
      <w:start w:val="1"/>
      <w:numFmt w:val="decimal"/>
      <w:lvlText w:val="%5)"/>
      <w:lvlJc w:val="left"/>
      <w:pPr>
        <w:tabs>
          <w:tab w:val="num" w:pos="3600"/>
        </w:tabs>
        <w:ind w:left="3600" w:hanging="360"/>
      </w:pPr>
    </w:lvl>
    <w:lvl w:ilvl="5" w:tplc="0F323B34" w:tentative="1">
      <w:start w:val="1"/>
      <w:numFmt w:val="decimal"/>
      <w:lvlText w:val="%6)"/>
      <w:lvlJc w:val="left"/>
      <w:pPr>
        <w:tabs>
          <w:tab w:val="num" w:pos="4320"/>
        </w:tabs>
        <w:ind w:left="4320" w:hanging="360"/>
      </w:pPr>
    </w:lvl>
    <w:lvl w:ilvl="6" w:tplc="AD482F1A" w:tentative="1">
      <w:start w:val="1"/>
      <w:numFmt w:val="decimal"/>
      <w:lvlText w:val="%7)"/>
      <w:lvlJc w:val="left"/>
      <w:pPr>
        <w:tabs>
          <w:tab w:val="num" w:pos="5040"/>
        </w:tabs>
        <w:ind w:left="5040" w:hanging="360"/>
      </w:pPr>
    </w:lvl>
    <w:lvl w:ilvl="7" w:tplc="7B249910" w:tentative="1">
      <w:start w:val="1"/>
      <w:numFmt w:val="decimal"/>
      <w:lvlText w:val="%8)"/>
      <w:lvlJc w:val="left"/>
      <w:pPr>
        <w:tabs>
          <w:tab w:val="num" w:pos="5760"/>
        </w:tabs>
        <w:ind w:left="5760" w:hanging="360"/>
      </w:pPr>
    </w:lvl>
    <w:lvl w:ilvl="8" w:tplc="6518DB0E" w:tentative="1">
      <w:start w:val="1"/>
      <w:numFmt w:val="decimal"/>
      <w:lvlText w:val="%9)"/>
      <w:lvlJc w:val="left"/>
      <w:pPr>
        <w:tabs>
          <w:tab w:val="num" w:pos="6480"/>
        </w:tabs>
        <w:ind w:left="6480" w:hanging="360"/>
      </w:pPr>
    </w:lvl>
  </w:abstractNum>
  <w:abstractNum w:abstractNumId="11" w15:restartNumberingAfterBreak="0">
    <w:nsid w:val="26AD65AD"/>
    <w:multiLevelType w:val="hybridMultilevel"/>
    <w:tmpl w:val="C3AAD1BC"/>
    <w:lvl w:ilvl="0" w:tplc="B6D82D0E">
      <w:start w:val="1"/>
      <w:numFmt w:val="decimal"/>
      <w:lvlText w:val="%1)"/>
      <w:lvlJc w:val="left"/>
      <w:pPr>
        <w:tabs>
          <w:tab w:val="num" w:pos="720"/>
        </w:tabs>
        <w:ind w:left="720" w:hanging="360"/>
      </w:pPr>
    </w:lvl>
    <w:lvl w:ilvl="1" w:tplc="E7BEE906" w:tentative="1">
      <w:start w:val="1"/>
      <w:numFmt w:val="decimal"/>
      <w:lvlText w:val="%2)"/>
      <w:lvlJc w:val="left"/>
      <w:pPr>
        <w:tabs>
          <w:tab w:val="num" w:pos="1440"/>
        </w:tabs>
        <w:ind w:left="1440" w:hanging="360"/>
      </w:pPr>
    </w:lvl>
    <w:lvl w:ilvl="2" w:tplc="33AA80C2" w:tentative="1">
      <w:start w:val="1"/>
      <w:numFmt w:val="decimal"/>
      <w:lvlText w:val="%3)"/>
      <w:lvlJc w:val="left"/>
      <w:pPr>
        <w:tabs>
          <w:tab w:val="num" w:pos="2160"/>
        </w:tabs>
        <w:ind w:left="2160" w:hanging="360"/>
      </w:pPr>
    </w:lvl>
    <w:lvl w:ilvl="3" w:tplc="0DE0AF98" w:tentative="1">
      <w:start w:val="1"/>
      <w:numFmt w:val="decimal"/>
      <w:lvlText w:val="%4)"/>
      <w:lvlJc w:val="left"/>
      <w:pPr>
        <w:tabs>
          <w:tab w:val="num" w:pos="2880"/>
        </w:tabs>
        <w:ind w:left="2880" w:hanging="360"/>
      </w:pPr>
    </w:lvl>
    <w:lvl w:ilvl="4" w:tplc="F7D66710" w:tentative="1">
      <w:start w:val="1"/>
      <w:numFmt w:val="decimal"/>
      <w:lvlText w:val="%5)"/>
      <w:lvlJc w:val="left"/>
      <w:pPr>
        <w:tabs>
          <w:tab w:val="num" w:pos="3600"/>
        </w:tabs>
        <w:ind w:left="3600" w:hanging="360"/>
      </w:pPr>
    </w:lvl>
    <w:lvl w:ilvl="5" w:tplc="571C4F50" w:tentative="1">
      <w:start w:val="1"/>
      <w:numFmt w:val="decimal"/>
      <w:lvlText w:val="%6)"/>
      <w:lvlJc w:val="left"/>
      <w:pPr>
        <w:tabs>
          <w:tab w:val="num" w:pos="4320"/>
        </w:tabs>
        <w:ind w:left="4320" w:hanging="360"/>
      </w:pPr>
    </w:lvl>
    <w:lvl w:ilvl="6" w:tplc="FDF8AFFC" w:tentative="1">
      <w:start w:val="1"/>
      <w:numFmt w:val="decimal"/>
      <w:lvlText w:val="%7)"/>
      <w:lvlJc w:val="left"/>
      <w:pPr>
        <w:tabs>
          <w:tab w:val="num" w:pos="5040"/>
        </w:tabs>
        <w:ind w:left="5040" w:hanging="360"/>
      </w:pPr>
    </w:lvl>
    <w:lvl w:ilvl="7" w:tplc="C1CA14F6" w:tentative="1">
      <w:start w:val="1"/>
      <w:numFmt w:val="decimal"/>
      <w:lvlText w:val="%8)"/>
      <w:lvlJc w:val="left"/>
      <w:pPr>
        <w:tabs>
          <w:tab w:val="num" w:pos="5760"/>
        </w:tabs>
        <w:ind w:left="5760" w:hanging="360"/>
      </w:pPr>
    </w:lvl>
    <w:lvl w:ilvl="8" w:tplc="84ECCF54" w:tentative="1">
      <w:start w:val="1"/>
      <w:numFmt w:val="decimal"/>
      <w:lvlText w:val="%9)"/>
      <w:lvlJc w:val="left"/>
      <w:pPr>
        <w:tabs>
          <w:tab w:val="num" w:pos="6480"/>
        </w:tabs>
        <w:ind w:left="6480" w:hanging="360"/>
      </w:pPr>
    </w:lvl>
  </w:abstractNum>
  <w:abstractNum w:abstractNumId="12" w15:restartNumberingAfterBreak="0">
    <w:nsid w:val="26BC2F44"/>
    <w:multiLevelType w:val="multilevel"/>
    <w:tmpl w:val="FC96AC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8B310FB"/>
    <w:multiLevelType w:val="multilevel"/>
    <w:tmpl w:val="519C5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9B82B7D"/>
    <w:multiLevelType w:val="multilevel"/>
    <w:tmpl w:val="4E883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A4271C9"/>
    <w:multiLevelType w:val="multilevel"/>
    <w:tmpl w:val="E5B26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A9019B4"/>
    <w:multiLevelType w:val="multilevel"/>
    <w:tmpl w:val="6BB69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AF7040C"/>
    <w:multiLevelType w:val="multilevel"/>
    <w:tmpl w:val="F3C698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FD35C13"/>
    <w:multiLevelType w:val="hybridMultilevel"/>
    <w:tmpl w:val="34D2B4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0E21544"/>
    <w:multiLevelType w:val="hybridMultilevel"/>
    <w:tmpl w:val="18B8A946"/>
    <w:lvl w:ilvl="0" w:tplc="7C74CCAE">
      <w:start w:val="1"/>
      <w:numFmt w:val="bullet"/>
      <w:lvlText w:val="■"/>
      <w:lvlJc w:val="left"/>
      <w:pPr>
        <w:tabs>
          <w:tab w:val="num" w:pos="720"/>
        </w:tabs>
        <w:ind w:left="720" w:hanging="360"/>
      </w:pPr>
      <w:rPr>
        <w:rFonts w:ascii="Franklin Gothic Book" w:hAnsi="Franklin Gothic Book" w:hint="default"/>
      </w:rPr>
    </w:lvl>
    <w:lvl w:ilvl="1" w:tplc="DFE62BAA" w:tentative="1">
      <w:start w:val="1"/>
      <w:numFmt w:val="bullet"/>
      <w:lvlText w:val="■"/>
      <w:lvlJc w:val="left"/>
      <w:pPr>
        <w:tabs>
          <w:tab w:val="num" w:pos="1440"/>
        </w:tabs>
        <w:ind w:left="1440" w:hanging="360"/>
      </w:pPr>
      <w:rPr>
        <w:rFonts w:ascii="Franklin Gothic Book" w:hAnsi="Franklin Gothic Book" w:hint="default"/>
      </w:rPr>
    </w:lvl>
    <w:lvl w:ilvl="2" w:tplc="6BDEC63E" w:tentative="1">
      <w:start w:val="1"/>
      <w:numFmt w:val="bullet"/>
      <w:lvlText w:val="■"/>
      <w:lvlJc w:val="left"/>
      <w:pPr>
        <w:tabs>
          <w:tab w:val="num" w:pos="2160"/>
        </w:tabs>
        <w:ind w:left="2160" w:hanging="360"/>
      </w:pPr>
      <w:rPr>
        <w:rFonts w:ascii="Franklin Gothic Book" w:hAnsi="Franklin Gothic Book" w:hint="default"/>
      </w:rPr>
    </w:lvl>
    <w:lvl w:ilvl="3" w:tplc="D27A0938" w:tentative="1">
      <w:start w:val="1"/>
      <w:numFmt w:val="bullet"/>
      <w:lvlText w:val="■"/>
      <w:lvlJc w:val="left"/>
      <w:pPr>
        <w:tabs>
          <w:tab w:val="num" w:pos="2880"/>
        </w:tabs>
        <w:ind w:left="2880" w:hanging="360"/>
      </w:pPr>
      <w:rPr>
        <w:rFonts w:ascii="Franklin Gothic Book" w:hAnsi="Franklin Gothic Book" w:hint="default"/>
      </w:rPr>
    </w:lvl>
    <w:lvl w:ilvl="4" w:tplc="15D83DEE" w:tentative="1">
      <w:start w:val="1"/>
      <w:numFmt w:val="bullet"/>
      <w:lvlText w:val="■"/>
      <w:lvlJc w:val="left"/>
      <w:pPr>
        <w:tabs>
          <w:tab w:val="num" w:pos="3600"/>
        </w:tabs>
        <w:ind w:left="3600" w:hanging="360"/>
      </w:pPr>
      <w:rPr>
        <w:rFonts w:ascii="Franklin Gothic Book" w:hAnsi="Franklin Gothic Book" w:hint="default"/>
      </w:rPr>
    </w:lvl>
    <w:lvl w:ilvl="5" w:tplc="353EF692" w:tentative="1">
      <w:start w:val="1"/>
      <w:numFmt w:val="bullet"/>
      <w:lvlText w:val="■"/>
      <w:lvlJc w:val="left"/>
      <w:pPr>
        <w:tabs>
          <w:tab w:val="num" w:pos="4320"/>
        </w:tabs>
        <w:ind w:left="4320" w:hanging="360"/>
      </w:pPr>
      <w:rPr>
        <w:rFonts w:ascii="Franklin Gothic Book" w:hAnsi="Franklin Gothic Book" w:hint="default"/>
      </w:rPr>
    </w:lvl>
    <w:lvl w:ilvl="6" w:tplc="DF2673AC" w:tentative="1">
      <w:start w:val="1"/>
      <w:numFmt w:val="bullet"/>
      <w:lvlText w:val="■"/>
      <w:lvlJc w:val="left"/>
      <w:pPr>
        <w:tabs>
          <w:tab w:val="num" w:pos="5040"/>
        </w:tabs>
        <w:ind w:left="5040" w:hanging="360"/>
      </w:pPr>
      <w:rPr>
        <w:rFonts w:ascii="Franklin Gothic Book" w:hAnsi="Franklin Gothic Book" w:hint="default"/>
      </w:rPr>
    </w:lvl>
    <w:lvl w:ilvl="7" w:tplc="23F25158" w:tentative="1">
      <w:start w:val="1"/>
      <w:numFmt w:val="bullet"/>
      <w:lvlText w:val="■"/>
      <w:lvlJc w:val="left"/>
      <w:pPr>
        <w:tabs>
          <w:tab w:val="num" w:pos="5760"/>
        </w:tabs>
        <w:ind w:left="5760" w:hanging="360"/>
      </w:pPr>
      <w:rPr>
        <w:rFonts w:ascii="Franklin Gothic Book" w:hAnsi="Franklin Gothic Book" w:hint="default"/>
      </w:rPr>
    </w:lvl>
    <w:lvl w:ilvl="8" w:tplc="2FD8DFBC" w:tentative="1">
      <w:start w:val="1"/>
      <w:numFmt w:val="bullet"/>
      <w:lvlText w:val="■"/>
      <w:lvlJc w:val="left"/>
      <w:pPr>
        <w:tabs>
          <w:tab w:val="num" w:pos="6480"/>
        </w:tabs>
        <w:ind w:left="6480" w:hanging="360"/>
      </w:pPr>
      <w:rPr>
        <w:rFonts w:ascii="Franklin Gothic Book" w:hAnsi="Franklin Gothic Book" w:hint="default"/>
      </w:rPr>
    </w:lvl>
  </w:abstractNum>
  <w:abstractNum w:abstractNumId="20" w15:restartNumberingAfterBreak="0">
    <w:nsid w:val="341369E4"/>
    <w:multiLevelType w:val="multilevel"/>
    <w:tmpl w:val="4F722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471241F"/>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2" w15:restartNumberingAfterBreak="0">
    <w:nsid w:val="38B655FC"/>
    <w:multiLevelType w:val="multilevel"/>
    <w:tmpl w:val="EFEA99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D5408EA"/>
    <w:multiLevelType w:val="multilevel"/>
    <w:tmpl w:val="5854F6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E120711"/>
    <w:multiLevelType w:val="multilevel"/>
    <w:tmpl w:val="6AD4D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F4D1E07"/>
    <w:multiLevelType w:val="hybridMultilevel"/>
    <w:tmpl w:val="5BA88F5A"/>
    <w:lvl w:ilvl="0" w:tplc="3AECF50C">
      <w:numFmt w:val="bullet"/>
      <w:lvlText w:val=""/>
      <w:lvlJc w:val="left"/>
      <w:pPr>
        <w:ind w:left="1400" w:hanging="360"/>
      </w:pPr>
      <w:rPr>
        <w:rFonts w:ascii="Times New Roman" w:eastAsia="Times New Roman" w:hAnsi="Times New Roman" w:cs="Times New Roman"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26" w15:restartNumberingAfterBreak="0">
    <w:nsid w:val="3FCB0F7C"/>
    <w:multiLevelType w:val="multilevel"/>
    <w:tmpl w:val="4FAE2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0D0382A"/>
    <w:multiLevelType w:val="multilevel"/>
    <w:tmpl w:val="B1CA3E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21566B4"/>
    <w:multiLevelType w:val="multilevel"/>
    <w:tmpl w:val="ACBC1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4B80B73"/>
    <w:multiLevelType w:val="multilevel"/>
    <w:tmpl w:val="BA5CF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D574ED7"/>
    <w:multiLevelType w:val="multilevel"/>
    <w:tmpl w:val="83CA8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D767B88"/>
    <w:multiLevelType w:val="multilevel"/>
    <w:tmpl w:val="A5403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0CD1036"/>
    <w:multiLevelType w:val="hybridMultilevel"/>
    <w:tmpl w:val="2CDAED98"/>
    <w:lvl w:ilvl="0" w:tplc="6F74291C">
      <w:start w:val="1"/>
      <w:numFmt w:val="bullet"/>
      <w:lvlText w:val="•"/>
      <w:lvlJc w:val="left"/>
      <w:pPr>
        <w:tabs>
          <w:tab w:val="num" w:pos="720"/>
        </w:tabs>
        <w:ind w:left="720" w:hanging="360"/>
      </w:pPr>
      <w:rPr>
        <w:rFonts w:ascii="Arial" w:hAnsi="Arial" w:hint="default"/>
      </w:rPr>
    </w:lvl>
    <w:lvl w:ilvl="1" w:tplc="A0F425EA" w:tentative="1">
      <w:start w:val="1"/>
      <w:numFmt w:val="bullet"/>
      <w:lvlText w:val="•"/>
      <w:lvlJc w:val="left"/>
      <w:pPr>
        <w:tabs>
          <w:tab w:val="num" w:pos="1440"/>
        </w:tabs>
        <w:ind w:left="1440" w:hanging="360"/>
      </w:pPr>
      <w:rPr>
        <w:rFonts w:ascii="Arial" w:hAnsi="Arial" w:hint="default"/>
      </w:rPr>
    </w:lvl>
    <w:lvl w:ilvl="2" w:tplc="FF841C70" w:tentative="1">
      <w:start w:val="1"/>
      <w:numFmt w:val="bullet"/>
      <w:lvlText w:val="•"/>
      <w:lvlJc w:val="left"/>
      <w:pPr>
        <w:tabs>
          <w:tab w:val="num" w:pos="2160"/>
        </w:tabs>
        <w:ind w:left="2160" w:hanging="360"/>
      </w:pPr>
      <w:rPr>
        <w:rFonts w:ascii="Arial" w:hAnsi="Arial" w:hint="default"/>
      </w:rPr>
    </w:lvl>
    <w:lvl w:ilvl="3" w:tplc="6D26DEFA" w:tentative="1">
      <w:start w:val="1"/>
      <w:numFmt w:val="bullet"/>
      <w:lvlText w:val="•"/>
      <w:lvlJc w:val="left"/>
      <w:pPr>
        <w:tabs>
          <w:tab w:val="num" w:pos="2880"/>
        </w:tabs>
        <w:ind w:left="2880" w:hanging="360"/>
      </w:pPr>
      <w:rPr>
        <w:rFonts w:ascii="Arial" w:hAnsi="Arial" w:hint="default"/>
      </w:rPr>
    </w:lvl>
    <w:lvl w:ilvl="4" w:tplc="AA90CA4C" w:tentative="1">
      <w:start w:val="1"/>
      <w:numFmt w:val="bullet"/>
      <w:lvlText w:val="•"/>
      <w:lvlJc w:val="left"/>
      <w:pPr>
        <w:tabs>
          <w:tab w:val="num" w:pos="3600"/>
        </w:tabs>
        <w:ind w:left="3600" w:hanging="360"/>
      </w:pPr>
      <w:rPr>
        <w:rFonts w:ascii="Arial" w:hAnsi="Arial" w:hint="default"/>
      </w:rPr>
    </w:lvl>
    <w:lvl w:ilvl="5" w:tplc="48DA4442" w:tentative="1">
      <w:start w:val="1"/>
      <w:numFmt w:val="bullet"/>
      <w:lvlText w:val="•"/>
      <w:lvlJc w:val="left"/>
      <w:pPr>
        <w:tabs>
          <w:tab w:val="num" w:pos="4320"/>
        </w:tabs>
        <w:ind w:left="4320" w:hanging="360"/>
      </w:pPr>
      <w:rPr>
        <w:rFonts w:ascii="Arial" w:hAnsi="Arial" w:hint="default"/>
      </w:rPr>
    </w:lvl>
    <w:lvl w:ilvl="6" w:tplc="15B629DC" w:tentative="1">
      <w:start w:val="1"/>
      <w:numFmt w:val="bullet"/>
      <w:lvlText w:val="•"/>
      <w:lvlJc w:val="left"/>
      <w:pPr>
        <w:tabs>
          <w:tab w:val="num" w:pos="5040"/>
        </w:tabs>
        <w:ind w:left="5040" w:hanging="360"/>
      </w:pPr>
      <w:rPr>
        <w:rFonts w:ascii="Arial" w:hAnsi="Arial" w:hint="default"/>
      </w:rPr>
    </w:lvl>
    <w:lvl w:ilvl="7" w:tplc="3D66F4CC" w:tentative="1">
      <w:start w:val="1"/>
      <w:numFmt w:val="bullet"/>
      <w:lvlText w:val="•"/>
      <w:lvlJc w:val="left"/>
      <w:pPr>
        <w:tabs>
          <w:tab w:val="num" w:pos="5760"/>
        </w:tabs>
        <w:ind w:left="5760" w:hanging="360"/>
      </w:pPr>
      <w:rPr>
        <w:rFonts w:ascii="Arial" w:hAnsi="Arial" w:hint="default"/>
      </w:rPr>
    </w:lvl>
    <w:lvl w:ilvl="8" w:tplc="EFC86C50"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53104616"/>
    <w:multiLevelType w:val="hybridMultilevel"/>
    <w:tmpl w:val="01929074"/>
    <w:lvl w:ilvl="0" w:tplc="1A84BAD6">
      <w:start w:val="1"/>
      <w:numFmt w:val="bullet"/>
      <w:lvlText w:val="•"/>
      <w:lvlJc w:val="left"/>
      <w:pPr>
        <w:tabs>
          <w:tab w:val="num" w:pos="720"/>
        </w:tabs>
        <w:ind w:left="720" w:hanging="360"/>
      </w:pPr>
      <w:rPr>
        <w:rFonts w:ascii="Arial" w:hAnsi="Arial" w:hint="default"/>
      </w:rPr>
    </w:lvl>
    <w:lvl w:ilvl="1" w:tplc="3F24DCAE" w:tentative="1">
      <w:start w:val="1"/>
      <w:numFmt w:val="bullet"/>
      <w:lvlText w:val="•"/>
      <w:lvlJc w:val="left"/>
      <w:pPr>
        <w:tabs>
          <w:tab w:val="num" w:pos="1440"/>
        </w:tabs>
        <w:ind w:left="1440" w:hanging="360"/>
      </w:pPr>
      <w:rPr>
        <w:rFonts w:ascii="Arial" w:hAnsi="Arial" w:hint="default"/>
      </w:rPr>
    </w:lvl>
    <w:lvl w:ilvl="2" w:tplc="A6FA5E00" w:tentative="1">
      <w:start w:val="1"/>
      <w:numFmt w:val="bullet"/>
      <w:lvlText w:val="•"/>
      <w:lvlJc w:val="left"/>
      <w:pPr>
        <w:tabs>
          <w:tab w:val="num" w:pos="2160"/>
        </w:tabs>
        <w:ind w:left="2160" w:hanging="360"/>
      </w:pPr>
      <w:rPr>
        <w:rFonts w:ascii="Arial" w:hAnsi="Arial" w:hint="default"/>
      </w:rPr>
    </w:lvl>
    <w:lvl w:ilvl="3" w:tplc="9F7C0318" w:tentative="1">
      <w:start w:val="1"/>
      <w:numFmt w:val="bullet"/>
      <w:lvlText w:val="•"/>
      <w:lvlJc w:val="left"/>
      <w:pPr>
        <w:tabs>
          <w:tab w:val="num" w:pos="2880"/>
        </w:tabs>
        <w:ind w:left="2880" w:hanging="360"/>
      </w:pPr>
      <w:rPr>
        <w:rFonts w:ascii="Arial" w:hAnsi="Arial" w:hint="default"/>
      </w:rPr>
    </w:lvl>
    <w:lvl w:ilvl="4" w:tplc="0450E0EC" w:tentative="1">
      <w:start w:val="1"/>
      <w:numFmt w:val="bullet"/>
      <w:lvlText w:val="•"/>
      <w:lvlJc w:val="left"/>
      <w:pPr>
        <w:tabs>
          <w:tab w:val="num" w:pos="3600"/>
        </w:tabs>
        <w:ind w:left="3600" w:hanging="360"/>
      </w:pPr>
      <w:rPr>
        <w:rFonts w:ascii="Arial" w:hAnsi="Arial" w:hint="default"/>
      </w:rPr>
    </w:lvl>
    <w:lvl w:ilvl="5" w:tplc="70CA56B6" w:tentative="1">
      <w:start w:val="1"/>
      <w:numFmt w:val="bullet"/>
      <w:lvlText w:val="•"/>
      <w:lvlJc w:val="left"/>
      <w:pPr>
        <w:tabs>
          <w:tab w:val="num" w:pos="4320"/>
        </w:tabs>
        <w:ind w:left="4320" w:hanging="360"/>
      </w:pPr>
      <w:rPr>
        <w:rFonts w:ascii="Arial" w:hAnsi="Arial" w:hint="default"/>
      </w:rPr>
    </w:lvl>
    <w:lvl w:ilvl="6" w:tplc="00C0296E" w:tentative="1">
      <w:start w:val="1"/>
      <w:numFmt w:val="bullet"/>
      <w:lvlText w:val="•"/>
      <w:lvlJc w:val="left"/>
      <w:pPr>
        <w:tabs>
          <w:tab w:val="num" w:pos="5040"/>
        </w:tabs>
        <w:ind w:left="5040" w:hanging="360"/>
      </w:pPr>
      <w:rPr>
        <w:rFonts w:ascii="Arial" w:hAnsi="Arial" w:hint="default"/>
      </w:rPr>
    </w:lvl>
    <w:lvl w:ilvl="7" w:tplc="B7CCC34C" w:tentative="1">
      <w:start w:val="1"/>
      <w:numFmt w:val="bullet"/>
      <w:lvlText w:val="•"/>
      <w:lvlJc w:val="left"/>
      <w:pPr>
        <w:tabs>
          <w:tab w:val="num" w:pos="5760"/>
        </w:tabs>
        <w:ind w:left="5760" w:hanging="360"/>
      </w:pPr>
      <w:rPr>
        <w:rFonts w:ascii="Arial" w:hAnsi="Arial" w:hint="default"/>
      </w:rPr>
    </w:lvl>
    <w:lvl w:ilvl="8" w:tplc="F65CB926"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5F0A5E5A"/>
    <w:multiLevelType w:val="multilevel"/>
    <w:tmpl w:val="E0ACBB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0252BA8"/>
    <w:multiLevelType w:val="multilevel"/>
    <w:tmpl w:val="2384F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36E45EC"/>
    <w:multiLevelType w:val="multilevel"/>
    <w:tmpl w:val="4D4604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3BE30B7"/>
    <w:multiLevelType w:val="multilevel"/>
    <w:tmpl w:val="4D3C6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3DE04EB"/>
    <w:multiLevelType w:val="multilevel"/>
    <w:tmpl w:val="AA9466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4CE0916"/>
    <w:multiLevelType w:val="multilevel"/>
    <w:tmpl w:val="70E2F1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5280CF0"/>
    <w:multiLevelType w:val="multilevel"/>
    <w:tmpl w:val="258A70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6D30A11"/>
    <w:multiLevelType w:val="multilevel"/>
    <w:tmpl w:val="98B27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66DE281E"/>
    <w:multiLevelType w:val="multilevel"/>
    <w:tmpl w:val="724C54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75A2D6D"/>
    <w:multiLevelType w:val="multilevel"/>
    <w:tmpl w:val="F8989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680C6359"/>
    <w:multiLevelType w:val="multilevel"/>
    <w:tmpl w:val="4A04E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AD41829"/>
    <w:multiLevelType w:val="multilevel"/>
    <w:tmpl w:val="422CDF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4635F3"/>
    <w:multiLevelType w:val="multilevel"/>
    <w:tmpl w:val="F3407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DE958E9"/>
    <w:multiLevelType w:val="hybridMultilevel"/>
    <w:tmpl w:val="3A58D342"/>
    <w:lvl w:ilvl="0" w:tplc="337A4666">
      <w:start w:val="1"/>
      <w:numFmt w:val="decimal"/>
      <w:lvlText w:val="%1)"/>
      <w:lvlJc w:val="left"/>
      <w:pPr>
        <w:tabs>
          <w:tab w:val="num" w:pos="720"/>
        </w:tabs>
        <w:ind w:left="720" w:hanging="360"/>
      </w:pPr>
    </w:lvl>
    <w:lvl w:ilvl="1" w:tplc="4582072A" w:tentative="1">
      <w:start w:val="1"/>
      <w:numFmt w:val="decimal"/>
      <w:lvlText w:val="%2)"/>
      <w:lvlJc w:val="left"/>
      <w:pPr>
        <w:tabs>
          <w:tab w:val="num" w:pos="1440"/>
        </w:tabs>
        <w:ind w:left="1440" w:hanging="360"/>
      </w:pPr>
    </w:lvl>
    <w:lvl w:ilvl="2" w:tplc="22184F7E" w:tentative="1">
      <w:start w:val="1"/>
      <w:numFmt w:val="decimal"/>
      <w:lvlText w:val="%3)"/>
      <w:lvlJc w:val="left"/>
      <w:pPr>
        <w:tabs>
          <w:tab w:val="num" w:pos="2160"/>
        </w:tabs>
        <w:ind w:left="2160" w:hanging="360"/>
      </w:pPr>
    </w:lvl>
    <w:lvl w:ilvl="3" w:tplc="2C9A750A" w:tentative="1">
      <w:start w:val="1"/>
      <w:numFmt w:val="decimal"/>
      <w:lvlText w:val="%4)"/>
      <w:lvlJc w:val="left"/>
      <w:pPr>
        <w:tabs>
          <w:tab w:val="num" w:pos="2880"/>
        </w:tabs>
        <w:ind w:left="2880" w:hanging="360"/>
      </w:pPr>
    </w:lvl>
    <w:lvl w:ilvl="4" w:tplc="899A8306" w:tentative="1">
      <w:start w:val="1"/>
      <w:numFmt w:val="decimal"/>
      <w:lvlText w:val="%5)"/>
      <w:lvlJc w:val="left"/>
      <w:pPr>
        <w:tabs>
          <w:tab w:val="num" w:pos="3600"/>
        </w:tabs>
        <w:ind w:left="3600" w:hanging="360"/>
      </w:pPr>
    </w:lvl>
    <w:lvl w:ilvl="5" w:tplc="0952F6E4" w:tentative="1">
      <w:start w:val="1"/>
      <w:numFmt w:val="decimal"/>
      <w:lvlText w:val="%6)"/>
      <w:lvlJc w:val="left"/>
      <w:pPr>
        <w:tabs>
          <w:tab w:val="num" w:pos="4320"/>
        </w:tabs>
        <w:ind w:left="4320" w:hanging="360"/>
      </w:pPr>
    </w:lvl>
    <w:lvl w:ilvl="6" w:tplc="39CCAB88" w:tentative="1">
      <w:start w:val="1"/>
      <w:numFmt w:val="decimal"/>
      <w:lvlText w:val="%7)"/>
      <w:lvlJc w:val="left"/>
      <w:pPr>
        <w:tabs>
          <w:tab w:val="num" w:pos="5040"/>
        </w:tabs>
        <w:ind w:left="5040" w:hanging="360"/>
      </w:pPr>
    </w:lvl>
    <w:lvl w:ilvl="7" w:tplc="0A580BF6" w:tentative="1">
      <w:start w:val="1"/>
      <w:numFmt w:val="decimal"/>
      <w:lvlText w:val="%8)"/>
      <w:lvlJc w:val="left"/>
      <w:pPr>
        <w:tabs>
          <w:tab w:val="num" w:pos="5760"/>
        </w:tabs>
        <w:ind w:left="5760" w:hanging="360"/>
      </w:pPr>
    </w:lvl>
    <w:lvl w:ilvl="8" w:tplc="253AB004" w:tentative="1">
      <w:start w:val="1"/>
      <w:numFmt w:val="decimal"/>
      <w:lvlText w:val="%9)"/>
      <w:lvlJc w:val="left"/>
      <w:pPr>
        <w:tabs>
          <w:tab w:val="num" w:pos="6480"/>
        </w:tabs>
        <w:ind w:left="6480" w:hanging="360"/>
      </w:pPr>
    </w:lvl>
  </w:abstractNum>
  <w:abstractNum w:abstractNumId="48" w15:restartNumberingAfterBreak="0">
    <w:nsid w:val="6F21256C"/>
    <w:multiLevelType w:val="multilevel"/>
    <w:tmpl w:val="AF9C7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6F5B53B4"/>
    <w:multiLevelType w:val="multilevel"/>
    <w:tmpl w:val="AAEEE9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3572BD7"/>
    <w:multiLevelType w:val="multilevel"/>
    <w:tmpl w:val="2C6CB0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7B075E4"/>
    <w:multiLevelType w:val="multilevel"/>
    <w:tmpl w:val="F1B8A7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CDE21F3"/>
    <w:multiLevelType w:val="multilevel"/>
    <w:tmpl w:val="32BCB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DE50663"/>
    <w:multiLevelType w:val="hybridMultilevel"/>
    <w:tmpl w:val="48EE5E8C"/>
    <w:lvl w:ilvl="0" w:tplc="9D28A586">
      <w:start w:val="1"/>
      <w:numFmt w:val="bullet"/>
      <w:lvlText w:val="•"/>
      <w:lvlJc w:val="left"/>
      <w:pPr>
        <w:tabs>
          <w:tab w:val="num" w:pos="720"/>
        </w:tabs>
        <w:ind w:left="720" w:hanging="360"/>
      </w:pPr>
      <w:rPr>
        <w:rFonts w:ascii="Arial" w:hAnsi="Arial" w:hint="default"/>
      </w:rPr>
    </w:lvl>
    <w:lvl w:ilvl="1" w:tplc="8542BB90" w:tentative="1">
      <w:start w:val="1"/>
      <w:numFmt w:val="bullet"/>
      <w:lvlText w:val="•"/>
      <w:lvlJc w:val="left"/>
      <w:pPr>
        <w:tabs>
          <w:tab w:val="num" w:pos="1440"/>
        </w:tabs>
        <w:ind w:left="1440" w:hanging="360"/>
      </w:pPr>
      <w:rPr>
        <w:rFonts w:ascii="Arial" w:hAnsi="Arial" w:hint="default"/>
      </w:rPr>
    </w:lvl>
    <w:lvl w:ilvl="2" w:tplc="1E667948" w:tentative="1">
      <w:start w:val="1"/>
      <w:numFmt w:val="bullet"/>
      <w:lvlText w:val="•"/>
      <w:lvlJc w:val="left"/>
      <w:pPr>
        <w:tabs>
          <w:tab w:val="num" w:pos="2160"/>
        </w:tabs>
        <w:ind w:left="2160" w:hanging="360"/>
      </w:pPr>
      <w:rPr>
        <w:rFonts w:ascii="Arial" w:hAnsi="Arial" w:hint="default"/>
      </w:rPr>
    </w:lvl>
    <w:lvl w:ilvl="3" w:tplc="50E61E80" w:tentative="1">
      <w:start w:val="1"/>
      <w:numFmt w:val="bullet"/>
      <w:lvlText w:val="•"/>
      <w:lvlJc w:val="left"/>
      <w:pPr>
        <w:tabs>
          <w:tab w:val="num" w:pos="2880"/>
        </w:tabs>
        <w:ind w:left="2880" w:hanging="360"/>
      </w:pPr>
      <w:rPr>
        <w:rFonts w:ascii="Arial" w:hAnsi="Arial" w:hint="default"/>
      </w:rPr>
    </w:lvl>
    <w:lvl w:ilvl="4" w:tplc="71AA0386" w:tentative="1">
      <w:start w:val="1"/>
      <w:numFmt w:val="bullet"/>
      <w:lvlText w:val="•"/>
      <w:lvlJc w:val="left"/>
      <w:pPr>
        <w:tabs>
          <w:tab w:val="num" w:pos="3600"/>
        </w:tabs>
        <w:ind w:left="3600" w:hanging="360"/>
      </w:pPr>
      <w:rPr>
        <w:rFonts w:ascii="Arial" w:hAnsi="Arial" w:hint="default"/>
      </w:rPr>
    </w:lvl>
    <w:lvl w:ilvl="5" w:tplc="9EE41288" w:tentative="1">
      <w:start w:val="1"/>
      <w:numFmt w:val="bullet"/>
      <w:lvlText w:val="•"/>
      <w:lvlJc w:val="left"/>
      <w:pPr>
        <w:tabs>
          <w:tab w:val="num" w:pos="4320"/>
        </w:tabs>
        <w:ind w:left="4320" w:hanging="360"/>
      </w:pPr>
      <w:rPr>
        <w:rFonts w:ascii="Arial" w:hAnsi="Arial" w:hint="default"/>
      </w:rPr>
    </w:lvl>
    <w:lvl w:ilvl="6" w:tplc="556CA2A2" w:tentative="1">
      <w:start w:val="1"/>
      <w:numFmt w:val="bullet"/>
      <w:lvlText w:val="•"/>
      <w:lvlJc w:val="left"/>
      <w:pPr>
        <w:tabs>
          <w:tab w:val="num" w:pos="5040"/>
        </w:tabs>
        <w:ind w:left="5040" w:hanging="360"/>
      </w:pPr>
      <w:rPr>
        <w:rFonts w:ascii="Arial" w:hAnsi="Arial" w:hint="default"/>
      </w:rPr>
    </w:lvl>
    <w:lvl w:ilvl="7" w:tplc="B0E86B4E" w:tentative="1">
      <w:start w:val="1"/>
      <w:numFmt w:val="bullet"/>
      <w:lvlText w:val="•"/>
      <w:lvlJc w:val="left"/>
      <w:pPr>
        <w:tabs>
          <w:tab w:val="num" w:pos="5760"/>
        </w:tabs>
        <w:ind w:left="5760" w:hanging="360"/>
      </w:pPr>
      <w:rPr>
        <w:rFonts w:ascii="Arial" w:hAnsi="Arial" w:hint="default"/>
      </w:rPr>
    </w:lvl>
    <w:lvl w:ilvl="8" w:tplc="239C907C" w:tentative="1">
      <w:start w:val="1"/>
      <w:numFmt w:val="bullet"/>
      <w:lvlText w:val="•"/>
      <w:lvlJc w:val="left"/>
      <w:pPr>
        <w:tabs>
          <w:tab w:val="num" w:pos="6480"/>
        </w:tabs>
        <w:ind w:left="6480" w:hanging="360"/>
      </w:pPr>
      <w:rPr>
        <w:rFonts w:ascii="Arial" w:hAnsi="Arial" w:hint="default"/>
      </w:rPr>
    </w:lvl>
  </w:abstractNum>
  <w:abstractNum w:abstractNumId="54" w15:restartNumberingAfterBreak="0">
    <w:nsid w:val="7E6E0E62"/>
    <w:multiLevelType w:val="multilevel"/>
    <w:tmpl w:val="138EA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EA13160"/>
    <w:multiLevelType w:val="multilevel"/>
    <w:tmpl w:val="F746FE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EC52444"/>
    <w:multiLevelType w:val="multilevel"/>
    <w:tmpl w:val="15DAA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34252983">
    <w:abstractNumId w:val="21"/>
  </w:num>
  <w:num w:numId="2" w16cid:durableId="434637043">
    <w:abstractNumId w:val="16"/>
  </w:num>
  <w:num w:numId="3" w16cid:durableId="678239041">
    <w:abstractNumId w:val="41"/>
  </w:num>
  <w:num w:numId="4" w16cid:durableId="1306741710">
    <w:abstractNumId w:val="46"/>
  </w:num>
  <w:num w:numId="5" w16cid:durableId="1134909553">
    <w:abstractNumId w:val="29"/>
  </w:num>
  <w:num w:numId="6" w16cid:durableId="1913538503">
    <w:abstractNumId w:val="26"/>
  </w:num>
  <w:num w:numId="7" w16cid:durableId="1555000495">
    <w:abstractNumId w:val="30"/>
  </w:num>
  <w:num w:numId="8" w16cid:durableId="147209380">
    <w:abstractNumId w:val="43"/>
  </w:num>
  <w:num w:numId="9" w16cid:durableId="1103264391">
    <w:abstractNumId w:val="20"/>
  </w:num>
  <w:num w:numId="10" w16cid:durableId="390933592">
    <w:abstractNumId w:val="48"/>
  </w:num>
  <w:num w:numId="11" w16cid:durableId="350181197">
    <w:abstractNumId w:val="14"/>
  </w:num>
  <w:num w:numId="12" w16cid:durableId="1921479657">
    <w:abstractNumId w:val="34"/>
  </w:num>
  <w:num w:numId="13" w16cid:durableId="760613220">
    <w:abstractNumId w:val="50"/>
  </w:num>
  <w:num w:numId="14" w16cid:durableId="1938751814">
    <w:abstractNumId w:val="12"/>
  </w:num>
  <w:num w:numId="15" w16cid:durableId="228076709">
    <w:abstractNumId w:val="0"/>
  </w:num>
  <w:num w:numId="16" w16cid:durableId="1870797843">
    <w:abstractNumId w:val="19"/>
  </w:num>
  <w:num w:numId="17" w16cid:durableId="1694309582">
    <w:abstractNumId w:val="1"/>
  </w:num>
  <w:num w:numId="18" w16cid:durableId="664894693">
    <w:abstractNumId w:val="7"/>
  </w:num>
  <w:num w:numId="19" w16cid:durableId="1086463595">
    <w:abstractNumId w:val="40"/>
  </w:num>
  <w:num w:numId="20" w16cid:durableId="2072578947">
    <w:abstractNumId w:val="3"/>
  </w:num>
  <w:num w:numId="21" w16cid:durableId="1191725230">
    <w:abstractNumId w:val="51"/>
  </w:num>
  <w:num w:numId="22" w16cid:durableId="92748738">
    <w:abstractNumId w:val="27"/>
  </w:num>
  <w:num w:numId="23" w16cid:durableId="1500003498">
    <w:abstractNumId w:val="45"/>
  </w:num>
  <w:num w:numId="24" w16cid:durableId="2130469176">
    <w:abstractNumId w:val="11"/>
  </w:num>
  <w:num w:numId="25" w16cid:durableId="1230653614">
    <w:abstractNumId w:val="10"/>
  </w:num>
  <w:num w:numId="26" w16cid:durableId="1174802755">
    <w:abstractNumId w:val="47"/>
  </w:num>
  <w:num w:numId="27" w16cid:durableId="734090932">
    <w:abstractNumId w:val="32"/>
  </w:num>
  <w:num w:numId="28" w16cid:durableId="1447577923">
    <w:abstractNumId w:val="53"/>
  </w:num>
  <w:num w:numId="29" w16cid:durableId="1014500049">
    <w:abstractNumId w:val="33"/>
  </w:num>
  <w:num w:numId="30" w16cid:durableId="1068040738">
    <w:abstractNumId w:val="5"/>
  </w:num>
  <w:num w:numId="31" w16cid:durableId="1422874747">
    <w:abstractNumId w:val="15"/>
  </w:num>
  <w:num w:numId="32" w16cid:durableId="17243581">
    <w:abstractNumId w:val="13"/>
  </w:num>
  <w:num w:numId="33" w16cid:durableId="2015378975">
    <w:abstractNumId w:val="4"/>
  </w:num>
  <w:num w:numId="34" w16cid:durableId="22026245">
    <w:abstractNumId w:val="44"/>
  </w:num>
  <w:num w:numId="35" w16cid:durableId="888223710">
    <w:abstractNumId w:val="23"/>
  </w:num>
  <w:num w:numId="36" w16cid:durableId="1277758510">
    <w:abstractNumId w:val="49"/>
  </w:num>
  <w:num w:numId="37" w16cid:durableId="1575580389">
    <w:abstractNumId w:val="42"/>
  </w:num>
  <w:num w:numId="38" w16cid:durableId="341976488">
    <w:abstractNumId w:val="55"/>
  </w:num>
  <w:num w:numId="39" w16cid:durableId="889418746">
    <w:abstractNumId w:val="35"/>
  </w:num>
  <w:num w:numId="40" w16cid:durableId="1151629504">
    <w:abstractNumId w:val="54"/>
  </w:num>
  <w:num w:numId="41" w16cid:durableId="657811670">
    <w:abstractNumId w:val="17"/>
  </w:num>
  <w:num w:numId="42" w16cid:durableId="176771107">
    <w:abstractNumId w:val="8"/>
  </w:num>
  <w:num w:numId="43" w16cid:durableId="1329482672">
    <w:abstractNumId w:val="6"/>
  </w:num>
  <w:num w:numId="44" w16cid:durableId="331182640">
    <w:abstractNumId w:val="38"/>
  </w:num>
  <w:num w:numId="45" w16cid:durableId="854735423">
    <w:abstractNumId w:val="39"/>
  </w:num>
  <w:num w:numId="46" w16cid:durableId="1215971653">
    <w:abstractNumId w:val="22"/>
  </w:num>
  <w:num w:numId="47" w16cid:durableId="1178154656">
    <w:abstractNumId w:val="24"/>
  </w:num>
  <w:num w:numId="48" w16cid:durableId="1015422290">
    <w:abstractNumId w:val="36"/>
  </w:num>
  <w:num w:numId="49" w16cid:durableId="340860908">
    <w:abstractNumId w:val="56"/>
  </w:num>
  <w:num w:numId="50" w16cid:durableId="1328825142">
    <w:abstractNumId w:val="18"/>
  </w:num>
  <w:num w:numId="51" w16cid:durableId="2115007426">
    <w:abstractNumId w:val="2"/>
  </w:num>
  <w:num w:numId="52" w16cid:durableId="1199129282">
    <w:abstractNumId w:val="25"/>
  </w:num>
  <w:num w:numId="53" w16cid:durableId="608127726">
    <w:abstractNumId w:val="52"/>
  </w:num>
  <w:num w:numId="54" w16cid:durableId="1597209833">
    <w:abstractNumId w:val="31"/>
  </w:num>
  <w:num w:numId="55" w16cid:durableId="1010303940">
    <w:abstractNumId w:val="28"/>
  </w:num>
  <w:num w:numId="56" w16cid:durableId="1246573566">
    <w:abstractNumId w:val="9"/>
  </w:num>
  <w:num w:numId="57" w16cid:durableId="1310401782">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3662"/>
    <w:rsid w:val="00000483"/>
    <w:rsid w:val="00001058"/>
    <w:rsid w:val="00002882"/>
    <w:rsid w:val="000047DF"/>
    <w:rsid w:val="000050DA"/>
    <w:rsid w:val="000056B3"/>
    <w:rsid w:val="00006E8A"/>
    <w:rsid w:val="00012346"/>
    <w:rsid w:val="0001244C"/>
    <w:rsid w:val="00012907"/>
    <w:rsid w:val="00014216"/>
    <w:rsid w:val="00016C17"/>
    <w:rsid w:val="00017C4A"/>
    <w:rsid w:val="00020735"/>
    <w:rsid w:val="00020B88"/>
    <w:rsid w:val="00021B86"/>
    <w:rsid w:val="00021DB7"/>
    <w:rsid w:val="00023AF4"/>
    <w:rsid w:val="00023EDD"/>
    <w:rsid w:val="000249B8"/>
    <w:rsid w:val="000275BF"/>
    <w:rsid w:val="0003027D"/>
    <w:rsid w:val="00030311"/>
    <w:rsid w:val="00031E15"/>
    <w:rsid w:val="00032D32"/>
    <w:rsid w:val="0003537D"/>
    <w:rsid w:val="00036B94"/>
    <w:rsid w:val="00037448"/>
    <w:rsid w:val="00037AFF"/>
    <w:rsid w:val="00037F67"/>
    <w:rsid w:val="0004000C"/>
    <w:rsid w:val="000410D7"/>
    <w:rsid w:val="00042F13"/>
    <w:rsid w:val="00044F36"/>
    <w:rsid w:val="00045901"/>
    <w:rsid w:val="000479D2"/>
    <w:rsid w:val="000509B7"/>
    <w:rsid w:val="00050EDC"/>
    <w:rsid w:val="00050F7F"/>
    <w:rsid w:val="000517FA"/>
    <w:rsid w:val="00051F83"/>
    <w:rsid w:val="00055A35"/>
    <w:rsid w:val="00057525"/>
    <w:rsid w:val="00057D0E"/>
    <w:rsid w:val="000634D6"/>
    <w:rsid w:val="000644AE"/>
    <w:rsid w:val="00064FEB"/>
    <w:rsid w:val="0006659B"/>
    <w:rsid w:val="00071DBD"/>
    <w:rsid w:val="00071E3E"/>
    <w:rsid w:val="000730A3"/>
    <w:rsid w:val="00074025"/>
    <w:rsid w:val="00075ACB"/>
    <w:rsid w:val="0007626B"/>
    <w:rsid w:val="000763B1"/>
    <w:rsid w:val="000806AC"/>
    <w:rsid w:val="00081075"/>
    <w:rsid w:val="00081E37"/>
    <w:rsid w:val="00083785"/>
    <w:rsid w:val="0008591F"/>
    <w:rsid w:val="000866BE"/>
    <w:rsid w:val="00086F44"/>
    <w:rsid w:val="000871F0"/>
    <w:rsid w:val="0008737B"/>
    <w:rsid w:val="00087752"/>
    <w:rsid w:val="00087B75"/>
    <w:rsid w:val="00087F30"/>
    <w:rsid w:val="00090C58"/>
    <w:rsid w:val="00090E62"/>
    <w:rsid w:val="000914CA"/>
    <w:rsid w:val="0009324B"/>
    <w:rsid w:val="00095146"/>
    <w:rsid w:val="00096A81"/>
    <w:rsid w:val="00096D28"/>
    <w:rsid w:val="000A14B2"/>
    <w:rsid w:val="000A26C5"/>
    <w:rsid w:val="000A37CE"/>
    <w:rsid w:val="000A50ED"/>
    <w:rsid w:val="000A69A2"/>
    <w:rsid w:val="000A6D19"/>
    <w:rsid w:val="000A6EA3"/>
    <w:rsid w:val="000A77D9"/>
    <w:rsid w:val="000B1850"/>
    <w:rsid w:val="000B4497"/>
    <w:rsid w:val="000B4DFB"/>
    <w:rsid w:val="000B4F15"/>
    <w:rsid w:val="000B7CC3"/>
    <w:rsid w:val="000B7EEE"/>
    <w:rsid w:val="000C18BB"/>
    <w:rsid w:val="000C1DE3"/>
    <w:rsid w:val="000C223E"/>
    <w:rsid w:val="000C423C"/>
    <w:rsid w:val="000C4DB3"/>
    <w:rsid w:val="000C541C"/>
    <w:rsid w:val="000C5708"/>
    <w:rsid w:val="000C71BA"/>
    <w:rsid w:val="000D241F"/>
    <w:rsid w:val="000D565B"/>
    <w:rsid w:val="000D6AC4"/>
    <w:rsid w:val="000D70B6"/>
    <w:rsid w:val="000E1D64"/>
    <w:rsid w:val="000E2509"/>
    <w:rsid w:val="000E2A3D"/>
    <w:rsid w:val="000E402B"/>
    <w:rsid w:val="000E49B3"/>
    <w:rsid w:val="000E635F"/>
    <w:rsid w:val="000E7E03"/>
    <w:rsid w:val="000F0334"/>
    <w:rsid w:val="000F05C1"/>
    <w:rsid w:val="000F3096"/>
    <w:rsid w:val="000F3877"/>
    <w:rsid w:val="000F4660"/>
    <w:rsid w:val="000F5FD2"/>
    <w:rsid w:val="000F7C2C"/>
    <w:rsid w:val="0010044A"/>
    <w:rsid w:val="00100509"/>
    <w:rsid w:val="00100A35"/>
    <w:rsid w:val="0010117F"/>
    <w:rsid w:val="00101221"/>
    <w:rsid w:val="00102D03"/>
    <w:rsid w:val="00103005"/>
    <w:rsid w:val="00103BD7"/>
    <w:rsid w:val="0010416F"/>
    <w:rsid w:val="00105C7F"/>
    <w:rsid w:val="001073B9"/>
    <w:rsid w:val="0011471F"/>
    <w:rsid w:val="001216B9"/>
    <w:rsid w:val="00123061"/>
    <w:rsid w:val="00123662"/>
    <w:rsid w:val="00124FC9"/>
    <w:rsid w:val="00127E76"/>
    <w:rsid w:val="001307E4"/>
    <w:rsid w:val="001316B3"/>
    <w:rsid w:val="001322FE"/>
    <w:rsid w:val="00132476"/>
    <w:rsid w:val="001333F1"/>
    <w:rsid w:val="00133E32"/>
    <w:rsid w:val="001340A1"/>
    <w:rsid w:val="00137DB5"/>
    <w:rsid w:val="0014059A"/>
    <w:rsid w:val="00140618"/>
    <w:rsid w:val="0014073F"/>
    <w:rsid w:val="001418AF"/>
    <w:rsid w:val="00142B6F"/>
    <w:rsid w:val="00144978"/>
    <w:rsid w:val="001463F4"/>
    <w:rsid w:val="0015316B"/>
    <w:rsid w:val="00155C2E"/>
    <w:rsid w:val="001563BE"/>
    <w:rsid w:val="00160B90"/>
    <w:rsid w:val="00162912"/>
    <w:rsid w:val="00163B8F"/>
    <w:rsid w:val="00164383"/>
    <w:rsid w:val="00166A7E"/>
    <w:rsid w:val="001707E2"/>
    <w:rsid w:val="001728AE"/>
    <w:rsid w:val="00172B14"/>
    <w:rsid w:val="00174B81"/>
    <w:rsid w:val="001765AE"/>
    <w:rsid w:val="0017782B"/>
    <w:rsid w:val="00180506"/>
    <w:rsid w:val="001808AE"/>
    <w:rsid w:val="0018141C"/>
    <w:rsid w:val="001844A8"/>
    <w:rsid w:val="00185C09"/>
    <w:rsid w:val="00191FA0"/>
    <w:rsid w:val="001926EB"/>
    <w:rsid w:val="001936D9"/>
    <w:rsid w:val="0019381C"/>
    <w:rsid w:val="00193FBF"/>
    <w:rsid w:val="00194889"/>
    <w:rsid w:val="001958B8"/>
    <w:rsid w:val="001967AE"/>
    <w:rsid w:val="00197A70"/>
    <w:rsid w:val="001A1A59"/>
    <w:rsid w:val="001A6473"/>
    <w:rsid w:val="001A6F58"/>
    <w:rsid w:val="001A7F15"/>
    <w:rsid w:val="001B0396"/>
    <w:rsid w:val="001B2FDA"/>
    <w:rsid w:val="001B323F"/>
    <w:rsid w:val="001B38EB"/>
    <w:rsid w:val="001B39B3"/>
    <w:rsid w:val="001B40B3"/>
    <w:rsid w:val="001B5D39"/>
    <w:rsid w:val="001B723B"/>
    <w:rsid w:val="001B7306"/>
    <w:rsid w:val="001C2AF0"/>
    <w:rsid w:val="001C2EBD"/>
    <w:rsid w:val="001C3DBD"/>
    <w:rsid w:val="001C3DCC"/>
    <w:rsid w:val="001C500B"/>
    <w:rsid w:val="001C5421"/>
    <w:rsid w:val="001C5868"/>
    <w:rsid w:val="001D1681"/>
    <w:rsid w:val="001D18DF"/>
    <w:rsid w:val="001D1CC1"/>
    <w:rsid w:val="001D34CB"/>
    <w:rsid w:val="001D3B2C"/>
    <w:rsid w:val="001D4CE6"/>
    <w:rsid w:val="001D5A2F"/>
    <w:rsid w:val="001D5DEE"/>
    <w:rsid w:val="001D65D3"/>
    <w:rsid w:val="001E24C6"/>
    <w:rsid w:val="001E2692"/>
    <w:rsid w:val="001E3508"/>
    <w:rsid w:val="001F0FEE"/>
    <w:rsid w:val="001F156A"/>
    <w:rsid w:val="001F2CF5"/>
    <w:rsid w:val="001F3392"/>
    <w:rsid w:val="001F3942"/>
    <w:rsid w:val="00201527"/>
    <w:rsid w:val="002018DD"/>
    <w:rsid w:val="00201E02"/>
    <w:rsid w:val="00204AF2"/>
    <w:rsid w:val="002057AE"/>
    <w:rsid w:val="00205ED5"/>
    <w:rsid w:val="002071BA"/>
    <w:rsid w:val="0020721A"/>
    <w:rsid w:val="00210236"/>
    <w:rsid w:val="002102FD"/>
    <w:rsid w:val="0021075D"/>
    <w:rsid w:val="00211072"/>
    <w:rsid w:val="002113AC"/>
    <w:rsid w:val="00212AFC"/>
    <w:rsid w:val="0021454E"/>
    <w:rsid w:val="00223306"/>
    <w:rsid w:val="00223DB8"/>
    <w:rsid w:val="00230B20"/>
    <w:rsid w:val="00230CAC"/>
    <w:rsid w:val="00230DBF"/>
    <w:rsid w:val="0023149C"/>
    <w:rsid w:val="00231627"/>
    <w:rsid w:val="00233E01"/>
    <w:rsid w:val="00233E6E"/>
    <w:rsid w:val="00235C8C"/>
    <w:rsid w:val="0023688B"/>
    <w:rsid w:val="00236FF3"/>
    <w:rsid w:val="00237E3E"/>
    <w:rsid w:val="00241773"/>
    <w:rsid w:val="00242648"/>
    <w:rsid w:val="002430E2"/>
    <w:rsid w:val="002439E7"/>
    <w:rsid w:val="0024774E"/>
    <w:rsid w:val="00252ABE"/>
    <w:rsid w:val="002538C7"/>
    <w:rsid w:val="00254EC0"/>
    <w:rsid w:val="00260952"/>
    <w:rsid w:val="00260F7B"/>
    <w:rsid w:val="0026180A"/>
    <w:rsid w:val="00262FFF"/>
    <w:rsid w:val="002653AB"/>
    <w:rsid w:val="00265594"/>
    <w:rsid w:val="0026583C"/>
    <w:rsid w:val="00265FA5"/>
    <w:rsid w:val="00266088"/>
    <w:rsid w:val="002717CA"/>
    <w:rsid w:val="00271BF6"/>
    <w:rsid w:val="00273DE1"/>
    <w:rsid w:val="002748D1"/>
    <w:rsid w:val="002767BD"/>
    <w:rsid w:val="00276A82"/>
    <w:rsid w:val="0028129F"/>
    <w:rsid w:val="00281D56"/>
    <w:rsid w:val="00284AA2"/>
    <w:rsid w:val="002859AE"/>
    <w:rsid w:val="00287A7D"/>
    <w:rsid w:val="00290798"/>
    <w:rsid w:val="002919CC"/>
    <w:rsid w:val="00291C58"/>
    <w:rsid w:val="00294171"/>
    <w:rsid w:val="00295D19"/>
    <w:rsid w:val="00296572"/>
    <w:rsid w:val="002A0FDD"/>
    <w:rsid w:val="002A2181"/>
    <w:rsid w:val="002A29DC"/>
    <w:rsid w:val="002A6790"/>
    <w:rsid w:val="002A72F0"/>
    <w:rsid w:val="002A775E"/>
    <w:rsid w:val="002B0679"/>
    <w:rsid w:val="002B10AD"/>
    <w:rsid w:val="002B284C"/>
    <w:rsid w:val="002B2CCA"/>
    <w:rsid w:val="002B4DB4"/>
    <w:rsid w:val="002B5F99"/>
    <w:rsid w:val="002B740A"/>
    <w:rsid w:val="002B7B4D"/>
    <w:rsid w:val="002C0716"/>
    <w:rsid w:val="002C1967"/>
    <w:rsid w:val="002C2013"/>
    <w:rsid w:val="002C3AB7"/>
    <w:rsid w:val="002C66A3"/>
    <w:rsid w:val="002C7090"/>
    <w:rsid w:val="002C7416"/>
    <w:rsid w:val="002D35AF"/>
    <w:rsid w:val="002D3881"/>
    <w:rsid w:val="002D4A4D"/>
    <w:rsid w:val="002D4E59"/>
    <w:rsid w:val="002D5277"/>
    <w:rsid w:val="002D547C"/>
    <w:rsid w:val="002D6221"/>
    <w:rsid w:val="002D66A9"/>
    <w:rsid w:val="002E001C"/>
    <w:rsid w:val="002E1134"/>
    <w:rsid w:val="002E733C"/>
    <w:rsid w:val="002E7FAF"/>
    <w:rsid w:val="002F050E"/>
    <w:rsid w:val="002F0BB1"/>
    <w:rsid w:val="002F2EAD"/>
    <w:rsid w:val="002F3999"/>
    <w:rsid w:val="002F5F9B"/>
    <w:rsid w:val="002F73D4"/>
    <w:rsid w:val="002F7A0A"/>
    <w:rsid w:val="00300E12"/>
    <w:rsid w:val="00300EF9"/>
    <w:rsid w:val="003012FE"/>
    <w:rsid w:val="00301732"/>
    <w:rsid w:val="0030343E"/>
    <w:rsid w:val="00303CF5"/>
    <w:rsid w:val="00304595"/>
    <w:rsid w:val="00304DFB"/>
    <w:rsid w:val="003100C9"/>
    <w:rsid w:val="00312810"/>
    <w:rsid w:val="003130DF"/>
    <w:rsid w:val="00314E98"/>
    <w:rsid w:val="00315D55"/>
    <w:rsid w:val="003161CE"/>
    <w:rsid w:val="00316271"/>
    <w:rsid w:val="003164A3"/>
    <w:rsid w:val="00316E4F"/>
    <w:rsid w:val="00320742"/>
    <w:rsid w:val="00320900"/>
    <w:rsid w:val="00320EE8"/>
    <w:rsid w:val="00320F57"/>
    <w:rsid w:val="003216D9"/>
    <w:rsid w:val="0032225E"/>
    <w:rsid w:val="00322E39"/>
    <w:rsid w:val="00323098"/>
    <w:rsid w:val="003234A8"/>
    <w:rsid w:val="003240C6"/>
    <w:rsid w:val="00324894"/>
    <w:rsid w:val="00325A42"/>
    <w:rsid w:val="00330919"/>
    <w:rsid w:val="003313E9"/>
    <w:rsid w:val="0033170D"/>
    <w:rsid w:val="003323D4"/>
    <w:rsid w:val="003325F5"/>
    <w:rsid w:val="00332F01"/>
    <w:rsid w:val="00334258"/>
    <w:rsid w:val="00334DAE"/>
    <w:rsid w:val="00335046"/>
    <w:rsid w:val="00336839"/>
    <w:rsid w:val="00340026"/>
    <w:rsid w:val="00344026"/>
    <w:rsid w:val="00344631"/>
    <w:rsid w:val="0034528E"/>
    <w:rsid w:val="00345B78"/>
    <w:rsid w:val="0034690F"/>
    <w:rsid w:val="00347805"/>
    <w:rsid w:val="00347AFA"/>
    <w:rsid w:val="00351AE6"/>
    <w:rsid w:val="0035341C"/>
    <w:rsid w:val="0035375D"/>
    <w:rsid w:val="00355A24"/>
    <w:rsid w:val="00355EB9"/>
    <w:rsid w:val="003569CE"/>
    <w:rsid w:val="003604C2"/>
    <w:rsid w:val="00361650"/>
    <w:rsid w:val="00364AF6"/>
    <w:rsid w:val="00365BA6"/>
    <w:rsid w:val="00365BCC"/>
    <w:rsid w:val="00366D5F"/>
    <w:rsid w:val="00370764"/>
    <w:rsid w:val="00371DDB"/>
    <w:rsid w:val="00373426"/>
    <w:rsid w:val="003766AD"/>
    <w:rsid w:val="00377DBF"/>
    <w:rsid w:val="00381BBA"/>
    <w:rsid w:val="00382EF6"/>
    <w:rsid w:val="00383091"/>
    <w:rsid w:val="00384233"/>
    <w:rsid w:val="003873BE"/>
    <w:rsid w:val="00390232"/>
    <w:rsid w:val="00391B28"/>
    <w:rsid w:val="00391E69"/>
    <w:rsid w:val="00392273"/>
    <w:rsid w:val="00393464"/>
    <w:rsid w:val="00394282"/>
    <w:rsid w:val="00395398"/>
    <w:rsid w:val="003A3F99"/>
    <w:rsid w:val="003A4E60"/>
    <w:rsid w:val="003A7409"/>
    <w:rsid w:val="003A74C3"/>
    <w:rsid w:val="003B035B"/>
    <w:rsid w:val="003B2DB6"/>
    <w:rsid w:val="003B4DAF"/>
    <w:rsid w:val="003B589E"/>
    <w:rsid w:val="003B6E98"/>
    <w:rsid w:val="003B76DE"/>
    <w:rsid w:val="003B7FA9"/>
    <w:rsid w:val="003C064B"/>
    <w:rsid w:val="003C2F7E"/>
    <w:rsid w:val="003C34E1"/>
    <w:rsid w:val="003C405F"/>
    <w:rsid w:val="003C53F9"/>
    <w:rsid w:val="003C5F63"/>
    <w:rsid w:val="003C6F68"/>
    <w:rsid w:val="003D42C1"/>
    <w:rsid w:val="003D4B6F"/>
    <w:rsid w:val="003D61A2"/>
    <w:rsid w:val="003D79FE"/>
    <w:rsid w:val="003E1A9A"/>
    <w:rsid w:val="003E1D89"/>
    <w:rsid w:val="003E20F3"/>
    <w:rsid w:val="003E3381"/>
    <w:rsid w:val="003E4CF6"/>
    <w:rsid w:val="003E59D3"/>
    <w:rsid w:val="003F0CDC"/>
    <w:rsid w:val="003F227C"/>
    <w:rsid w:val="003F2B98"/>
    <w:rsid w:val="003F3AD3"/>
    <w:rsid w:val="003F4024"/>
    <w:rsid w:val="003F5D2A"/>
    <w:rsid w:val="003F62C9"/>
    <w:rsid w:val="003F6C6E"/>
    <w:rsid w:val="003F6E29"/>
    <w:rsid w:val="004009A8"/>
    <w:rsid w:val="00402C49"/>
    <w:rsid w:val="004051F3"/>
    <w:rsid w:val="00405BDE"/>
    <w:rsid w:val="00405CE3"/>
    <w:rsid w:val="00406E14"/>
    <w:rsid w:val="00406F4D"/>
    <w:rsid w:val="00407885"/>
    <w:rsid w:val="004106B0"/>
    <w:rsid w:val="00414CE8"/>
    <w:rsid w:val="004154CF"/>
    <w:rsid w:val="00417B92"/>
    <w:rsid w:val="004204CA"/>
    <w:rsid w:val="004223F0"/>
    <w:rsid w:val="00422FAE"/>
    <w:rsid w:val="00423214"/>
    <w:rsid w:val="00423C62"/>
    <w:rsid w:val="00424E93"/>
    <w:rsid w:val="00425590"/>
    <w:rsid w:val="0043000F"/>
    <w:rsid w:val="00430046"/>
    <w:rsid w:val="00430B61"/>
    <w:rsid w:val="00432D18"/>
    <w:rsid w:val="00432ED7"/>
    <w:rsid w:val="00433315"/>
    <w:rsid w:val="00437325"/>
    <w:rsid w:val="004374AE"/>
    <w:rsid w:val="004375E6"/>
    <w:rsid w:val="00437B0F"/>
    <w:rsid w:val="0044003A"/>
    <w:rsid w:val="0044095D"/>
    <w:rsid w:val="00440ED0"/>
    <w:rsid w:val="0044128C"/>
    <w:rsid w:val="00442C07"/>
    <w:rsid w:val="004475BC"/>
    <w:rsid w:val="00451FB1"/>
    <w:rsid w:val="004543DF"/>
    <w:rsid w:val="00454E26"/>
    <w:rsid w:val="004557CF"/>
    <w:rsid w:val="0046190B"/>
    <w:rsid w:val="0046363B"/>
    <w:rsid w:val="00463B1D"/>
    <w:rsid w:val="00463DF1"/>
    <w:rsid w:val="00465643"/>
    <w:rsid w:val="00465BD8"/>
    <w:rsid w:val="00466418"/>
    <w:rsid w:val="00466920"/>
    <w:rsid w:val="00467759"/>
    <w:rsid w:val="004712B6"/>
    <w:rsid w:val="0047271D"/>
    <w:rsid w:val="004728B6"/>
    <w:rsid w:val="00474E8C"/>
    <w:rsid w:val="0047555C"/>
    <w:rsid w:val="00475630"/>
    <w:rsid w:val="00476729"/>
    <w:rsid w:val="00476C93"/>
    <w:rsid w:val="004771EA"/>
    <w:rsid w:val="00480191"/>
    <w:rsid w:val="004802AB"/>
    <w:rsid w:val="0048234D"/>
    <w:rsid w:val="00482A1B"/>
    <w:rsid w:val="00482D2C"/>
    <w:rsid w:val="00483063"/>
    <w:rsid w:val="00483298"/>
    <w:rsid w:val="00483EDE"/>
    <w:rsid w:val="004867E0"/>
    <w:rsid w:val="00487C3E"/>
    <w:rsid w:val="004918D8"/>
    <w:rsid w:val="00491985"/>
    <w:rsid w:val="004928D6"/>
    <w:rsid w:val="00492DEF"/>
    <w:rsid w:val="0049344F"/>
    <w:rsid w:val="00494050"/>
    <w:rsid w:val="00494BFA"/>
    <w:rsid w:val="0049666A"/>
    <w:rsid w:val="004977EB"/>
    <w:rsid w:val="004A5A3F"/>
    <w:rsid w:val="004B0070"/>
    <w:rsid w:val="004B17C1"/>
    <w:rsid w:val="004B2F71"/>
    <w:rsid w:val="004B369B"/>
    <w:rsid w:val="004B3D11"/>
    <w:rsid w:val="004B3E71"/>
    <w:rsid w:val="004B5124"/>
    <w:rsid w:val="004B60A1"/>
    <w:rsid w:val="004B67B6"/>
    <w:rsid w:val="004B7259"/>
    <w:rsid w:val="004C062C"/>
    <w:rsid w:val="004C0D5F"/>
    <w:rsid w:val="004C0FDE"/>
    <w:rsid w:val="004C1C25"/>
    <w:rsid w:val="004C29D7"/>
    <w:rsid w:val="004C36E8"/>
    <w:rsid w:val="004C399C"/>
    <w:rsid w:val="004C5825"/>
    <w:rsid w:val="004C71F4"/>
    <w:rsid w:val="004C760D"/>
    <w:rsid w:val="004C786C"/>
    <w:rsid w:val="004D16A1"/>
    <w:rsid w:val="004D23B3"/>
    <w:rsid w:val="004D2F87"/>
    <w:rsid w:val="004D322B"/>
    <w:rsid w:val="004D3808"/>
    <w:rsid w:val="004D66BA"/>
    <w:rsid w:val="004D7480"/>
    <w:rsid w:val="004E42B0"/>
    <w:rsid w:val="004E4D54"/>
    <w:rsid w:val="004E51B9"/>
    <w:rsid w:val="004E7D04"/>
    <w:rsid w:val="004F04D6"/>
    <w:rsid w:val="004F1E60"/>
    <w:rsid w:val="004F23E0"/>
    <w:rsid w:val="004F3799"/>
    <w:rsid w:val="004F3E6F"/>
    <w:rsid w:val="004F58FD"/>
    <w:rsid w:val="0050311D"/>
    <w:rsid w:val="00503D35"/>
    <w:rsid w:val="005047DA"/>
    <w:rsid w:val="005054F0"/>
    <w:rsid w:val="00505FC5"/>
    <w:rsid w:val="005065C2"/>
    <w:rsid w:val="005067CF"/>
    <w:rsid w:val="00510A5C"/>
    <w:rsid w:val="00511E40"/>
    <w:rsid w:val="00513172"/>
    <w:rsid w:val="00514C6A"/>
    <w:rsid w:val="00516023"/>
    <w:rsid w:val="00517413"/>
    <w:rsid w:val="00520C73"/>
    <w:rsid w:val="0052224C"/>
    <w:rsid w:val="00522B18"/>
    <w:rsid w:val="005241E8"/>
    <w:rsid w:val="005303CA"/>
    <w:rsid w:val="005308E7"/>
    <w:rsid w:val="005318E0"/>
    <w:rsid w:val="00532896"/>
    <w:rsid w:val="0053487D"/>
    <w:rsid w:val="00535C92"/>
    <w:rsid w:val="00536502"/>
    <w:rsid w:val="0053650F"/>
    <w:rsid w:val="0053749D"/>
    <w:rsid w:val="00542583"/>
    <w:rsid w:val="005425F6"/>
    <w:rsid w:val="00543B68"/>
    <w:rsid w:val="00546A07"/>
    <w:rsid w:val="00550F32"/>
    <w:rsid w:val="005532B0"/>
    <w:rsid w:val="00553BA4"/>
    <w:rsid w:val="00556233"/>
    <w:rsid w:val="00556520"/>
    <w:rsid w:val="005577CA"/>
    <w:rsid w:val="00560174"/>
    <w:rsid w:val="0056185B"/>
    <w:rsid w:val="005634AB"/>
    <w:rsid w:val="0056358D"/>
    <w:rsid w:val="00565E89"/>
    <w:rsid w:val="00565F34"/>
    <w:rsid w:val="00567BBB"/>
    <w:rsid w:val="00570353"/>
    <w:rsid w:val="00572520"/>
    <w:rsid w:val="005747BB"/>
    <w:rsid w:val="00574AA1"/>
    <w:rsid w:val="0057653B"/>
    <w:rsid w:val="00576F00"/>
    <w:rsid w:val="005775BC"/>
    <w:rsid w:val="0058190E"/>
    <w:rsid w:val="00581AB4"/>
    <w:rsid w:val="00581C8E"/>
    <w:rsid w:val="00582C5B"/>
    <w:rsid w:val="00583186"/>
    <w:rsid w:val="00583D0D"/>
    <w:rsid w:val="00584BC0"/>
    <w:rsid w:val="00584D7B"/>
    <w:rsid w:val="0059039B"/>
    <w:rsid w:val="005921F5"/>
    <w:rsid w:val="005949E9"/>
    <w:rsid w:val="00595AE7"/>
    <w:rsid w:val="00596246"/>
    <w:rsid w:val="00596DA8"/>
    <w:rsid w:val="005A0E84"/>
    <w:rsid w:val="005A24EE"/>
    <w:rsid w:val="005A4394"/>
    <w:rsid w:val="005A43D3"/>
    <w:rsid w:val="005A4625"/>
    <w:rsid w:val="005A6618"/>
    <w:rsid w:val="005B0CBB"/>
    <w:rsid w:val="005B2188"/>
    <w:rsid w:val="005B2D01"/>
    <w:rsid w:val="005B36BD"/>
    <w:rsid w:val="005B5AE2"/>
    <w:rsid w:val="005B751F"/>
    <w:rsid w:val="005B7E10"/>
    <w:rsid w:val="005C11D1"/>
    <w:rsid w:val="005C2BAD"/>
    <w:rsid w:val="005C44E1"/>
    <w:rsid w:val="005D037A"/>
    <w:rsid w:val="005D3349"/>
    <w:rsid w:val="005D45E1"/>
    <w:rsid w:val="005D7735"/>
    <w:rsid w:val="005E0398"/>
    <w:rsid w:val="005E135A"/>
    <w:rsid w:val="005E15BA"/>
    <w:rsid w:val="005E1D0D"/>
    <w:rsid w:val="005E2FC8"/>
    <w:rsid w:val="005E304B"/>
    <w:rsid w:val="005E5A76"/>
    <w:rsid w:val="005F1142"/>
    <w:rsid w:val="005F20FE"/>
    <w:rsid w:val="005F56FB"/>
    <w:rsid w:val="005F7861"/>
    <w:rsid w:val="005F7B29"/>
    <w:rsid w:val="00601C6B"/>
    <w:rsid w:val="006021FA"/>
    <w:rsid w:val="006023A9"/>
    <w:rsid w:val="00602524"/>
    <w:rsid w:val="00603348"/>
    <w:rsid w:val="00603C56"/>
    <w:rsid w:val="006051BB"/>
    <w:rsid w:val="00605E3C"/>
    <w:rsid w:val="00607F1E"/>
    <w:rsid w:val="006104ED"/>
    <w:rsid w:val="00611A09"/>
    <w:rsid w:val="0061340D"/>
    <w:rsid w:val="0061485F"/>
    <w:rsid w:val="00615AFB"/>
    <w:rsid w:val="0062048D"/>
    <w:rsid w:val="006219A0"/>
    <w:rsid w:val="00624F73"/>
    <w:rsid w:val="006253AD"/>
    <w:rsid w:val="0062540F"/>
    <w:rsid w:val="006254B2"/>
    <w:rsid w:val="00625FF3"/>
    <w:rsid w:val="00632C7F"/>
    <w:rsid w:val="00632DCA"/>
    <w:rsid w:val="00636F54"/>
    <w:rsid w:val="00641667"/>
    <w:rsid w:val="006424B4"/>
    <w:rsid w:val="00643F9A"/>
    <w:rsid w:val="0064705D"/>
    <w:rsid w:val="006476D4"/>
    <w:rsid w:val="00647AD9"/>
    <w:rsid w:val="0065058F"/>
    <w:rsid w:val="00650A6C"/>
    <w:rsid w:val="006513A7"/>
    <w:rsid w:val="0065264F"/>
    <w:rsid w:val="006534B1"/>
    <w:rsid w:val="00657EB0"/>
    <w:rsid w:val="00660D55"/>
    <w:rsid w:val="006612E6"/>
    <w:rsid w:val="00661BA5"/>
    <w:rsid w:val="006621A7"/>
    <w:rsid w:val="00662271"/>
    <w:rsid w:val="00663431"/>
    <w:rsid w:val="00663433"/>
    <w:rsid w:val="00664D03"/>
    <w:rsid w:val="00665342"/>
    <w:rsid w:val="006657EF"/>
    <w:rsid w:val="00666B14"/>
    <w:rsid w:val="00666EAE"/>
    <w:rsid w:val="00671577"/>
    <w:rsid w:val="00672628"/>
    <w:rsid w:val="0067304C"/>
    <w:rsid w:val="00673125"/>
    <w:rsid w:val="00675917"/>
    <w:rsid w:val="00675D1C"/>
    <w:rsid w:val="006769A5"/>
    <w:rsid w:val="006808BC"/>
    <w:rsid w:val="00681EB4"/>
    <w:rsid w:val="0068359B"/>
    <w:rsid w:val="00684C05"/>
    <w:rsid w:val="00685176"/>
    <w:rsid w:val="00685694"/>
    <w:rsid w:val="0068588C"/>
    <w:rsid w:val="006870F2"/>
    <w:rsid w:val="00690216"/>
    <w:rsid w:val="00691784"/>
    <w:rsid w:val="0069482B"/>
    <w:rsid w:val="00694A70"/>
    <w:rsid w:val="00694A92"/>
    <w:rsid w:val="006951A3"/>
    <w:rsid w:val="00695D86"/>
    <w:rsid w:val="006968CE"/>
    <w:rsid w:val="006A18F3"/>
    <w:rsid w:val="006A2BF3"/>
    <w:rsid w:val="006A3E13"/>
    <w:rsid w:val="006A68F0"/>
    <w:rsid w:val="006A7DD5"/>
    <w:rsid w:val="006B02D7"/>
    <w:rsid w:val="006B0545"/>
    <w:rsid w:val="006B0B50"/>
    <w:rsid w:val="006B0D36"/>
    <w:rsid w:val="006B189A"/>
    <w:rsid w:val="006B4E18"/>
    <w:rsid w:val="006B4E80"/>
    <w:rsid w:val="006B54E6"/>
    <w:rsid w:val="006B78FC"/>
    <w:rsid w:val="006C0179"/>
    <w:rsid w:val="006C03D1"/>
    <w:rsid w:val="006C4E95"/>
    <w:rsid w:val="006C5AFD"/>
    <w:rsid w:val="006C5B46"/>
    <w:rsid w:val="006C70C4"/>
    <w:rsid w:val="006C7978"/>
    <w:rsid w:val="006D3001"/>
    <w:rsid w:val="006D3A10"/>
    <w:rsid w:val="006D3B94"/>
    <w:rsid w:val="006D4411"/>
    <w:rsid w:val="006D4856"/>
    <w:rsid w:val="006D4E76"/>
    <w:rsid w:val="006D5AF7"/>
    <w:rsid w:val="006D6712"/>
    <w:rsid w:val="006D7856"/>
    <w:rsid w:val="006E0363"/>
    <w:rsid w:val="006E06FE"/>
    <w:rsid w:val="006E0769"/>
    <w:rsid w:val="006E10C5"/>
    <w:rsid w:val="006E35F4"/>
    <w:rsid w:val="006E4F20"/>
    <w:rsid w:val="006E6F3A"/>
    <w:rsid w:val="006E7B0E"/>
    <w:rsid w:val="006E7B22"/>
    <w:rsid w:val="006F0A75"/>
    <w:rsid w:val="006F1961"/>
    <w:rsid w:val="006F1A1A"/>
    <w:rsid w:val="006F1E32"/>
    <w:rsid w:val="006F23FE"/>
    <w:rsid w:val="006F5ADF"/>
    <w:rsid w:val="006F7378"/>
    <w:rsid w:val="007009EF"/>
    <w:rsid w:val="00701F3C"/>
    <w:rsid w:val="007028FD"/>
    <w:rsid w:val="007033A2"/>
    <w:rsid w:val="0070352E"/>
    <w:rsid w:val="00703C6B"/>
    <w:rsid w:val="00704490"/>
    <w:rsid w:val="00704655"/>
    <w:rsid w:val="0070484B"/>
    <w:rsid w:val="007078EA"/>
    <w:rsid w:val="00707AC1"/>
    <w:rsid w:val="00710DA3"/>
    <w:rsid w:val="00712CCD"/>
    <w:rsid w:val="0071314A"/>
    <w:rsid w:val="0071390A"/>
    <w:rsid w:val="007141AC"/>
    <w:rsid w:val="00714C35"/>
    <w:rsid w:val="00715D44"/>
    <w:rsid w:val="0071670F"/>
    <w:rsid w:val="00716975"/>
    <w:rsid w:val="00717D84"/>
    <w:rsid w:val="007201DF"/>
    <w:rsid w:val="007208D5"/>
    <w:rsid w:val="00721057"/>
    <w:rsid w:val="007256C1"/>
    <w:rsid w:val="00727C87"/>
    <w:rsid w:val="007308C7"/>
    <w:rsid w:val="007334D6"/>
    <w:rsid w:val="00734F95"/>
    <w:rsid w:val="007376E3"/>
    <w:rsid w:val="00737C29"/>
    <w:rsid w:val="00743479"/>
    <w:rsid w:val="00744FD1"/>
    <w:rsid w:val="00746532"/>
    <w:rsid w:val="00746F37"/>
    <w:rsid w:val="00747A47"/>
    <w:rsid w:val="00747CC7"/>
    <w:rsid w:val="0075270B"/>
    <w:rsid w:val="00752BB8"/>
    <w:rsid w:val="00753CFD"/>
    <w:rsid w:val="00755C4E"/>
    <w:rsid w:val="0076226A"/>
    <w:rsid w:val="00764058"/>
    <w:rsid w:val="0076516F"/>
    <w:rsid w:val="00765217"/>
    <w:rsid w:val="007666BB"/>
    <w:rsid w:val="00766C02"/>
    <w:rsid w:val="0076730A"/>
    <w:rsid w:val="00767839"/>
    <w:rsid w:val="00771245"/>
    <w:rsid w:val="00773583"/>
    <w:rsid w:val="00773D19"/>
    <w:rsid w:val="00774C48"/>
    <w:rsid w:val="00780533"/>
    <w:rsid w:val="00782DBF"/>
    <w:rsid w:val="00783BF8"/>
    <w:rsid w:val="00783DF0"/>
    <w:rsid w:val="0078410E"/>
    <w:rsid w:val="0078527B"/>
    <w:rsid w:val="00786200"/>
    <w:rsid w:val="007866C2"/>
    <w:rsid w:val="007873C7"/>
    <w:rsid w:val="007876DF"/>
    <w:rsid w:val="0079115A"/>
    <w:rsid w:val="007942E9"/>
    <w:rsid w:val="007970BE"/>
    <w:rsid w:val="0079715D"/>
    <w:rsid w:val="007977F4"/>
    <w:rsid w:val="00797A4F"/>
    <w:rsid w:val="007A33C8"/>
    <w:rsid w:val="007A3458"/>
    <w:rsid w:val="007A474D"/>
    <w:rsid w:val="007A583C"/>
    <w:rsid w:val="007B22EC"/>
    <w:rsid w:val="007B3B35"/>
    <w:rsid w:val="007B4E49"/>
    <w:rsid w:val="007B5549"/>
    <w:rsid w:val="007B667F"/>
    <w:rsid w:val="007B6D4E"/>
    <w:rsid w:val="007B73DA"/>
    <w:rsid w:val="007B77FD"/>
    <w:rsid w:val="007C0160"/>
    <w:rsid w:val="007C06C7"/>
    <w:rsid w:val="007C1E9F"/>
    <w:rsid w:val="007C1F7E"/>
    <w:rsid w:val="007C360A"/>
    <w:rsid w:val="007C3AB6"/>
    <w:rsid w:val="007C435F"/>
    <w:rsid w:val="007C4D53"/>
    <w:rsid w:val="007C5326"/>
    <w:rsid w:val="007C7E99"/>
    <w:rsid w:val="007D3526"/>
    <w:rsid w:val="007D65EE"/>
    <w:rsid w:val="007E033F"/>
    <w:rsid w:val="007E3F6B"/>
    <w:rsid w:val="007E4981"/>
    <w:rsid w:val="007E7D88"/>
    <w:rsid w:val="007F03AB"/>
    <w:rsid w:val="007F0873"/>
    <w:rsid w:val="007F0928"/>
    <w:rsid w:val="007F1929"/>
    <w:rsid w:val="007F2448"/>
    <w:rsid w:val="007F6436"/>
    <w:rsid w:val="007F65F7"/>
    <w:rsid w:val="007F67B8"/>
    <w:rsid w:val="007F68C7"/>
    <w:rsid w:val="007F69A7"/>
    <w:rsid w:val="007F6BB6"/>
    <w:rsid w:val="007F746F"/>
    <w:rsid w:val="00800B58"/>
    <w:rsid w:val="00801C05"/>
    <w:rsid w:val="00801E79"/>
    <w:rsid w:val="008020EB"/>
    <w:rsid w:val="0080223F"/>
    <w:rsid w:val="008023D3"/>
    <w:rsid w:val="0080433E"/>
    <w:rsid w:val="008052F3"/>
    <w:rsid w:val="0080551D"/>
    <w:rsid w:val="00806B76"/>
    <w:rsid w:val="00807070"/>
    <w:rsid w:val="00807B25"/>
    <w:rsid w:val="00810390"/>
    <w:rsid w:val="00810E4E"/>
    <w:rsid w:val="0081187C"/>
    <w:rsid w:val="00812286"/>
    <w:rsid w:val="00812A4E"/>
    <w:rsid w:val="008139E5"/>
    <w:rsid w:val="008146AC"/>
    <w:rsid w:val="0081591D"/>
    <w:rsid w:val="00815BE1"/>
    <w:rsid w:val="008173DA"/>
    <w:rsid w:val="008178A2"/>
    <w:rsid w:val="00817F8C"/>
    <w:rsid w:val="00823019"/>
    <w:rsid w:val="00823A10"/>
    <w:rsid w:val="00823F66"/>
    <w:rsid w:val="00824D0F"/>
    <w:rsid w:val="008273B9"/>
    <w:rsid w:val="008302A0"/>
    <w:rsid w:val="00830A49"/>
    <w:rsid w:val="00831216"/>
    <w:rsid w:val="0083151F"/>
    <w:rsid w:val="008325E6"/>
    <w:rsid w:val="008358C6"/>
    <w:rsid w:val="00840FA6"/>
    <w:rsid w:val="008445FD"/>
    <w:rsid w:val="00845B53"/>
    <w:rsid w:val="00846721"/>
    <w:rsid w:val="008467A1"/>
    <w:rsid w:val="00846FF2"/>
    <w:rsid w:val="008475A4"/>
    <w:rsid w:val="00847E03"/>
    <w:rsid w:val="00850608"/>
    <w:rsid w:val="00851BCA"/>
    <w:rsid w:val="00852F72"/>
    <w:rsid w:val="00853F66"/>
    <w:rsid w:val="00853FF4"/>
    <w:rsid w:val="00854222"/>
    <w:rsid w:val="00854328"/>
    <w:rsid w:val="008544FB"/>
    <w:rsid w:val="0085503F"/>
    <w:rsid w:val="0085598B"/>
    <w:rsid w:val="00857356"/>
    <w:rsid w:val="00861650"/>
    <w:rsid w:val="00861B2D"/>
    <w:rsid w:val="00862A9B"/>
    <w:rsid w:val="00862FE0"/>
    <w:rsid w:val="00863EB9"/>
    <w:rsid w:val="0086542D"/>
    <w:rsid w:val="008658A2"/>
    <w:rsid w:val="00865F50"/>
    <w:rsid w:val="00867604"/>
    <w:rsid w:val="00867BB8"/>
    <w:rsid w:val="00870CC8"/>
    <w:rsid w:val="0087110B"/>
    <w:rsid w:val="008724C2"/>
    <w:rsid w:val="0087577A"/>
    <w:rsid w:val="00875E7A"/>
    <w:rsid w:val="0087600E"/>
    <w:rsid w:val="008768C7"/>
    <w:rsid w:val="008822E1"/>
    <w:rsid w:val="00883254"/>
    <w:rsid w:val="008854BB"/>
    <w:rsid w:val="00885F7A"/>
    <w:rsid w:val="00886F22"/>
    <w:rsid w:val="00887378"/>
    <w:rsid w:val="0089058C"/>
    <w:rsid w:val="00892491"/>
    <w:rsid w:val="0089250D"/>
    <w:rsid w:val="0089277E"/>
    <w:rsid w:val="00894DEE"/>
    <w:rsid w:val="00895D2E"/>
    <w:rsid w:val="00896B45"/>
    <w:rsid w:val="008974CD"/>
    <w:rsid w:val="008A0092"/>
    <w:rsid w:val="008A0971"/>
    <w:rsid w:val="008A1B7F"/>
    <w:rsid w:val="008A20FF"/>
    <w:rsid w:val="008A3C52"/>
    <w:rsid w:val="008A3EF9"/>
    <w:rsid w:val="008A73BB"/>
    <w:rsid w:val="008A7642"/>
    <w:rsid w:val="008B006F"/>
    <w:rsid w:val="008B2789"/>
    <w:rsid w:val="008B49C9"/>
    <w:rsid w:val="008B6611"/>
    <w:rsid w:val="008B7980"/>
    <w:rsid w:val="008C320B"/>
    <w:rsid w:val="008C414C"/>
    <w:rsid w:val="008C424C"/>
    <w:rsid w:val="008C4B81"/>
    <w:rsid w:val="008C5AB8"/>
    <w:rsid w:val="008C5AC8"/>
    <w:rsid w:val="008C60EA"/>
    <w:rsid w:val="008C6624"/>
    <w:rsid w:val="008C695E"/>
    <w:rsid w:val="008C6D0D"/>
    <w:rsid w:val="008C711A"/>
    <w:rsid w:val="008C7F7F"/>
    <w:rsid w:val="008D0324"/>
    <w:rsid w:val="008D11D6"/>
    <w:rsid w:val="008D12D8"/>
    <w:rsid w:val="008D19DE"/>
    <w:rsid w:val="008D4384"/>
    <w:rsid w:val="008D5BE9"/>
    <w:rsid w:val="008D74CC"/>
    <w:rsid w:val="008D7CA1"/>
    <w:rsid w:val="008E1344"/>
    <w:rsid w:val="008E2A13"/>
    <w:rsid w:val="008E52D5"/>
    <w:rsid w:val="008F0170"/>
    <w:rsid w:val="008F033F"/>
    <w:rsid w:val="008F0CDF"/>
    <w:rsid w:val="008F42A7"/>
    <w:rsid w:val="008F46A9"/>
    <w:rsid w:val="008F4AC3"/>
    <w:rsid w:val="008F5A12"/>
    <w:rsid w:val="008F728A"/>
    <w:rsid w:val="008F767A"/>
    <w:rsid w:val="00900A24"/>
    <w:rsid w:val="009016B6"/>
    <w:rsid w:val="00901C5C"/>
    <w:rsid w:val="00902855"/>
    <w:rsid w:val="009031D7"/>
    <w:rsid w:val="00904B85"/>
    <w:rsid w:val="00904D75"/>
    <w:rsid w:val="0090638E"/>
    <w:rsid w:val="00906CEF"/>
    <w:rsid w:val="009078C8"/>
    <w:rsid w:val="009110A4"/>
    <w:rsid w:val="00911DF9"/>
    <w:rsid w:val="00912723"/>
    <w:rsid w:val="00915DEA"/>
    <w:rsid w:val="00916D35"/>
    <w:rsid w:val="00917ABB"/>
    <w:rsid w:val="00921570"/>
    <w:rsid w:val="0092190E"/>
    <w:rsid w:val="00921FA7"/>
    <w:rsid w:val="0092365B"/>
    <w:rsid w:val="00927350"/>
    <w:rsid w:val="00927404"/>
    <w:rsid w:val="009310B3"/>
    <w:rsid w:val="0093139D"/>
    <w:rsid w:val="009336ED"/>
    <w:rsid w:val="0093585B"/>
    <w:rsid w:val="00937C6A"/>
    <w:rsid w:val="0094002B"/>
    <w:rsid w:val="00940138"/>
    <w:rsid w:val="00940AC7"/>
    <w:rsid w:val="00941C0B"/>
    <w:rsid w:val="009439D4"/>
    <w:rsid w:val="00944D94"/>
    <w:rsid w:val="009467DD"/>
    <w:rsid w:val="009471E9"/>
    <w:rsid w:val="00950002"/>
    <w:rsid w:val="00951741"/>
    <w:rsid w:val="0095429E"/>
    <w:rsid w:val="00961573"/>
    <w:rsid w:val="00961D97"/>
    <w:rsid w:val="009632B0"/>
    <w:rsid w:val="0096428D"/>
    <w:rsid w:val="00965492"/>
    <w:rsid w:val="00965E02"/>
    <w:rsid w:val="0097096E"/>
    <w:rsid w:val="00970F11"/>
    <w:rsid w:val="00971F7B"/>
    <w:rsid w:val="00972922"/>
    <w:rsid w:val="00972AF0"/>
    <w:rsid w:val="00973757"/>
    <w:rsid w:val="00973BCF"/>
    <w:rsid w:val="0097403D"/>
    <w:rsid w:val="0097651C"/>
    <w:rsid w:val="00980373"/>
    <w:rsid w:val="00981F48"/>
    <w:rsid w:val="00982310"/>
    <w:rsid w:val="009853B4"/>
    <w:rsid w:val="00985B55"/>
    <w:rsid w:val="00987B8A"/>
    <w:rsid w:val="00991C0C"/>
    <w:rsid w:val="00992C05"/>
    <w:rsid w:val="00995D31"/>
    <w:rsid w:val="00996DDC"/>
    <w:rsid w:val="009A0357"/>
    <w:rsid w:val="009A107E"/>
    <w:rsid w:val="009A1BDB"/>
    <w:rsid w:val="009A20D2"/>
    <w:rsid w:val="009A2A3E"/>
    <w:rsid w:val="009A3366"/>
    <w:rsid w:val="009A413E"/>
    <w:rsid w:val="009A47B8"/>
    <w:rsid w:val="009A4F06"/>
    <w:rsid w:val="009A5141"/>
    <w:rsid w:val="009A5EBE"/>
    <w:rsid w:val="009A6392"/>
    <w:rsid w:val="009B3E18"/>
    <w:rsid w:val="009B5A8A"/>
    <w:rsid w:val="009B7555"/>
    <w:rsid w:val="009B75D2"/>
    <w:rsid w:val="009C030E"/>
    <w:rsid w:val="009C2D1C"/>
    <w:rsid w:val="009C2E76"/>
    <w:rsid w:val="009C6870"/>
    <w:rsid w:val="009C6980"/>
    <w:rsid w:val="009C6F37"/>
    <w:rsid w:val="009C7F4C"/>
    <w:rsid w:val="009D1DE7"/>
    <w:rsid w:val="009D3C1A"/>
    <w:rsid w:val="009D4459"/>
    <w:rsid w:val="009D53DE"/>
    <w:rsid w:val="009D58EC"/>
    <w:rsid w:val="009D5FF4"/>
    <w:rsid w:val="009D60D6"/>
    <w:rsid w:val="009D6100"/>
    <w:rsid w:val="009D707D"/>
    <w:rsid w:val="009E0360"/>
    <w:rsid w:val="009E1700"/>
    <w:rsid w:val="009E2946"/>
    <w:rsid w:val="009E2A6B"/>
    <w:rsid w:val="009E33CF"/>
    <w:rsid w:val="009E48BB"/>
    <w:rsid w:val="009E5039"/>
    <w:rsid w:val="009E577C"/>
    <w:rsid w:val="009E7F24"/>
    <w:rsid w:val="009F05AE"/>
    <w:rsid w:val="009F1731"/>
    <w:rsid w:val="009F3549"/>
    <w:rsid w:val="009F3831"/>
    <w:rsid w:val="009F3996"/>
    <w:rsid w:val="009F3F1F"/>
    <w:rsid w:val="009F6D9F"/>
    <w:rsid w:val="009F720B"/>
    <w:rsid w:val="009F73D8"/>
    <w:rsid w:val="00A002F6"/>
    <w:rsid w:val="00A0241B"/>
    <w:rsid w:val="00A02D54"/>
    <w:rsid w:val="00A0318D"/>
    <w:rsid w:val="00A03A3B"/>
    <w:rsid w:val="00A03BD7"/>
    <w:rsid w:val="00A03D68"/>
    <w:rsid w:val="00A04EC4"/>
    <w:rsid w:val="00A04F6C"/>
    <w:rsid w:val="00A05385"/>
    <w:rsid w:val="00A07259"/>
    <w:rsid w:val="00A10266"/>
    <w:rsid w:val="00A131D1"/>
    <w:rsid w:val="00A13438"/>
    <w:rsid w:val="00A145C1"/>
    <w:rsid w:val="00A16801"/>
    <w:rsid w:val="00A17491"/>
    <w:rsid w:val="00A20822"/>
    <w:rsid w:val="00A21294"/>
    <w:rsid w:val="00A238EA"/>
    <w:rsid w:val="00A2593B"/>
    <w:rsid w:val="00A271B1"/>
    <w:rsid w:val="00A274C3"/>
    <w:rsid w:val="00A31247"/>
    <w:rsid w:val="00A401C9"/>
    <w:rsid w:val="00A404C8"/>
    <w:rsid w:val="00A40773"/>
    <w:rsid w:val="00A427B7"/>
    <w:rsid w:val="00A45601"/>
    <w:rsid w:val="00A46662"/>
    <w:rsid w:val="00A46CEA"/>
    <w:rsid w:val="00A47B1B"/>
    <w:rsid w:val="00A500D2"/>
    <w:rsid w:val="00A53475"/>
    <w:rsid w:val="00A534EF"/>
    <w:rsid w:val="00A54415"/>
    <w:rsid w:val="00A570F8"/>
    <w:rsid w:val="00A57FD7"/>
    <w:rsid w:val="00A60302"/>
    <w:rsid w:val="00A61BD9"/>
    <w:rsid w:val="00A61BDA"/>
    <w:rsid w:val="00A62133"/>
    <w:rsid w:val="00A6267A"/>
    <w:rsid w:val="00A63E5B"/>
    <w:rsid w:val="00A7012A"/>
    <w:rsid w:val="00A70579"/>
    <w:rsid w:val="00A7134B"/>
    <w:rsid w:val="00A7315B"/>
    <w:rsid w:val="00A73698"/>
    <w:rsid w:val="00A748EA"/>
    <w:rsid w:val="00A756D7"/>
    <w:rsid w:val="00A756F8"/>
    <w:rsid w:val="00A76074"/>
    <w:rsid w:val="00A762F5"/>
    <w:rsid w:val="00A76655"/>
    <w:rsid w:val="00A77001"/>
    <w:rsid w:val="00A81A36"/>
    <w:rsid w:val="00A81B31"/>
    <w:rsid w:val="00A836FA"/>
    <w:rsid w:val="00A83A9B"/>
    <w:rsid w:val="00A83B44"/>
    <w:rsid w:val="00A846F5"/>
    <w:rsid w:val="00A84D87"/>
    <w:rsid w:val="00A869CF"/>
    <w:rsid w:val="00A87878"/>
    <w:rsid w:val="00A90520"/>
    <w:rsid w:val="00A9215B"/>
    <w:rsid w:val="00A92524"/>
    <w:rsid w:val="00A925F6"/>
    <w:rsid w:val="00A92EC0"/>
    <w:rsid w:val="00A934DE"/>
    <w:rsid w:val="00A97A11"/>
    <w:rsid w:val="00AA1774"/>
    <w:rsid w:val="00AA1D08"/>
    <w:rsid w:val="00AA7336"/>
    <w:rsid w:val="00AA7459"/>
    <w:rsid w:val="00AB1244"/>
    <w:rsid w:val="00AB476E"/>
    <w:rsid w:val="00AB4DC4"/>
    <w:rsid w:val="00AB70F0"/>
    <w:rsid w:val="00AC0755"/>
    <w:rsid w:val="00AC3717"/>
    <w:rsid w:val="00AC6FBC"/>
    <w:rsid w:val="00AC7242"/>
    <w:rsid w:val="00AC7856"/>
    <w:rsid w:val="00AD008C"/>
    <w:rsid w:val="00AD0D7E"/>
    <w:rsid w:val="00AD0DB3"/>
    <w:rsid w:val="00AD23EF"/>
    <w:rsid w:val="00AD2C27"/>
    <w:rsid w:val="00AD4D4E"/>
    <w:rsid w:val="00AD71A3"/>
    <w:rsid w:val="00AD7E3D"/>
    <w:rsid w:val="00AE1798"/>
    <w:rsid w:val="00AE6383"/>
    <w:rsid w:val="00AE65CB"/>
    <w:rsid w:val="00AE6B22"/>
    <w:rsid w:val="00AE775A"/>
    <w:rsid w:val="00AF0AA3"/>
    <w:rsid w:val="00AF17FA"/>
    <w:rsid w:val="00AF1E0A"/>
    <w:rsid w:val="00AF2971"/>
    <w:rsid w:val="00AF347F"/>
    <w:rsid w:val="00AF3D2D"/>
    <w:rsid w:val="00AF5522"/>
    <w:rsid w:val="00AF6F00"/>
    <w:rsid w:val="00AF6F76"/>
    <w:rsid w:val="00AF7A31"/>
    <w:rsid w:val="00AF7CC6"/>
    <w:rsid w:val="00B00F63"/>
    <w:rsid w:val="00B031E5"/>
    <w:rsid w:val="00B03D3E"/>
    <w:rsid w:val="00B042E7"/>
    <w:rsid w:val="00B04C34"/>
    <w:rsid w:val="00B124F7"/>
    <w:rsid w:val="00B137CE"/>
    <w:rsid w:val="00B14F87"/>
    <w:rsid w:val="00B16185"/>
    <w:rsid w:val="00B16927"/>
    <w:rsid w:val="00B20593"/>
    <w:rsid w:val="00B21D3A"/>
    <w:rsid w:val="00B22B0C"/>
    <w:rsid w:val="00B23477"/>
    <w:rsid w:val="00B2387C"/>
    <w:rsid w:val="00B23972"/>
    <w:rsid w:val="00B248A9"/>
    <w:rsid w:val="00B25096"/>
    <w:rsid w:val="00B252E6"/>
    <w:rsid w:val="00B257D8"/>
    <w:rsid w:val="00B25FE8"/>
    <w:rsid w:val="00B26813"/>
    <w:rsid w:val="00B26E48"/>
    <w:rsid w:val="00B27595"/>
    <w:rsid w:val="00B30DC9"/>
    <w:rsid w:val="00B3398D"/>
    <w:rsid w:val="00B33C96"/>
    <w:rsid w:val="00B348C4"/>
    <w:rsid w:val="00B368B7"/>
    <w:rsid w:val="00B36A3A"/>
    <w:rsid w:val="00B36FE8"/>
    <w:rsid w:val="00B4234E"/>
    <w:rsid w:val="00B426B1"/>
    <w:rsid w:val="00B42FB2"/>
    <w:rsid w:val="00B45D35"/>
    <w:rsid w:val="00B47186"/>
    <w:rsid w:val="00B54FEE"/>
    <w:rsid w:val="00B5506B"/>
    <w:rsid w:val="00B552B7"/>
    <w:rsid w:val="00B55747"/>
    <w:rsid w:val="00B55C43"/>
    <w:rsid w:val="00B560B5"/>
    <w:rsid w:val="00B561F9"/>
    <w:rsid w:val="00B60FDB"/>
    <w:rsid w:val="00B621A2"/>
    <w:rsid w:val="00B63CB4"/>
    <w:rsid w:val="00B64B99"/>
    <w:rsid w:val="00B653FE"/>
    <w:rsid w:val="00B660BD"/>
    <w:rsid w:val="00B675EA"/>
    <w:rsid w:val="00B71AD9"/>
    <w:rsid w:val="00B72553"/>
    <w:rsid w:val="00B72E49"/>
    <w:rsid w:val="00B7659D"/>
    <w:rsid w:val="00B77A13"/>
    <w:rsid w:val="00B800C8"/>
    <w:rsid w:val="00B80909"/>
    <w:rsid w:val="00B80F99"/>
    <w:rsid w:val="00B81917"/>
    <w:rsid w:val="00B827A0"/>
    <w:rsid w:val="00B82B7B"/>
    <w:rsid w:val="00B82DBE"/>
    <w:rsid w:val="00B85495"/>
    <w:rsid w:val="00B866BF"/>
    <w:rsid w:val="00B90051"/>
    <w:rsid w:val="00B9099A"/>
    <w:rsid w:val="00B92D58"/>
    <w:rsid w:val="00B93C43"/>
    <w:rsid w:val="00B94A25"/>
    <w:rsid w:val="00B9621C"/>
    <w:rsid w:val="00B96A24"/>
    <w:rsid w:val="00B96D55"/>
    <w:rsid w:val="00B97AAB"/>
    <w:rsid w:val="00B97D1D"/>
    <w:rsid w:val="00BA1EEC"/>
    <w:rsid w:val="00BA20DA"/>
    <w:rsid w:val="00BA21D5"/>
    <w:rsid w:val="00BA3376"/>
    <w:rsid w:val="00BA4909"/>
    <w:rsid w:val="00BA5512"/>
    <w:rsid w:val="00BA7088"/>
    <w:rsid w:val="00BB1383"/>
    <w:rsid w:val="00BB2920"/>
    <w:rsid w:val="00BB4FC3"/>
    <w:rsid w:val="00BB5070"/>
    <w:rsid w:val="00BB796F"/>
    <w:rsid w:val="00BC011B"/>
    <w:rsid w:val="00BC01F0"/>
    <w:rsid w:val="00BC25E4"/>
    <w:rsid w:val="00BC2952"/>
    <w:rsid w:val="00BC32AF"/>
    <w:rsid w:val="00BC4929"/>
    <w:rsid w:val="00BC5678"/>
    <w:rsid w:val="00BD1212"/>
    <w:rsid w:val="00BD1A8A"/>
    <w:rsid w:val="00BD402F"/>
    <w:rsid w:val="00BD67DF"/>
    <w:rsid w:val="00BD6869"/>
    <w:rsid w:val="00BD7DDA"/>
    <w:rsid w:val="00BE3102"/>
    <w:rsid w:val="00BE4082"/>
    <w:rsid w:val="00BE4B15"/>
    <w:rsid w:val="00BE62CC"/>
    <w:rsid w:val="00BE7A96"/>
    <w:rsid w:val="00BF291E"/>
    <w:rsid w:val="00BF2C11"/>
    <w:rsid w:val="00BF5CC1"/>
    <w:rsid w:val="00BF619B"/>
    <w:rsid w:val="00BF65E3"/>
    <w:rsid w:val="00BF68C3"/>
    <w:rsid w:val="00BF694F"/>
    <w:rsid w:val="00BF6A0C"/>
    <w:rsid w:val="00BF73D5"/>
    <w:rsid w:val="00C0009A"/>
    <w:rsid w:val="00C02418"/>
    <w:rsid w:val="00C040BF"/>
    <w:rsid w:val="00C04609"/>
    <w:rsid w:val="00C04E1B"/>
    <w:rsid w:val="00C06A73"/>
    <w:rsid w:val="00C101AF"/>
    <w:rsid w:val="00C1354A"/>
    <w:rsid w:val="00C143E0"/>
    <w:rsid w:val="00C15627"/>
    <w:rsid w:val="00C166AB"/>
    <w:rsid w:val="00C16719"/>
    <w:rsid w:val="00C17315"/>
    <w:rsid w:val="00C1795D"/>
    <w:rsid w:val="00C2093E"/>
    <w:rsid w:val="00C21456"/>
    <w:rsid w:val="00C21D79"/>
    <w:rsid w:val="00C244BB"/>
    <w:rsid w:val="00C2571B"/>
    <w:rsid w:val="00C26946"/>
    <w:rsid w:val="00C279C5"/>
    <w:rsid w:val="00C30C9C"/>
    <w:rsid w:val="00C32D62"/>
    <w:rsid w:val="00C337F0"/>
    <w:rsid w:val="00C341D2"/>
    <w:rsid w:val="00C352C4"/>
    <w:rsid w:val="00C37693"/>
    <w:rsid w:val="00C41261"/>
    <w:rsid w:val="00C413A4"/>
    <w:rsid w:val="00C41CA2"/>
    <w:rsid w:val="00C43143"/>
    <w:rsid w:val="00C44C8E"/>
    <w:rsid w:val="00C4568A"/>
    <w:rsid w:val="00C47011"/>
    <w:rsid w:val="00C4716D"/>
    <w:rsid w:val="00C509BB"/>
    <w:rsid w:val="00C5169B"/>
    <w:rsid w:val="00C516D8"/>
    <w:rsid w:val="00C51E56"/>
    <w:rsid w:val="00C5288A"/>
    <w:rsid w:val="00C530DF"/>
    <w:rsid w:val="00C552AB"/>
    <w:rsid w:val="00C556C4"/>
    <w:rsid w:val="00C563A1"/>
    <w:rsid w:val="00C60A6C"/>
    <w:rsid w:val="00C61753"/>
    <w:rsid w:val="00C627AE"/>
    <w:rsid w:val="00C6420E"/>
    <w:rsid w:val="00C646CC"/>
    <w:rsid w:val="00C64E53"/>
    <w:rsid w:val="00C67703"/>
    <w:rsid w:val="00C6794B"/>
    <w:rsid w:val="00C70AD2"/>
    <w:rsid w:val="00C70CCC"/>
    <w:rsid w:val="00C72AFE"/>
    <w:rsid w:val="00C75BD1"/>
    <w:rsid w:val="00C7636B"/>
    <w:rsid w:val="00C769FD"/>
    <w:rsid w:val="00C76C7A"/>
    <w:rsid w:val="00C76C96"/>
    <w:rsid w:val="00C76CA8"/>
    <w:rsid w:val="00C76DB7"/>
    <w:rsid w:val="00C77BB2"/>
    <w:rsid w:val="00C803A8"/>
    <w:rsid w:val="00C805EA"/>
    <w:rsid w:val="00C8129E"/>
    <w:rsid w:val="00C8192E"/>
    <w:rsid w:val="00C8253C"/>
    <w:rsid w:val="00C95481"/>
    <w:rsid w:val="00C96C63"/>
    <w:rsid w:val="00C97F62"/>
    <w:rsid w:val="00CA03C7"/>
    <w:rsid w:val="00CA14F9"/>
    <w:rsid w:val="00CA1C31"/>
    <w:rsid w:val="00CA1F25"/>
    <w:rsid w:val="00CA3401"/>
    <w:rsid w:val="00CB0242"/>
    <w:rsid w:val="00CB199B"/>
    <w:rsid w:val="00CB4207"/>
    <w:rsid w:val="00CB426D"/>
    <w:rsid w:val="00CB447B"/>
    <w:rsid w:val="00CB5EBF"/>
    <w:rsid w:val="00CB6265"/>
    <w:rsid w:val="00CB7220"/>
    <w:rsid w:val="00CB7C93"/>
    <w:rsid w:val="00CC01AC"/>
    <w:rsid w:val="00CC03BB"/>
    <w:rsid w:val="00CC20B4"/>
    <w:rsid w:val="00CC2193"/>
    <w:rsid w:val="00CC28EA"/>
    <w:rsid w:val="00CC36D7"/>
    <w:rsid w:val="00CC437D"/>
    <w:rsid w:val="00CC55F0"/>
    <w:rsid w:val="00CC7BD0"/>
    <w:rsid w:val="00CC7D33"/>
    <w:rsid w:val="00CD0DD1"/>
    <w:rsid w:val="00CD2CE8"/>
    <w:rsid w:val="00CD4713"/>
    <w:rsid w:val="00CD4E02"/>
    <w:rsid w:val="00CD4ED9"/>
    <w:rsid w:val="00CE077F"/>
    <w:rsid w:val="00CE1CB8"/>
    <w:rsid w:val="00CE2E13"/>
    <w:rsid w:val="00CE2FB7"/>
    <w:rsid w:val="00CE3614"/>
    <w:rsid w:val="00CF1A29"/>
    <w:rsid w:val="00CF2B97"/>
    <w:rsid w:val="00CF3E10"/>
    <w:rsid w:val="00CF4B4B"/>
    <w:rsid w:val="00CF5578"/>
    <w:rsid w:val="00D01677"/>
    <w:rsid w:val="00D019AC"/>
    <w:rsid w:val="00D02F0B"/>
    <w:rsid w:val="00D0341D"/>
    <w:rsid w:val="00D03BA9"/>
    <w:rsid w:val="00D05FF7"/>
    <w:rsid w:val="00D06538"/>
    <w:rsid w:val="00D065C6"/>
    <w:rsid w:val="00D078FC"/>
    <w:rsid w:val="00D07B36"/>
    <w:rsid w:val="00D11D43"/>
    <w:rsid w:val="00D12785"/>
    <w:rsid w:val="00D127D5"/>
    <w:rsid w:val="00D133B8"/>
    <w:rsid w:val="00D145A9"/>
    <w:rsid w:val="00D14D22"/>
    <w:rsid w:val="00D17C92"/>
    <w:rsid w:val="00D200A6"/>
    <w:rsid w:val="00D21C7B"/>
    <w:rsid w:val="00D23A62"/>
    <w:rsid w:val="00D248CB"/>
    <w:rsid w:val="00D249CE"/>
    <w:rsid w:val="00D30633"/>
    <w:rsid w:val="00D30BDA"/>
    <w:rsid w:val="00D3510A"/>
    <w:rsid w:val="00D35FAD"/>
    <w:rsid w:val="00D37170"/>
    <w:rsid w:val="00D42539"/>
    <w:rsid w:val="00D425C4"/>
    <w:rsid w:val="00D4464F"/>
    <w:rsid w:val="00D46185"/>
    <w:rsid w:val="00D46479"/>
    <w:rsid w:val="00D6109C"/>
    <w:rsid w:val="00D61A97"/>
    <w:rsid w:val="00D62DCF"/>
    <w:rsid w:val="00D7208B"/>
    <w:rsid w:val="00D72107"/>
    <w:rsid w:val="00D724A6"/>
    <w:rsid w:val="00D73EF3"/>
    <w:rsid w:val="00D7425C"/>
    <w:rsid w:val="00D74F33"/>
    <w:rsid w:val="00D7508A"/>
    <w:rsid w:val="00D8003C"/>
    <w:rsid w:val="00D80437"/>
    <w:rsid w:val="00D84D00"/>
    <w:rsid w:val="00D906E3"/>
    <w:rsid w:val="00D91EB4"/>
    <w:rsid w:val="00D92190"/>
    <w:rsid w:val="00D938D2"/>
    <w:rsid w:val="00D93C2C"/>
    <w:rsid w:val="00D945B2"/>
    <w:rsid w:val="00D95BBC"/>
    <w:rsid w:val="00DA072F"/>
    <w:rsid w:val="00DA1ACC"/>
    <w:rsid w:val="00DA343A"/>
    <w:rsid w:val="00DA5BE0"/>
    <w:rsid w:val="00DA617C"/>
    <w:rsid w:val="00DA6979"/>
    <w:rsid w:val="00DA6B00"/>
    <w:rsid w:val="00DA7D17"/>
    <w:rsid w:val="00DB04E1"/>
    <w:rsid w:val="00DB1096"/>
    <w:rsid w:val="00DB2330"/>
    <w:rsid w:val="00DB4D1E"/>
    <w:rsid w:val="00DB5CE4"/>
    <w:rsid w:val="00DB64FF"/>
    <w:rsid w:val="00DB7337"/>
    <w:rsid w:val="00DB745B"/>
    <w:rsid w:val="00DB7B3F"/>
    <w:rsid w:val="00DC0C0A"/>
    <w:rsid w:val="00DC276D"/>
    <w:rsid w:val="00DC3070"/>
    <w:rsid w:val="00DC3315"/>
    <w:rsid w:val="00DC57F5"/>
    <w:rsid w:val="00DD1298"/>
    <w:rsid w:val="00DD39C3"/>
    <w:rsid w:val="00DD3C54"/>
    <w:rsid w:val="00DD5A83"/>
    <w:rsid w:val="00DD65A0"/>
    <w:rsid w:val="00DD6F15"/>
    <w:rsid w:val="00DE1AD0"/>
    <w:rsid w:val="00DE2507"/>
    <w:rsid w:val="00DE3A53"/>
    <w:rsid w:val="00DE5A17"/>
    <w:rsid w:val="00DE6EBC"/>
    <w:rsid w:val="00DE77FB"/>
    <w:rsid w:val="00DF0A85"/>
    <w:rsid w:val="00DF1099"/>
    <w:rsid w:val="00DF1EE9"/>
    <w:rsid w:val="00DF2A1C"/>
    <w:rsid w:val="00DF3A0D"/>
    <w:rsid w:val="00DF43CD"/>
    <w:rsid w:val="00DF44BE"/>
    <w:rsid w:val="00E018C7"/>
    <w:rsid w:val="00E01A6B"/>
    <w:rsid w:val="00E02C34"/>
    <w:rsid w:val="00E03258"/>
    <w:rsid w:val="00E038C4"/>
    <w:rsid w:val="00E078ED"/>
    <w:rsid w:val="00E10687"/>
    <w:rsid w:val="00E10A23"/>
    <w:rsid w:val="00E12DBA"/>
    <w:rsid w:val="00E12F33"/>
    <w:rsid w:val="00E13A6F"/>
    <w:rsid w:val="00E15458"/>
    <w:rsid w:val="00E16D21"/>
    <w:rsid w:val="00E173C3"/>
    <w:rsid w:val="00E17FA1"/>
    <w:rsid w:val="00E24A2D"/>
    <w:rsid w:val="00E3122A"/>
    <w:rsid w:val="00E31D82"/>
    <w:rsid w:val="00E3475E"/>
    <w:rsid w:val="00E357E5"/>
    <w:rsid w:val="00E40B43"/>
    <w:rsid w:val="00E445BA"/>
    <w:rsid w:val="00E47640"/>
    <w:rsid w:val="00E51AB4"/>
    <w:rsid w:val="00E529AA"/>
    <w:rsid w:val="00E52E1E"/>
    <w:rsid w:val="00E53263"/>
    <w:rsid w:val="00E53D4A"/>
    <w:rsid w:val="00E5434A"/>
    <w:rsid w:val="00E568B9"/>
    <w:rsid w:val="00E56EEC"/>
    <w:rsid w:val="00E56F5C"/>
    <w:rsid w:val="00E5768E"/>
    <w:rsid w:val="00E57B24"/>
    <w:rsid w:val="00E57C03"/>
    <w:rsid w:val="00E57F2F"/>
    <w:rsid w:val="00E6152C"/>
    <w:rsid w:val="00E64D35"/>
    <w:rsid w:val="00E668D7"/>
    <w:rsid w:val="00E67660"/>
    <w:rsid w:val="00E67BF7"/>
    <w:rsid w:val="00E707A2"/>
    <w:rsid w:val="00E71D5B"/>
    <w:rsid w:val="00E71D6C"/>
    <w:rsid w:val="00E725F0"/>
    <w:rsid w:val="00E73247"/>
    <w:rsid w:val="00E73C51"/>
    <w:rsid w:val="00E74C68"/>
    <w:rsid w:val="00E74D85"/>
    <w:rsid w:val="00E77836"/>
    <w:rsid w:val="00E77BC4"/>
    <w:rsid w:val="00E80DB5"/>
    <w:rsid w:val="00E85113"/>
    <w:rsid w:val="00E87AB5"/>
    <w:rsid w:val="00E912F2"/>
    <w:rsid w:val="00E921F2"/>
    <w:rsid w:val="00E943C5"/>
    <w:rsid w:val="00E952E7"/>
    <w:rsid w:val="00E95D46"/>
    <w:rsid w:val="00E96667"/>
    <w:rsid w:val="00E97652"/>
    <w:rsid w:val="00EA104D"/>
    <w:rsid w:val="00EA2820"/>
    <w:rsid w:val="00EA3BB5"/>
    <w:rsid w:val="00EA48A6"/>
    <w:rsid w:val="00EA5BDD"/>
    <w:rsid w:val="00EA6FC3"/>
    <w:rsid w:val="00EA7ED9"/>
    <w:rsid w:val="00EB1951"/>
    <w:rsid w:val="00EB4DD8"/>
    <w:rsid w:val="00EB6099"/>
    <w:rsid w:val="00EB6178"/>
    <w:rsid w:val="00EB62ED"/>
    <w:rsid w:val="00EC021B"/>
    <w:rsid w:val="00EC2308"/>
    <w:rsid w:val="00EC2538"/>
    <w:rsid w:val="00EC2D65"/>
    <w:rsid w:val="00EC4054"/>
    <w:rsid w:val="00EC40F4"/>
    <w:rsid w:val="00EC5C4B"/>
    <w:rsid w:val="00EC5E16"/>
    <w:rsid w:val="00EC66EB"/>
    <w:rsid w:val="00EC707E"/>
    <w:rsid w:val="00ED0A7B"/>
    <w:rsid w:val="00ED0EEB"/>
    <w:rsid w:val="00ED1113"/>
    <w:rsid w:val="00ED1F66"/>
    <w:rsid w:val="00ED229E"/>
    <w:rsid w:val="00ED25E6"/>
    <w:rsid w:val="00ED35FD"/>
    <w:rsid w:val="00ED377F"/>
    <w:rsid w:val="00ED5216"/>
    <w:rsid w:val="00ED62E3"/>
    <w:rsid w:val="00ED6535"/>
    <w:rsid w:val="00EE0613"/>
    <w:rsid w:val="00EE0D69"/>
    <w:rsid w:val="00EE4583"/>
    <w:rsid w:val="00EE5682"/>
    <w:rsid w:val="00EE65AA"/>
    <w:rsid w:val="00EE7474"/>
    <w:rsid w:val="00EE75D3"/>
    <w:rsid w:val="00EE7BBC"/>
    <w:rsid w:val="00EF0684"/>
    <w:rsid w:val="00EF1570"/>
    <w:rsid w:val="00EF1746"/>
    <w:rsid w:val="00EF28E2"/>
    <w:rsid w:val="00EF3269"/>
    <w:rsid w:val="00EF4064"/>
    <w:rsid w:val="00EF49C9"/>
    <w:rsid w:val="00EF5D50"/>
    <w:rsid w:val="00EF758A"/>
    <w:rsid w:val="00F014B5"/>
    <w:rsid w:val="00F05B1D"/>
    <w:rsid w:val="00F06028"/>
    <w:rsid w:val="00F06D1C"/>
    <w:rsid w:val="00F1207E"/>
    <w:rsid w:val="00F1316E"/>
    <w:rsid w:val="00F139F0"/>
    <w:rsid w:val="00F14335"/>
    <w:rsid w:val="00F1492B"/>
    <w:rsid w:val="00F1529A"/>
    <w:rsid w:val="00F1558F"/>
    <w:rsid w:val="00F15BA9"/>
    <w:rsid w:val="00F15D45"/>
    <w:rsid w:val="00F16450"/>
    <w:rsid w:val="00F16A26"/>
    <w:rsid w:val="00F207D4"/>
    <w:rsid w:val="00F2118F"/>
    <w:rsid w:val="00F217C5"/>
    <w:rsid w:val="00F21853"/>
    <w:rsid w:val="00F22D79"/>
    <w:rsid w:val="00F2316E"/>
    <w:rsid w:val="00F25EDA"/>
    <w:rsid w:val="00F269BA"/>
    <w:rsid w:val="00F33BB9"/>
    <w:rsid w:val="00F34156"/>
    <w:rsid w:val="00F3460C"/>
    <w:rsid w:val="00F35B4F"/>
    <w:rsid w:val="00F3734B"/>
    <w:rsid w:val="00F37B98"/>
    <w:rsid w:val="00F40AA5"/>
    <w:rsid w:val="00F413CF"/>
    <w:rsid w:val="00F41529"/>
    <w:rsid w:val="00F43AF2"/>
    <w:rsid w:val="00F43B4A"/>
    <w:rsid w:val="00F450F6"/>
    <w:rsid w:val="00F4584F"/>
    <w:rsid w:val="00F45F34"/>
    <w:rsid w:val="00F479E0"/>
    <w:rsid w:val="00F51710"/>
    <w:rsid w:val="00F51835"/>
    <w:rsid w:val="00F52714"/>
    <w:rsid w:val="00F537B9"/>
    <w:rsid w:val="00F539AD"/>
    <w:rsid w:val="00F55351"/>
    <w:rsid w:val="00F56202"/>
    <w:rsid w:val="00F5742E"/>
    <w:rsid w:val="00F57A3B"/>
    <w:rsid w:val="00F57DEC"/>
    <w:rsid w:val="00F6198C"/>
    <w:rsid w:val="00F61A39"/>
    <w:rsid w:val="00F61B9A"/>
    <w:rsid w:val="00F652DA"/>
    <w:rsid w:val="00F67066"/>
    <w:rsid w:val="00F67B3B"/>
    <w:rsid w:val="00F73CC8"/>
    <w:rsid w:val="00F761E9"/>
    <w:rsid w:val="00F765FA"/>
    <w:rsid w:val="00F770DF"/>
    <w:rsid w:val="00F80254"/>
    <w:rsid w:val="00F80EE9"/>
    <w:rsid w:val="00F836AF"/>
    <w:rsid w:val="00F8383D"/>
    <w:rsid w:val="00F848B5"/>
    <w:rsid w:val="00F84D48"/>
    <w:rsid w:val="00F84D50"/>
    <w:rsid w:val="00F8795E"/>
    <w:rsid w:val="00F90459"/>
    <w:rsid w:val="00F94DAC"/>
    <w:rsid w:val="00F95E5B"/>
    <w:rsid w:val="00F95EAF"/>
    <w:rsid w:val="00FA0017"/>
    <w:rsid w:val="00FA0BB6"/>
    <w:rsid w:val="00FA0DA2"/>
    <w:rsid w:val="00FA0E72"/>
    <w:rsid w:val="00FA18ED"/>
    <w:rsid w:val="00FA24C9"/>
    <w:rsid w:val="00FA4324"/>
    <w:rsid w:val="00FA6625"/>
    <w:rsid w:val="00FA6DD2"/>
    <w:rsid w:val="00FA78F4"/>
    <w:rsid w:val="00FA7987"/>
    <w:rsid w:val="00FB0BF0"/>
    <w:rsid w:val="00FB15ED"/>
    <w:rsid w:val="00FB3562"/>
    <w:rsid w:val="00FB4A48"/>
    <w:rsid w:val="00FB6B03"/>
    <w:rsid w:val="00FB774C"/>
    <w:rsid w:val="00FC0082"/>
    <w:rsid w:val="00FC2B01"/>
    <w:rsid w:val="00FC44F1"/>
    <w:rsid w:val="00FC4510"/>
    <w:rsid w:val="00FC4679"/>
    <w:rsid w:val="00FC6504"/>
    <w:rsid w:val="00FC7E03"/>
    <w:rsid w:val="00FD0C61"/>
    <w:rsid w:val="00FD729B"/>
    <w:rsid w:val="00FE03E3"/>
    <w:rsid w:val="00FE0AEA"/>
    <w:rsid w:val="00FE1B6C"/>
    <w:rsid w:val="00FE4AEB"/>
    <w:rsid w:val="00FE4BBD"/>
    <w:rsid w:val="00FE5487"/>
    <w:rsid w:val="00FE5993"/>
    <w:rsid w:val="00FF25C0"/>
    <w:rsid w:val="00FF2A1D"/>
    <w:rsid w:val="00FF5749"/>
    <w:rsid w:val="00FF6089"/>
    <w:rsid w:val="00FF6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7C03FF"/>
  <w15:docId w15:val="{8DBA7FF4-64A5-4F74-B234-313620C32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4A25"/>
    <w:pPr>
      <w:spacing w:before="160" w:after="160" w:line="360" w:lineRule="auto"/>
      <w:ind w:firstLine="680"/>
      <w:jc w:val="both"/>
    </w:pPr>
    <w:rPr>
      <w:rFonts w:ascii="Arial" w:hAnsi="Arial"/>
      <w:sz w:val="24"/>
      <w:lang w:val="en-GB"/>
    </w:rPr>
  </w:style>
  <w:style w:type="paragraph" w:styleId="Heading1">
    <w:name w:val="heading 1"/>
    <w:basedOn w:val="Normal"/>
    <w:next w:val="Normal"/>
    <w:link w:val="Heading1Char"/>
    <w:uiPriority w:val="9"/>
    <w:qFormat/>
    <w:rsid w:val="00002882"/>
    <w:pPr>
      <w:keepNext/>
      <w:keepLines/>
      <w:numPr>
        <w:numId w:val="1"/>
      </w:numPr>
      <w:ind w:left="431" w:hanging="431"/>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002882"/>
    <w:pPr>
      <w:keepNext/>
      <w:keepLines/>
      <w:numPr>
        <w:ilvl w:val="1"/>
        <w:numId w:val="1"/>
      </w:numPr>
      <w:ind w:left="578" w:hanging="578"/>
      <w:outlineLvl w:val="1"/>
    </w:pPr>
    <w:rPr>
      <w:rFonts w:eastAsiaTheme="majorEastAsia" w:cstheme="majorBidi"/>
      <w:b/>
      <w:color w:val="000000" w:themeColor="text1"/>
      <w:szCs w:val="26"/>
    </w:rPr>
  </w:style>
  <w:style w:type="paragraph" w:styleId="Heading3">
    <w:name w:val="heading 3"/>
    <w:basedOn w:val="Normal"/>
    <w:next w:val="Normal"/>
    <w:link w:val="Heading3Char"/>
    <w:uiPriority w:val="9"/>
    <w:unhideWhenUsed/>
    <w:qFormat/>
    <w:rsid w:val="00437B0F"/>
    <w:pPr>
      <w:keepNext/>
      <w:keepLines/>
      <w:numPr>
        <w:ilvl w:val="2"/>
        <w:numId w:val="1"/>
      </w:numPr>
      <w:outlineLvl w:val="2"/>
    </w:pPr>
    <w:rPr>
      <w:rFonts w:eastAsiaTheme="majorEastAsia" w:cstheme="majorBidi"/>
      <w:i/>
      <w:szCs w:val="24"/>
    </w:rPr>
  </w:style>
  <w:style w:type="paragraph" w:styleId="Heading4">
    <w:name w:val="heading 4"/>
    <w:basedOn w:val="Normal"/>
    <w:next w:val="Normal"/>
    <w:link w:val="Heading4Char"/>
    <w:uiPriority w:val="9"/>
    <w:semiHidden/>
    <w:unhideWhenUsed/>
    <w:qFormat/>
    <w:rsid w:val="00123662"/>
    <w:pPr>
      <w:keepNext/>
      <w:keepLines/>
      <w:numPr>
        <w:ilvl w:val="3"/>
        <w:numId w:val="1"/>
      </w:numPr>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123662"/>
    <w:pPr>
      <w:keepNext/>
      <w:keepLines/>
      <w:numPr>
        <w:ilvl w:val="4"/>
        <w:numId w:val="1"/>
      </w:numPr>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123662"/>
    <w:pPr>
      <w:keepNext/>
      <w:keepLines/>
      <w:numPr>
        <w:ilvl w:val="5"/>
        <w:numId w:val="1"/>
      </w:numPr>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123662"/>
    <w:pPr>
      <w:keepNext/>
      <w:keepLines/>
      <w:numPr>
        <w:ilvl w:val="6"/>
        <w:numId w:val="1"/>
      </w:numPr>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123662"/>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23662"/>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2882"/>
    <w:rPr>
      <w:rFonts w:ascii="Times New Roman" w:eastAsiaTheme="majorEastAsia" w:hAnsi="Times New Roman" w:cstheme="majorBidi"/>
      <w:b/>
      <w:sz w:val="24"/>
      <w:szCs w:val="32"/>
      <w:lang w:val="en-GB"/>
    </w:rPr>
  </w:style>
  <w:style w:type="character" w:customStyle="1" w:styleId="Heading2Char">
    <w:name w:val="Heading 2 Char"/>
    <w:basedOn w:val="DefaultParagraphFont"/>
    <w:link w:val="Heading2"/>
    <w:uiPriority w:val="9"/>
    <w:rsid w:val="00002882"/>
    <w:rPr>
      <w:rFonts w:ascii="Times New Roman" w:eastAsiaTheme="majorEastAsia" w:hAnsi="Times New Roman" w:cstheme="majorBidi"/>
      <w:b/>
      <w:color w:val="000000" w:themeColor="text1"/>
      <w:sz w:val="24"/>
      <w:szCs w:val="26"/>
      <w:lang w:val="en-GB"/>
    </w:rPr>
  </w:style>
  <w:style w:type="character" w:customStyle="1" w:styleId="Heading3Char">
    <w:name w:val="Heading 3 Char"/>
    <w:basedOn w:val="DefaultParagraphFont"/>
    <w:link w:val="Heading3"/>
    <w:uiPriority w:val="9"/>
    <w:rsid w:val="00437B0F"/>
    <w:rPr>
      <w:rFonts w:ascii="Times New Roman" w:eastAsiaTheme="majorEastAsia" w:hAnsi="Times New Roman" w:cstheme="majorBidi"/>
      <w:i/>
      <w:sz w:val="24"/>
      <w:szCs w:val="24"/>
      <w:lang w:val="en-GB"/>
    </w:rPr>
  </w:style>
  <w:style w:type="character" w:customStyle="1" w:styleId="Heading4Char">
    <w:name w:val="Heading 4 Char"/>
    <w:basedOn w:val="DefaultParagraphFont"/>
    <w:link w:val="Heading4"/>
    <w:uiPriority w:val="9"/>
    <w:semiHidden/>
    <w:rsid w:val="00123662"/>
    <w:rPr>
      <w:rFonts w:asciiTheme="majorHAnsi" w:eastAsiaTheme="majorEastAsia" w:hAnsiTheme="majorHAnsi" w:cstheme="majorBidi"/>
      <w:i/>
      <w:iCs/>
      <w:color w:val="365F91" w:themeColor="accent1" w:themeShade="BF"/>
      <w:sz w:val="24"/>
      <w:lang w:val="en-GB"/>
    </w:rPr>
  </w:style>
  <w:style w:type="character" w:customStyle="1" w:styleId="Heading5Char">
    <w:name w:val="Heading 5 Char"/>
    <w:basedOn w:val="DefaultParagraphFont"/>
    <w:link w:val="Heading5"/>
    <w:uiPriority w:val="9"/>
    <w:semiHidden/>
    <w:rsid w:val="00123662"/>
    <w:rPr>
      <w:rFonts w:asciiTheme="majorHAnsi" w:eastAsiaTheme="majorEastAsia" w:hAnsiTheme="majorHAnsi" w:cstheme="majorBidi"/>
      <w:color w:val="365F91" w:themeColor="accent1" w:themeShade="BF"/>
      <w:sz w:val="24"/>
      <w:lang w:val="en-GB"/>
    </w:rPr>
  </w:style>
  <w:style w:type="character" w:customStyle="1" w:styleId="Heading6Char">
    <w:name w:val="Heading 6 Char"/>
    <w:basedOn w:val="DefaultParagraphFont"/>
    <w:link w:val="Heading6"/>
    <w:uiPriority w:val="9"/>
    <w:semiHidden/>
    <w:rsid w:val="00123662"/>
    <w:rPr>
      <w:rFonts w:asciiTheme="majorHAnsi" w:eastAsiaTheme="majorEastAsia" w:hAnsiTheme="majorHAnsi" w:cstheme="majorBidi"/>
      <w:color w:val="243F60" w:themeColor="accent1" w:themeShade="7F"/>
      <w:sz w:val="24"/>
      <w:lang w:val="en-GB"/>
    </w:rPr>
  </w:style>
  <w:style w:type="character" w:customStyle="1" w:styleId="Heading7Char">
    <w:name w:val="Heading 7 Char"/>
    <w:basedOn w:val="DefaultParagraphFont"/>
    <w:link w:val="Heading7"/>
    <w:uiPriority w:val="9"/>
    <w:semiHidden/>
    <w:rsid w:val="00123662"/>
    <w:rPr>
      <w:rFonts w:asciiTheme="majorHAnsi" w:eastAsiaTheme="majorEastAsia" w:hAnsiTheme="majorHAnsi" w:cstheme="majorBidi"/>
      <w:i/>
      <w:iCs/>
      <w:color w:val="243F60" w:themeColor="accent1" w:themeShade="7F"/>
      <w:sz w:val="24"/>
      <w:lang w:val="en-GB"/>
    </w:rPr>
  </w:style>
  <w:style w:type="character" w:customStyle="1" w:styleId="Heading8Char">
    <w:name w:val="Heading 8 Char"/>
    <w:basedOn w:val="DefaultParagraphFont"/>
    <w:link w:val="Heading8"/>
    <w:uiPriority w:val="9"/>
    <w:semiHidden/>
    <w:rsid w:val="00123662"/>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sid w:val="00123662"/>
    <w:rPr>
      <w:rFonts w:asciiTheme="majorHAnsi" w:eastAsiaTheme="majorEastAsia" w:hAnsiTheme="majorHAnsi" w:cstheme="majorBidi"/>
      <w:i/>
      <w:iCs/>
      <w:color w:val="272727" w:themeColor="text1" w:themeTint="D8"/>
      <w:sz w:val="21"/>
      <w:szCs w:val="21"/>
      <w:lang w:val="en-GB"/>
    </w:rPr>
  </w:style>
  <w:style w:type="character" w:styleId="Hyperlink">
    <w:name w:val="Hyperlink"/>
    <w:basedOn w:val="DefaultParagraphFont"/>
    <w:uiPriority w:val="99"/>
    <w:unhideWhenUsed/>
    <w:rsid w:val="00123662"/>
    <w:rPr>
      <w:color w:val="0000FF"/>
      <w:u w:val="single"/>
    </w:rPr>
  </w:style>
  <w:style w:type="paragraph" w:styleId="TOC1">
    <w:name w:val="toc 1"/>
    <w:basedOn w:val="Normal"/>
    <w:next w:val="Normal"/>
    <w:autoRedefine/>
    <w:uiPriority w:val="39"/>
    <w:unhideWhenUsed/>
    <w:rsid w:val="00123662"/>
    <w:pPr>
      <w:spacing w:after="100"/>
    </w:pPr>
  </w:style>
  <w:style w:type="paragraph" w:styleId="Header">
    <w:name w:val="header"/>
    <w:basedOn w:val="Normal"/>
    <w:link w:val="HeaderChar"/>
    <w:uiPriority w:val="99"/>
    <w:unhideWhenUsed/>
    <w:rsid w:val="0012366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123662"/>
    <w:rPr>
      <w:rFonts w:ascii="Times New Roman" w:hAnsi="Times New Roman"/>
      <w:sz w:val="24"/>
      <w:lang w:val="en-GB"/>
    </w:rPr>
  </w:style>
  <w:style w:type="paragraph" w:styleId="TOCHeading">
    <w:name w:val="TOC Heading"/>
    <w:basedOn w:val="Heading1"/>
    <w:next w:val="Normal"/>
    <w:uiPriority w:val="39"/>
    <w:unhideWhenUsed/>
    <w:qFormat/>
    <w:rsid w:val="00123662"/>
    <w:pPr>
      <w:numPr>
        <w:numId w:val="0"/>
      </w:numPr>
      <w:spacing w:before="240" w:line="259" w:lineRule="auto"/>
      <w:outlineLvl w:val="9"/>
    </w:pPr>
    <w:rPr>
      <w:rFonts w:asciiTheme="majorHAnsi" w:hAnsiTheme="majorHAnsi"/>
      <w:b w:val="0"/>
      <w:i/>
      <w:color w:val="365F91" w:themeColor="accent1" w:themeShade="BF"/>
      <w:lang w:val="en-US"/>
    </w:rPr>
  </w:style>
  <w:style w:type="paragraph" w:styleId="BalloonText">
    <w:name w:val="Balloon Text"/>
    <w:basedOn w:val="Normal"/>
    <w:link w:val="BalloonTextChar"/>
    <w:uiPriority w:val="99"/>
    <w:semiHidden/>
    <w:unhideWhenUsed/>
    <w:rsid w:val="00123662"/>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3662"/>
    <w:rPr>
      <w:rFonts w:ascii="Tahoma" w:hAnsi="Tahoma" w:cs="Tahoma"/>
      <w:sz w:val="16"/>
      <w:szCs w:val="16"/>
      <w:lang w:val="en-GB"/>
    </w:rPr>
  </w:style>
  <w:style w:type="paragraph" w:styleId="Footer">
    <w:name w:val="footer"/>
    <w:basedOn w:val="Normal"/>
    <w:link w:val="FooterChar"/>
    <w:uiPriority w:val="99"/>
    <w:unhideWhenUsed/>
    <w:rsid w:val="00123662"/>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123662"/>
    <w:rPr>
      <w:rFonts w:ascii="Times New Roman" w:hAnsi="Times New Roman"/>
      <w:sz w:val="24"/>
      <w:lang w:val="en-GB"/>
    </w:rPr>
  </w:style>
  <w:style w:type="paragraph" w:styleId="NormalWeb">
    <w:name w:val="Normal (Web)"/>
    <w:basedOn w:val="Normal"/>
    <w:uiPriority w:val="99"/>
    <w:semiHidden/>
    <w:unhideWhenUsed/>
    <w:rsid w:val="00B54FEE"/>
    <w:pPr>
      <w:spacing w:before="100" w:beforeAutospacing="1" w:after="100" w:afterAutospacing="1" w:line="240" w:lineRule="auto"/>
      <w:jc w:val="left"/>
    </w:pPr>
    <w:rPr>
      <w:rFonts w:eastAsia="Times New Roman" w:cs="Times New Roman"/>
      <w:szCs w:val="24"/>
      <w:lang w:val="en-US"/>
    </w:rPr>
  </w:style>
  <w:style w:type="table" w:styleId="TableGrid">
    <w:name w:val="Table Grid"/>
    <w:basedOn w:val="TableNormal"/>
    <w:uiPriority w:val="39"/>
    <w:rsid w:val="0085432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ghtList-Accent5">
    <w:name w:val="Light List Accent 5"/>
    <w:basedOn w:val="TableNormal"/>
    <w:uiPriority w:val="61"/>
    <w:rsid w:val="005B0CBB"/>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4">
    <w:name w:val="Light List Accent 4"/>
    <w:basedOn w:val="TableNormal"/>
    <w:uiPriority w:val="61"/>
    <w:rsid w:val="005B0CBB"/>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Grid-Accent5">
    <w:name w:val="Light Grid Accent 5"/>
    <w:basedOn w:val="TableNormal"/>
    <w:uiPriority w:val="62"/>
    <w:rsid w:val="005B0CBB"/>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styleId="TOC2">
    <w:name w:val="toc 2"/>
    <w:basedOn w:val="Normal"/>
    <w:next w:val="Normal"/>
    <w:autoRedefine/>
    <w:uiPriority w:val="39"/>
    <w:unhideWhenUsed/>
    <w:rsid w:val="00F35B4F"/>
    <w:pPr>
      <w:spacing w:after="100"/>
      <w:ind w:left="240"/>
    </w:pPr>
  </w:style>
  <w:style w:type="paragraph" w:styleId="TOC3">
    <w:name w:val="toc 3"/>
    <w:basedOn w:val="Normal"/>
    <w:next w:val="Normal"/>
    <w:autoRedefine/>
    <w:uiPriority w:val="39"/>
    <w:unhideWhenUsed/>
    <w:rsid w:val="00F35B4F"/>
    <w:pPr>
      <w:spacing w:after="100"/>
      <w:ind w:left="480"/>
    </w:pPr>
  </w:style>
  <w:style w:type="table" w:styleId="MediumGrid2-Accent5">
    <w:name w:val="Medium Grid 2 Accent 5"/>
    <w:basedOn w:val="TableNormal"/>
    <w:uiPriority w:val="68"/>
    <w:rsid w:val="001C2EB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olorfulList-Accent2">
    <w:name w:val="Colorful List Accent 2"/>
    <w:basedOn w:val="TableNormal"/>
    <w:uiPriority w:val="72"/>
    <w:rsid w:val="001C2EBD"/>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MediumShading1-Accent2">
    <w:name w:val="Medium Shading 1 Accent 2"/>
    <w:basedOn w:val="TableNormal"/>
    <w:uiPriority w:val="63"/>
    <w:rsid w:val="0034528E"/>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ColorfulList-Accent6">
    <w:name w:val="Colorful List Accent 6"/>
    <w:basedOn w:val="TableNormal"/>
    <w:uiPriority w:val="72"/>
    <w:rsid w:val="003C6F68"/>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paragraph" w:styleId="ListParagraph">
    <w:name w:val="List Paragraph"/>
    <w:basedOn w:val="Normal"/>
    <w:uiPriority w:val="34"/>
    <w:qFormat/>
    <w:rsid w:val="001F3392"/>
    <w:pPr>
      <w:spacing w:before="0" w:line="259" w:lineRule="auto"/>
      <w:ind w:left="720"/>
      <w:jc w:val="left"/>
    </w:pPr>
    <w:rPr>
      <w:rFonts w:asciiTheme="minorHAnsi" w:hAnsiTheme="minorHAnsi"/>
      <w:sz w:val="22"/>
      <w:lang w:val="en-US"/>
    </w:rPr>
  </w:style>
  <w:style w:type="character" w:styleId="Strong">
    <w:name w:val="Strong"/>
    <w:basedOn w:val="DefaultParagraphFont"/>
    <w:uiPriority w:val="22"/>
    <w:qFormat/>
    <w:rsid w:val="00EC2538"/>
    <w:rPr>
      <w:b/>
      <w:bCs/>
    </w:rPr>
  </w:style>
  <w:style w:type="paragraph" w:styleId="NoSpacing">
    <w:name w:val="No Spacing"/>
    <w:uiPriority w:val="1"/>
    <w:qFormat/>
    <w:rsid w:val="00694A70"/>
    <w:pPr>
      <w:spacing w:after="0" w:line="240" w:lineRule="auto"/>
    </w:pPr>
    <w:rPr>
      <w:rFonts w:ascii="Calibri" w:eastAsia="Calibri" w:hAnsi="Calibri" w:cs="Times New Roman"/>
      <w:lang w:val="en-GB"/>
    </w:rPr>
  </w:style>
  <w:style w:type="character" w:customStyle="1" w:styleId="normaltextrun">
    <w:name w:val="normaltextrun"/>
    <w:basedOn w:val="DefaultParagraphFont"/>
    <w:rsid w:val="00694A70"/>
  </w:style>
  <w:style w:type="paragraph" w:customStyle="1" w:styleId="paragraph">
    <w:name w:val="paragraph"/>
    <w:basedOn w:val="Normal"/>
    <w:rsid w:val="00694A70"/>
    <w:pPr>
      <w:spacing w:before="100" w:beforeAutospacing="1" w:after="100" w:afterAutospacing="1" w:line="240" w:lineRule="auto"/>
      <w:ind w:firstLine="0"/>
      <w:jc w:val="left"/>
    </w:pPr>
    <w:rPr>
      <w:rFonts w:eastAsia="Times New Roman" w:cs="Times New Roman"/>
      <w:szCs w:val="24"/>
      <w:lang w:eastAsia="en-GB"/>
    </w:rPr>
  </w:style>
  <w:style w:type="character" w:customStyle="1" w:styleId="eop">
    <w:name w:val="eop"/>
    <w:basedOn w:val="DefaultParagraphFont"/>
    <w:rsid w:val="00694A70"/>
  </w:style>
  <w:style w:type="character" w:customStyle="1" w:styleId="tabchar">
    <w:name w:val="tabchar"/>
    <w:basedOn w:val="DefaultParagraphFont"/>
    <w:rsid w:val="00694A70"/>
  </w:style>
  <w:style w:type="character" w:styleId="UnresolvedMention">
    <w:name w:val="Unresolved Mention"/>
    <w:basedOn w:val="DefaultParagraphFont"/>
    <w:uiPriority w:val="99"/>
    <w:semiHidden/>
    <w:unhideWhenUsed/>
    <w:rsid w:val="00D906E3"/>
    <w:rPr>
      <w:color w:val="605E5C"/>
      <w:shd w:val="clear" w:color="auto" w:fill="E1DFDD"/>
    </w:rPr>
  </w:style>
  <w:style w:type="character" w:styleId="Emphasis">
    <w:name w:val="Emphasis"/>
    <w:basedOn w:val="DefaultParagraphFont"/>
    <w:uiPriority w:val="20"/>
    <w:qFormat/>
    <w:rsid w:val="00F3734B"/>
    <w:rPr>
      <w:i/>
      <w:iCs/>
    </w:rPr>
  </w:style>
  <w:style w:type="paragraph" w:styleId="Caption">
    <w:name w:val="caption"/>
    <w:basedOn w:val="Normal"/>
    <w:next w:val="Normal"/>
    <w:uiPriority w:val="35"/>
    <w:unhideWhenUsed/>
    <w:qFormat/>
    <w:rsid w:val="0070484B"/>
    <w:pPr>
      <w:spacing w:before="0" w:after="200" w:line="240" w:lineRule="auto"/>
    </w:pPr>
    <w:rPr>
      <w:i/>
      <w:iCs/>
      <w:color w:val="1F497D" w:themeColor="text2"/>
      <w:sz w:val="18"/>
      <w:szCs w:val="18"/>
    </w:rPr>
  </w:style>
  <w:style w:type="character" w:styleId="FollowedHyperlink">
    <w:name w:val="FollowedHyperlink"/>
    <w:basedOn w:val="DefaultParagraphFont"/>
    <w:uiPriority w:val="99"/>
    <w:semiHidden/>
    <w:unhideWhenUsed/>
    <w:rsid w:val="00291C5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3757">
      <w:bodyDiv w:val="1"/>
      <w:marLeft w:val="0"/>
      <w:marRight w:val="0"/>
      <w:marTop w:val="0"/>
      <w:marBottom w:val="0"/>
      <w:divBdr>
        <w:top w:val="none" w:sz="0" w:space="0" w:color="auto"/>
        <w:left w:val="none" w:sz="0" w:space="0" w:color="auto"/>
        <w:bottom w:val="none" w:sz="0" w:space="0" w:color="auto"/>
        <w:right w:val="none" w:sz="0" w:space="0" w:color="auto"/>
      </w:divBdr>
    </w:div>
    <w:div w:id="230431370">
      <w:bodyDiv w:val="1"/>
      <w:marLeft w:val="0"/>
      <w:marRight w:val="0"/>
      <w:marTop w:val="0"/>
      <w:marBottom w:val="0"/>
      <w:divBdr>
        <w:top w:val="none" w:sz="0" w:space="0" w:color="auto"/>
        <w:left w:val="none" w:sz="0" w:space="0" w:color="auto"/>
        <w:bottom w:val="none" w:sz="0" w:space="0" w:color="auto"/>
        <w:right w:val="none" w:sz="0" w:space="0" w:color="auto"/>
      </w:divBdr>
    </w:div>
    <w:div w:id="319117204">
      <w:bodyDiv w:val="1"/>
      <w:marLeft w:val="0"/>
      <w:marRight w:val="0"/>
      <w:marTop w:val="0"/>
      <w:marBottom w:val="0"/>
      <w:divBdr>
        <w:top w:val="none" w:sz="0" w:space="0" w:color="auto"/>
        <w:left w:val="none" w:sz="0" w:space="0" w:color="auto"/>
        <w:bottom w:val="none" w:sz="0" w:space="0" w:color="auto"/>
        <w:right w:val="none" w:sz="0" w:space="0" w:color="auto"/>
      </w:divBdr>
      <w:divsChild>
        <w:div w:id="1598636944">
          <w:marLeft w:val="763"/>
          <w:marRight w:val="274"/>
          <w:marTop w:val="258"/>
          <w:marBottom w:val="0"/>
          <w:divBdr>
            <w:top w:val="none" w:sz="0" w:space="0" w:color="auto"/>
            <w:left w:val="none" w:sz="0" w:space="0" w:color="auto"/>
            <w:bottom w:val="none" w:sz="0" w:space="0" w:color="auto"/>
            <w:right w:val="none" w:sz="0" w:space="0" w:color="auto"/>
          </w:divBdr>
        </w:div>
      </w:divsChild>
    </w:div>
    <w:div w:id="350187376">
      <w:bodyDiv w:val="1"/>
      <w:marLeft w:val="0"/>
      <w:marRight w:val="0"/>
      <w:marTop w:val="0"/>
      <w:marBottom w:val="0"/>
      <w:divBdr>
        <w:top w:val="none" w:sz="0" w:space="0" w:color="auto"/>
        <w:left w:val="none" w:sz="0" w:space="0" w:color="auto"/>
        <w:bottom w:val="none" w:sz="0" w:space="0" w:color="auto"/>
        <w:right w:val="none" w:sz="0" w:space="0" w:color="auto"/>
      </w:divBdr>
    </w:div>
    <w:div w:id="391469534">
      <w:bodyDiv w:val="1"/>
      <w:marLeft w:val="0"/>
      <w:marRight w:val="0"/>
      <w:marTop w:val="0"/>
      <w:marBottom w:val="0"/>
      <w:divBdr>
        <w:top w:val="none" w:sz="0" w:space="0" w:color="auto"/>
        <w:left w:val="none" w:sz="0" w:space="0" w:color="auto"/>
        <w:bottom w:val="none" w:sz="0" w:space="0" w:color="auto"/>
        <w:right w:val="none" w:sz="0" w:space="0" w:color="auto"/>
      </w:divBdr>
    </w:div>
    <w:div w:id="393158729">
      <w:bodyDiv w:val="1"/>
      <w:marLeft w:val="0"/>
      <w:marRight w:val="0"/>
      <w:marTop w:val="0"/>
      <w:marBottom w:val="0"/>
      <w:divBdr>
        <w:top w:val="none" w:sz="0" w:space="0" w:color="auto"/>
        <w:left w:val="none" w:sz="0" w:space="0" w:color="auto"/>
        <w:bottom w:val="none" w:sz="0" w:space="0" w:color="auto"/>
        <w:right w:val="none" w:sz="0" w:space="0" w:color="auto"/>
      </w:divBdr>
    </w:div>
    <w:div w:id="405736355">
      <w:bodyDiv w:val="1"/>
      <w:marLeft w:val="0"/>
      <w:marRight w:val="0"/>
      <w:marTop w:val="0"/>
      <w:marBottom w:val="0"/>
      <w:divBdr>
        <w:top w:val="none" w:sz="0" w:space="0" w:color="auto"/>
        <w:left w:val="none" w:sz="0" w:space="0" w:color="auto"/>
        <w:bottom w:val="none" w:sz="0" w:space="0" w:color="auto"/>
        <w:right w:val="none" w:sz="0" w:space="0" w:color="auto"/>
      </w:divBdr>
      <w:divsChild>
        <w:div w:id="878512898">
          <w:marLeft w:val="0"/>
          <w:marRight w:val="0"/>
          <w:marTop w:val="0"/>
          <w:marBottom w:val="0"/>
          <w:divBdr>
            <w:top w:val="single" w:sz="2" w:space="0" w:color="auto"/>
            <w:left w:val="single" w:sz="2" w:space="0" w:color="auto"/>
            <w:bottom w:val="single" w:sz="8" w:space="0" w:color="auto"/>
            <w:right w:val="single" w:sz="2" w:space="0" w:color="auto"/>
          </w:divBdr>
          <w:divsChild>
            <w:div w:id="191001446">
              <w:marLeft w:val="0"/>
              <w:marRight w:val="0"/>
              <w:marTop w:val="100"/>
              <w:marBottom w:val="100"/>
              <w:divBdr>
                <w:top w:val="single" w:sz="2" w:space="0" w:color="D9D9E3"/>
                <w:left w:val="single" w:sz="2" w:space="0" w:color="D9D9E3"/>
                <w:bottom w:val="single" w:sz="2" w:space="0" w:color="D9D9E3"/>
                <w:right w:val="single" w:sz="2" w:space="0" w:color="D9D9E3"/>
              </w:divBdr>
              <w:divsChild>
                <w:div w:id="1059354789">
                  <w:marLeft w:val="0"/>
                  <w:marRight w:val="0"/>
                  <w:marTop w:val="0"/>
                  <w:marBottom w:val="0"/>
                  <w:divBdr>
                    <w:top w:val="single" w:sz="2" w:space="0" w:color="D9D9E3"/>
                    <w:left w:val="single" w:sz="2" w:space="0" w:color="D9D9E3"/>
                    <w:bottom w:val="single" w:sz="2" w:space="0" w:color="D9D9E3"/>
                    <w:right w:val="single" w:sz="2" w:space="0" w:color="D9D9E3"/>
                  </w:divBdr>
                  <w:divsChild>
                    <w:div w:id="1082996184">
                      <w:marLeft w:val="0"/>
                      <w:marRight w:val="0"/>
                      <w:marTop w:val="0"/>
                      <w:marBottom w:val="0"/>
                      <w:divBdr>
                        <w:top w:val="single" w:sz="2" w:space="0" w:color="D9D9E3"/>
                        <w:left w:val="single" w:sz="2" w:space="0" w:color="D9D9E3"/>
                        <w:bottom w:val="single" w:sz="2" w:space="0" w:color="D9D9E3"/>
                        <w:right w:val="single" w:sz="2" w:space="0" w:color="D9D9E3"/>
                      </w:divBdr>
                      <w:divsChild>
                        <w:div w:id="769857459">
                          <w:marLeft w:val="0"/>
                          <w:marRight w:val="0"/>
                          <w:marTop w:val="0"/>
                          <w:marBottom w:val="0"/>
                          <w:divBdr>
                            <w:top w:val="single" w:sz="2" w:space="0" w:color="D9D9E3"/>
                            <w:left w:val="single" w:sz="2" w:space="0" w:color="D9D9E3"/>
                            <w:bottom w:val="single" w:sz="2" w:space="0" w:color="D9D9E3"/>
                            <w:right w:val="single" w:sz="2" w:space="0" w:color="D9D9E3"/>
                          </w:divBdr>
                          <w:divsChild>
                            <w:div w:id="21211485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515270692">
      <w:bodyDiv w:val="1"/>
      <w:marLeft w:val="0"/>
      <w:marRight w:val="0"/>
      <w:marTop w:val="0"/>
      <w:marBottom w:val="0"/>
      <w:divBdr>
        <w:top w:val="none" w:sz="0" w:space="0" w:color="auto"/>
        <w:left w:val="none" w:sz="0" w:space="0" w:color="auto"/>
        <w:bottom w:val="none" w:sz="0" w:space="0" w:color="auto"/>
        <w:right w:val="none" w:sz="0" w:space="0" w:color="auto"/>
      </w:divBdr>
    </w:div>
    <w:div w:id="519318652">
      <w:bodyDiv w:val="1"/>
      <w:marLeft w:val="0"/>
      <w:marRight w:val="0"/>
      <w:marTop w:val="0"/>
      <w:marBottom w:val="0"/>
      <w:divBdr>
        <w:top w:val="none" w:sz="0" w:space="0" w:color="auto"/>
        <w:left w:val="none" w:sz="0" w:space="0" w:color="auto"/>
        <w:bottom w:val="none" w:sz="0" w:space="0" w:color="auto"/>
        <w:right w:val="none" w:sz="0" w:space="0" w:color="auto"/>
      </w:divBdr>
    </w:div>
    <w:div w:id="542063492">
      <w:bodyDiv w:val="1"/>
      <w:marLeft w:val="0"/>
      <w:marRight w:val="0"/>
      <w:marTop w:val="0"/>
      <w:marBottom w:val="0"/>
      <w:divBdr>
        <w:top w:val="none" w:sz="0" w:space="0" w:color="auto"/>
        <w:left w:val="none" w:sz="0" w:space="0" w:color="auto"/>
        <w:bottom w:val="none" w:sz="0" w:space="0" w:color="auto"/>
        <w:right w:val="none" w:sz="0" w:space="0" w:color="auto"/>
      </w:divBdr>
    </w:div>
    <w:div w:id="555893948">
      <w:bodyDiv w:val="1"/>
      <w:marLeft w:val="0"/>
      <w:marRight w:val="0"/>
      <w:marTop w:val="0"/>
      <w:marBottom w:val="0"/>
      <w:divBdr>
        <w:top w:val="none" w:sz="0" w:space="0" w:color="auto"/>
        <w:left w:val="none" w:sz="0" w:space="0" w:color="auto"/>
        <w:bottom w:val="none" w:sz="0" w:space="0" w:color="auto"/>
        <w:right w:val="none" w:sz="0" w:space="0" w:color="auto"/>
      </w:divBdr>
      <w:divsChild>
        <w:div w:id="26876045">
          <w:marLeft w:val="360"/>
          <w:marRight w:val="0"/>
          <w:marTop w:val="200"/>
          <w:marBottom w:val="0"/>
          <w:divBdr>
            <w:top w:val="none" w:sz="0" w:space="0" w:color="auto"/>
            <w:left w:val="none" w:sz="0" w:space="0" w:color="auto"/>
            <w:bottom w:val="none" w:sz="0" w:space="0" w:color="auto"/>
            <w:right w:val="none" w:sz="0" w:space="0" w:color="auto"/>
          </w:divBdr>
        </w:div>
        <w:div w:id="1972176544">
          <w:marLeft w:val="360"/>
          <w:marRight w:val="0"/>
          <w:marTop w:val="200"/>
          <w:marBottom w:val="0"/>
          <w:divBdr>
            <w:top w:val="none" w:sz="0" w:space="0" w:color="auto"/>
            <w:left w:val="none" w:sz="0" w:space="0" w:color="auto"/>
            <w:bottom w:val="none" w:sz="0" w:space="0" w:color="auto"/>
            <w:right w:val="none" w:sz="0" w:space="0" w:color="auto"/>
          </w:divBdr>
        </w:div>
      </w:divsChild>
    </w:div>
    <w:div w:id="609550766">
      <w:bodyDiv w:val="1"/>
      <w:marLeft w:val="0"/>
      <w:marRight w:val="0"/>
      <w:marTop w:val="0"/>
      <w:marBottom w:val="0"/>
      <w:divBdr>
        <w:top w:val="none" w:sz="0" w:space="0" w:color="auto"/>
        <w:left w:val="none" w:sz="0" w:space="0" w:color="auto"/>
        <w:bottom w:val="none" w:sz="0" w:space="0" w:color="auto"/>
        <w:right w:val="none" w:sz="0" w:space="0" w:color="auto"/>
      </w:divBdr>
      <w:divsChild>
        <w:div w:id="538124278">
          <w:marLeft w:val="763"/>
          <w:marRight w:val="144"/>
          <w:marTop w:val="100"/>
          <w:marBottom w:val="0"/>
          <w:divBdr>
            <w:top w:val="none" w:sz="0" w:space="0" w:color="auto"/>
            <w:left w:val="none" w:sz="0" w:space="0" w:color="auto"/>
            <w:bottom w:val="none" w:sz="0" w:space="0" w:color="auto"/>
            <w:right w:val="none" w:sz="0" w:space="0" w:color="auto"/>
          </w:divBdr>
        </w:div>
      </w:divsChild>
    </w:div>
    <w:div w:id="650719060">
      <w:bodyDiv w:val="1"/>
      <w:marLeft w:val="0"/>
      <w:marRight w:val="0"/>
      <w:marTop w:val="0"/>
      <w:marBottom w:val="0"/>
      <w:divBdr>
        <w:top w:val="none" w:sz="0" w:space="0" w:color="auto"/>
        <w:left w:val="none" w:sz="0" w:space="0" w:color="auto"/>
        <w:bottom w:val="none" w:sz="0" w:space="0" w:color="auto"/>
        <w:right w:val="none" w:sz="0" w:space="0" w:color="auto"/>
      </w:divBdr>
    </w:div>
    <w:div w:id="696663308">
      <w:bodyDiv w:val="1"/>
      <w:marLeft w:val="0"/>
      <w:marRight w:val="0"/>
      <w:marTop w:val="0"/>
      <w:marBottom w:val="0"/>
      <w:divBdr>
        <w:top w:val="none" w:sz="0" w:space="0" w:color="auto"/>
        <w:left w:val="none" w:sz="0" w:space="0" w:color="auto"/>
        <w:bottom w:val="none" w:sz="0" w:space="0" w:color="auto"/>
        <w:right w:val="none" w:sz="0" w:space="0" w:color="auto"/>
      </w:divBdr>
      <w:divsChild>
        <w:div w:id="1811560118">
          <w:marLeft w:val="0"/>
          <w:marRight w:val="0"/>
          <w:marTop w:val="0"/>
          <w:marBottom w:val="0"/>
          <w:divBdr>
            <w:top w:val="single" w:sz="2" w:space="0" w:color="auto"/>
            <w:left w:val="single" w:sz="2" w:space="0" w:color="auto"/>
            <w:bottom w:val="single" w:sz="6" w:space="0" w:color="auto"/>
            <w:right w:val="single" w:sz="2" w:space="0" w:color="auto"/>
          </w:divBdr>
          <w:divsChild>
            <w:div w:id="1395742422">
              <w:marLeft w:val="0"/>
              <w:marRight w:val="0"/>
              <w:marTop w:val="100"/>
              <w:marBottom w:val="100"/>
              <w:divBdr>
                <w:top w:val="single" w:sz="2" w:space="0" w:color="D9D9E3"/>
                <w:left w:val="single" w:sz="2" w:space="0" w:color="D9D9E3"/>
                <w:bottom w:val="single" w:sz="2" w:space="0" w:color="D9D9E3"/>
                <w:right w:val="single" w:sz="2" w:space="0" w:color="D9D9E3"/>
              </w:divBdr>
              <w:divsChild>
                <w:div w:id="872117342">
                  <w:marLeft w:val="0"/>
                  <w:marRight w:val="0"/>
                  <w:marTop w:val="0"/>
                  <w:marBottom w:val="0"/>
                  <w:divBdr>
                    <w:top w:val="single" w:sz="2" w:space="0" w:color="D9D9E3"/>
                    <w:left w:val="single" w:sz="2" w:space="0" w:color="D9D9E3"/>
                    <w:bottom w:val="single" w:sz="2" w:space="0" w:color="D9D9E3"/>
                    <w:right w:val="single" w:sz="2" w:space="0" w:color="D9D9E3"/>
                  </w:divBdr>
                  <w:divsChild>
                    <w:div w:id="710695093">
                      <w:marLeft w:val="0"/>
                      <w:marRight w:val="0"/>
                      <w:marTop w:val="0"/>
                      <w:marBottom w:val="0"/>
                      <w:divBdr>
                        <w:top w:val="single" w:sz="2" w:space="0" w:color="D9D9E3"/>
                        <w:left w:val="single" w:sz="2" w:space="0" w:color="D9D9E3"/>
                        <w:bottom w:val="single" w:sz="2" w:space="0" w:color="D9D9E3"/>
                        <w:right w:val="single" w:sz="2" w:space="0" w:color="D9D9E3"/>
                      </w:divBdr>
                      <w:divsChild>
                        <w:div w:id="1322734102">
                          <w:marLeft w:val="0"/>
                          <w:marRight w:val="0"/>
                          <w:marTop w:val="0"/>
                          <w:marBottom w:val="0"/>
                          <w:divBdr>
                            <w:top w:val="single" w:sz="2" w:space="0" w:color="D9D9E3"/>
                            <w:left w:val="single" w:sz="2" w:space="0" w:color="D9D9E3"/>
                            <w:bottom w:val="single" w:sz="2" w:space="0" w:color="D9D9E3"/>
                            <w:right w:val="single" w:sz="2" w:space="0" w:color="D9D9E3"/>
                          </w:divBdr>
                          <w:divsChild>
                            <w:div w:id="21012163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07874579">
      <w:bodyDiv w:val="1"/>
      <w:marLeft w:val="0"/>
      <w:marRight w:val="0"/>
      <w:marTop w:val="0"/>
      <w:marBottom w:val="0"/>
      <w:divBdr>
        <w:top w:val="none" w:sz="0" w:space="0" w:color="auto"/>
        <w:left w:val="none" w:sz="0" w:space="0" w:color="auto"/>
        <w:bottom w:val="none" w:sz="0" w:space="0" w:color="auto"/>
        <w:right w:val="none" w:sz="0" w:space="0" w:color="auto"/>
      </w:divBdr>
      <w:divsChild>
        <w:div w:id="986931240">
          <w:marLeft w:val="360"/>
          <w:marRight w:val="0"/>
          <w:marTop w:val="200"/>
          <w:marBottom w:val="0"/>
          <w:divBdr>
            <w:top w:val="none" w:sz="0" w:space="0" w:color="auto"/>
            <w:left w:val="none" w:sz="0" w:space="0" w:color="auto"/>
            <w:bottom w:val="none" w:sz="0" w:space="0" w:color="auto"/>
            <w:right w:val="none" w:sz="0" w:space="0" w:color="auto"/>
          </w:divBdr>
        </w:div>
        <w:div w:id="507259825">
          <w:marLeft w:val="360"/>
          <w:marRight w:val="0"/>
          <w:marTop w:val="200"/>
          <w:marBottom w:val="0"/>
          <w:divBdr>
            <w:top w:val="none" w:sz="0" w:space="0" w:color="auto"/>
            <w:left w:val="none" w:sz="0" w:space="0" w:color="auto"/>
            <w:bottom w:val="none" w:sz="0" w:space="0" w:color="auto"/>
            <w:right w:val="none" w:sz="0" w:space="0" w:color="auto"/>
          </w:divBdr>
        </w:div>
      </w:divsChild>
    </w:div>
    <w:div w:id="801271611">
      <w:bodyDiv w:val="1"/>
      <w:marLeft w:val="0"/>
      <w:marRight w:val="0"/>
      <w:marTop w:val="0"/>
      <w:marBottom w:val="0"/>
      <w:divBdr>
        <w:top w:val="none" w:sz="0" w:space="0" w:color="auto"/>
        <w:left w:val="none" w:sz="0" w:space="0" w:color="auto"/>
        <w:bottom w:val="none" w:sz="0" w:space="0" w:color="auto"/>
        <w:right w:val="none" w:sz="0" w:space="0" w:color="auto"/>
      </w:divBdr>
    </w:div>
    <w:div w:id="822740581">
      <w:bodyDiv w:val="1"/>
      <w:marLeft w:val="0"/>
      <w:marRight w:val="0"/>
      <w:marTop w:val="0"/>
      <w:marBottom w:val="0"/>
      <w:divBdr>
        <w:top w:val="none" w:sz="0" w:space="0" w:color="auto"/>
        <w:left w:val="none" w:sz="0" w:space="0" w:color="auto"/>
        <w:bottom w:val="none" w:sz="0" w:space="0" w:color="auto"/>
        <w:right w:val="none" w:sz="0" w:space="0" w:color="auto"/>
      </w:divBdr>
    </w:div>
    <w:div w:id="884832931">
      <w:bodyDiv w:val="1"/>
      <w:marLeft w:val="0"/>
      <w:marRight w:val="0"/>
      <w:marTop w:val="0"/>
      <w:marBottom w:val="0"/>
      <w:divBdr>
        <w:top w:val="none" w:sz="0" w:space="0" w:color="auto"/>
        <w:left w:val="none" w:sz="0" w:space="0" w:color="auto"/>
        <w:bottom w:val="none" w:sz="0" w:space="0" w:color="auto"/>
        <w:right w:val="none" w:sz="0" w:space="0" w:color="auto"/>
      </w:divBdr>
    </w:div>
    <w:div w:id="886796753">
      <w:bodyDiv w:val="1"/>
      <w:marLeft w:val="0"/>
      <w:marRight w:val="0"/>
      <w:marTop w:val="0"/>
      <w:marBottom w:val="0"/>
      <w:divBdr>
        <w:top w:val="none" w:sz="0" w:space="0" w:color="auto"/>
        <w:left w:val="none" w:sz="0" w:space="0" w:color="auto"/>
        <w:bottom w:val="none" w:sz="0" w:space="0" w:color="auto"/>
        <w:right w:val="none" w:sz="0" w:space="0" w:color="auto"/>
      </w:divBdr>
      <w:divsChild>
        <w:div w:id="167671465">
          <w:marLeft w:val="0"/>
          <w:marRight w:val="0"/>
          <w:marTop w:val="0"/>
          <w:marBottom w:val="0"/>
          <w:divBdr>
            <w:top w:val="single" w:sz="2" w:space="0" w:color="auto"/>
            <w:left w:val="single" w:sz="2" w:space="0" w:color="auto"/>
            <w:bottom w:val="single" w:sz="8" w:space="0" w:color="auto"/>
            <w:right w:val="single" w:sz="2" w:space="0" w:color="auto"/>
          </w:divBdr>
          <w:divsChild>
            <w:div w:id="1343774487">
              <w:marLeft w:val="0"/>
              <w:marRight w:val="0"/>
              <w:marTop w:val="100"/>
              <w:marBottom w:val="100"/>
              <w:divBdr>
                <w:top w:val="single" w:sz="2" w:space="0" w:color="D9D9E3"/>
                <w:left w:val="single" w:sz="2" w:space="0" w:color="D9D9E3"/>
                <w:bottom w:val="single" w:sz="2" w:space="0" w:color="D9D9E3"/>
                <w:right w:val="single" w:sz="2" w:space="0" w:color="D9D9E3"/>
              </w:divBdr>
              <w:divsChild>
                <w:div w:id="1569874326">
                  <w:marLeft w:val="0"/>
                  <w:marRight w:val="0"/>
                  <w:marTop w:val="0"/>
                  <w:marBottom w:val="0"/>
                  <w:divBdr>
                    <w:top w:val="single" w:sz="2" w:space="0" w:color="D9D9E3"/>
                    <w:left w:val="single" w:sz="2" w:space="0" w:color="D9D9E3"/>
                    <w:bottom w:val="single" w:sz="2" w:space="0" w:color="D9D9E3"/>
                    <w:right w:val="single" w:sz="2" w:space="0" w:color="D9D9E3"/>
                  </w:divBdr>
                  <w:divsChild>
                    <w:div w:id="2003460642">
                      <w:marLeft w:val="0"/>
                      <w:marRight w:val="0"/>
                      <w:marTop w:val="0"/>
                      <w:marBottom w:val="0"/>
                      <w:divBdr>
                        <w:top w:val="single" w:sz="2" w:space="0" w:color="D9D9E3"/>
                        <w:left w:val="single" w:sz="2" w:space="0" w:color="D9D9E3"/>
                        <w:bottom w:val="single" w:sz="2" w:space="0" w:color="D9D9E3"/>
                        <w:right w:val="single" w:sz="2" w:space="0" w:color="D9D9E3"/>
                      </w:divBdr>
                      <w:divsChild>
                        <w:div w:id="311180869">
                          <w:marLeft w:val="0"/>
                          <w:marRight w:val="0"/>
                          <w:marTop w:val="0"/>
                          <w:marBottom w:val="0"/>
                          <w:divBdr>
                            <w:top w:val="single" w:sz="2" w:space="0" w:color="D9D9E3"/>
                            <w:left w:val="single" w:sz="2" w:space="0" w:color="D9D9E3"/>
                            <w:bottom w:val="single" w:sz="2" w:space="0" w:color="D9D9E3"/>
                            <w:right w:val="single" w:sz="2" w:space="0" w:color="D9D9E3"/>
                          </w:divBdr>
                          <w:divsChild>
                            <w:div w:id="12899000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51857378">
      <w:bodyDiv w:val="1"/>
      <w:marLeft w:val="0"/>
      <w:marRight w:val="0"/>
      <w:marTop w:val="0"/>
      <w:marBottom w:val="0"/>
      <w:divBdr>
        <w:top w:val="none" w:sz="0" w:space="0" w:color="auto"/>
        <w:left w:val="none" w:sz="0" w:space="0" w:color="auto"/>
        <w:bottom w:val="none" w:sz="0" w:space="0" w:color="auto"/>
        <w:right w:val="none" w:sz="0" w:space="0" w:color="auto"/>
      </w:divBdr>
    </w:div>
    <w:div w:id="978457918">
      <w:bodyDiv w:val="1"/>
      <w:marLeft w:val="0"/>
      <w:marRight w:val="0"/>
      <w:marTop w:val="0"/>
      <w:marBottom w:val="0"/>
      <w:divBdr>
        <w:top w:val="none" w:sz="0" w:space="0" w:color="auto"/>
        <w:left w:val="none" w:sz="0" w:space="0" w:color="auto"/>
        <w:bottom w:val="none" w:sz="0" w:space="0" w:color="auto"/>
        <w:right w:val="none" w:sz="0" w:space="0" w:color="auto"/>
      </w:divBdr>
    </w:div>
    <w:div w:id="1037461887">
      <w:bodyDiv w:val="1"/>
      <w:marLeft w:val="0"/>
      <w:marRight w:val="0"/>
      <w:marTop w:val="0"/>
      <w:marBottom w:val="0"/>
      <w:divBdr>
        <w:top w:val="none" w:sz="0" w:space="0" w:color="auto"/>
        <w:left w:val="none" w:sz="0" w:space="0" w:color="auto"/>
        <w:bottom w:val="none" w:sz="0" w:space="0" w:color="auto"/>
        <w:right w:val="none" w:sz="0" w:space="0" w:color="auto"/>
      </w:divBdr>
    </w:div>
    <w:div w:id="1167944425">
      <w:bodyDiv w:val="1"/>
      <w:marLeft w:val="0"/>
      <w:marRight w:val="0"/>
      <w:marTop w:val="0"/>
      <w:marBottom w:val="0"/>
      <w:divBdr>
        <w:top w:val="none" w:sz="0" w:space="0" w:color="auto"/>
        <w:left w:val="none" w:sz="0" w:space="0" w:color="auto"/>
        <w:bottom w:val="none" w:sz="0" w:space="0" w:color="auto"/>
        <w:right w:val="none" w:sz="0" w:space="0" w:color="auto"/>
      </w:divBdr>
      <w:divsChild>
        <w:div w:id="29501902">
          <w:marLeft w:val="0"/>
          <w:marRight w:val="0"/>
          <w:marTop w:val="0"/>
          <w:marBottom w:val="0"/>
          <w:divBdr>
            <w:top w:val="single" w:sz="2" w:space="0" w:color="auto"/>
            <w:left w:val="single" w:sz="2" w:space="0" w:color="auto"/>
            <w:bottom w:val="single" w:sz="8" w:space="0" w:color="auto"/>
            <w:right w:val="single" w:sz="2" w:space="0" w:color="auto"/>
          </w:divBdr>
          <w:divsChild>
            <w:div w:id="1350715000">
              <w:marLeft w:val="0"/>
              <w:marRight w:val="0"/>
              <w:marTop w:val="100"/>
              <w:marBottom w:val="100"/>
              <w:divBdr>
                <w:top w:val="single" w:sz="2" w:space="0" w:color="D9D9E3"/>
                <w:left w:val="single" w:sz="2" w:space="0" w:color="D9D9E3"/>
                <w:bottom w:val="single" w:sz="2" w:space="0" w:color="D9D9E3"/>
                <w:right w:val="single" w:sz="2" w:space="0" w:color="D9D9E3"/>
              </w:divBdr>
              <w:divsChild>
                <w:div w:id="366568050">
                  <w:marLeft w:val="0"/>
                  <w:marRight w:val="0"/>
                  <w:marTop w:val="0"/>
                  <w:marBottom w:val="0"/>
                  <w:divBdr>
                    <w:top w:val="single" w:sz="2" w:space="0" w:color="D9D9E3"/>
                    <w:left w:val="single" w:sz="2" w:space="0" w:color="D9D9E3"/>
                    <w:bottom w:val="single" w:sz="2" w:space="0" w:color="D9D9E3"/>
                    <w:right w:val="single" w:sz="2" w:space="0" w:color="D9D9E3"/>
                  </w:divBdr>
                  <w:divsChild>
                    <w:div w:id="88430192">
                      <w:marLeft w:val="0"/>
                      <w:marRight w:val="0"/>
                      <w:marTop w:val="0"/>
                      <w:marBottom w:val="0"/>
                      <w:divBdr>
                        <w:top w:val="single" w:sz="2" w:space="0" w:color="D9D9E3"/>
                        <w:left w:val="single" w:sz="2" w:space="0" w:color="D9D9E3"/>
                        <w:bottom w:val="single" w:sz="2" w:space="0" w:color="D9D9E3"/>
                        <w:right w:val="single" w:sz="2" w:space="0" w:color="D9D9E3"/>
                      </w:divBdr>
                      <w:divsChild>
                        <w:div w:id="722800307">
                          <w:marLeft w:val="0"/>
                          <w:marRight w:val="0"/>
                          <w:marTop w:val="0"/>
                          <w:marBottom w:val="0"/>
                          <w:divBdr>
                            <w:top w:val="single" w:sz="2" w:space="0" w:color="D9D9E3"/>
                            <w:left w:val="single" w:sz="2" w:space="0" w:color="D9D9E3"/>
                            <w:bottom w:val="single" w:sz="2" w:space="0" w:color="D9D9E3"/>
                            <w:right w:val="single" w:sz="2" w:space="0" w:color="D9D9E3"/>
                          </w:divBdr>
                          <w:divsChild>
                            <w:div w:id="15671026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80925331">
      <w:bodyDiv w:val="1"/>
      <w:marLeft w:val="0"/>
      <w:marRight w:val="0"/>
      <w:marTop w:val="0"/>
      <w:marBottom w:val="0"/>
      <w:divBdr>
        <w:top w:val="none" w:sz="0" w:space="0" w:color="auto"/>
        <w:left w:val="none" w:sz="0" w:space="0" w:color="auto"/>
        <w:bottom w:val="none" w:sz="0" w:space="0" w:color="auto"/>
        <w:right w:val="none" w:sz="0" w:space="0" w:color="auto"/>
      </w:divBdr>
      <w:divsChild>
        <w:div w:id="1130632802">
          <w:marLeft w:val="763"/>
          <w:marRight w:val="1296"/>
          <w:marTop w:val="240"/>
          <w:marBottom w:val="0"/>
          <w:divBdr>
            <w:top w:val="none" w:sz="0" w:space="0" w:color="auto"/>
            <w:left w:val="none" w:sz="0" w:space="0" w:color="auto"/>
            <w:bottom w:val="none" w:sz="0" w:space="0" w:color="auto"/>
            <w:right w:val="none" w:sz="0" w:space="0" w:color="auto"/>
          </w:divBdr>
        </w:div>
      </w:divsChild>
    </w:div>
    <w:div w:id="1192106936">
      <w:bodyDiv w:val="1"/>
      <w:marLeft w:val="0"/>
      <w:marRight w:val="0"/>
      <w:marTop w:val="0"/>
      <w:marBottom w:val="0"/>
      <w:divBdr>
        <w:top w:val="none" w:sz="0" w:space="0" w:color="auto"/>
        <w:left w:val="none" w:sz="0" w:space="0" w:color="auto"/>
        <w:bottom w:val="none" w:sz="0" w:space="0" w:color="auto"/>
        <w:right w:val="none" w:sz="0" w:space="0" w:color="auto"/>
      </w:divBdr>
    </w:div>
    <w:div w:id="1229925377">
      <w:bodyDiv w:val="1"/>
      <w:marLeft w:val="0"/>
      <w:marRight w:val="0"/>
      <w:marTop w:val="0"/>
      <w:marBottom w:val="0"/>
      <w:divBdr>
        <w:top w:val="none" w:sz="0" w:space="0" w:color="auto"/>
        <w:left w:val="none" w:sz="0" w:space="0" w:color="auto"/>
        <w:bottom w:val="none" w:sz="0" w:space="0" w:color="auto"/>
        <w:right w:val="none" w:sz="0" w:space="0" w:color="auto"/>
      </w:divBdr>
    </w:div>
    <w:div w:id="1323462119">
      <w:bodyDiv w:val="1"/>
      <w:marLeft w:val="0"/>
      <w:marRight w:val="0"/>
      <w:marTop w:val="0"/>
      <w:marBottom w:val="0"/>
      <w:divBdr>
        <w:top w:val="none" w:sz="0" w:space="0" w:color="auto"/>
        <w:left w:val="none" w:sz="0" w:space="0" w:color="auto"/>
        <w:bottom w:val="none" w:sz="0" w:space="0" w:color="auto"/>
        <w:right w:val="none" w:sz="0" w:space="0" w:color="auto"/>
      </w:divBdr>
    </w:div>
    <w:div w:id="1331979529">
      <w:bodyDiv w:val="1"/>
      <w:marLeft w:val="0"/>
      <w:marRight w:val="0"/>
      <w:marTop w:val="0"/>
      <w:marBottom w:val="0"/>
      <w:divBdr>
        <w:top w:val="none" w:sz="0" w:space="0" w:color="auto"/>
        <w:left w:val="none" w:sz="0" w:space="0" w:color="auto"/>
        <w:bottom w:val="none" w:sz="0" w:space="0" w:color="auto"/>
        <w:right w:val="none" w:sz="0" w:space="0" w:color="auto"/>
      </w:divBdr>
      <w:divsChild>
        <w:div w:id="927538453">
          <w:marLeft w:val="0"/>
          <w:marRight w:val="0"/>
          <w:marTop w:val="0"/>
          <w:marBottom w:val="0"/>
          <w:divBdr>
            <w:top w:val="single" w:sz="2" w:space="0" w:color="auto"/>
            <w:left w:val="single" w:sz="2" w:space="0" w:color="auto"/>
            <w:bottom w:val="single" w:sz="6" w:space="0" w:color="auto"/>
            <w:right w:val="single" w:sz="2" w:space="0" w:color="auto"/>
          </w:divBdr>
          <w:divsChild>
            <w:div w:id="1241721734">
              <w:marLeft w:val="0"/>
              <w:marRight w:val="0"/>
              <w:marTop w:val="100"/>
              <w:marBottom w:val="100"/>
              <w:divBdr>
                <w:top w:val="single" w:sz="2" w:space="0" w:color="D9D9E3"/>
                <w:left w:val="single" w:sz="2" w:space="0" w:color="D9D9E3"/>
                <w:bottom w:val="single" w:sz="2" w:space="0" w:color="D9D9E3"/>
                <w:right w:val="single" w:sz="2" w:space="0" w:color="D9D9E3"/>
              </w:divBdr>
              <w:divsChild>
                <w:div w:id="315379549">
                  <w:marLeft w:val="0"/>
                  <w:marRight w:val="0"/>
                  <w:marTop w:val="0"/>
                  <w:marBottom w:val="0"/>
                  <w:divBdr>
                    <w:top w:val="single" w:sz="2" w:space="0" w:color="D9D9E3"/>
                    <w:left w:val="single" w:sz="2" w:space="0" w:color="D9D9E3"/>
                    <w:bottom w:val="single" w:sz="2" w:space="0" w:color="D9D9E3"/>
                    <w:right w:val="single" w:sz="2" w:space="0" w:color="D9D9E3"/>
                  </w:divBdr>
                  <w:divsChild>
                    <w:div w:id="324095295">
                      <w:marLeft w:val="0"/>
                      <w:marRight w:val="0"/>
                      <w:marTop w:val="0"/>
                      <w:marBottom w:val="0"/>
                      <w:divBdr>
                        <w:top w:val="single" w:sz="2" w:space="0" w:color="D9D9E3"/>
                        <w:left w:val="single" w:sz="2" w:space="0" w:color="D9D9E3"/>
                        <w:bottom w:val="single" w:sz="2" w:space="0" w:color="D9D9E3"/>
                        <w:right w:val="single" w:sz="2" w:space="0" w:color="D9D9E3"/>
                      </w:divBdr>
                      <w:divsChild>
                        <w:div w:id="2032759486">
                          <w:marLeft w:val="0"/>
                          <w:marRight w:val="0"/>
                          <w:marTop w:val="0"/>
                          <w:marBottom w:val="0"/>
                          <w:divBdr>
                            <w:top w:val="single" w:sz="2" w:space="0" w:color="D9D9E3"/>
                            <w:left w:val="single" w:sz="2" w:space="0" w:color="D9D9E3"/>
                            <w:bottom w:val="single" w:sz="2" w:space="0" w:color="D9D9E3"/>
                            <w:right w:val="single" w:sz="2" w:space="0" w:color="D9D9E3"/>
                          </w:divBdr>
                          <w:divsChild>
                            <w:div w:id="11061974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96594028">
      <w:bodyDiv w:val="1"/>
      <w:marLeft w:val="0"/>
      <w:marRight w:val="0"/>
      <w:marTop w:val="0"/>
      <w:marBottom w:val="0"/>
      <w:divBdr>
        <w:top w:val="none" w:sz="0" w:space="0" w:color="auto"/>
        <w:left w:val="none" w:sz="0" w:space="0" w:color="auto"/>
        <w:bottom w:val="none" w:sz="0" w:space="0" w:color="auto"/>
        <w:right w:val="none" w:sz="0" w:space="0" w:color="auto"/>
      </w:divBdr>
    </w:div>
    <w:div w:id="1619992351">
      <w:bodyDiv w:val="1"/>
      <w:marLeft w:val="0"/>
      <w:marRight w:val="0"/>
      <w:marTop w:val="0"/>
      <w:marBottom w:val="0"/>
      <w:divBdr>
        <w:top w:val="none" w:sz="0" w:space="0" w:color="auto"/>
        <w:left w:val="none" w:sz="0" w:space="0" w:color="auto"/>
        <w:bottom w:val="none" w:sz="0" w:space="0" w:color="auto"/>
        <w:right w:val="none" w:sz="0" w:space="0" w:color="auto"/>
      </w:divBdr>
    </w:div>
    <w:div w:id="1625576839">
      <w:bodyDiv w:val="1"/>
      <w:marLeft w:val="0"/>
      <w:marRight w:val="0"/>
      <w:marTop w:val="0"/>
      <w:marBottom w:val="0"/>
      <w:divBdr>
        <w:top w:val="none" w:sz="0" w:space="0" w:color="auto"/>
        <w:left w:val="none" w:sz="0" w:space="0" w:color="auto"/>
        <w:bottom w:val="none" w:sz="0" w:space="0" w:color="auto"/>
        <w:right w:val="none" w:sz="0" w:space="0" w:color="auto"/>
      </w:divBdr>
      <w:divsChild>
        <w:div w:id="1787699105">
          <w:marLeft w:val="360"/>
          <w:marRight w:val="0"/>
          <w:marTop w:val="200"/>
          <w:marBottom w:val="0"/>
          <w:divBdr>
            <w:top w:val="none" w:sz="0" w:space="0" w:color="auto"/>
            <w:left w:val="none" w:sz="0" w:space="0" w:color="auto"/>
            <w:bottom w:val="none" w:sz="0" w:space="0" w:color="auto"/>
            <w:right w:val="none" w:sz="0" w:space="0" w:color="auto"/>
          </w:divBdr>
        </w:div>
        <w:div w:id="1301418299">
          <w:marLeft w:val="360"/>
          <w:marRight w:val="0"/>
          <w:marTop w:val="200"/>
          <w:marBottom w:val="0"/>
          <w:divBdr>
            <w:top w:val="none" w:sz="0" w:space="0" w:color="auto"/>
            <w:left w:val="none" w:sz="0" w:space="0" w:color="auto"/>
            <w:bottom w:val="none" w:sz="0" w:space="0" w:color="auto"/>
            <w:right w:val="none" w:sz="0" w:space="0" w:color="auto"/>
          </w:divBdr>
        </w:div>
        <w:div w:id="212814032">
          <w:marLeft w:val="360"/>
          <w:marRight w:val="0"/>
          <w:marTop w:val="200"/>
          <w:marBottom w:val="0"/>
          <w:divBdr>
            <w:top w:val="none" w:sz="0" w:space="0" w:color="auto"/>
            <w:left w:val="none" w:sz="0" w:space="0" w:color="auto"/>
            <w:bottom w:val="none" w:sz="0" w:space="0" w:color="auto"/>
            <w:right w:val="none" w:sz="0" w:space="0" w:color="auto"/>
          </w:divBdr>
        </w:div>
      </w:divsChild>
    </w:div>
    <w:div w:id="1633944663">
      <w:bodyDiv w:val="1"/>
      <w:marLeft w:val="0"/>
      <w:marRight w:val="0"/>
      <w:marTop w:val="0"/>
      <w:marBottom w:val="0"/>
      <w:divBdr>
        <w:top w:val="none" w:sz="0" w:space="0" w:color="auto"/>
        <w:left w:val="none" w:sz="0" w:space="0" w:color="auto"/>
        <w:bottom w:val="none" w:sz="0" w:space="0" w:color="auto"/>
        <w:right w:val="none" w:sz="0" w:space="0" w:color="auto"/>
      </w:divBdr>
    </w:div>
    <w:div w:id="1680307521">
      <w:bodyDiv w:val="1"/>
      <w:marLeft w:val="0"/>
      <w:marRight w:val="0"/>
      <w:marTop w:val="0"/>
      <w:marBottom w:val="0"/>
      <w:divBdr>
        <w:top w:val="none" w:sz="0" w:space="0" w:color="auto"/>
        <w:left w:val="none" w:sz="0" w:space="0" w:color="auto"/>
        <w:bottom w:val="none" w:sz="0" w:space="0" w:color="auto"/>
        <w:right w:val="none" w:sz="0" w:space="0" w:color="auto"/>
      </w:divBdr>
    </w:div>
    <w:div w:id="1711802689">
      <w:bodyDiv w:val="1"/>
      <w:marLeft w:val="0"/>
      <w:marRight w:val="0"/>
      <w:marTop w:val="0"/>
      <w:marBottom w:val="0"/>
      <w:divBdr>
        <w:top w:val="none" w:sz="0" w:space="0" w:color="auto"/>
        <w:left w:val="none" w:sz="0" w:space="0" w:color="auto"/>
        <w:bottom w:val="none" w:sz="0" w:space="0" w:color="auto"/>
        <w:right w:val="none" w:sz="0" w:space="0" w:color="auto"/>
      </w:divBdr>
    </w:div>
    <w:div w:id="1816214079">
      <w:bodyDiv w:val="1"/>
      <w:marLeft w:val="0"/>
      <w:marRight w:val="0"/>
      <w:marTop w:val="0"/>
      <w:marBottom w:val="0"/>
      <w:divBdr>
        <w:top w:val="none" w:sz="0" w:space="0" w:color="auto"/>
        <w:left w:val="none" w:sz="0" w:space="0" w:color="auto"/>
        <w:bottom w:val="none" w:sz="0" w:space="0" w:color="auto"/>
        <w:right w:val="none" w:sz="0" w:space="0" w:color="auto"/>
      </w:divBdr>
    </w:div>
    <w:div w:id="1889804865">
      <w:bodyDiv w:val="1"/>
      <w:marLeft w:val="0"/>
      <w:marRight w:val="0"/>
      <w:marTop w:val="0"/>
      <w:marBottom w:val="0"/>
      <w:divBdr>
        <w:top w:val="none" w:sz="0" w:space="0" w:color="auto"/>
        <w:left w:val="none" w:sz="0" w:space="0" w:color="auto"/>
        <w:bottom w:val="none" w:sz="0" w:space="0" w:color="auto"/>
        <w:right w:val="none" w:sz="0" w:space="0" w:color="auto"/>
      </w:divBdr>
    </w:div>
    <w:div w:id="1909730919">
      <w:bodyDiv w:val="1"/>
      <w:marLeft w:val="0"/>
      <w:marRight w:val="0"/>
      <w:marTop w:val="0"/>
      <w:marBottom w:val="0"/>
      <w:divBdr>
        <w:top w:val="none" w:sz="0" w:space="0" w:color="auto"/>
        <w:left w:val="none" w:sz="0" w:space="0" w:color="auto"/>
        <w:bottom w:val="none" w:sz="0" w:space="0" w:color="auto"/>
        <w:right w:val="none" w:sz="0" w:space="0" w:color="auto"/>
      </w:divBdr>
      <w:divsChild>
        <w:div w:id="431515709">
          <w:marLeft w:val="360"/>
          <w:marRight w:val="0"/>
          <w:marTop w:val="200"/>
          <w:marBottom w:val="0"/>
          <w:divBdr>
            <w:top w:val="none" w:sz="0" w:space="0" w:color="auto"/>
            <w:left w:val="none" w:sz="0" w:space="0" w:color="auto"/>
            <w:bottom w:val="none" w:sz="0" w:space="0" w:color="auto"/>
            <w:right w:val="none" w:sz="0" w:space="0" w:color="auto"/>
          </w:divBdr>
        </w:div>
        <w:div w:id="780496607">
          <w:marLeft w:val="360"/>
          <w:marRight w:val="0"/>
          <w:marTop w:val="200"/>
          <w:marBottom w:val="0"/>
          <w:divBdr>
            <w:top w:val="none" w:sz="0" w:space="0" w:color="auto"/>
            <w:left w:val="none" w:sz="0" w:space="0" w:color="auto"/>
            <w:bottom w:val="none" w:sz="0" w:space="0" w:color="auto"/>
            <w:right w:val="none" w:sz="0" w:space="0" w:color="auto"/>
          </w:divBdr>
        </w:div>
        <w:div w:id="493453154">
          <w:marLeft w:val="360"/>
          <w:marRight w:val="0"/>
          <w:marTop w:val="200"/>
          <w:marBottom w:val="0"/>
          <w:divBdr>
            <w:top w:val="none" w:sz="0" w:space="0" w:color="auto"/>
            <w:left w:val="none" w:sz="0" w:space="0" w:color="auto"/>
            <w:bottom w:val="none" w:sz="0" w:space="0" w:color="auto"/>
            <w:right w:val="none" w:sz="0" w:space="0" w:color="auto"/>
          </w:divBdr>
        </w:div>
      </w:divsChild>
    </w:div>
    <w:div w:id="1981114381">
      <w:bodyDiv w:val="1"/>
      <w:marLeft w:val="0"/>
      <w:marRight w:val="0"/>
      <w:marTop w:val="0"/>
      <w:marBottom w:val="0"/>
      <w:divBdr>
        <w:top w:val="none" w:sz="0" w:space="0" w:color="auto"/>
        <w:left w:val="none" w:sz="0" w:space="0" w:color="auto"/>
        <w:bottom w:val="none" w:sz="0" w:space="0" w:color="auto"/>
        <w:right w:val="none" w:sz="0" w:space="0" w:color="auto"/>
      </w:divBdr>
    </w:div>
    <w:div w:id="1997758317">
      <w:bodyDiv w:val="1"/>
      <w:marLeft w:val="0"/>
      <w:marRight w:val="0"/>
      <w:marTop w:val="0"/>
      <w:marBottom w:val="0"/>
      <w:divBdr>
        <w:top w:val="none" w:sz="0" w:space="0" w:color="auto"/>
        <w:left w:val="none" w:sz="0" w:space="0" w:color="auto"/>
        <w:bottom w:val="none" w:sz="0" w:space="0" w:color="auto"/>
        <w:right w:val="none" w:sz="0" w:space="0" w:color="auto"/>
      </w:divBdr>
    </w:div>
    <w:div w:id="2056856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sau.ru/files/pdf/3312733.pdf" TargetMode="External"/><Relationship Id="rId18" Type="http://schemas.openxmlformats.org/officeDocument/2006/relationships/hyperlink" Target="https://www.hospitalityaction.org.uk/media/tclhf4zs/ha-impact-report-2024.pdf" TargetMode="External"/><Relationship Id="rId26" Type="http://schemas.openxmlformats.org/officeDocument/2006/relationships/hyperlink" Target="https://www.mdpi.com/1660-4601/19/15/9724?utm_source=chatgpt.com" TargetMode="External"/><Relationship Id="rId3" Type="http://schemas.openxmlformats.org/officeDocument/2006/relationships/styles" Target="styles.xml"/><Relationship Id="rId21" Type="http://schemas.openxmlformats.org/officeDocument/2006/relationships/hyperlink" Target="https://zenodo.org/record/6583698/files/8-1-4.pdf"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goodfellowpublishers.com/free_files/Preface,%20contents%20and%20copyright-49fb75618a791b44632d1b317a8d7aa8.pdf" TargetMode="External"/><Relationship Id="rId17" Type="http://schemas.openxmlformats.org/officeDocument/2006/relationships/hyperlink" Target="https://kwpublications.com/papers_submitted/10895/hospitality-employees-mental-health-issues-a-review.pdf" TargetMode="External"/><Relationship Id="rId25" Type="http://schemas.openxmlformats.org/officeDocument/2006/relationships/hyperlink" Target="https://www.researchgate.net/publication/362553343_Impact_of_Work_Stress_and_Job_Burnout_on_Turnover_Intentions_among_Hotel_Employees"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frontiersin.org/articles/10.3389/fpubh.2023.1178847/full" TargetMode="External"/><Relationship Id="rId20" Type="http://schemas.openxmlformats.org/officeDocument/2006/relationships/hyperlink" Target="https://www.atlantis-press.com/article/126017885.pdf" TargetMode="External"/><Relationship Id="rId29" Type="http://schemas.openxmlformats.org/officeDocument/2006/relationships/hyperlink" Target="https://ira.lib.polyu.edu.hk/bitstream/10397/115619/1/Wavei_Understanding_Frontline_Employees.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ublication/371225862_Project_Management_-_A_Value_Creation_Approach" TargetMode="External"/><Relationship Id="rId24" Type="http://schemas.openxmlformats.org/officeDocument/2006/relationships/hyperlink" Target="https://strathprints.strath.ac.uk/90845/7/Saito-etal-IJHM-2024-Well-being-of-hospitality-employees.pdf?utm_source=chatgpt.com"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tourismjournal.net/article/view/145/7-1-44?utm_source=chatgpt.com" TargetMode="External"/><Relationship Id="rId23" Type="http://schemas.openxmlformats.org/officeDocument/2006/relationships/hyperlink" Target="https://doi.org/10.1016/j.ijhm.2023.103516" TargetMode="External"/><Relationship Id="rId28" Type="http://schemas.openxmlformats.org/officeDocument/2006/relationships/hyperlink" Target="https://stream.co/api/media/file/Missing%20Metric%20-%20Hospitality%20Edition%20-%20Final.pdf" TargetMode="External"/><Relationship Id="rId10" Type="http://schemas.openxmlformats.org/officeDocument/2006/relationships/hyperlink" Target="https://www.tandfonline.com/doi/pdf/10.1080/23311975.2024.2317197" TargetMode="External"/><Relationship Id="rId19" Type="http://schemas.openxmlformats.org/officeDocument/2006/relationships/hyperlink" Target="https://www.mdpi.com/1660-4601/19/9/5228/pdf" TargetMode="External"/><Relationship Id="rId31" Type="http://schemas.openxmlformats.org/officeDocument/2006/relationships/hyperlink" Target="https://www.mdpi.com/2071-1050/15/17/13116/pdf" TargetMode="External"/><Relationship Id="rId4" Type="http://schemas.openxmlformats.org/officeDocument/2006/relationships/settings" Target="settings.xml"/><Relationship Id="rId9" Type="http://schemas.openxmlformats.org/officeDocument/2006/relationships/hyperlink" Target="https://www.researchgate.net/profile/Jose-Vargas-Hernandez/publication/318001165_The_FIBRAs_As_a_Tool_for_Investment_Diversification_in_Mexican_Hotel_Sector_The_Case_of_FIBRA_Inn.pdf" TargetMode="External"/><Relationship Id="rId14" Type="http://schemas.openxmlformats.org/officeDocument/2006/relationships/hyperlink" Target="https://papers.ssrn.com/sol3/Delivery.cfm?abstractid=5208074" TargetMode="External"/><Relationship Id="rId22" Type="http://schemas.openxmlformats.org/officeDocument/2006/relationships/hyperlink" Target="https://journals.cinturs.pt/jtsw/article/view/458" TargetMode="External"/><Relationship Id="rId27" Type="http://schemas.openxmlformats.org/officeDocument/2006/relationships/hyperlink" Target="https://www.ncbi.nlm.nih.gov/pmc/articles/PMC11047568/pdf/behavioral-14-00322.pdf" TargetMode="External"/><Relationship Id="rId30" Type="http://schemas.openxmlformats.org/officeDocument/2006/relationships/hyperlink" Target="https://www.mdpi.com/1660-4601/19/18/11222/pdf" TargetMode="External"/><Relationship Id="rId8" Type="http://schemas.openxmlformats.org/officeDocument/2006/relationships/hyperlink" Target="https://www.mdpi.com/2076-328X/13/2/8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E9E790-1759-44CF-AED6-B51A2CB8E9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3615</TotalTime>
  <Pages>17</Pages>
  <Words>4590</Words>
  <Characters>26168</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30697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Fatema Uddin</cp:lastModifiedBy>
  <cp:revision>1536</cp:revision>
  <dcterms:created xsi:type="dcterms:W3CDTF">2023-03-27T00:53:00Z</dcterms:created>
  <dcterms:modified xsi:type="dcterms:W3CDTF">2026-02-08T19:20:00Z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260a3ad41bf19a79378574f5143baedfd0a25f6fe8e42e9d9f2ead71b8dcae88</vt:lpwstr>
  </property>
</Properties>
</file>