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7E29E4" w14:paraId="3F0C9D29" w14:textId="77777777" w:rsidTr="00EA72FC">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D910227" w14:textId="77777777" w:rsidR="007E29E4" w:rsidRDefault="007E29E4" w:rsidP="00EA72FC">
            <w:pPr>
              <w:pStyle w:val="Body"/>
            </w:pPr>
            <w:r>
              <w:rPr>
                <w:rFonts w:ascii="Trebuchet MS" w:hAnsi="Trebuchet MS"/>
                <w:b/>
                <w:bCs/>
                <w:lang w:val="en-US"/>
              </w:rPr>
              <w:t>Please write clearly in block capitals.</w:t>
            </w:r>
            <w:r>
              <w:rPr>
                <w:rFonts w:ascii="Trebuchet MS" w:hAnsi="Trebuchet MS"/>
                <w:lang w:val="en-US"/>
              </w:rPr>
              <w:t xml:space="preserve">  </w:t>
            </w:r>
          </w:p>
        </w:tc>
      </w:tr>
      <w:tr w:rsidR="007E29E4" w14:paraId="4E67DCAC" w14:textId="77777777" w:rsidTr="00EA72FC">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1F605A2" w14:textId="77777777" w:rsidR="007E29E4" w:rsidRDefault="007E29E4" w:rsidP="00EA72FC">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6430C97" w14:textId="77777777" w:rsidR="007E29E4" w:rsidRDefault="007E29E4" w:rsidP="00EA72FC">
            <w:pPr>
              <w:pStyle w:val="Body"/>
            </w:pPr>
            <w:r>
              <w:rPr>
                <w:rFonts w:ascii="Trebuchet MS" w:hAnsi="Trebuchet MS"/>
                <w:lang w:val="en-US"/>
              </w:rPr>
              <w:t>0</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546D68B" w14:textId="77777777" w:rsidR="007E29E4" w:rsidRDefault="007E29E4" w:rsidP="00EA72FC">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9A17C98" w14:textId="77777777" w:rsidR="007E29E4" w:rsidRDefault="007E29E4" w:rsidP="00EA72FC">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335B4D9" w14:textId="77777777" w:rsidR="007E29E4" w:rsidRDefault="007E29E4" w:rsidP="00EA72FC">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9</w:t>
            </w:r>
          </w:p>
        </w:tc>
      </w:tr>
      <w:tr w:rsidR="007E29E4" w14:paraId="6A7F1F52" w14:textId="77777777" w:rsidTr="00EA72FC">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1898549" w14:textId="77777777" w:rsidR="007E29E4" w:rsidRDefault="007E29E4" w:rsidP="00EA72FC">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3CAE9FC" w14:textId="77777777" w:rsidR="007E29E4" w:rsidRDefault="007E29E4" w:rsidP="00EA72FC">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UWTSD</w:t>
            </w:r>
          </w:p>
        </w:tc>
      </w:tr>
      <w:tr w:rsidR="007E29E4" w14:paraId="18D3FC3C" w14:textId="77777777" w:rsidTr="00EA72FC">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9E169AA" w14:textId="77777777" w:rsidR="007E29E4" w:rsidRDefault="007E29E4" w:rsidP="00EA72FC">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79F6AE3" w14:textId="77777777" w:rsidR="007E29E4" w:rsidRDefault="007E29E4" w:rsidP="00EA72FC">
            <w:pPr>
              <w:pStyle w:val="Body"/>
            </w:pPr>
            <w:r>
              <w:rPr>
                <w:rFonts w:ascii="Trebuchet MS" w:hAnsi="Trebuchet MS"/>
                <w:lang w:val="en-US"/>
              </w:rPr>
              <w:t xml:space="preserve"> 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9D44EEC" w14:textId="77777777" w:rsidR="007E29E4" w:rsidRDefault="007E29E4" w:rsidP="00EA72FC">
            <w:pPr>
              <w:pStyle w:val="Body"/>
            </w:pPr>
            <w:r>
              <w:rPr>
                <w:rFonts w:ascii="Trebuchet MS" w:hAnsi="Trebuchet MS"/>
                <w:lang w:val="en-US"/>
              </w:rPr>
              <w:t>9</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0E48002" w14:textId="77777777" w:rsidR="007E29E4" w:rsidRDefault="007E29E4" w:rsidP="00EA72FC">
            <w:r>
              <w:t>2</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90FC97C" w14:textId="77777777" w:rsidR="007E29E4" w:rsidRDefault="007E29E4" w:rsidP="00EA72FC">
            <w:r>
              <w:t>1</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DB15E28" w14:textId="77777777" w:rsidR="007E29E4" w:rsidRDefault="007E29E4" w:rsidP="00EA72FC">
            <w:r>
              <w:t>0</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87602A4" w14:textId="77777777" w:rsidR="007E29E4" w:rsidRDefault="007E29E4" w:rsidP="00EA72FC">
            <w:r>
              <w:t>5</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2502CD0" w14:textId="77777777" w:rsidR="007E29E4" w:rsidRDefault="007E29E4" w:rsidP="00EA72FC">
            <w:r>
              <w:t>5</w:t>
            </w:r>
          </w:p>
        </w:tc>
      </w:tr>
      <w:tr w:rsidR="007E29E4" w14:paraId="0BBD1CA0" w14:textId="77777777" w:rsidTr="00EA72FC">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804704" w14:textId="77777777" w:rsidR="007E29E4" w:rsidRDefault="007E29E4" w:rsidP="00EA72FC">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F31274A" w14:textId="77777777" w:rsidR="007E29E4" w:rsidRDefault="007E29E4" w:rsidP="00EA72FC">
            <w:pPr>
              <w:pStyle w:val="Body"/>
            </w:pPr>
            <w:r>
              <w:rPr>
                <w:rFonts w:ascii="Trebuchet MS" w:hAnsi="Trebuchet MS"/>
                <w:lang w:val="en-US"/>
              </w:rPr>
              <w:t xml:space="preserve"> Warwick</w:t>
            </w:r>
          </w:p>
        </w:tc>
      </w:tr>
      <w:tr w:rsidR="007E29E4" w14:paraId="7B9610B8" w14:textId="77777777" w:rsidTr="00EA72FC">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0FFD853" w14:textId="77777777" w:rsidR="007E29E4" w:rsidRDefault="007E29E4" w:rsidP="00EA72FC">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21ADCD1" w14:textId="77777777" w:rsidR="007E29E4" w:rsidRDefault="007E29E4" w:rsidP="00EA72FC">
            <w:pPr>
              <w:pStyle w:val="Body"/>
            </w:pPr>
            <w:r>
              <w:rPr>
                <w:rFonts w:ascii="Trebuchet MS" w:hAnsi="Trebuchet MS"/>
                <w:lang w:val="en-US"/>
              </w:rPr>
              <w:t xml:space="preserve"> Lindsey </w:t>
            </w:r>
          </w:p>
        </w:tc>
      </w:tr>
      <w:tr w:rsidR="007E29E4" w14:paraId="3F9A080B" w14:textId="77777777" w:rsidTr="00EA72FC">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470C5808" w14:textId="77777777" w:rsidR="007E29E4" w:rsidRDefault="007E29E4" w:rsidP="00EA72FC"/>
        </w:tc>
      </w:tr>
      <w:tr w:rsidR="007E29E4" w14:paraId="566F5440" w14:textId="77777777" w:rsidTr="00EA72FC">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3335F5F" w14:textId="77777777" w:rsidR="007E29E4" w:rsidRDefault="007E29E4" w:rsidP="00EA72FC">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4DE7D07" w14:textId="77777777" w:rsidR="007E29E4" w:rsidRDefault="007E29E4" w:rsidP="00EA72FC">
            <w:pPr>
              <w:pStyle w:val="Body"/>
            </w:pPr>
            <w:r>
              <w:rPr>
                <w:rFonts w:ascii="Trebuchet MS" w:hAnsi="Trebuchet MS"/>
                <w:lang w:val="en-US"/>
              </w:rPr>
              <w:t>5OS01</w:t>
            </w:r>
          </w:p>
        </w:tc>
      </w:tr>
      <w:tr w:rsidR="007E29E4" w14:paraId="5884B5B1" w14:textId="77777777" w:rsidTr="00EA72FC">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8000BDF" w14:textId="77777777" w:rsidR="007E29E4" w:rsidRDefault="007E29E4" w:rsidP="00EA72FC">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4D41DB7" w14:textId="77777777" w:rsidR="007E29E4" w:rsidRDefault="007E29E4" w:rsidP="00EA72FC">
            <w:pPr>
              <w:pStyle w:val="Body"/>
            </w:pPr>
            <w:r>
              <w:rPr>
                <w:rFonts w:ascii="Trebuchet MS" w:hAnsi="Trebuchet MS"/>
                <w:lang w:val="en-US"/>
              </w:rPr>
              <w:t>Specialist employment law</w:t>
            </w:r>
          </w:p>
        </w:tc>
      </w:tr>
      <w:tr w:rsidR="007E29E4" w14:paraId="236032EF" w14:textId="77777777" w:rsidTr="00EA72FC">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63B3AB0" w14:textId="77777777" w:rsidR="007E29E4" w:rsidRDefault="007E29E4" w:rsidP="00EA72FC">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94767A6" w14:textId="77777777" w:rsidR="007E29E4" w:rsidRDefault="007E29E4" w:rsidP="00EA72FC">
            <w:pPr>
              <w:pStyle w:val="Body"/>
            </w:pPr>
            <w:r>
              <w:rPr>
                <w:rFonts w:ascii="Trebuchet MS" w:hAnsi="Trebuchet MS"/>
                <w:lang w:val="en-US"/>
              </w:rPr>
              <w:t>CIPD_5OS01_24_01</w:t>
            </w:r>
          </w:p>
        </w:tc>
      </w:tr>
      <w:tr w:rsidR="007E29E4" w14:paraId="5C6B82A1" w14:textId="77777777" w:rsidTr="00EA72FC">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C8EB651" w14:textId="77777777" w:rsidR="007E29E4" w:rsidRDefault="007E29E4" w:rsidP="00EA72FC">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9F523CE" w14:textId="77777777" w:rsidR="007E29E4" w:rsidRDefault="007E29E4" w:rsidP="00EA72FC">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22nd January 2025</w:t>
            </w:r>
          </w:p>
        </w:tc>
      </w:tr>
      <w:tr w:rsidR="007E29E4" w14:paraId="7D87D547" w14:textId="77777777" w:rsidTr="00EA72FC">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37F50CD" w14:textId="77777777" w:rsidR="007E29E4" w:rsidRDefault="007E29E4" w:rsidP="00EA72FC">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64B9B0B" w14:textId="77777777" w:rsidR="007E29E4" w:rsidRDefault="007E29E4" w:rsidP="00EA72FC">
            <w:r>
              <w:t>01/05/2025</w:t>
            </w:r>
          </w:p>
        </w:tc>
      </w:tr>
      <w:tr w:rsidR="007E29E4" w14:paraId="01706739" w14:textId="77777777" w:rsidTr="00EA72FC">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F0DEE4A" w14:textId="77777777" w:rsidR="007E29E4" w:rsidRDefault="007E29E4" w:rsidP="00EA72FC">
            <w:pPr>
              <w:pStyle w:val="Body"/>
            </w:pPr>
            <w:r>
              <w:rPr>
                <w:rFonts w:ascii="Trebuchet MS" w:hAnsi="Trebuchet MS"/>
                <w:b/>
                <w:bCs/>
                <w:lang w:val="en-US"/>
              </w:rPr>
              <w:t>First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47B837F" w14:textId="77777777" w:rsidR="007E29E4" w:rsidRDefault="007E29E4" w:rsidP="00EA72FC"/>
        </w:tc>
      </w:tr>
      <w:tr w:rsidR="007E29E4" w14:paraId="1C4AB3E5" w14:textId="77777777" w:rsidTr="00EA72FC">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0349F24" w14:textId="77777777" w:rsidR="007E29E4" w:rsidRDefault="007E29E4" w:rsidP="00EA72FC">
            <w:pPr>
              <w:pStyle w:val="Body"/>
            </w:pPr>
            <w:r>
              <w:rPr>
                <w:rFonts w:ascii="Trebuchet MS" w:hAnsi="Trebuchet MS"/>
                <w:b/>
                <w:bCs/>
                <w:lang w:val="en-US"/>
              </w:rPr>
              <w:t>Second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DCA1315" w14:textId="77777777" w:rsidR="007E29E4" w:rsidRDefault="007E29E4" w:rsidP="00EA72FC"/>
        </w:tc>
      </w:tr>
      <w:tr w:rsidR="007E29E4" w14:paraId="4A62033A" w14:textId="77777777" w:rsidTr="00EA72FC">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8E4128F" w14:textId="77777777" w:rsidR="007E29E4" w:rsidRDefault="007E29E4" w:rsidP="00EA72FC">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0A8E4E5" w14:textId="77777777" w:rsidR="007E29E4" w:rsidRDefault="007E29E4" w:rsidP="00EA72FC">
            <w:r>
              <w:t>3674</w:t>
            </w:r>
          </w:p>
        </w:tc>
      </w:tr>
    </w:tbl>
    <w:p w14:paraId="31CB5D53" w14:textId="77777777" w:rsidR="007E29E4" w:rsidRDefault="007E29E4">
      <w:pPr>
        <w:rPr>
          <w:rFonts w:ascii="Calibri" w:eastAsia="Calibri" w:hAnsi="Calibri" w:cs="Calibri"/>
          <w:b/>
          <w:sz w:val="28"/>
          <w:szCs w:val="28"/>
        </w:rPr>
      </w:pPr>
    </w:p>
    <w:p w14:paraId="51EC9EB2" w14:textId="77777777" w:rsidR="007E29E4" w:rsidRDefault="007E29E4">
      <w:pPr>
        <w:rPr>
          <w:rFonts w:ascii="Calibri" w:eastAsia="Calibri" w:hAnsi="Calibri" w:cs="Calibri"/>
          <w:b/>
          <w:sz w:val="28"/>
          <w:szCs w:val="28"/>
        </w:rPr>
      </w:pPr>
    </w:p>
    <w:p w14:paraId="08CB8E79" w14:textId="61C80820" w:rsidR="004032A1" w:rsidRDefault="00FD0A41">
      <w:pPr>
        <w:rPr>
          <w:rFonts w:ascii="Calibri" w:eastAsia="Calibri" w:hAnsi="Calibri" w:cs="Calibri"/>
          <w:b/>
          <w:sz w:val="28"/>
          <w:szCs w:val="28"/>
        </w:rPr>
      </w:pPr>
      <w:r>
        <w:rPr>
          <w:rFonts w:ascii="Calibri" w:eastAsia="Calibri" w:hAnsi="Calibri" w:cs="Calibri"/>
          <w:b/>
          <w:sz w:val="28"/>
          <w:szCs w:val="28"/>
        </w:rPr>
        <w:t>1.1</w:t>
      </w:r>
    </w:p>
    <w:p w14:paraId="04255D93" w14:textId="1AABD311" w:rsidR="004032A1" w:rsidRPr="00DD4F1D" w:rsidRDefault="00FD0A41">
      <w:pPr>
        <w:rPr>
          <w:rFonts w:ascii="Calibri" w:eastAsia="Calibri" w:hAnsi="Calibri" w:cs="Calibri"/>
        </w:rPr>
      </w:pPr>
      <w:r w:rsidRPr="00DD4F1D">
        <w:rPr>
          <w:rFonts w:ascii="Calibri" w:eastAsia="Calibri" w:hAnsi="Calibri" w:cs="Calibri"/>
        </w:rPr>
        <w:t xml:space="preserve">Employment regulations are fundamental in safeguarding the interests of both employees and employers. Although they may seem burdensome at times, these rules are essential in establishing a fair and compliant workplace in which no further problems can arise. (CIPD, 2017). The more initial time invested in understanding and implementing these laws will also in turn decrease the overall time spent dealing with these issues. </w:t>
      </w:r>
    </w:p>
    <w:p w14:paraId="28838AEC" w14:textId="4737CEDC" w:rsidR="004032A1" w:rsidRPr="00DD4F1D" w:rsidRDefault="001E6190">
      <w:pPr>
        <w:rPr>
          <w:rFonts w:ascii="Calibri" w:eastAsia="Calibri" w:hAnsi="Calibri" w:cs="Calibri"/>
        </w:rPr>
      </w:pPr>
      <w:r>
        <w:rPr>
          <w:rFonts w:ascii="Calibri" w:eastAsia="Calibri" w:hAnsi="Calibri" w:cs="Calibri"/>
        </w:rPr>
        <w:t xml:space="preserve">For ease </w:t>
      </w:r>
      <w:r w:rsidR="00A56C94">
        <w:rPr>
          <w:rFonts w:ascii="Calibri" w:eastAsia="Calibri" w:hAnsi="Calibri" w:cs="Calibri"/>
        </w:rPr>
        <w:t xml:space="preserve">and </w:t>
      </w:r>
      <w:r w:rsidR="00D21118">
        <w:rPr>
          <w:rFonts w:ascii="Calibri" w:eastAsia="Calibri" w:hAnsi="Calibri" w:cs="Calibri"/>
        </w:rPr>
        <w:t>clarity,</w:t>
      </w:r>
      <w:r w:rsidR="00A56C94">
        <w:rPr>
          <w:rFonts w:ascii="Calibri" w:eastAsia="Calibri" w:hAnsi="Calibri" w:cs="Calibri"/>
        </w:rPr>
        <w:t xml:space="preserve"> I have broken down t</w:t>
      </w:r>
      <w:r w:rsidR="00FD0A41" w:rsidRPr="00DD4F1D">
        <w:rPr>
          <w:rFonts w:ascii="Calibri" w:eastAsia="Calibri" w:hAnsi="Calibri" w:cs="Calibri"/>
        </w:rPr>
        <w:t xml:space="preserve">he </w:t>
      </w:r>
      <w:r w:rsidR="000D6B33" w:rsidRPr="00DD4F1D">
        <w:rPr>
          <w:rFonts w:ascii="Calibri" w:eastAsia="Calibri" w:hAnsi="Calibri" w:cs="Calibri"/>
        </w:rPr>
        <w:t>goal</w:t>
      </w:r>
      <w:r w:rsidR="00FD0A41" w:rsidRPr="00DD4F1D">
        <w:rPr>
          <w:rFonts w:ascii="Calibri" w:eastAsia="Calibri" w:hAnsi="Calibri" w:cs="Calibri"/>
        </w:rPr>
        <w:t xml:space="preserve"> of employment regulation</w:t>
      </w:r>
      <w:r w:rsidR="002A4D27">
        <w:rPr>
          <w:rFonts w:ascii="Calibri" w:eastAsia="Calibri" w:hAnsi="Calibri" w:cs="Calibri"/>
        </w:rPr>
        <w:t xml:space="preserve"> </w:t>
      </w:r>
      <w:r w:rsidR="00FD0A41" w:rsidRPr="00DD4F1D">
        <w:rPr>
          <w:rFonts w:ascii="Calibri" w:eastAsia="Calibri" w:hAnsi="Calibri" w:cs="Calibri"/>
        </w:rPr>
        <w:t>into the following five categories</w:t>
      </w:r>
      <w:r w:rsidR="002A4D27">
        <w:rPr>
          <w:rFonts w:ascii="Calibri" w:eastAsia="Calibri" w:hAnsi="Calibri" w:cs="Calibri"/>
        </w:rPr>
        <w:t>:</w:t>
      </w:r>
      <w:r w:rsidR="00FD0A41" w:rsidRPr="00DD4F1D">
        <w:rPr>
          <w:rFonts w:ascii="Calibri" w:eastAsia="Calibri" w:hAnsi="Calibri" w:cs="Calibri"/>
        </w:rPr>
        <w:t xml:space="preserve"> </w:t>
      </w:r>
    </w:p>
    <w:p w14:paraId="59755441" w14:textId="3C7FAB64" w:rsidR="004032A1" w:rsidRPr="00DD4F1D" w:rsidRDefault="00FD0A41">
      <w:pPr>
        <w:rPr>
          <w:rFonts w:ascii="Calibri" w:eastAsia="Calibri" w:hAnsi="Calibri" w:cs="Calibri"/>
        </w:rPr>
      </w:pPr>
      <w:r w:rsidRPr="00DD4F1D">
        <w:rPr>
          <w:rFonts w:ascii="Calibri" w:eastAsia="Calibri" w:hAnsi="Calibri" w:cs="Calibri"/>
          <w:b/>
        </w:rPr>
        <w:t>Protecting Employee Rights:</w:t>
      </w:r>
      <w:r w:rsidRPr="00DD4F1D">
        <w:rPr>
          <w:rFonts w:ascii="Calibri" w:eastAsia="Calibri" w:hAnsi="Calibri" w:cs="Calibri"/>
        </w:rPr>
        <w:t xml:space="preserve"> Employees must be treated fairly. </w:t>
      </w:r>
      <w:r w:rsidR="000D6B33" w:rsidRPr="00DD4F1D">
        <w:rPr>
          <w:rFonts w:ascii="Calibri" w:eastAsia="Calibri" w:hAnsi="Calibri" w:cs="Calibri"/>
        </w:rPr>
        <w:t>For</w:t>
      </w:r>
      <w:r w:rsidRPr="00DD4F1D">
        <w:rPr>
          <w:rFonts w:ascii="Calibri" w:eastAsia="Calibri" w:hAnsi="Calibri" w:cs="Calibri"/>
        </w:rPr>
        <w:t xml:space="preserve"> us to ensure this is the case and feel empowered and confident in grasping our responsibilities as people </w:t>
      </w:r>
      <w:r w:rsidRPr="00DD4F1D">
        <w:rPr>
          <w:rFonts w:ascii="Calibri" w:eastAsia="Calibri" w:hAnsi="Calibri" w:cs="Calibri"/>
        </w:rPr>
        <w:lastRenderedPageBreak/>
        <w:t>professionals, we must first be able to recogni</w:t>
      </w:r>
      <w:r w:rsidR="00D74495" w:rsidRPr="00DD4F1D">
        <w:rPr>
          <w:rFonts w:ascii="Calibri" w:eastAsia="Calibri" w:hAnsi="Calibri" w:cs="Calibri"/>
        </w:rPr>
        <w:t>s</w:t>
      </w:r>
      <w:r w:rsidRPr="00DD4F1D">
        <w:rPr>
          <w:rFonts w:ascii="Calibri" w:eastAsia="Calibri" w:hAnsi="Calibri" w:cs="Calibri"/>
        </w:rPr>
        <w:t>e and then execute any steps necessary to combat any workplace injustice. For full understanding, some examples may include, exploitation, unfair pay, harassment, working hours, health and safety, and anti-discrimination</w:t>
      </w:r>
      <w:r w:rsidR="003C31DE" w:rsidRPr="00DD4F1D">
        <w:rPr>
          <w:rFonts w:ascii="Calibri" w:eastAsia="Calibri" w:hAnsi="Calibri" w:cs="Calibri"/>
        </w:rPr>
        <w:t xml:space="preserve"> </w:t>
      </w:r>
      <w:r w:rsidR="005B07E7" w:rsidRPr="00DD4F1D">
        <w:rPr>
          <w:rFonts w:ascii="Calibri" w:hAnsi="Calibri" w:cs="Calibri"/>
          <w:shd w:val="clear" w:color="auto" w:fill="FFFFFF"/>
        </w:rPr>
        <w:t>(Okechukwu et al., 2019</w:t>
      </w:r>
      <w:r w:rsidR="005B07E7" w:rsidRPr="00DD4F1D">
        <w:rPr>
          <w:rFonts w:ascii="Roboto" w:hAnsi="Roboto"/>
          <w:sz w:val="23"/>
          <w:szCs w:val="23"/>
          <w:shd w:val="clear" w:color="auto" w:fill="FFFFFF"/>
        </w:rPr>
        <w:t>)</w:t>
      </w:r>
      <w:r w:rsidR="00355783" w:rsidRPr="00DD4F1D">
        <w:rPr>
          <w:rFonts w:ascii="Roboto" w:hAnsi="Roboto"/>
          <w:sz w:val="23"/>
          <w:szCs w:val="23"/>
          <w:shd w:val="clear" w:color="auto" w:fill="FFFFFF"/>
        </w:rPr>
        <w:t>.</w:t>
      </w:r>
      <w:r w:rsidR="005B07E7" w:rsidRPr="00DD4F1D">
        <w:rPr>
          <w:rFonts w:ascii="Roboto" w:hAnsi="Roboto"/>
          <w:sz w:val="23"/>
          <w:szCs w:val="23"/>
          <w:shd w:val="clear" w:color="auto" w:fill="FFFFFF"/>
        </w:rPr>
        <w:t xml:space="preserve"> </w:t>
      </w:r>
      <w:r w:rsidRPr="00DD4F1D">
        <w:rPr>
          <w:rFonts w:ascii="Calibri" w:eastAsia="Calibri" w:hAnsi="Calibri" w:cs="Calibri"/>
          <w:highlight w:val="white"/>
        </w:rPr>
        <w:t xml:space="preserve">It is our duty to </w:t>
      </w:r>
      <w:r w:rsidRPr="00DD4F1D">
        <w:rPr>
          <w:rFonts w:ascii="Calibri" w:eastAsia="Calibri" w:hAnsi="Calibri" w:cs="Calibri"/>
        </w:rPr>
        <w:t xml:space="preserve">ensure that individuals’ rights are safeguarded and foster a fairer workplace </w:t>
      </w:r>
      <w:r w:rsidRPr="00DD4F1D">
        <w:rPr>
          <w:rFonts w:ascii="Calibri" w:eastAsia="Calibri" w:hAnsi="Calibri" w:cs="Calibri"/>
          <w:highlight w:val="white"/>
        </w:rPr>
        <w:t>(Cheary, 2017).</w:t>
      </w:r>
    </w:p>
    <w:p w14:paraId="052E1743" w14:textId="5FFCCBF2" w:rsidR="004032A1" w:rsidRPr="00DD4F1D" w:rsidRDefault="00FD0A41">
      <w:pPr>
        <w:rPr>
          <w:rFonts w:ascii="Calibri" w:eastAsia="Calibri" w:hAnsi="Calibri" w:cs="Calibri"/>
          <w:highlight w:val="white"/>
        </w:rPr>
      </w:pPr>
      <w:r w:rsidRPr="00DD4F1D">
        <w:rPr>
          <w:rFonts w:ascii="Calibri" w:eastAsia="Calibri" w:hAnsi="Calibri" w:cs="Calibri"/>
          <w:b/>
        </w:rPr>
        <w:t>Promoting Fairness and Equality in the Workplace:</w:t>
      </w:r>
      <w:r w:rsidRPr="00DD4F1D">
        <w:rPr>
          <w:rFonts w:ascii="Calibri" w:eastAsia="Calibri" w:hAnsi="Calibri" w:cs="Calibri"/>
        </w:rPr>
        <w:t xml:space="preserve"> Regulations work to prevent discrimination based on characteristics such as age, gender, race, and disability, among others. By enforcing equal opportunity, they help cultivate a more inclusive, diverse, and respectful workplace culture </w:t>
      </w:r>
      <w:r w:rsidRPr="00DD4F1D">
        <w:rPr>
          <w:rFonts w:ascii="Calibri" w:eastAsia="Calibri" w:hAnsi="Calibri" w:cs="Calibri"/>
          <w:highlight w:val="white"/>
        </w:rPr>
        <w:t>(GOV.UK, 1996). An interesting article b</w:t>
      </w:r>
      <w:r w:rsidRPr="00DD4F1D">
        <w:rPr>
          <w:rFonts w:ascii="Calibri" w:eastAsia="Calibri" w:hAnsi="Calibri" w:cs="Calibri"/>
        </w:rPr>
        <w:t xml:space="preserve">y </w:t>
      </w:r>
      <w:r w:rsidR="00C85EA2" w:rsidRPr="00DD4F1D">
        <w:rPr>
          <w:rFonts w:ascii="Roboto" w:hAnsi="Roboto"/>
          <w:sz w:val="23"/>
          <w:szCs w:val="23"/>
          <w:shd w:val="clear" w:color="auto" w:fill="FFFFFF"/>
        </w:rPr>
        <w:t xml:space="preserve">(Harrisr and Foster, 2010) </w:t>
      </w:r>
      <w:r w:rsidRPr="00DD4F1D">
        <w:rPr>
          <w:rFonts w:ascii="Calibri" w:eastAsia="Calibri" w:hAnsi="Calibri" w:cs="Calibri"/>
          <w:highlight w:val="white"/>
        </w:rPr>
        <w:t xml:space="preserve">champions the fact that we professionals must keep our knowledge up to date </w:t>
      </w:r>
      <w:r w:rsidR="008C2213" w:rsidRPr="00DD4F1D">
        <w:rPr>
          <w:rFonts w:ascii="Calibri" w:eastAsia="Calibri" w:hAnsi="Calibri" w:cs="Calibri"/>
          <w:highlight w:val="white"/>
        </w:rPr>
        <w:t>to</w:t>
      </w:r>
      <w:r w:rsidRPr="00DD4F1D">
        <w:rPr>
          <w:rFonts w:ascii="Calibri" w:eastAsia="Calibri" w:hAnsi="Calibri" w:cs="Calibri"/>
          <w:highlight w:val="white"/>
        </w:rPr>
        <w:t xml:space="preserve"> ensure management does not run away with ideals that are not aligned with these laws. </w:t>
      </w:r>
    </w:p>
    <w:p w14:paraId="543F0A0E" w14:textId="77777777" w:rsidR="004032A1" w:rsidRPr="00DD4F1D" w:rsidRDefault="00FD0A41">
      <w:pPr>
        <w:rPr>
          <w:rFonts w:ascii="Calibri" w:eastAsia="Calibri" w:hAnsi="Calibri" w:cs="Calibri"/>
        </w:rPr>
      </w:pPr>
      <w:r w:rsidRPr="00DD4F1D">
        <w:rPr>
          <w:rFonts w:ascii="Calibri" w:eastAsia="Calibri" w:hAnsi="Calibri" w:cs="Calibri"/>
          <w:b/>
        </w:rPr>
        <w:t>Helping Employers Meet Compliance and Mitigate Risks:</w:t>
      </w:r>
      <w:r w:rsidRPr="00DD4F1D">
        <w:rPr>
          <w:rFonts w:ascii="Calibri" w:eastAsia="Calibri" w:hAnsi="Calibri" w:cs="Calibri"/>
        </w:rPr>
        <w:t xml:space="preserve"> Though regulations may seem overwhelming, they provide employers with clear frameworks to follow, reducing the risk of legal challenges, fines, or penalties. By adhering to these rules, employers can protect themselves from costly lawsuits, preserve their reputation, and contribute to a more positive workplace environment </w:t>
      </w:r>
      <w:r w:rsidRPr="00DD4F1D">
        <w:rPr>
          <w:rFonts w:ascii="Calibri" w:eastAsia="Calibri" w:hAnsi="Calibri" w:cs="Calibri"/>
          <w:highlight w:val="white"/>
        </w:rPr>
        <w:t>(HR Future, 2024). Additionally trade unions would be ineffective without such legal backing.</w:t>
      </w:r>
    </w:p>
    <w:p w14:paraId="11719514" w14:textId="1E4F69EE" w:rsidR="004032A1" w:rsidRPr="00B2354A" w:rsidRDefault="00FD0A41">
      <w:pPr>
        <w:rPr>
          <w:rFonts w:ascii="Calibri" w:eastAsia="Calibri" w:hAnsi="Calibri" w:cs="Calibri"/>
        </w:rPr>
      </w:pPr>
      <w:r w:rsidRPr="00DD4F1D">
        <w:rPr>
          <w:rFonts w:ascii="Calibri" w:eastAsia="Calibri" w:hAnsi="Calibri" w:cs="Calibri"/>
          <w:b/>
        </w:rPr>
        <w:t>Building Trust and Enhancing Reputation:</w:t>
      </w:r>
      <w:r w:rsidRPr="00DD4F1D">
        <w:rPr>
          <w:rFonts w:ascii="Calibri" w:eastAsia="Calibri" w:hAnsi="Calibri" w:cs="Calibri"/>
        </w:rPr>
        <w:t xml:space="preserve"> When employees feel confident that their rights are safeguarded by law, it strengthens trust in the organisation. A commitment to fair treatment and legal compliance can boost employee engagement, retention, and attract high-quality talent</w:t>
      </w:r>
      <w:r w:rsidR="00B2354A">
        <w:rPr>
          <w:rFonts w:ascii="Calibri" w:eastAsia="Calibri" w:hAnsi="Calibri" w:cs="Calibri"/>
        </w:rPr>
        <w:t xml:space="preserve"> </w:t>
      </w:r>
      <w:r w:rsidR="00B2354A" w:rsidRPr="00B2354A">
        <w:rPr>
          <w:rFonts w:ascii="Calibri" w:hAnsi="Calibri" w:cs="Calibri"/>
          <w:color w:val="2C3E50"/>
          <w:shd w:val="clear" w:color="auto" w:fill="FFFFFF"/>
        </w:rPr>
        <w:t>(AllBusiness, 2024)</w:t>
      </w:r>
      <w:r w:rsidR="00D66F64">
        <w:rPr>
          <w:rFonts w:ascii="Calibri" w:hAnsi="Calibri" w:cs="Calibri"/>
          <w:color w:val="2C3E50"/>
          <w:shd w:val="clear" w:color="auto" w:fill="FFFFFF"/>
        </w:rPr>
        <w:t>.</w:t>
      </w:r>
    </w:p>
    <w:p w14:paraId="4D70D983" w14:textId="77777777" w:rsidR="004032A1" w:rsidRPr="00DD4F1D" w:rsidRDefault="00FD0A41">
      <w:pPr>
        <w:rPr>
          <w:rFonts w:ascii="Calibri" w:eastAsia="Calibri" w:hAnsi="Calibri" w:cs="Calibri"/>
        </w:rPr>
      </w:pPr>
      <w:r w:rsidRPr="00DD4F1D">
        <w:rPr>
          <w:rFonts w:ascii="Calibri" w:eastAsia="Calibri" w:hAnsi="Calibri" w:cs="Calibri"/>
          <w:b/>
        </w:rPr>
        <w:t>Creating a Safe and Productive Work Environment:</w:t>
      </w:r>
      <w:r w:rsidRPr="00DD4F1D">
        <w:rPr>
          <w:rFonts w:ascii="Calibri" w:eastAsia="Calibri" w:hAnsi="Calibri" w:cs="Calibri"/>
        </w:rPr>
        <w:t xml:space="preserve"> Employment law also addresses workplace safety, ensuring that employees operate in safe and healthy conditions. This focus on well-being reduces legal risks and promotes productivity, morale, and overall job satisfaction </w:t>
      </w:r>
      <w:r w:rsidRPr="00DD4F1D">
        <w:rPr>
          <w:rFonts w:ascii="Calibri" w:eastAsia="Calibri" w:hAnsi="Calibri" w:cs="Calibri"/>
          <w:highlight w:val="white"/>
        </w:rPr>
        <w:t>(Health and Safety Executive, 2024).</w:t>
      </w:r>
    </w:p>
    <w:p w14:paraId="7D5547BC" w14:textId="7E16C40B" w:rsidR="004032A1" w:rsidRPr="00DD4F1D" w:rsidRDefault="00FD0A41">
      <w:pPr>
        <w:rPr>
          <w:rFonts w:ascii="Calibri" w:eastAsia="Calibri" w:hAnsi="Calibri" w:cs="Calibri"/>
          <w:highlight w:val="white"/>
        </w:rPr>
      </w:pPr>
      <w:r w:rsidRPr="00DD4F1D">
        <w:rPr>
          <w:rFonts w:ascii="Calibri" w:eastAsia="Calibri" w:hAnsi="Calibri" w:cs="Calibri"/>
        </w:rPr>
        <w:t xml:space="preserve">While I completely understand that dealing with these regulations can be time-consuming, they play a vital role in fostering an ethical, fair, and legally sound workplace. As our role is considered the stability pillar within an organisation, for both employee and employer, we must be up to date and confident with exercising employment regulation </w:t>
      </w:r>
      <w:r w:rsidR="00435D67" w:rsidRPr="00DD4F1D">
        <w:rPr>
          <w:rFonts w:ascii="Calibri" w:eastAsia="Calibri" w:hAnsi="Calibri" w:cs="Calibri"/>
        </w:rPr>
        <w:t>to</w:t>
      </w:r>
      <w:r w:rsidRPr="00DD4F1D">
        <w:rPr>
          <w:rFonts w:ascii="Calibri" w:eastAsia="Calibri" w:hAnsi="Calibri" w:cs="Calibri"/>
        </w:rPr>
        <w:t xml:space="preserve"> ensure the workplace is running optimally. Once these regulatory requirements are in place, it will provide you with more space to focus on enhancing the employee experience and cultivating a positive workplace culture</w:t>
      </w:r>
      <w:r w:rsidR="000F20B6">
        <w:rPr>
          <w:rFonts w:ascii="Calibri" w:eastAsia="Calibri" w:hAnsi="Calibri" w:cs="Calibri"/>
        </w:rPr>
        <w:t xml:space="preserve"> </w:t>
      </w:r>
      <w:r w:rsidRPr="00DD4F1D">
        <w:rPr>
          <w:rFonts w:ascii="Calibri" w:eastAsia="Calibri" w:hAnsi="Calibri" w:cs="Calibri"/>
          <w:highlight w:val="white"/>
        </w:rPr>
        <w:t>(CIPD, 2023)</w:t>
      </w:r>
      <w:r w:rsidR="000F20B6">
        <w:rPr>
          <w:rFonts w:ascii="Calibri" w:eastAsia="Calibri" w:hAnsi="Calibri" w:cs="Calibri"/>
          <w:highlight w:val="white"/>
        </w:rPr>
        <w:t>.</w:t>
      </w:r>
    </w:p>
    <w:p w14:paraId="4BADECA2" w14:textId="77777777" w:rsidR="004032A1" w:rsidRPr="00DD4F1D" w:rsidRDefault="00FD0A41">
      <w:pPr>
        <w:rPr>
          <w:rFonts w:ascii="Calibri" w:eastAsia="Calibri" w:hAnsi="Calibri" w:cs="Calibri"/>
          <w:b/>
          <w:sz w:val="28"/>
          <w:szCs w:val="28"/>
        </w:rPr>
      </w:pPr>
      <w:r w:rsidRPr="00DD4F1D">
        <w:rPr>
          <w:rFonts w:ascii="Calibri" w:eastAsia="Calibri" w:hAnsi="Calibri" w:cs="Calibri"/>
          <w:b/>
          <w:sz w:val="28"/>
          <w:szCs w:val="28"/>
        </w:rPr>
        <w:t xml:space="preserve">1.2 </w:t>
      </w:r>
    </w:p>
    <w:p w14:paraId="63C925F8" w14:textId="0000ADDC" w:rsidR="004032A1" w:rsidRPr="00DD4F1D" w:rsidRDefault="00FD0A41">
      <w:pPr>
        <w:rPr>
          <w:rFonts w:ascii="Calibri" w:eastAsia="Calibri" w:hAnsi="Calibri" w:cs="Calibri"/>
        </w:rPr>
      </w:pPr>
      <w:r w:rsidRPr="00DD4F1D">
        <w:rPr>
          <w:rFonts w:ascii="Calibri" w:eastAsia="Calibri" w:hAnsi="Calibri" w:cs="Calibri"/>
        </w:rPr>
        <w:t>By way of illustration</w:t>
      </w:r>
      <w:r w:rsidR="00165332" w:rsidRPr="00DD4F1D">
        <w:rPr>
          <w:rFonts w:ascii="Calibri" w:eastAsia="Calibri" w:hAnsi="Calibri" w:cs="Calibri"/>
        </w:rPr>
        <w:t>, f</w:t>
      </w:r>
      <w:r w:rsidRPr="00DD4F1D">
        <w:rPr>
          <w:rFonts w:ascii="Calibri" w:eastAsia="Calibri" w:hAnsi="Calibri" w:cs="Calibri"/>
        </w:rPr>
        <w:t xml:space="preserve">ollowing the UK's exit from the European Union (EU) with the end of the transition period taking effect before 1st January 2021, the legal status of European Court of Justice (ECJ) rulings made before the end of this transition period have undergone significant changes </w:t>
      </w:r>
      <w:r w:rsidRPr="00DD4F1D">
        <w:rPr>
          <w:rFonts w:ascii="Calibri" w:eastAsia="Calibri" w:hAnsi="Calibri" w:cs="Calibri"/>
          <w:highlight w:val="white"/>
        </w:rPr>
        <w:t>(Mars, 2020)</w:t>
      </w:r>
      <w:r w:rsidR="001F3B0B" w:rsidRPr="00DD4F1D">
        <w:rPr>
          <w:rFonts w:ascii="Calibri" w:eastAsia="Calibri" w:hAnsi="Calibri" w:cs="Calibri"/>
        </w:rPr>
        <w:t>.</w:t>
      </w:r>
      <w:r w:rsidR="00684747">
        <w:rPr>
          <w:rFonts w:ascii="Calibri" w:eastAsia="Calibri" w:hAnsi="Calibri" w:cs="Calibri"/>
        </w:rPr>
        <w:t xml:space="preserve"> To answer some of your questions:</w:t>
      </w:r>
    </w:p>
    <w:p w14:paraId="36C2777B" w14:textId="6C334F8C" w:rsidR="004032A1" w:rsidRPr="00DD4F1D" w:rsidRDefault="00FD0A41">
      <w:pPr>
        <w:rPr>
          <w:rFonts w:ascii="Calibri" w:eastAsia="Calibri" w:hAnsi="Calibri" w:cs="Calibri"/>
          <w:highlight w:val="yellow"/>
        </w:rPr>
      </w:pPr>
      <w:r w:rsidRPr="00DD4F1D">
        <w:rPr>
          <w:rFonts w:ascii="Calibri" w:eastAsia="Calibri" w:hAnsi="Calibri" w:cs="Calibri"/>
          <w:b/>
        </w:rPr>
        <w:lastRenderedPageBreak/>
        <w:t>Do ECJ rulings before Brexit still hold legal validity?</w:t>
      </w:r>
      <w:r w:rsidRPr="00DD4F1D">
        <w:rPr>
          <w:rFonts w:ascii="Calibri" w:eastAsia="Calibri" w:hAnsi="Calibri" w:cs="Calibri"/>
        </w:rPr>
        <w:t xml:space="preserve"> Yes, judgments issued by the ECJ prior to the UK's departure continue to form part of UK law, but their application and authority have evolved. According to the EU (Withdrawal) Act 2018, EU law was incorporated into UK domestic law to ensure legal continuity following Brexit. This means that earlier ECJ decisions remain relevant and are referred to as "retained EU case law," though their application is now subject to specific conditions</w:t>
      </w:r>
      <w:r w:rsidR="00761259" w:rsidRPr="00DD4F1D">
        <w:rPr>
          <w:rFonts w:ascii="Calibri" w:eastAsia="Calibri" w:hAnsi="Calibri" w:cs="Calibri"/>
        </w:rPr>
        <w:t xml:space="preserve"> </w:t>
      </w:r>
      <w:r w:rsidR="00761259" w:rsidRPr="00DD4F1D">
        <w:rPr>
          <w:rFonts w:ascii="Calibri" w:hAnsi="Calibri" w:cs="Calibri"/>
          <w:shd w:val="clear" w:color="auto" w:fill="FFFFFF"/>
        </w:rPr>
        <w:t>(Thorneloe, 2024).</w:t>
      </w:r>
    </w:p>
    <w:p w14:paraId="5D6E8219" w14:textId="77777777" w:rsidR="004032A1" w:rsidRPr="00DD4F1D" w:rsidRDefault="00FD0A41">
      <w:pPr>
        <w:rPr>
          <w:rFonts w:ascii="Calibri" w:eastAsia="Calibri" w:hAnsi="Calibri" w:cs="Calibri"/>
        </w:rPr>
      </w:pPr>
      <w:r w:rsidRPr="00DD4F1D">
        <w:rPr>
          <w:rFonts w:ascii="Calibri" w:eastAsia="Calibri" w:hAnsi="Calibri" w:cs="Calibri"/>
          <w:b/>
        </w:rPr>
        <w:t>Are these rulings still mandatory for UK courts?</w:t>
      </w:r>
      <w:r w:rsidRPr="00DD4F1D">
        <w:rPr>
          <w:rFonts w:ascii="Calibri" w:eastAsia="Calibri" w:hAnsi="Calibri" w:cs="Calibri"/>
        </w:rPr>
        <w:t xml:space="preserve"> No, ECJ decisions are no longer obligatory for UK courts following Brexit. However, UK courts are still required to "take into account" ECJ rulings when interpreting retained EU law. This means that while UK courts are not bound to follow ECJ decisions, they may find them persuasive. The UK Supreme Court has the discretion to depart from ECJ case law if it deems it outdated or no longer applicable in the context of UK law post-Brexit </w:t>
      </w:r>
      <w:r w:rsidRPr="00DD4F1D">
        <w:rPr>
          <w:rFonts w:ascii="Calibri" w:eastAsia="Calibri" w:hAnsi="Calibri" w:cs="Calibri"/>
          <w:highlight w:val="white"/>
        </w:rPr>
        <w:t>(Courts and Tribunals Judiciary, 2023).</w:t>
      </w:r>
    </w:p>
    <w:p w14:paraId="7381DFCE" w14:textId="77777777" w:rsidR="004032A1" w:rsidRPr="00DD4F1D" w:rsidRDefault="00FD0A41">
      <w:pPr>
        <w:rPr>
          <w:rFonts w:ascii="Calibri" w:eastAsia="Calibri" w:hAnsi="Calibri" w:cs="Calibri"/>
        </w:rPr>
      </w:pPr>
      <w:r w:rsidRPr="00DD4F1D">
        <w:rPr>
          <w:rFonts w:ascii="Calibri" w:eastAsia="Calibri" w:hAnsi="Calibri" w:cs="Calibri"/>
          <w:b/>
        </w:rPr>
        <w:t>Is it possible for UK courts to disregard ECJ rulings?</w:t>
      </w:r>
      <w:r w:rsidRPr="00DD4F1D">
        <w:rPr>
          <w:rFonts w:ascii="Calibri" w:eastAsia="Calibri" w:hAnsi="Calibri" w:cs="Calibri"/>
        </w:rPr>
        <w:t xml:space="preserve"> Yes, UK courts have the authority to depart from or ignore previous ECJ judgments when interpreting retained EU law. However, this power is exercised with caution, especially when the ECJ's decisions are still pertinent to the principles of EU law retained in UK statutes. Courts will assess whether following the ECJ's interpretation aligns with the UK's legal and constitutional framework post-Brexit </w:t>
      </w:r>
      <w:r w:rsidRPr="00DD4F1D">
        <w:rPr>
          <w:rFonts w:ascii="Calibri" w:eastAsia="Calibri" w:hAnsi="Calibri" w:cs="Calibri"/>
          <w:highlight w:val="white"/>
        </w:rPr>
        <w:t>(The Law Society, 2023).</w:t>
      </w:r>
    </w:p>
    <w:p w14:paraId="5873E329" w14:textId="77777777" w:rsidR="004032A1" w:rsidRPr="00DD4F1D" w:rsidRDefault="00FD0A41">
      <w:pPr>
        <w:rPr>
          <w:rFonts w:ascii="Calibri" w:eastAsia="Calibri" w:hAnsi="Calibri" w:cs="Calibri"/>
        </w:rPr>
      </w:pPr>
      <w:r w:rsidRPr="00DD4F1D">
        <w:rPr>
          <w:rFonts w:ascii="Calibri" w:eastAsia="Calibri" w:hAnsi="Calibri" w:cs="Calibri"/>
        </w:rPr>
        <w:t xml:space="preserve">A notable example of this in action is the 2020 case </w:t>
      </w:r>
      <w:r w:rsidRPr="00DD4F1D">
        <w:rPr>
          <w:rFonts w:ascii="Calibri" w:eastAsia="Calibri" w:hAnsi="Calibri" w:cs="Calibri"/>
          <w:i/>
        </w:rPr>
        <w:t>Wm Morrison Supermarkets v. Various Claimants</w:t>
      </w:r>
      <w:r w:rsidRPr="00DD4F1D">
        <w:rPr>
          <w:rFonts w:ascii="Calibri" w:eastAsia="Calibri" w:hAnsi="Calibri" w:cs="Calibri"/>
        </w:rPr>
        <w:t xml:space="preserve">. In this case, the UK Supreme Court chose to diverge from the ECJ's earlier rulings in </w:t>
      </w:r>
      <w:r w:rsidRPr="00DD4F1D">
        <w:rPr>
          <w:rFonts w:ascii="Calibri" w:eastAsia="Calibri" w:hAnsi="Calibri" w:cs="Calibri"/>
          <w:i/>
        </w:rPr>
        <w:t>Viking Line</w:t>
      </w:r>
      <w:r w:rsidRPr="00DD4F1D">
        <w:rPr>
          <w:rFonts w:ascii="Calibri" w:eastAsia="Calibri" w:hAnsi="Calibri" w:cs="Calibri"/>
        </w:rPr>
        <w:t xml:space="preserve"> and </w:t>
      </w:r>
      <w:r w:rsidRPr="00DD4F1D">
        <w:rPr>
          <w:rFonts w:ascii="Calibri" w:eastAsia="Calibri" w:hAnsi="Calibri" w:cs="Calibri"/>
          <w:i/>
        </w:rPr>
        <w:t>Laval</w:t>
      </w:r>
      <w:r w:rsidRPr="00DD4F1D">
        <w:rPr>
          <w:rFonts w:ascii="Calibri" w:eastAsia="Calibri" w:hAnsi="Calibri" w:cs="Calibri"/>
        </w:rPr>
        <w:t xml:space="preserve">, which dealt with industrial action and EU free movement law. These ECJ rulings had previously been considered binding, but the Supreme Court concluded it could depart from them due to the UK's changed legal standing outside of the EU </w:t>
      </w:r>
      <w:r w:rsidRPr="00DD4F1D">
        <w:rPr>
          <w:rFonts w:ascii="Calibri" w:eastAsia="Calibri" w:hAnsi="Calibri" w:cs="Calibri"/>
          <w:highlight w:val="white"/>
        </w:rPr>
        <w:t>(IPSA LOQUITUR, 2023).</w:t>
      </w:r>
    </w:p>
    <w:p w14:paraId="70DE8983" w14:textId="77777777" w:rsidR="004032A1" w:rsidRPr="00DD4F1D" w:rsidRDefault="00FD0A41">
      <w:pPr>
        <w:rPr>
          <w:rFonts w:ascii="Calibri" w:eastAsia="Calibri" w:hAnsi="Calibri" w:cs="Calibri"/>
          <w:highlight w:val="white"/>
        </w:rPr>
      </w:pPr>
      <w:r w:rsidRPr="00DD4F1D">
        <w:rPr>
          <w:rFonts w:ascii="Calibri" w:eastAsia="Calibri" w:hAnsi="Calibri" w:cs="Calibri"/>
        </w:rPr>
        <w:t xml:space="preserve">While ECJ rulings prior to Brexit remain part of UK law as retained EU case law, they no longer have binding authority on UK courts. UK courts are obliged to consider these rulings but have the discretion to depart from them considering the evolving legal framework post-Brexit </w:t>
      </w:r>
      <w:r w:rsidRPr="00DD4F1D">
        <w:rPr>
          <w:rFonts w:ascii="Calibri" w:eastAsia="Calibri" w:hAnsi="Calibri" w:cs="Calibri"/>
          <w:highlight w:val="white"/>
        </w:rPr>
        <w:t>(Business Advice, 2021).</w:t>
      </w:r>
    </w:p>
    <w:p w14:paraId="244E5CD4" w14:textId="77777777" w:rsidR="004032A1" w:rsidRPr="00DD4F1D" w:rsidRDefault="00FD0A41">
      <w:pPr>
        <w:rPr>
          <w:rFonts w:ascii="Calibri" w:eastAsia="Calibri" w:hAnsi="Calibri" w:cs="Calibri"/>
          <w:b/>
          <w:sz w:val="28"/>
          <w:szCs w:val="28"/>
        </w:rPr>
      </w:pPr>
      <w:r w:rsidRPr="00DD4F1D">
        <w:rPr>
          <w:rFonts w:ascii="Calibri" w:eastAsia="Calibri" w:hAnsi="Calibri" w:cs="Calibri"/>
          <w:b/>
          <w:sz w:val="28"/>
          <w:szCs w:val="28"/>
        </w:rPr>
        <w:t>2.1</w:t>
      </w:r>
    </w:p>
    <w:p w14:paraId="6D4BFCC4" w14:textId="57B6CDBD" w:rsidR="004032A1" w:rsidRPr="00DD4F1D" w:rsidRDefault="00FD0A41">
      <w:pPr>
        <w:rPr>
          <w:rFonts w:ascii="Calibri" w:eastAsia="Calibri" w:hAnsi="Calibri" w:cs="Calibri"/>
        </w:rPr>
      </w:pPr>
      <w:r w:rsidRPr="00DD4F1D">
        <w:rPr>
          <w:rFonts w:ascii="Calibri" w:eastAsia="Calibri" w:hAnsi="Calibri" w:cs="Calibri"/>
        </w:rPr>
        <w:t xml:space="preserve">The Equality Act 2010 prohibits </w:t>
      </w:r>
      <w:r w:rsidR="002E725A">
        <w:rPr>
          <w:rFonts w:ascii="Calibri" w:eastAsia="Calibri" w:hAnsi="Calibri" w:cs="Calibri"/>
        </w:rPr>
        <w:t>sex</w:t>
      </w:r>
      <w:r w:rsidRPr="00DD4F1D">
        <w:rPr>
          <w:rFonts w:ascii="Calibri" w:eastAsia="Calibri" w:hAnsi="Calibri" w:cs="Calibri"/>
        </w:rPr>
        <w:t xml:space="preserve"> discrimination in recruitment. However, there are specific exceptions where specifying gender for a role may be legally justified, typically when there is a genuine occupational requirement (GOR) (GOV.UK, 2013).</w:t>
      </w:r>
    </w:p>
    <w:p w14:paraId="172CDD8C" w14:textId="77777777" w:rsidR="004032A1" w:rsidRPr="00DD4F1D" w:rsidRDefault="00FD0A41">
      <w:pPr>
        <w:rPr>
          <w:rFonts w:ascii="Calibri" w:eastAsia="Calibri" w:hAnsi="Calibri" w:cs="Calibri"/>
        </w:rPr>
      </w:pPr>
      <w:r w:rsidRPr="00DD4F1D">
        <w:rPr>
          <w:rFonts w:ascii="Calibri" w:eastAsia="Calibri" w:hAnsi="Calibri" w:cs="Calibri"/>
        </w:rPr>
        <w:t>Gender-specific job requirements are lawful in the following cases:</w:t>
      </w:r>
    </w:p>
    <w:p w14:paraId="2F3BFE88" w14:textId="77777777" w:rsidR="004032A1" w:rsidRPr="00DD4F1D" w:rsidRDefault="00FD0A41">
      <w:pPr>
        <w:rPr>
          <w:rFonts w:ascii="Calibri" w:eastAsia="Calibri" w:hAnsi="Calibri" w:cs="Calibri"/>
        </w:rPr>
      </w:pPr>
      <w:r w:rsidRPr="00DD4F1D">
        <w:rPr>
          <w:rFonts w:ascii="Calibri" w:eastAsia="Calibri" w:hAnsi="Calibri" w:cs="Calibri"/>
        </w:rPr>
        <w:t>Authenticity of the Role: Acting or modelling may require a person of a certain gender to maintain the authenticity of the performance. (Morris, 2022).</w:t>
      </w:r>
    </w:p>
    <w:p w14:paraId="2BA06380" w14:textId="77777777" w:rsidR="004032A1" w:rsidRPr="00DD4F1D" w:rsidRDefault="00FD0A41">
      <w:pPr>
        <w:rPr>
          <w:rFonts w:ascii="Calibri" w:eastAsia="Calibri" w:hAnsi="Calibri" w:cs="Calibri"/>
        </w:rPr>
      </w:pPr>
      <w:r w:rsidRPr="00DD4F1D">
        <w:rPr>
          <w:rFonts w:ascii="Calibri" w:eastAsia="Calibri" w:hAnsi="Calibri" w:cs="Calibri"/>
        </w:rPr>
        <w:lastRenderedPageBreak/>
        <w:t>Privacy and Dignity: In jobs that require maintaining a person’s privacy or dignity, such as healthcare or care roles, gender may be specified. For example, a female carer might be needed to assist female patients in culturally or religiously sensitive situations. (www.girlings.com, n.d.).</w:t>
      </w:r>
    </w:p>
    <w:p w14:paraId="4315F2E7" w14:textId="77777777" w:rsidR="004032A1" w:rsidRPr="00DD4F1D" w:rsidRDefault="00FD0A41">
      <w:pPr>
        <w:rPr>
          <w:rFonts w:ascii="Calibri" w:eastAsia="Calibri" w:hAnsi="Calibri" w:cs="Calibri"/>
        </w:rPr>
      </w:pPr>
      <w:r w:rsidRPr="00DD4F1D">
        <w:rPr>
          <w:rFonts w:ascii="Calibri" w:eastAsia="Calibri" w:hAnsi="Calibri" w:cs="Calibri"/>
        </w:rPr>
        <w:t>However, gender should never be specified based on assumptions or stereotypes. For example, assuming men are better at manual work or women are suited for administrative tasks is unlawful (CIPD, 2023).</w:t>
      </w:r>
    </w:p>
    <w:p w14:paraId="3C1453BF" w14:textId="77777777" w:rsidR="004032A1" w:rsidRPr="00DD4F1D" w:rsidRDefault="00FD0A41">
      <w:pPr>
        <w:rPr>
          <w:rFonts w:ascii="Calibri" w:eastAsia="Calibri" w:hAnsi="Calibri" w:cs="Calibri"/>
        </w:rPr>
      </w:pPr>
      <w:r w:rsidRPr="00DD4F1D">
        <w:rPr>
          <w:rFonts w:ascii="Calibri" w:eastAsia="Calibri" w:hAnsi="Calibri" w:cs="Calibri"/>
        </w:rPr>
        <w:t>A lawful GOR could be a role in a shelter for survivors of domestic violence, where a female worker might be needed for privacy and dignity reasons. An unlawful GOR might involve specifying gender for a general administrative role, where qualifications and experience should be the deciding factors, not gender (Citizens Advice, 2019).</w:t>
      </w:r>
    </w:p>
    <w:p w14:paraId="72DD9954" w14:textId="77777777" w:rsidR="004032A1" w:rsidRPr="00DD4F1D" w:rsidRDefault="00FD0A41">
      <w:pPr>
        <w:rPr>
          <w:rFonts w:ascii="Calibri" w:eastAsia="Calibri" w:hAnsi="Calibri" w:cs="Calibri"/>
        </w:rPr>
      </w:pPr>
      <w:r w:rsidRPr="00DD4F1D">
        <w:rPr>
          <w:rFonts w:ascii="Calibri" w:eastAsia="Calibri" w:hAnsi="Calibri" w:cs="Calibri"/>
        </w:rPr>
        <w:t>Before specifying gender in a job requirement, please consider:</w:t>
      </w:r>
    </w:p>
    <w:p w14:paraId="3A502EA4" w14:textId="77777777" w:rsidR="004032A1" w:rsidRPr="00DD4F1D" w:rsidRDefault="00FD0A41">
      <w:pPr>
        <w:numPr>
          <w:ilvl w:val="0"/>
          <w:numId w:val="2"/>
        </w:numPr>
        <w:pBdr>
          <w:top w:val="nil"/>
          <w:left w:val="nil"/>
          <w:bottom w:val="nil"/>
          <w:right w:val="nil"/>
          <w:between w:val="nil"/>
        </w:pBdr>
        <w:spacing w:after="0"/>
        <w:rPr>
          <w:rFonts w:ascii="Calibri" w:eastAsia="Calibri" w:hAnsi="Calibri" w:cs="Calibri"/>
        </w:rPr>
      </w:pPr>
      <w:r w:rsidRPr="00DD4F1D">
        <w:rPr>
          <w:rFonts w:ascii="Calibri" w:eastAsia="Calibri" w:hAnsi="Calibri" w:cs="Calibri"/>
        </w:rPr>
        <w:t>Is the requirement proportionate to the job?</w:t>
      </w:r>
    </w:p>
    <w:p w14:paraId="311A1E9F" w14:textId="77777777" w:rsidR="004032A1" w:rsidRPr="00DD4F1D" w:rsidRDefault="00FD0A41">
      <w:pPr>
        <w:numPr>
          <w:ilvl w:val="0"/>
          <w:numId w:val="2"/>
        </w:numPr>
        <w:pBdr>
          <w:top w:val="nil"/>
          <w:left w:val="nil"/>
          <w:bottom w:val="nil"/>
          <w:right w:val="nil"/>
          <w:between w:val="nil"/>
        </w:pBdr>
        <w:spacing w:after="0"/>
        <w:jc w:val="both"/>
        <w:rPr>
          <w:rFonts w:ascii="Calibri" w:eastAsia="Calibri" w:hAnsi="Calibri" w:cs="Calibri"/>
        </w:rPr>
      </w:pPr>
      <w:r w:rsidRPr="00DD4F1D">
        <w:rPr>
          <w:rFonts w:ascii="Calibri" w:eastAsia="Calibri" w:hAnsi="Calibri" w:cs="Calibri"/>
        </w:rPr>
        <w:t>Is it based on legitimate needs, not bias or stereotypes?</w:t>
      </w:r>
    </w:p>
    <w:p w14:paraId="521599D2" w14:textId="77777777" w:rsidR="004032A1" w:rsidRPr="00DD4F1D" w:rsidRDefault="00FD0A41">
      <w:pPr>
        <w:numPr>
          <w:ilvl w:val="0"/>
          <w:numId w:val="2"/>
        </w:numPr>
        <w:pBdr>
          <w:top w:val="nil"/>
          <w:left w:val="nil"/>
          <w:bottom w:val="nil"/>
          <w:right w:val="nil"/>
          <w:between w:val="nil"/>
        </w:pBdr>
        <w:spacing w:after="0"/>
        <w:rPr>
          <w:rFonts w:ascii="Calibri" w:eastAsia="Calibri" w:hAnsi="Calibri" w:cs="Calibri"/>
        </w:rPr>
      </w:pPr>
      <w:r w:rsidRPr="00DD4F1D">
        <w:rPr>
          <w:rFonts w:ascii="Calibri" w:eastAsia="Calibri" w:hAnsi="Calibri" w:cs="Calibri"/>
        </w:rPr>
        <w:t>Can the employer justify the need for gender-specific requirements?</w:t>
      </w:r>
    </w:p>
    <w:p w14:paraId="21BAE1E3" w14:textId="77777777" w:rsidR="004032A1" w:rsidRPr="00DD4F1D" w:rsidRDefault="00FD0A41">
      <w:pPr>
        <w:numPr>
          <w:ilvl w:val="0"/>
          <w:numId w:val="2"/>
        </w:numPr>
        <w:pBdr>
          <w:top w:val="nil"/>
          <w:left w:val="nil"/>
          <w:bottom w:val="nil"/>
          <w:right w:val="nil"/>
          <w:between w:val="nil"/>
        </w:pBdr>
        <w:rPr>
          <w:rFonts w:ascii="Calibri" w:eastAsia="Calibri" w:hAnsi="Calibri" w:cs="Calibri"/>
        </w:rPr>
      </w:pPr>
      <w:r w:rsidRPr="00DD4F1D">
        <w:rPr>
          <w:rFonts w:ascii="Calibri" w:eastAsia="Calibri" w:hAnsi="Calibri" w:cs="Calibri"/>
        </w:rPr>
        <w:t>Is the recruitment process fair, transparent, and non-discriminatory?</w:t>
      </w:r>
    </w:p>
    <w:p w14:paraId="3D956E70" w14:textId="40095808" w:rsidR="004032A1" w:rsidRPr="00DD4F1D" w:rsidRDefault="00FD0A41">
      <w:pPr>
        <w:rPr>
          <w:rFonts w:ascii="Calibri" w:eastAsia="Calibri" w:hAnsi="Calibri" w:cs="Calibri"/>
        </w:rPr>
      </w:pPr>
      <w:r w:rsidRPr="00DD4F1D">
        <w:rPr>
          <w:rFonts w:ascii="Calibri" w:eastAsia="Calibri" w:hAnsi="Calibri" w:cs="Calibri"/>
        </w:rPr>
        <w:t>If in doubt, you should seek legal advice to ensure that any gender-based requirement aligns with the law (Acas, 2024).</w:t>
      </w:r>
    </w:p>
    <w:p w14:paraId="28BA990E" w14:textId="77777777" w:rsidR="004032A1" w:rsidRDefault="00FD0A41">
      <w:pPr>
        <w:rPr>
          <w:rFonts w:ascii="Calibri" w:eastAsia="Calibri" w:hAnsi="Calibri" w:cs="Calibri"/>
          <w:b/>
          <w:sz w:val="28"/>
          <w:szCs w:val="28"/>
        </w:rPr>
      </w:pPr>
      <w:r w:rsidRPr="00DD4F1D">
        <w:rPr>
          <w:rFonts w:ascii="Calibri" w:eastAsia="Calibri" w:hAnsi="Calibri" w:cs="Calibri"/>
          <w:b/>
          <w:sz w:val="28"/>
          <w:szCs w:val="28"/>
        </w:rPr>
        <w:t>2.2</w:t>
      </w:r>
    </w:p>
    <w:p w14:paraId="1AB7FDFA" w14:textId="77777777" w:rsidR="00CB4AE9" w:rsidRPr="00CB4AE9" w:rsidRDefault="00CB4AE9" w:rsidP="00CB4AE9">
      <w:pPr>
        <w:rPr>
          <w:rFonts w:ascii="Calibri" w:hAnsi="Calibri" w:cs="Calibri"/>
          <w:strike/>
        </w:rPr>
      </w:pPr>
      <w:r w:rsidRPr="00CB4AE9">
        <w:rPr>
          <w:rFonts w:ascii="Calibri" w:hAnsi="Calibri" w:cs="Calibri"/>
          <w:strike/>
        </w:rPr>
        <w:t>Understanding the legal implications of equal pay is crucial to ensure compliance with employment law (Equality and Human Rights Commission, 2011).</w:t>
      </w:r>
    </w:p>
    <w:p w14:paraId="1F972D00" w14:textId="77777777" w:rsidR="00CB4AE9" w:rsidRPr="00CB4AE9" w:rsidRDefault="00CB4AE9" w:rsidP="00CB4AE9">
      <w:pPr>
        <w:rPr>
          <w:rFonts w:ascii="Calibri" w:hAnsi="Calibri" w:cs="Calibri"/>
          <w:strike/>
        </w:rPr>
      </w:pPr>
      <w:r w:rsidRPr="00CB4AE9">
        <w:rPr>
          <w:rFonts w:ascii="Calibri" w:hAnsi="Calibri" w:cs="Calibri"/>
          <w:strike/>
        </w:rPr>
        <w:t>Under the Equality Act 2010, employers must ensure equal pay for adults performing the same or broadly similar work. If two male Health Care Assistants (HCA’s) are being promoted to grade B, it is vital to assess whether this could lead to speculation of unequal</w:t>
      </w:r>
    </w:p>
    <w:p w14:paraId="05A60FED" w14:textId="77777777" w:rsidR="00CB4AE9" w:rsidRPr="00CB4AE9" w:rsidRDefault="00CB4AE9" w:rsidP="00CB4AE9">
      <w:pPr>
        <w:rPr>
          <w:rFonts w:ascii="Calibri" w:hAnsi="Calibri" w:cs="Calibri"/>
          <w:strike/>
        </w:rPr>
      </w:pPr>
      <w:r w:rsidRPr="00CB4AE9">
        <w:rPr>
          <w:rFonts w:ascii="Calibri" w:hAnsi="Calibri" w:cs="Calibri"/>
          <w:strike/>
        </w:rPr>
        <w:t>pay or discrimination. (Acas, 2024) Would the law agree that there is a genuine reason for this grade upgrade for the men only?</w:t>
      </w:r>
    </w:p>
    <w:p w14:paraId="4EBDB00B" w14:textId="77777777" w:rsidR="00CB4AE9" w:rsidRPr="00CB4AE9" w:rsidRDefault="00CB4AE9" w:rsidP="00CB4AE9">
      <w:pPr>
        <w:rPr>
          <w:rFonts w:ascii="Calibri" w:hAnsi="Calibri" w:cs="Calibri"/>
          <w:strike/>
        </w:rPr>
      </w:pPr>
      <w:r w:rsidRPr="00CB4AE9">
        <w:rPr>
          <w:rFonts w:ascii="Calibri" w:hAnsi="Calibri" w:cs="Calibri"/>
          <w:strike/>
        </w:rPr>
        <w:t>Equal pay laws apply when comparing employees performing the same or similar tasks. If the two male HCAs will be performing the same duties as female HCAs at grade B, their pay should be consistent. (Citizensinformation.ie, n.d.).</w:t>
      </w:r>
    </w:p>
    <w:p w14:paraId="5E1771A2" w14:textId="77777777" w:rsidR="00CB4AE9" w:rsidRPr="00CB4AE9" w:rsidRDefault="00CB4AE9" w:rsidP="00CB4AE9">
      <w:pPr>
        <w:rPr>
          <w:rFonts w:ascii="Calibri" w:hAnsi="Calibri" w:cs="Calibri"/>
          <w:strike/>
        </w:rPr>
      </w:pPr>
      <w:r w:rsidRPr="00CB4AE9">
        <w:rPr>
          <w:rFonts w:ascii="Calibri" w:hAnsi="Calibri" w:cs="Calibri"/>
          <w:strike/>
        </w:rPr>
        <w:t xml:space="preserve">The decision to promote the male HCAs depends on whether their roles align with the criteria for grade B compared to existing HCAs in the same grade, especially the female employees. It might be a better approach to release an available promotion in which any employee meeting the standards is eligible to apply. The process should then be run as normal until the correct person/s for the role are determined and that is clear to see </w:t>
      </w:r>
      <w:r w:rsidRPr="00CB4AE9">
        <w:rPr>
          <w:rFonts w:ascii="Calibri" w:hAnsi="Calibri" w:cs="Calibri"/>
          <w:strike/>
        </w:rPr>
        <w:lastRenderedPageBreak/>
        <w:t>through non-discriminatory criteria. Any perception of unfair favouritism towards the male HCAs could expose the organisation to unequal pay claims (Cotton, 2023).</w:t>
      </w:r>
    </w:p>
    <w:p w14:paraId="446F334F" w14:textId="77777777" w:rsidR="00CB4AE9" w:rsidRPr="00CB4AE9" w:rsidRDefault="00CB4AE9" w:rsidP="00CB4AE9">
      <w:pPr>
        <w:rPr>
          <w:rFonts w:ascii="Calibri" w:hAnsi="Calibri" w:cs="Calibri"/>
          <w:strike/>
        </w:rPr>
      </w:pPr>
      <w:r w:rsidRPr="00CB4AE9">
        <w:rPr>
          <w:rFonts w:ascii="Calibri" w:hAnsi="Calibri" w:cs="Calibri"/>
          <w:strike/>
        </w:rPr>
        <w:t>The source of funding for the promotion, surplus money from a research project, does not alter the requirement for equal pay. If the promotion is justified by performance or qualifications, the same rationale should apply to all employees in similar roles, regardless of gender.</w:t>
      </w:r>
    </w:p>
    <w:p w14:paraId="79104745" w14:textId="77777777" w:rsidR="00CB4AE9" w:rsidRPr="00CB4AE9" w:rsidRDefault="00CB4AE9" w:rsidP="00CB4AE9">
      <w:pPr>
        <w:rPr>
          <w:rFonts w:ascii="Calibri" w:hAnsi="Calibri" w:cs="Calibri"/>
          <w:strike/>
        </w:rPr>
      </w:pPr>
      <w:r w:rsidRPr="00CB4AE9">
        <w:rPr>
          <w:rFonts w:ascii="Calibri" w:hAnsi="Calibri" w:cs="Calibri"/>
          <w:strike/>
        </w:rPr>
        <w:t>Suggested Next Steps:</w:t>
      </w:r>
    </w:p>
    <w:p w14:paraId="008B1FA7" w14:textId="77777777" w:rsidR="00CB4AE9" w:rsidRPr="00CB4AE9" w:rsidRDefault="00CB4AE9" w:rsidP="00CB4AE9">
      <w:pPr>
        <w:rPr>
          <w:rFonts w:ascii="Calibri" w:hAnsi="Calibri" w:cs="Calibri"/>
          <w:strike/>
        </w:rPr>
      </w:pPr>
      <w:r w:rsidRPr="00CB4AE9">
        <w:rPr>
          <w:rFonts w:ascii="Calibri" w:hAnsi="Calibri" w:cs="Calibri"/>
          <w:strike/>
        </w:rPr>
        <w:t>Job Evaluation: Ensure the male HCAs’ roles meet grade B criteria using an objective evaluation process to avoid bias.</w:t>
      </w:r>
    </w:p>
    <w:p w14:paraId="7449E743" w14:textId="77777777" w:rsidR="00CB4AE9" w:rsidRPr="00CB4AE9" w:rsidRDefault="00CB4AE9" w:rsidP="00CB4AE9">
      <w:pPr>
        <w:rPr>
          <w:rFonts w:ascii="Calibri" w:hAnsi="Calibri" w:cs="Calibri"/>
          <w:strike/>
        </w:rPr>
      </w:pPr>
      <w:r w:rsidRPr="00CB4AE9">
        <w:rPr>
          <w:rFonts w:ascii="Calibri" w:hAnsi="Calibri" w:cs="Calibri"/>
          <w:strike/>
        </w:rPr>
        <w:t>Fair Criteria: Confirm that promotion decisions are based on factors like qualifications and performance, not just available funds.</w:t>
      </w:r>
    </w:p>
    <w:p w14:paraId="5239EBE0" w14:textId="77777777" w:rsidR="00CB4AE9" w:rsidRPr="00CB4AE9" w:rsidRDefault="00CB4AE9" w:rsidP="00CB4AE9">
      <w:pPr>
        <w:rPr>
          <w:rFonts w:ascii="Calibri" w:hAnsi="Calibri" w:cs="Calibri"/>
          <w:strike/>
        </w:rPr>
      </w:pPr>
      <w:r w:rsidRPr="00CB4AE9">
        <w:rPr>
          <w:rFonts w:ascii="Calibri" w:hAnsi="Calibri" w:cs="Calibri"/>
          <w:strike/>
        </w:rPr>
        <w:t>Non-discriminatory Process: Review promotion and pay opportunities for female HCAs to prevent unintended gender disparities (ACAS, 2014).</w:t>
      </w:r>
    </w:p>
    <w:p w14:paraId="55DD2F2D" w14:textId="40A3CB42" w:rsidR="00957A47" w:rsidRDefault="00CB4AE9" w:rsidP="00327422">
      <w:pPr>
        <w:rPr>
          <w:rFonts w:ascii="Calibri" w:hAnsi="Calibri" w:cs="Calibri"/>
          <w:strike/>
        </w:rPr>
      </w:pPr>
      <w:r w:rsidRPr="00CB4AE9">
        <w:rPr>
          <w:rFonts w:ascii="Calibri" w:hAnsi="Calibri" w:cs="Calibri"/>
          <w:strike/>
        </w:rPr>
        <w:t>Promotions should be fair, justified, and based on objective criteria to ensure compliance with equal pay laws and avoid potential claims (ACAS, 2022).</w:t>
      </w:r>
    </w:p>
    <w:p w14:paraId="6A77BC66" w14:textId="1D516004" w:rsidR="0002052D" w:rsidRPr="00357FDA" w:rsidRDefault="00D5491B" w:rsidP="00327422">
      <w:pPr>
        <w:rPr>
          <w:rFonts w:ascii="Calibri" w:hAnsi="Calibri" w:cs="Calibri"/>
          <w:color w:val="FF0000"/>
        </w:rPr>
      </w:pPr>
      <w:r w:rsidRPr="00357FDA">
        <w:rPr>
          <w:rFonts w:ascii="Calibri" w:hAnsi="Calibri" w:cs="Calibri"/>
          <w:color w:val="FF0000"/>
        </w:rPr>
        <w:t>Understanding the legal framework around equal pay is vital for employers to remain compliant with UK employment law and to avoid potential claims of discrimination. The Equality Act 2010 imposes a clear duty on employers to ensure that men and women receive the same pay for doing the same or equivalent work (CIPD, 2024). This includes like work, work rated as equivalent, and work of equal value.</w:t>
      </w:r>
    </w:p>
    <w:p w14:paraId="10505DF1" w14:textId="1558547C" w:rsidR="00D00B09" w:rsidRPr="00357FDA" w:rsidRDefault="00D00B09" w:rsidP="00327422">
      <w:pPr>
        <w:rPr>
          <w:rFonts w:ascii="Calibri" w:hAnsi="Calibri" w:cs="Calibri"/>
          <w:color w:val="FF0000"/>
        </w:rPr>
      </w:pPr>
      <w:r w:rsidRPr="00357FDA">
        <w:rPr>
          <w:rFonts w:ascii="Calibri" w:hAnsi="Calibri" w:cs="Calibri"/>
          <w:color w:val="FF0000"/>
        </w:rPr>
        <w:t xml:space="preserve">A potential issue arises if two </w:t>
      </w:r>
      <w:r w:rsidRPr="00357FDA">
        <w:rPr>
          <w:rStyle w:val="Strong"/>
          <w:rFonts w:ascii="Calibri" w:hAnsi="Calibri" w:cs="Calibri"/>
          <w:b w:val="0"/>
          <w:bCs w:val="0"/>
          <w:color w:val="FF0000"/>
        </w:rPr>
        <w:t>male Health Care Assistants (HCAs)</w:t>
      </w:r>
      <w:r w:rsidRPr="00357FDA">
        <w:rPr>
          <w:rFonts w:ascii="Calibri" w:hAnsi="Calibri" w:cs="Calibri"/>
          <w:color w:val="FF0000"/>
        </w:rPr>
        <w:t xml:space="preserve"> are promoted to </w:t>
      </w:r>
      <w:r w:rsidRPr="00357FDA">
        <w:rPr>
          <w:rStyle w:val="Strong"/>
          <w:rFonts w:ascii="Calibri" w:hAnsi="Calibri" w:cs="Calibri"/>
          <w:b w:val="0"/>
          <w:bCs w:val="0"/>
          <w:color w:val="FF0000"/>
        </w:rPr>
        <w:t>grade B</w:t>
      </w:r>
      <w:r w:rsidRPr="00357FDA">
        <w:rPr>
          <w:rFonts w:ascii="Calibri" w:hAnsi="Calibri" w:cs="Calibri"/>
          <w:color w:val="FF0000"/>
        </w:rPr>
        <w:t xml:space="preserve"> while </w:t>
      </w:r>
      <w:r w:rsidRPr="00357FDA">
        <w:rPr>
          <w:rStyle w:val="Strong"/>
          <w:rFonts w:ascii="Calibri" w:hAnsi="Calibri" w:cs="Calibri"/>
          <w:b w:val="0"/>
          <w:bCs w:val="0"/>
          <w:color w:val="FF0000"/>
        </w:rPr>
        <w:t>female HCAs</w:t>
      </w:r>
      <w:r w:rsidRPr="00357FDA">
        <w:rPr>
          <w:rFonts w:ascii="Calibri" w:hAnsi="Calibri" w:cs="Calibri"/>
          <w:color w:val="FF0000"/>
        </w:rPr>
        <w:t xml:space="preserve"> performing similar duties remain at a lower grade or are not considered for advancement. If the employer cannot offer a clear, non-discriminatory explanation, it may be classed as </w:t>
      </w:r>
      <w:r w:rsidRPr="00357FDA">
        <w:rPr>
          <w:rStyle w:val="Strong"/>
          <w:rFonts w:ascii="Calibri" w:hAnsi="Calibri" w:cs="Calibri"/>
          <w:b w:val="0"/>
          <w:bCs w:val="0"/>
          <w:color w:val="FF0000"/>
        </w:rPr>
        <w:t>direct or indirect sex discrimination</w:t>
      </w:r>
      <w:r w:rsidRPr="00357FDA">
        <w:rPr>
          <w:rFonts w:ascii="Calibri" w:hAnsi="Calibri" w:cs="Calibri"/>
          <w:color w:val="FF0000"/>
        </w:rPr>
        <w:t xml:space="preserve"> (ACAS, 2023).</w:t>
      </w:r>
    </w:p>
    <w:p w14:paraId="4E2C5556" w14:textId="2584FBE5" w:rsidR="00D00B09" w:rsidRPr="00357FDA" w:rsidRDefault="00855CE2" w:rsidP="00327422">
      <w:pPr>
        <w:rPr>
          <w:rFonts w:ascii="Calibri" w:hAnsi="Calibri" w:cs="Calibri"/>
          <w:color w:val="FF0000"/>
        </w:rPr>
      </w:pPr>
      <w:r w:rsidRPr="00357FDA">
        <w:rPr>
          <w:rFonts w:ascii="Calibri" w:hAnsi="Calibri" w:cs="Calibri"/>
          <w:color w:val="FF0000"/>
        </w:rPr>
        <w:t>The justification for differing pay cannot rest solely on the availability of additional funding, such as surplus money from a project. Funding sources do not exempt employers from complying with equal pay obligations (ACAS, 2024). If female HCAs meet the same criteria as those promoted but are overlooked, they may have grounds to bring an equal pay claim.</w:t>
      </w:r>
    </w:p>
    <w:p w14:paraId="3B0F49ED" w14:textId="399F6A24" w:rsidR="00303EED" w:rsidRPr="00303EED" w:rsidRDefault="00303EED" w:rsidP="00303EED">
      <w:pPr>
        <w:rPr>
          <w:rFonts w:ascii="Calibri" w:hAnsi="Calibri" w:cs="Calibri"/>
          <w:color w:val="FF0000"/>
        </w:rPr>
      </w:pPr>
      <w:r w:rsidRPr="00303EED">
        <w:rPr>
          <w:rStyle w:val="Strong"/>
          <w:rFonts w:ascii="Calibri" w:hAnsi="Calibri" w:cs="Calibri"/>
          <w:b w:val="0"/>
          <w:bCs w:val="0"/>
          <w:color w:val="FF0000"/>
          <w:shd w:val="clear" w:color="auto" w:fill="FFFFFF"/>
        </w:rPr>
        <w:t>Employers should take practical steps to</w:t>
      </w:r>
      <w:r w:rsidRPr="00303EED">
        <w:rPr>
          <w:rStyle w:val="fc6omth"/>
          <w:rFonts w:ascii="Calibri" w:hAnsi="Calibri" w:cs="Calibri"/>
          <w:color w:val="FF0000"/>
          <w:shd w:val="clear" w:color="auto" w:fill="FFFFFF"/>
        </w:rPr>
        <w:t> reduce legal risk and promote fairness</w:t>
      </w:r>
      <w:r w:rsidRPr="00303EED">
        <w:rPr>
          <w:rStyle w:val="Strong"/>
          <w:rFonts w:ascii="Calibri" w:hAnsi="Calibri" w:cs="Calibri"/>
          <w:color w:val="FF0000"/>
          <w:shd w:val="clear" w:color="auto" w:fill="FFFFFF"/>
        </w:rPr>
        <w:t xml:space="preserve">. </w:t>
      </w:r>
      <w:r w:rsidRPr="00303EED">
        <w:rPr>
          <w:rStyle w:val="Strong"/>
          <w:rFonts w:ascii="Calibri" w:hAnsi="Calibri" w:cs="Calibri"/>
          <w:b w:val="0"/>
          <w:bCs w:val="0"/>
          <w:color w:val="FF0000"/>
          <w:shd w:val="clear" w:color="auto" w:fill="FFFFFF"/>
        </w:rPr>
        <w:t>For</w:t>
      </w:r>
      <w:r w:rsidRPr="00303EED">
        <w:rPr>
          <w:rStyle w:val="fc6omth"/>
          <w:rFonts w:ascii="Calibri" w:hAnsi="Calibri" w:cs="Calibri"/>
          <w:color w:val="FF0000"/>
          <w:shd w:val="clear" w:color="auto" w:fill="FFFFFF"/>
        </w:rPr>
        <w:t> example, Job evaluations using neutral, objective criteria will help ensure roles are assessed fairly</w:t>
      </w:r>
      <w:r w:rsidRPr="00303EED">
        <w:rPr>
          <w:rStyle w:val="Strong"/>
          <w:rFonts w:ascii="Calibri" w:hAnsi="Calibri" w:cs="Calibri"/>
          <w:color w:val="FF0000"/>
          <w:shd w:val="clear" w:color="auto" w:fill="FFFFFF"/>
        </w:rPr>
        <w:t xml:space="preserve">. </w:t>
      </w:r>
      <w:r w:rsidRPr="00303EED">
        <w:rPr>
          <w:rStyle w:val="Strong"/>
          <w:rFonts w:ascii="Calibri" w:hAnsi="Calibri" w:cs="Calibri"/>
          <w:b w:val="0"/>
          <w:bCs w:val="0"/>
          <w:color w:val="FF0000"/>
          <w:shd w:val="clear" w:color="auto" w:fill="FFFFFF"/>
        </w:rPr>
        <w:t>Ensure</w:t>
      </w:r>
      <w:r w:rsidRPr="00303EED">
        <w:rPr>
          <w:rStyle w:val="fc6omth"/>
          <w:rFonts w:ascii="Calibri" w:hAnsi="Calibri" w:cs="Calibri"/>
          <w:b/>
          <w:bCs/>
          <w:color w:val="FF0000"/>
          <w:shd w:val="clear" w:color="auto" w:fill="FFFFFF"/>
        </w:rPr>
        <w:t> </w:t>
      </w:r>
      <w:r w:rsidRPr="00303EED">
        <w:rPr>
          <w:rStyle w:val="fc6omth"/>
          <w:rFonts w:ascii="Calibri" w:hAnsi="Calibri" w:cs="Calibri"/>
          <w:color w:val="FF0000"/>
          <w:shd w:val="clear" w:color="auto" w:fill="FFFFFF"/>
        </w:rPr>
        <w:t>you offer clear promotion criteria based on merit and </w:t>
      </w:r>
      <w:r w:rsidRPr="00303EED">
        <w:rPr>
          <w:rStyle w:val="Strong"/>
          <w:rFonts w:ascii="Calibri" w:hAnsi="Calibri" w:cs="Calibri"/>
          <w:b w:val="0"/>
          <w:bCs w:val="0"/>
          <w:color w:val="FF0000"/>
          <w:shd w:val="clear" w:color="auto" w:fill="FFFFFF"/>
        </w:rPr>
        <w:t>communicate</w:t>
      </w:r>
      <w:r w:rsidRPr="00303EED">
        <w:rPr>
          <w:rStyle w:val="Strong"/>
          <w:rFonts w:ascii="Calibri" w:hAnsi="Calibri" w:cs="Calibri"/>
          <w:color w:val="FF0000"/>
          <w:shd w:val="clear" w:color="auto" w:fill="FFFFFF"/>
        </w:rPr>
        <w:t xml:space="preserve"> </w:t>
      </w:r>
      <w:r w:rsidRPr="00303EED">
        <w:rPr>
          <w:rStyle w:val="Strong"/>
          <w:rFonts w:ascii="Calibri" w:hAnsi="Calibri" w:cs="Calibri"/>
          <w:b w:val="0"/>
          <w:bCs w:val="0"/>
          <w:color w:val="FF0000"/>
          <w:shd w:val="clear" w:color="auto" w:fill="FFFFFF"/>
        </w:rPr>
        <w:t>them</w:t>
      </w:r>
      <w:r w:rsidRPr="00303EED">
        <w:rPr>
          <w:rStyle w:val="fc6omth"/>
          <w:rFonts w:ascii="Calibri" w:hAnsi="Calibri" w:cs="Calibri"/>
          <w:b/>
          <w:bCs/>
          <w:color w:val="FF0000"/>
          <w:shd w:val="clear" w:color="auto" w:fill="FFFFFF"/>
        </w:rPr>
        <w:t> </w:t>
      </w:r>
      <w:r w:rsidRPr="00303EED">
        <w:rPr>
          <w:rStyle w:val="fc6omth"/>
          <w:rFonts w:ascii="Calibri" w:hAnsi="Calibri" w:cs="Calibri"/>
          <w:color w:val="FF0000"/>
          <w:shd w:val="clear" w:color="auto" w:fill="FFFFFF"/>
        </w:rPr>
        <w:t>to all staff</w:t>
      </w:r>
      <w:r w:rsidRPr="00303EED">
        <w:rPr>
          <w:rStyle w:val="Strong"/>
          <w:rFonts w:ascii="Calibri" w:hAnsi="Calibri" w:cs="Calibri"/>
          <w:color w:val="FF0000"/>
          <w:shd w:val="clear" w:color="auto" w:fill="FFFFFF"/>
        </w:rPr>
        <w:t xml:space="preserve">. </w:t>
      </w:r>
      <w:r w:rsidRPr="00303EED">
        <w:rPr>
          <w:rStyle w:val="Strong"/>
          <w:rFonts w:ascii="Calibri" w:hAnsi="Calibri" w:cs="Calibri"/>
          <w:b w:val="0"/>
          <w:bCs w:val="0"/>
          <w:color w:val="FF0000"/>
          <w:shd w:val="clear" w:color="auto" w:fill="FFFFFF"/>
        </w:rPr>
        <w:t>Support</w:t>
      </w:r>
      <w:r w:rsidRPr="00303EED">
        <w:rPr>
          <w:rStyle w:val="fc6omth"/>
          <w:rFonts w:ascii="Calibri" w:hAnsi="Calibri" w:cs="Calibri"/>
          <w:color w:val="FF0000"/>
          <w:shd w:val="clear" w:color="auto" w:fill="FFFFFF"/>
        </w:rPr>
        <w:t> transparency (Hastings, 2014) and carry out regular pay audits</w:t>
      </w:r>
      <w:r w:rsidRPr="00303EED">
        <w:rPr>
          <w:rStyle w:val="Strong"/>
          <w:rFonts w:ascii="Calibri" w:hAnsi="Calibri" w:cs="Calibri"/>
          <w:color w:val="FF0000"/>
          <w:shd w:val="clear" w:color="auto" w:fill="FFFFFF"/>
        </w:rPr>
        <w:t xml:space="preserve">. </w:t>
      </w:r>
      <w:r w:rsidRPr="00303EED">
        <w:rPr>
          <w:rStyle w:val="Strong"/>
          <w:rFonts w:ascii="Calibri" w:hAnsi="Calibri" w:cs="Calibri"/>
          <w:b w:val="0"/>
          <w:bCs w:val="0"/>
          <w:color w:val="FF0000"/>
          <w:shd w:val="clear" w:color="auto" w:fill="FFFFFF"/>
        </w:rPr>
        <w:t>This</w:t>
      </w:r>
      <w:r w:rsidRPr="00303EED">
        <w:rPr>
          <w:rStyle w:val="fc6omth"/>
          <w:rFonts w:ascii="Calibri" w:hAnsi="Calibri" w:cs="Calibri"/>
          <w:color w:val="FF0000"/>
          <w:shd w:val="clear" w:color="auto" w:fill="FFFFFF"/>
        </w:rPr>
        <w:t> can uncover unjustified gaps and allow early correction.</w:t>
      </w:r>
    </w:p>
    <w:p w14:paraId="1E1DF555" w14:textId="1D41CAF6" w:rsidR="00E725A8" w:rsidRPr="002B1954" w:rsidRDefault="007A5CEA">
      <w:pPr>
        <w:rPr>
          <w:rFonts w:ascii="Calibri" w:hAnsi="Calibri" w:cs="Calibri"/>
          <w:color w:val="FF0000"/>
        </w:rPr>
      </w:pPr>
      <w:r w:rsidRPr="00357FDA">
        <w:rPr>
          <w:rFonts w:ascii="Calibri" w:hAnsi="Calibri" w:cs="Calibri"/>
          <w:color w:val="FF0000"/>
        </w:rPr>
        <w:t>Employers must also be mindful of legal exposure</w:t>
      </w:r>
      <w:r w:rsidR="00C14578" w:rsidRPr="00357FDA">
        <w:rPr>
          <w:rFonts w:ascii="Calibri" w:hAnsi="Calibri" w:cs="Calibri"/>
          <w:color w:val="FF0000"/>
        </w:rPr>
        <w:t xml:space="preserve">, </w:t>
      </w:r>
      <w:r w:rsidRPr="00357FDA">
        <w:rPr>
          <w:rFonts w:ascii="Calibri" w:hAnsi="Calibri" w:cs="Calibri"/>
          <w:color w:val="FF0000"/>
        </w:rPr>
        <w:t xml:space="preserve">if women can show they do work of equal value but are paid less or passed over for promotion, they may bring a claim. Successful cases can result in </w:t>
      </w:r>
      <w:r w:rsidR="00B1373D" w:rsidRPr="00357FDA">
        <w:rPr>
          <w:rFonts w:ascii="Calibri" w:hAnsi="Calibri" w:cs="Calibri"/>
          <w:color w:val="FF0000"/>
        </w:rPr>
        <w:t>significant</w:t>
      </w:r>
      <w:r w:rsidRPr="00357FDA">
        <w:rPr>
          <w:rFonts w:ascii="Calibri" w:hAnsi="Calibri" w:cs="Calibri"/>
          <w:color w:val="FF0000"/>
        </w:rPr>
        <w:t xml:space="preserve"> back pay and reputational damage</w:t>
      </w:r>
      <w:r w:rsidR="00637A24" w:rsidRPr="00357FDA">
        <w:rPr>
          <w:rFonts w:ascii="Calibri" w:hAnsi="Calibri" w:cs="Calibri"/>
          <w:color w:val="FF0000"/>
        </w:rPr>
        <w:t xml:space="preserve"> </w:t>
      </w:r>
      <w:r w:rsidR="00637A24" w:rsidRPr="00357FDA">
        <w:rPr>
          <w:rFonts w:ascii="Calibri" w:hAnsi="Calibri" w:cs="Calibri"/>
          <w:color w:val="FF0000"/>
        </w:rPr>
        <w:lastRenderedPageBreak/>
        <w:t>(www.equalityhumanrights.com, 2020)</w:t>
      </w:r>
      <w:r w:rsidRPr="00357FDA">
        <w:rPr>
          <w:rFonts w:ascii="Calibri" w:hAnsi="Calibri" w:cs="Calibri"/>
          <w:color w:val="FF0000"/>
        </w:rPr>
        <w:t>.</w:t>
      </w:r>
      <w:r w:rsidR="00CA3A1F">
        <w:rPr>
          <w:rFonts w:ascii="Calibri" w:hAnsi="Calibri" w:cs="Calibri"/>
          <w:color w:val="FF0000"/>
        </w:rPr>
        <w:t xml:space="preserve"> To summarise, p</w:t>
      </w:r>
      <w:r w:rsidRPr="00357FDA">
        <w:rPr>
          <w:rFonts w:ascii="Calibri" w:hAnsi="Calibri" w:cs="Calibri"/>
          <w:color w:val="FF0000"/>
        </w:rPr>
        <w:t xml:space="preserve">ay and promotion decisions must comply with the </w:t>
      </w:r>
      <w:r w:rsidRPr="00357FDA">
        <w:rPr>
          <w:rStyle w:val="Strong"/>
          <w:rFonts w:ascii="Calibri" w:hAnsi="Calibri" w:cs="Calibri"/>
          <w:b w:val="0"/>
          <w:bCs w:val="0"/>
          <w:color w:val="FF0000"/>
        </w:rPr>
        <w:t>Equality Act 2010</w:t>
      </w:r>
      <w:r w:rsidRPr="00357FDA">
        <w:rPr>
          <w:rFonts w:ascii="Calibri" w:hAnsi="Calibri" w:cs="Calibri"/>
          <w:color w:val="FF0000"/>
        </w:rPr>
        <w:t xml:space="preserve"> and be based on objective, lawful factors</w:t>
      </w:r>
      <w:r w:rsidR="00327422" w:rsidRPr="00357FDA">
        <w:rPr>
          <w:rFonts w:ascii="Calibri" w:hAnsi="Calibri" w:cs="Calibri"/>
          <w:color w:val="FF0000"/>
        </w:rPr>
        <w:t xml:space="preserve"> and </w:t>
      </w:r>
      <w:r w:rsidRPr="00357FDA">
        <w:rPr>
          <w:rFonts w:ascii="Calibri" w:hAnsi="Calibri" w:cs="Calibri"/>
          <w:color w:val="FF0000"/>
        </w:rPr>
        <w:t>not gender or assumptions (Sutherland, 2021). A fair and consistent approach strengthens trust in the organisation and reduces the likelihood of disputes.</w:t>
      </w:r>
    </w:p>
    <w:p w14:paraId="7775BD48" w14:textId="77777777" w:rsidR="004032A1" w:rsidRDefault="00FD0A41">
      <w:pPr>
        <w:rPr>
          <w:rFonts w:ascii="Calibri" w:eastAsia="Calibri" w:hAnsi="Calibri" w:cs="Calibri"/>
          <w:b/>
          <w:sz w:val="28"/>
          <w:szCs w:val="28"/>
        </w:rPr>
      </w:pPr>
      <w:r w:rsidRPr="00DD4F1D">
        <w:rPr>
          <w:rFonts w:ascii="Calibri" w:eastAsia="Calibri" w:hAnsi="Calibri" w:cs="Calibri"/>
          <w:b/>
          <w:sz w:val="28"/>
          <w:szCs w:val="28"/>
        </w:rPr>
        <w:t>3.1</w:t>
      </w:r>
    </w:p>
    <w:p w14:paraId="29EE51F8" w14:textId="77777777" w:rsidR="00ED61AF" w:rsidRPr="00ED61AF" w:rsidRDefault="00ED61AF" w:rsidP="00ED61AF">
      <w:pPr>
        <w:rPr>
          <w:rFonts w:ascii="Calibri" w:hAnsi="Calibri" w:cs="Calibri"/>
          <w:strike/>
        </w:rPr>
      </w:pPr>
      <w:r w:rsidRPr="00ED61AF">
        <w:rPr>
          <w:rFonts w:ascii="Calibri" w:hAnsi="Calibri" w:cs="Calibri"/>
          <w:strike/>
        </w:rPr>
        <w:t>Understanding the potential for a constructive dismissal claim and the time limits for filing it is crucial when changes to working hours are involved (Duncan, 2024). The claim has arisen due to their employer’s actions making it impossible to continue in their role, due to a significant breach of contract. If an employee here can show that the employer violated an important term of the contract, they may have grounds for a constructive dismissal claim (ACAS, 2022).</w:t>
      </w:r>
    </w:p>
    <w:p w14:paraId="36CB5642" w14:textId="77777777" w:rsidR="00ED61AF" w:rsidRPr="00ED61AF" w:rsidRDefault="00ED61AF" w:rsidP="00ED61AF">
      <w:pPr>
        <w:rPr>
          <w:rFonts w:ascii="Calibri" w:hAnsi="Calibri" w:cs="Calibri"/>
          <w:strike/>
        </w:rPr>
      </w:pPr>
      <w:r w:rsidRPr="00ED61AF">
        <w:rPr>
          <w:rFonts w:ascii="Calibri" w:hAnsi="Calibri" w:cs="Calibri"/>
          <w:strike/>
        </w:rPr>
        <w:t>The key question is whether the change was a unilateral decision the employee was not expected to accept (ACAS, 2022).</w:t>
      </w:r>
    </w:p>
    <w:p w14:paraId="31B9008A" w14:textId="77777777" w:rsidR="00ED61AF" w:rsidRPr="00ED61AF" w:rsidRDefault="00ED61AF" w:rsidP="00ED61AF">
      <w:pPr>
        <w:rPr>
          <w:rFonts w:ascii="Calibri" w:hAnsi="Calibri" w:cs="Calibri"/>
          <w:strike/>
        </w:rPr>
      </w:pPr>
      <w:r w:rsidRPr="00ED61AF">
        <w:rPr>
          <w:rFonts w:ascii="Calibri" w:hAnsi="Calibri" w:cs="Calibri"/>
          <w:strike/>
        </w:rPr>
        <w:t>Relevant factors include:</w:t>
      </w:r>
    </w:p>
    <w:p w14:paraId="21566A74" w14:textId="77777777" w:rsidR="00ED61AF" w:rsidRPr="00ED61AF" w:rsidRDefault="00ED61AF" w:rsidP="00ED61AF">
      <w:pPr>
        <w:rPr>
          <w:rFonts w:ascii="Calibri" w:hAnsi="Calibri" w:cs="Calibri"/>
          <w:strike/>
        </w:rPr>
      </w:pPr>
      <w:r w:rsidRPr="00ED61AF">
        <w:rPr>
          <w:rFonts w:ascii="Calibri" w:hAnsi="Calibri" w:cs="Calibri"/>
          <w:strike/>
        </w:rPr>
        <w:t>Unilateral Changes: If the employee’s contract specifies certain working hours or there is an implied expectation of consistency, a significant, unilateral change without agreement could be a breach. For example, changing a fixed schedule without consultation might be unjustifiable (ACAS, 2019).</w:t>
      </w:r>
    </w:p>
    <w:p w14:paraId="0B3EA016" w14:textId="77777777" w:rsidR="00ED61AF" w:rsidRPr="00ED61AF" w:rsidRDefault="00ED61AF" w:rsidP="00ED61AF">
      <w:pPr>
        <w:rPr>
          <w:rFonts w:ascii="Calibri" w:hAnsi="Calibri" w:cs="Calibri"/>
          <w:strike/>
        </w:rPr>
      </w:pPr>
      <w:r w:rsidRPr="00ED61AF">
        <w:rPr>
          <w:rFonts w:ascii="Calibri" w:hAnsi="Calibri" w:cs="Calibri"/>
          <w:strike/>
        </w:rPr>
        <w:t>Inability to Continue: The employee must show that the change made it impossible to continue working, or that it forced them to resign. For example, if the new hours conflicted with family obligations, the employee might argue they could no longer perform the role (EmploymentSolicitor.com, 2020).</w:t>
      </w:r>
    </w:p>
    <w:p w14:paraId="7C902B74" w14:textId="77777777" w:rsidR="00ED61AF" w:rsidRPr="00ED61AF" w:rsidRDefault="00ED61AF" w:rsidP="00ED61AF">
      <w:pPr>
        <w:rPr>
          <w:rFonts w:ascii="Calibri" w:hAnsi="Calibri" w:cs="Calibri"/>
          <w:strike/>
        </w:rPr>
      </w:pPr>
      <w:r w:rsidRPr="00ED61AF">
        <w:rPr>
          <w:rFonts w:ascii="Calibri" w:hAnsi="Calibri" w:cs="Calibri"/>
          <w:strike/>
        </w:rPr>
        <w:t>Reasonableness: Employers can change working hours if the contract allows flexibility or if the change meets business needs. If the radiographer’s contract permits flexible hours, or if the change was minimal, the claim may not succeed.</w:t>
      </w:r>
    </w:p>
    <w:p w14:paraId="41DFFB93" w14:textId="77777777" w:rsidR="00ED61AF" w:rsidRPr="00ED61AF" w:rsidRDefault="00ED61AF" w:rsidP="00ED61AF">
      <w:pPr>
        <w:rPr>
          <w:rFonts w:ascii="Calibri" w:hAnsi="Calibri" w:cs="Calibri"/>
          <w:strike/>
        </w:rPr>
      </w:pPr>
      <w:r w:rsidRPr="00ED61AF">
        <w:rPr>
          <w:rFonts w:ascii="Calibri" w:hAnsi="Calibri" w:cs="Calibri"/>
          <w:strike/>
        </w:rPr>
        <w:t>Failure to Consult: If the employer did not consult the employee before changing hours, this could support a constructive dismissal claim. Lack of consultation may be seen as unreasonable (GOV.UK, 2024).</w:t>
      </w:r>
    </w:p>
    <w:p w14:paraId="48C308C0" w14:textId="77777777" w:rsidR="00ED61AF" w:rsidRPr="00ED61AF" w:rsidRDefault="00ED61AF" w:rsidP="00ED61AF">
      <w:pPr>
        <w:rPr>
          <w:rFonts w:ascii="Calibri" w:hAnsi="Calibri" w:cs="Calibri"/>
          <w:strike/>
        </w:rPr>
      </w:pPr>
      <w:r w:rsidRPr="00ED61AF">
        <w:rPr>
          <w:rFonts w:ascii="Calibri" w:hAnsi="Calibri" w:cs="Calibri"/>
          <w:strike/>
        </w:rPr>
        <w:t>Time Limits for Filing a Claim</w:t>
      </w:r>
    </w:p>
    <w:p w14:paraId="7D337920" w14:textId="77777777" w:rsidR="00ED61AF" w:rsidRPr="00ED61AF" w:rsidRDefault="00ED61AF" w:rsidP="00ED61AF">
      <w:pPr>
        <w:rPr>
          <w:rFonts w:ascii="Calibri" w:hAnsi="Calibri" w:cs="Calibri"/>
          <w:strike/>
        </w:rPr>
      </w:pPr>
      <w:r w:rsidRPr="00ED61AF">
        <w:rPr>
          <w:rFonts w:ascii="Calibri" w:hAnsi="Calibri" w:cs="Calibri"/>
          <w:strike/>
        </w:rPr>
        <w:t>An employee must submit a claim for constructive dismissal within three months from the date of resignation. This period begins when the resignation becomes effective, not when the issue occurred. Is this precisely correct? Add a reference</w:t>
      </w:r>
    </w:p>
    <w:p w14:paraId="3ABAB67D" w14:textId="77777777" w:rsidR="00ED61AF" w:rsidRPr="00ED61AF" w:rsidRDefault="00ED61AF" w:rsidP="00ED61AF">
      <w:pPr>
        <w:rPr>
          <w:rFonts w:ascii="Calibri" w:hAnsi="Calibri" w:cs="Calibri"/>
          <w:strike/>
        </w:rPr>
      </w:pPr>
      <w:r w:rsidRPr="00ED61AF">
        <w:rPr>
          <w:rFonts w:ascii="Calibri" w:hAnsi="Calibri" w:cs="Calibri"/>
          <w:strike/>
        </w:rPr>
        <w:t>Breach of Contract Claim: If a grievance was raised before resignation, it could extend the time limit.</w:t>
      </w:r>
    </w:p>
    <w:p w14:paraId="27F7A89C" w14:textId="77777777" w:rsidR="00ED61AF" w:rsidRPr="00ED61AF" w:rsidRDefault="00ED61AF" w:rsidP="00ED61AF">
      <w:pPr>
        <w:rPr>
          <w:rFonts w:ascii="Calibri" w:hAnsi="Calibri" w:cs="Calibri"/>
          <w:strike/>
        </w:rPr>
      </w:pPr>
      <w:r w:rsidRPr="00ED61AF">
        <w:rPr>
          <w:rFonts w:ascii="Calibri" w:hAnsi="Calibri" w:cs="Calibri"/>
          <w:strike/>
        </w:rPr>
        <w:lastRenderedPageBreak/>
        <w:t>"Out of Time" Claims: If the claim is filed late, the Tribunal may dismiss it, though extensions are possible at their discretion (ACAS, 2022).</w:t>
      </w:r>
    </w:p>
    <w:p w14:paraId="630C4249" w14:textId="77777777" w:rsidR="00ED61AF" w:rsidRPr="00ED61AF" w:rsidRDefault="00ED61AF" w:rsidP="00ED61AF">
      <w:pPr>
        <w:rPr>
          <w:rFonts w:ascii="Calibri" w:hAnsi="Calibri" w:cs="Calibri"/>
          <w:strike/>
        </w:rPr>
      </w:pPr>
      <w:r w:rsidRPr="00ED61AF">
        <w:rPr>
          <w:rFonts w:ascii="Calibri" w:hAnsi="Calibri" w:cs="Calibri"/>
          <w:strike/>
        </w:rPr>
        <w:t>Key Considerations</w:t>
      </w:r>
    </w:p>
    <w:p w14:paraId="6857CDA6" w14:textId="77777777" w:rsidR="00ED61AF" w:rsidRPr="00ED61AF" w:rsidRDefault="00ED61AF" w:rsidP="00ED61AF">
      <w:pPr>
        <w:rPr>
          <w:rFonts w:ascii="Calibri" w:hAnsi="Calibri" w:cs="Calibri"/>
          <w:strike/>
        </w:rPr>
      </w:pPr>
      <w:r w:rsidRPr="00ED61AF">
        <w:rPr>
          <w:rFonts w:ascii="Calibri" w:hAnsi="Calibri" w:cs="Calibri"/>
          <w:strike/>
        </w:rPr>
        <w:t>To avoid a constructive dismissal claim, the Trust should review:</w:t>
      </w:r>
    </w:p>
    <w:p w14:paraId="0B793F10" w14:textId="77777777" w:rsidR="00ED61AF" w:rsidRPr="00ED61AF" w:rsidRDefault="00ED61AF" w:rsidP="00ED61AF">
      <w:pPr>
        <w:rPr>
          <w:rFonts w:ascii="Calibri" w:hAnsi="Calibri" w:cs="Calibri"/>
          <w:strike/>
        </w:rPr>
      </w:pPr>
      <w:r w:rsidRPr="00ED61AF">
        <w:rPr>
          <w:rFonts w:ascii="Calibri" w:hAnsi="Calibri" w:cs="Calibri"/>
          <w:strike/>
        </w:rPr>
        <w:t>● The nature of the change in working hours.</w:t>
      </w:r>
    </w:p>
    <w:p w14:paraId="4574EF8D" w14:textId="77777777" w:rsidR="00ED61AF" w:rsidRPr="00ED61AF" w:rsidRDefault="00ED61AF" w:rsidP="00ED61AF">
      <w:pPr>
        <w:rPr>
          <w:rFonts w:ascii="Calibri" w:hAnsi="Calibri" w:cs="Calibri"/>
          <w:strike/>
        </w:rPr>
      </w:pPr>
      <w:r w:rsidRPr="00ED61AF">
        <w:rPr>
          <w:rFonts w:ascii="Calibri" w:hAnsi="Calibri" w:cs="Calibri"/>
          <w:strike/>
        </w:rPr>
        <w:t>● Whether the change was communicated and agreed upon.</w:t>
      </w:r>
    </w:p>
    <w:p w14:paraId="3216CA8B" w14:textId="77777777" w:rsidR="00ED61AF" w:rsidRPr="00ED61AF" w:rsidRDefault="00ED61AF" w:rsidP="00ED61AF">
      <w:pPr>
        <w:rPr>
          <w:rFonts w:ascii="Calibri" w:hAnsi="Calibri" w:cs="Calibri"/>
          <w:strike/>
        </w:rPr>
      </w:pPr>
      <w:r w:rsidRPr="00ED61AF">
        <w:rPr>
          <w:rFonts w:ascii="Calibri" w:hAnsi="Calibri" w:cs="Calibri"/>
          <w:strike/>
        </w:rPr>
        <w:t>● If the change breached the contract.</w:t>
      </w:r>
    </w:p>
    <w:p w14:paraId="2F64F390" w14:textId="77777777" w:rsidR="00ED61AF" w:rsidRPr="00ED61AF" w:rsidRDefault="00ED61AF" w:rsidP="00ED61AF">
      <w:pPr>
        <w:rPr>
          <w:rFonts w:ascii="Calibri" w:hAnsi="Calibri" w:cs="Calibri"/>
          <w:strike/>
        </w:rPr>
      </w:pPr>
      <w:r w:rsidRPr="00ED61AF">
        <w:rPr>
          <w:rFonts w:ascii="Calibri" w:hAnsi="Calibri" w:cs="Calibri"/>
          <w:strike/>
        </w:rPr>
        <w:t>● Whether the radiographer had a chance to voice concerns before resigning.</w:t>
      </w:r>
    </w:p>
    <w:p w14:paraId="10C8EB17" w14:textId="5FD2125E" w:rsidR="00ED61AF" w:rsidRPr="00ED61AF" w:rsidRDefault="00ED61AF">
      <w:pPr>
        <w:rPr>
          <w:rFonts w:ascii="Calibri" w:hAnsi="Calibri" w:cs="Calibri"/>
          <w:strike/>
        </w:rPr>
      </w:pPr>
      <w:r w:rsidRPr="00ED61AF">
        <w:rPr>
          <w:rFonts w:ascii="Calibri" w:hAnsi="Calibri" w:cs="Calibri"/>
          <w:strike/>
        </w:rPr>
        <w:t>Reviewing documentation related to the change and the employee’s contract is crucial. If concerns arise, seeking legal advice is recommended to assess the potential for a claim (Farmer, 2022).</w:t>
      </w:r>
    </w:p>
    <w:p w14:paraId="1939CA20" w14:textId="176B3782" w:rsidR="00835B77" w:rsidRPr="000652A2" w:rsidRDefault="00C20F42" w:rsidP="00D80F91">
      <w:pPr>
        <w:rPr>
          <w:rFonts w:ascii="Calibri" w:hAnsi="Calibri" w:cs="Calibri"/>
          <w:color w:val="FF0000"/>
        </w:rPr>
      </w:pPr>
      <w:r>
        <w:rPr>
          <w:rFonts w:ascii="Calibri" w:hAnsi="Calibri" w:cs="Calibri"/>
          <w:color w:val="FF0000"/>
        </w:rPr>
        <w:t xml:space="preserve">It is </w:t>
      </w:r>
      <w:r w:rsidR="001B090C">
        <w:rPr>
          <w:rFonts w:ascii="Calibri" w:hAnsi="Calibri" w:cs="Calibri"/>
          <w:color w:val="FF0000"/>
        </w:rPr>
        <w:t>essential</w:t>
      </w:r>
      <w:r>
        <w:rPr>
          <w:rFonts w:ascii="Calibri" w:hAnsi="Calibri" w:cs="Calibri"/>
          <w:color w:val="FF0000"/>
        </w:rPr>
        <w:t xml:space="preserve"> to</w:t>
      </w:r>
      <w:r w:rsidR="00835B77" w:rsidRPr="000652A2">
        <w:rPr>
          <w:rFonts w:ascii="Calibri" w:hAnsi="Calibri" w:cs="Calibri"/>
          <w:color w:val="FF0000"/>
        </w:rPr>
        <w:t xml:space="preserve"> highlight the potential legal risks associated with the recent change to an employee’s working hours and to consider whether this situation could give rise to a constructive dismissal claim.</w:t>
      </w:r>
    </w:p>
    <w:p w14:paraId="590BE957" w14:textId="77777777" w:rsidR="00835B77" w:rsidRPr="000652A2" w:rsidRDefault="00835B77" w:rsidP="00D80F91">
      <w:pPr>
        <w:rPr>
          <w:rFonts w:ascii="Calibri" w:hAnsi="Calibri" w:cs="Calibri"/>
          <w:color w:val="FF0000"/>
        </w:rPr>
      </w:pPr>
      <w:r w:rsidRPr="000652A2">
        <w:rPr>
          <w:rFonts w:ascii="Calibri" w:hAnsi="Calibri" w:cs="Calibri"/>
          <w:color w:val="FF0000"/>
        </w:rPr>
        <w:t>Constructive dismissal arises when an employee resigns in response to a serious breach of contract by their employer (Duncan, 2024). In this case, the alteration of the radiographer’s hours could be viewed as a breach if it was imposed without their agreement and significantly changed the terms of their employment (ACAS, 2022).</w:t>
      </w:r>
    </w:p>
    <w:p w14:paraId="3903A5E4" w14:textId="54128EEA" w:rsidR="00835B77" w:rsidRPr="000652A2" w:rsidRDefault="00835B77" w:rsidP="00D80F91">
      <w:pPr>
        <w:rPr>
          <w:rFonts w:ascii="Calibri" w:hAnsi="Calibri" w:cs="Calibri"/>
          <w:color w:val="FF0000"/>
        </w:rPr>
      </w:pPr>
      <w:r w:rsidRPr="000652A2">
        <w:rPr>
          <w:rFonts w:ascii="Calibri" w:hAnsi="Calibri" w:cs="Calibri"/>
          <w:color w:val="FF0000"/>
        </w:rPr>
        <w:t>If the employee’s contract outlines fixed hours or has been a consistent pattern over time, changing their schedule without consultation could be considered a breach of the implied duty of mutual trust and confidence (ACAS, 2019). For example, if the revised hours create difficulties with caring responsibilities, the employee may feel they can no longer reasonably continue.</w:t>
      </w:r>
    </w:p>
    <w:p w14:paraId="5BFFFC42" w14:textId="3289858B" w:rsidR="00835B77" w:rsidRPr="000652A2" w:rsidRDefault="00835B77" w:rsidP="00D80F91">
      <w:pPr>
        <w:rPr>
          <w:rFonts w:ascii="Calibri" w:hAnsi="Calibri" w:cs="Calibri"/>
          <w:color w:val="FF0000"/>
        </w:rPr>
      </w:pPr>
      <w:r w:rsidRPr="000652A2">
        <w:rPr>
          <w:rFonts w:ascii="Calibri" w:hAnsi="Calibri" w:cs="Calibri"/>
          <w:color w:val="FF0000"/>
        </w:rPr>
        <w:t xml:space="preserve">That said, the situation may be different if the contract allows for flexibility or if the change is minimal and linked to a genuine business need. A tribunal would likely consider whether the employee had an opportunity to raise concerns </w:t>
      </w:r>
      <w:r w:rsidR="00BB461A" w:rsidRPr="000652A2">
        <w:rPr>
          <w:rFonts w:ascii="Calibri" w:hAnsi="Calibri" w:cs="Calibri"/>
          <w:color w:val="FF0000"/>
          <w:shd w:val="clear" w:color="auto" w:fill="FFFFFF"/>
        </w:rPr>
        <w:t>(gov.uk, 2012),</w:t>
      </w:r>
      <w:r w:rsidR="00BB461A" w:rsidRPr="000652A2">
        <w:rPr>
          <w:rFonts w:ascii="Calibri" w:hAnsi="Calibri" w:cs="Calibri"/>
          <w:color w:val="FF0000"/>
          <w:sz w:val="23"/>
          <w:szCs w:val="23"/>
          <w:shd w:val="clear" w:color="auto" w:fill="FFFFFF"/>
        </w:rPr>
        <w:t xml:space="preserve"> </w:t>
      </w:r>
      <w:r w:rsidRPr="000652A2">
        <w:rPr>
          <w:rFonts w:ascii="Calibri" w:hAnsi="Calibri" w:cs="Calibri"/>
          <w:color w:val="FF0000"/>
        </w:rPr>
        <w:t xml:space="preserve">whether they </w:t>
      </w:r>
      <w:r w:rsidR="003F5120">
        <w:rPr>
          <w:rFonts w:ascii="Calibri" w:hAnsi="Calibri" w:cs="Calibri"/>
          <w:color w:val="FF0000"/>
        </w:rPr>
        <w:t xml:space="preserve">were </w:t>
      </w:r>
      <w:r w:rsidR="007800D7">
        <w:rPr>
          <w:rFonts w:ascii="Calibri" w:hAnsi="Calibri" w:cs="Calibri"/>
          <w:color w:val="FF0000"/>
        </w:rPr>
        <w:t>appr</w:t>
      </w:r>
      <w:r w:rsidR="003F5120">
        <w:rPr>
          <w:rFonts w:ascii="Calibri" w:hAnsi="Calibri" w:cs="Calibri"/>
          <w:color w:val="FF0000"/>
        </w:rPr>
        <w:t xml:space="preserve">opriately </w:t>
      </w:r>
      <w:r w:rsidRPr="000652A2">
        <w:rPr>
          <w:rFonts w:ascii="Calibri" w:hAnsi="Calibri" w:cs="Calibri"/>
          <w:color w:val="FF0000"/>
        </w:rPr>
        <w:t>consulted, and if any alternatives were explored.</w:t>
      </w:r>
    </w:p>
    <w:p w14:paraId="067D676B" w14:textId="7D142380" w:rsidR="00835B77" w:rsidRPr="000652A2" w:rsidRDefault="0064310B" w:rsidP="00D80F91">
      <w:pPr>
        <w:rPr>
          <w:rFonts w:ascii="Calibri" w:hAnsi="Calibri" w:cs="Calibri"/>
          <w:color w:val="FF0000"/>
        </w:rPr>
      </w:pPr>
      <w:r w:rsidRPr="000652A2">
        <w:rPr>
          <w:rFonts w:ascii="Calibri" w:hAnsi="Calibri" w:cs="Calibri"/>
          <w:color w:val="FF0000"/>
        </w:rPr>
        <w:t>As a rule</w:t>
      </w:r>
      <w:r w:rsidR="00835B77" w:rsidRPr="000652A2">
        <w:rPr>
          <w:rFonts w:ascii="Calibri" w:hAnsi="Calibri" w:cs="Calibri"/>
          <w:color w:val="FF0000"/>
        </w:rPr>
        <w:t>, employees must submit a claim for constructive dismissal within three months</w:t>
      </w:r>
      <w:r w:rsidR="00601C9F">
        <w:rPr>
          <w:rFonts w:ascii="Calibri" w:hAnsi="Calibri" w:cs="Calibri"/>
          <w:color w:val="FF0000"/>
        </w:rPr>
        <w:t>,</w:t>
      </w:r>
      <w:r w:rsidR="00835B77" w:rsidRPr="000652A2">
        <w:rPr>
          <w:rFonts w:ascii="Calibri" w:hAnsi="Calibri" w:cs="Calibri"/>
          <w:color w:val="FF0000"/>
        </w:rPr>
        <w:t xml:space="preserve"> minus one day from the resignation</w:t>
      </w:r>
      <w:r w:rsidR="0049693F">
        <w:rPr>
          <w:rFonts w:ascii="Calibri" w:hAnsi="Calibri" w:cs="Calibri"/>
          <w:color w:val="FF0000"/>
        </w:rPr>
        <w:t xml:space="preserve"> date</w:t>
      </w:r>
      <w:r w:rsidR="00835B77" w:rsidRPr="000652A2">
        <w:rPr>
          <w:rFonts w:ascii="Calibri" w:hAnsi="Calibri" w:cs="Calibri"/>
          <w:color w:val="FF0000"/>
        </w:rPr>
        <w:t>. This time limit may be extended if a formal grievance was submitted before they left, though such extensions are not automatic</w:t>
      </w:r>
      <w:r w:rsidR="00EA4B97" w:rsidRPr="000652A2">
        <w:rPr>
          <w:rFonts w:ascii="Calibri" w:hAnsi="Calibri" w:cs="Calibri"/>
          <w:color w:val="FF0000"/>
        </w:rPr>
        <w:t xml:space="preserve"> (ACAS, 2022).</w:t>
      </w:r>
    </w:p>
    <w:p w14:paraId="2554AB04" w14:textId="092C5FBA" w:rsidR="00AD5E29" w:rsidRPr="003D02DB" w:rsidRDefault="00835B77">
      <w:pPr>
        <w:rPr>
          <w:rFonts w:ascii="Calibri" w:hAnsi="Calibri" w:cs="Calibri"/>
          <w:color w:val="FF0000"/>
        </w:rPr>
      </w:pPr>
      <w:r w:rsidRPr="000652A2">
        <w:rPr>
          <w:rFonts w:ascii="Calibri" w:hAnsi="Calibri" w:cs="Calibri"/>
          <w:color w:val="FF0000"/>
        </w:rPr>
        <w:t xml:space="preserve">To manage the risk, it would be sensible to review the terms of the contract, the nature and scale of the change, and any records of communication with the employee. If the resignation came without warning, that may further complicate the matter. In such cases, </w:t>
      </w:r>
      <w:r w:rsidRPr="000652A2">
        <w:rPr>
          <w:rFonts w:ascii="Calibri" w:hAnsi="Calibri" w:cs="Calibri"/>
          <w:color w:val="FF0000"/>
        </w:rPr>
        <w:lastRenderedPageBreak/>
        <w:t>seeking advice from HR or legal specialists would be advisable to fully assess potential liabilities</w:t>
      </w:r>
      <w:r w:rsidR="00D80F91" w:rsidRPr="000652A2">
        <w:rPr>
          <w:rFonts w:ascii="Calibri" w:hAnsi="Calibri" w:cs="Calibri"/>
          <w:color w:val="FF0000"/>
        </w:rPr>
        <w:t xml:space="preserve"> (Farmer, 2022).</w:t>
      </w:r>
    </w:p>
    <w:p w14:paraId="4649AE9F" w14:textId="77777777" w:rsidR="004032A1" w:rsidRDefault="00FD0A41">
      <w:pPr>
        <w:rPr>
          <w:rFonts w:ascii="Calibri" w:eastAsia="Calibri" w:hAnsi="Calibri" w:cs="Calibri"/>
          <w:b/>
          <w:color w:val="000000"/>
          <w:sz w:val="28"/>
          <w:szCs w:val="28"/>
        </w:rPr>
      </w:pPr>
      <w:r>
        <w:rPr>
          <w:rFonts w:ascii="Calibri" w:eastAsia="Calibri" w:hAnsi="Calibri" w:cs="Calibri"/>
          <w:b/>
          <w:color w:val="000000"/>
          <w:sz w:val="28"/>
          <w:szCs w:val="28"/>
        </w:rPr>
        <w:t>3.2</w:t>
      </w:r>
    </w:p>
    <w:p w14:paraId="13BCF523" w14:textId="77777777" w:rsidR="004032A1" w:rsidRPr="00DD4F1D" w:rsidRDefault="00FD0A41">
      <w:pPr>
        <w:rPr>
          <w:rFonts w:ascii="Calibri" w:eastAsia="Calibri" w:hAnsi="Calibri" w:cs="Calibri"/>
        </w:rPr>
      </w:pPr>
      <w:r w:rsidRPr="00DD4F1D">
        <w:rPr>
          <w:rFonts w:ascii="Calibri" w:eastAsia="Calibri" w:hAnsi="Calibri" w:cs="Calibri"/>
        </w:rPr>
        <w:t xml:space="preserve">Ensuring compliance with redundancy law is essential to minimise legal risks, failure to follow proper procedures can lead to claims like unfair dismissal or failure to consult (Bloor, 2024) Inevitably leading to elevated expenses, contradictory to the business need for fifty redundancies. </w:t>
      </w:r>
    </w:p>
    <w:p w14:paraId="5314FE5B" w14:textId="77777777" w:rsidR="004032A1" w:rsidRPr="00DD4F1D" w:rsidRDefault="00FD0A41">
      <w:pPr>
        <w:rPr>
          <w:rFonts w:ascii="Calibri" w:eastAsia="Calibri" w:hAnsi="Calibri" w:cs="Calibri"/>
        </w:rPr>
      </w:pPr>
      <w:r w:rsidRPr="00DD4F1D">
        <w:rPr>
          <w:rFonts w:ascii="Calibri" w:eastAsia="Calibri" w:hAnsi="Calibri" w:cs="Calibri"/>
        </w:rPr>
        <w:t>Consultation is critical in redundancy processes. Two types are required:</w:t>
      </w:r>
    </w:p>
    <w:p w14:paraId="676EBD33" w14:textId="77777777" w:rsidR="004032A1" w:rsidRPr="00DD4F1D" w:rsidRDefault="00FD0A41">
      <w:pPr>
        <w:rPr>
          <w:rFonts w:ascii="Calibri" w:eastAsia="Calibri" w:hAnsi="Calibri" w:cs="Calibri"/>
        </w:rPr>
      </w:pPr>
      <w:r w:rsidRPr="00DD4F1D">
        <w:rPr>
          <w:rFonts w:ascii="Calibri" w:eastAsia="Calibri" w:hAnsi="Calibri" w:cs="Calibri"/>
          <w:b/>
        </w:rPr>
        <w:t>Individual Consultation:</w:t>
      </w:r>
      <w:r w:rsidRPr="00DD4F1D">
        <w:rPr>
          <w:rFonts w:ascii="Calibri" w:eastAsia="Calibri" w:hAnsi="Calibri" w:cs="Calibri"/>
        </w:rPr>
        <w:t xml:space="preserve"> This must be conducted with each affected employee, discussing reasons for redundancy, selection criteria, and potential alternatives. Employees must have time to provide feedback and suggest alternatives.</w:t>
      </w:r>
    </w:p>
    <w:p w14:paraId="1E5D4D0F" w14:textId="567634C4" w:rsidR="004032A1" w:rsidRPr="00DD4F1D" w:rsidRDefault="00FD0A41">
      <w:pPr>
        <w:rPr>
          <w:rFonts w:ascii="Calibri" w:eastAsia="Calibri" w:hAnsi="Calibri" w:cs="Calibri"/>
        </w:rPr>
      </w:pPr>
      <w:r w:rsidRPr="00DD4F1D">
        <w:rPr>
          <w:rFonts w:ascii="Calibri" w:eastAsia="Calibri" w:hAnsi="Calibri" w:cs="Calibri"/>
          <w:b/>
        </w:rPr>
        <w:t>Collective Consultation:</w:t>
      </w:r>
      <w:r w:rsidRPr="00DD4F1D">
        <w:rPr>
          <w:rFonts w:ascii="Calibri" w:eastAsia="Calibri" w:hAnsi="Calibri" w:cs="Calibri"/>
        </w:rPr>
        <w:t xml:space="preserve"> If twenty </w:t>
      </w:r>
      <w:r w:rsidR="0012516C">
        <w:rPr>
          <w:rFonts w:ascii="Calibri" w:eastAsia="Calibri" w:hAnsi="Calibri" w:cs="Calibri"/>
        </w:rPr>
        <w:t xml:space="preserve">– </w:t>
      </w:r>
      <w:r w:rsidR="00E117B7">
        <w:rPr>
          <w:rFonts w:ascii="Calibri" w:eastAsia="Calibri" w:hAnsi="Calibri" w:cs="Calibri"/>
        </w:rPr>
        <w:t>ninety-nine</w:t>
      </w:r>
      <w:r w:rsidRPr="00DD4F1D">
        <w:rPr>
          <w:rFonts w:ascii="Calibri" w:eastAsia="Calibri" w:hAnsi="Calibri" w:cs="Calibri"/>
        </w:rPr>
        <w:t xml:space="preserve"> employees are at risk of redundancy, as in this instance, within 90 days, collective consultation is required. It must begin at least 30 days before redundancies. In a case where one hundred or more employees are at risk, this process must </w:t>
      </w:r>
      <w:r w:rsidR="008C2213" w:rsidRPr="00DD4F1D">
        <w:rPr>
          <w:rFonts w:ascii="Calibri" w:eastAsia="Calibri" w:hAnsi="Calibri" w:cs="Calibri"/>
        </w:rPr>
        <w:t>begin 45</w:t>
      </w:r>
      <w:r w:rsidRPr="00DD4F1D">
        <w:rPr>
          <w:rFonts w:ascii="Calibri" w:eastAsia="Calibri" w:hAnsi="Calibri" w:cs="Calibri"/>
        </w:rPr>
        <w:t xml:space="preserve"> days before. Failure to consult collectively can lead to compensation claims (ACAS, 2020).</w:t>
      </w:r>
    </w:p>
    <w:p w14:paraId="59382E7B" w14:textId="77777777" w:rsidR="00920F8F" w:rsidRDefault="00FD0A41">
      <w:pPr>
        <w:rPr>
          <w:rFonts w:ascii="Calibri" w:eastAsia="Calibri" w:hAnsi="Calibri" w:cs="Calibri"/>
        </w:rPr>
      </w:pPr>
      <w:r w:rsidRPr="00DD4F1D">
        <w:rPr>
          <w:rFonts w:ascii="Calibri" w:eastAsia="Calibri" w:hAnsi="Calibri" w:cs="Calibri"/>
        </w:rPr>
        <w:t>It must be kept in mind that consultation must be genuine, allowing employees to contribute to potential alternatives as part of your restructure efforts. In addition, clear, fair, and non-discriminatory selection criteria must be used when redundancies are necessary. For example:</w:t>
      </w:r>
    </w:p>
    <w:p w14:paraId="0A2C066E" w14:textId="1D8D851B" w:rsidR="004032A1" w:rsidRPr="000955C9" w:rsidRDefault="009B5DBA" w:rsidP="000955C9">
      <w:pPr>
        <w:pStyle w:val="ListParagraph"/>
        <w:numPr>
          <w:ilvl w:val="0"/>
          <w:numId w:val="5"/>
        </w:numPr>
        <w:rPr>
          <w:rFonts w:ascii="Calibri" w:eastAsia="Calibri" w:hAnsi="Calibri" w:cs="Calibri"/>
        </w:rPr>
      </w:pPr>
      <w:r w:rsidRPr="000955C9">
        <w:rPr>
          <w:rFonts w:ascii="Calibri" w:hAnsi="Calibri" w:cs="Calibri"/>
        </w:rPr>
        <w:t>If performance is a factor, it should be based on clear, documented evidence, not personal opinions, to prevent discrimination claims.</w:t>
      </w:r>
    </w:p>
    <w:p w14:paraId="55FF6F0B" w14:textId="08128520" w:rsidR="004032A1" w:rsidRPr="000955C9" w:rsidRDefault="00FD0A41" w:rsidP="000955C9">
      <w:pPr>
        <w:pStyle w:val="ListParagraph"/>
        <w:numPr>
          <w:ilvl w:val="0"/>
          <w:numId w:val="5"/>
        </w:numPr>
        <w:rPr>
          <w:rFonts w:ascii="Calibri" w:eastAsia="Calibri" w:hAnsi="Calibri" w:cs="Calibri"/>
        </w:rPr>
      </w:pPr>
      <w:r w:rsidRPr="000955C9">
        <w:rPr>
          <w:rFonts w:ascii="Calibri" w:eastAsia="Calibri" w:hAnsi="Calibri" w:cs="Calibri"/>
        </w:rPr>
        <w:t xml:space="preserve">Before making redundancies, </w:t>
      </w:r>
      <w:r w:rsidR="003B5F95" w:rsidRPr="000955C9">
        <w:rPr>
          <w:rFonts w:ascii="Calibri" w:eastAsia="Calibri" w:hAnsi="Calibri" w:cs="Calibri"/>
        </w:rPr>
        <w:t>we</w:t>
      </w:r>
      <w:r w:rsidRPr="000955C9">
        <w:rPr>
          <w:rFonts w:ascii="Calibri" w:eastAsia="Calibri" w:hAnsi="Calibri" w:cs="Calibri"/>
        </w:rPr>
        <w:t xml:space="preserve"> must explore redeployment options within the organisation (Legal Foundations, 2024).</w:t>
      </w:r>
    </w:p>
    <w:p w14:paraId="0483CE1F" w14:textId="77777777" w:rsidR="004032A1" w:rsidRPr="00DD4F1D" w:rsidRDefault="00FD0A41">
      <w:pPr>
        <w:rPr>
          <w:rFonts w:ascii="Calibri" w:eastAsia="Calibri" w:hAnsi="Calibri" w:cs="Calibri"/>
        </w:rPr>
      </w:pPr>
      <w:r w:rsidRPr="00DD4F1D">
        <w:rPr>
          <w:rFonts w:ascii="Calibri" w:eastAsia="Calibri" w:hAnsi="Calibri" w:cs="Calibri"/>
        </w:rPr>
        <w:t>Employees with at least two years of continuous service are entitled to statutory redundancy pay. The amount depends on the employee’s service length, age, and weekly earnings. They must also receive notice of redundancy, with notice periods based on service length:</w:t>
      </w:r>
    </w:p>
    <w:p w14:paraId="4F872E70" w14:textId="77777777" w:rsidR="004032A1" w:rsidRPr="00DD4F1D" w:rsidRDefault="00FD0A41">
      <w:pPr>
        <w:rPr>
          <w:rFonts w:ascii="Calibri" w:eastAsia="Calibri" w:hAnsi="Calibri" w:cs="Calibri"/>
        </w:rPr>
      </w:pPr>
      <w:r w:rsidRPr="00DD4F1D">
        <w:rPr>
          <w:rFonts w:ascii="Calibri" w:eastAsia="Calibri" w:hAnsi="Calibri" w:cs="Calibri"/>
        </w:rPr>
        <w:t>1-2 years: at least one week.</w:t>
      </w:r>
    </w:p>
    <w:p w14:paraId="100D5ADA" w14:textId="77777777" w:rsidR="004032A1" w:rsidRPr="00DD4F1D" w:rsidRDefault="00FD0A41">
      <w:pPr>
        <w:rPr>
          <w:rFonts w:ascii="Calibri" w:eastAsia="Calibri" w:hAnsi="Calibri" w:cs="Calibri"/>
        </w:rPr>
      </w:pPr>
      <w:r w:rsidRPr="00DD4F1D">
        <w:rPr>
          <w:rFonts w:ascii="Calibri" w:eastAsia="Calibri" w:hAnsi="Calibri" w:cs="Calibri"/>
        </w:rPr>
        <w:t>2-12 years: at least two weeks.</w:t>
      </w:r>
    </w:p>
    <w:p w14:paraId="6B6320B4" w14:textId="77777777" w:rsidR="004032A1" w:rsidRPr="00DD4F1D" w:rsidRDefault="00FD0A41">
      <w:pPr>
        <w:rPr>
          <w:rFonts w:ascii="Calibri" w:eastAsia="Calibri" w:hAnsi="Calibri" w:cs="Calibri"/>
        </w:rPr>
      </w:pPr>
      <w:r w:rsidRPr="00DD4F1D">
        <w:rPr>
          <w:rFonts w:ascii="Calibri" w:eastAsia="Calibri" w:hAnsi="Calibri" w:cs="Calibri"/>
        </w:rPr>
        <w:t>Over 12 years: at least three weeks (GOV.UK, 2012).</w:t>
      </w:r>
    </w:p>
    <w:p w14:paraId="54EA8C7B" w14:textId="77777777" w:rsidR="004032A1" w:rsidRPr="00DD4F1D" w:rsidRDefault="00FD0A41">
      <w:pPr>
        <w:rPr>
          <w:rFonts w:ascii="Calibri" w:eastAsia="Calibri" w:hAnsi="Calibri" w:cs="Calibri"/>
        </w:rPr>
      </w:pPr>
      <w:r w:rsidRPr="00DD4F1D">
        <w:rPr>
          <w:rFonts w:ascii="Calibri" w:eastAsia="Calibri" w:hAnsi="Calibri" w:cs="Calibri"/>
        </w:rPr>
        <w:t>To prevent unfair dismissal claims, ensure that:</w:t>
      </w:r>
    </w:p>
    <w:p w14:paraId="451C2486" w14:textId="77777777" w:rsidR="004032A1" w:rsidRPr="00DD4F1D" w:rsidRDefault="00FD0A41">
      <w:pPr>
        <w:numPr>
          <w:ilvl w:val="0"/>
          <w:numId w:val="4"/>
        </w:numPr>
        <w:pBdr>
          <w:top w:val="nil"/>
          <w:left w:val="nil"/>
          <w:bottom w:val="nil"/>
          <w:right w:val="nil"/>
          <w:between w:val="nil"/>
        </w:pBdr>
        <w:spacing w:after="0"/>
        <w:rPr>
          <w:rFonts w:ascii="Calibri" w:eastAsia="Calibri" w:hAnsi="Calibri" w:cs="Calibri"/>
        </w:rPr>
      </w:pPr>
      <w:r w:rsidRPr="00DD4F1D">
        <w:rPr>
          <w:rFonts w:ascii="Calibri" w:eastAsia="Calibri" w:hAnsi="Calibri" w:cs="Calibri"/>
        </w:rPr>
        <w:t>Redundancy is based on genuine business needs.</w:t>
      </w:r>
    </w:p>
    <w:p w14:paraId="63B1FA5A" w14:textId="77777777" w:rsidR="004032A1" w:rsidRPr="00DD4F1D" w:rsidRDefault="00FD0A41">
      <w:pPr>
        <w:numPr>
          <w:ilvl w:val="0"/>
          <w:numId w:val="4"/>
        </w:numPr>
        <w:pBdr>
          <w:top w:val="nil"/>
          <w:left w:val="nil"/>
          <w:bottom w:val="nil"/>
          <w:right w:val="nil"/>
          <w:between w:val="nil"/>
        </w:pBdr>
        <w:spacing w:after="0"/>
        <w:rPr>
          <w:rFonts w:ascii="Calibri" w:eastAsia="Calibri" w:hAnsi="Calibri" w:cs="Calibri"/>
        </w:rPr>
      </w:pPr>
      <w:r w:rsidRPr="00DD4F1D">
        <w:rPr>
          <w:rFonts w:ascii="Calibri" w:eastAsia="Calibri" w:hAnsi="Calibri" w:cs="Calibri"/>
        </w:rPr>
        <w:t>Selection criteria are applied consistently.</w:t>
      </w:r>
    </w:p>
    <w:p w14:paraId="3DDE2816" w14:textId="77777777" w:rsidR="004032A1" w:rsidRPr="00DD4F1D" w:rsidRDefault="00FD0A41">
      <w:pPr>
        <w:numPr>
          <w:ilvl w:val="0"/>
          <w:numId w:val="4"/>
        </w:numPr>
        <w:pBdr>
          <w:top w:val="nil"/>
          <w:left w:val="nil"/>
          <w:bottom w:val="nil"/>
          <w:right w:val="nil"/>
          <w:between w:val="nil"/>
        </w:pBdr>
        <w:spacing w:after="0"/>
        <w:rPr>
          <w:rFonts w:ascii="Calibri" w:eastAsia="Calibri" w:hAnsi="Calibri" w:cs="Calibri"/>
        </w:rPr>
      </w:pPr>
      <w:r w:rsidRPr="00DD4F1D">
        <w:rPr>
          <w:rFonts w:ascii="Calibri" w:eastAsia="Calibri" w:hAnsi="Calibri" w:cs="Calibri"/>
        </w:rPr>
        <w:lastRenderedPageBreak/>
        <w:t>Employees are properly consulted.</w:t>
      </w:r>
    </w:p>
    <w:p w14:paraId="0EB4A238" w14:textId="77777777" w:rsidR="004032A1" w:rsidRPr="00DD4F1D" w:rsidRDefault="00FD0A41">
      <w:pPr>
        <w:numPr>
          <w:ilvl w:val="0"/>
          <w:numId w:val="4"/>
        </w:numPr>
        <w:pBdr>
          <w:top w:val="nil"/>
          <w:left w:val="nil"/>
          <w:bottom w:val="nil"/>
          <w:right w:val="nil"/>
          <w:between w:val="nil"/>
        </w:pBdr>
        <w:rPr>
          <w:rFonts w:ascii="Calibri" w:eastAsia="Calibri" w:hAnsi="Calibri" w:cs="Calibri"/>
        </w:rPr>
      </w:pPr>
      <w:r w:rsidRPr="00DD4F1D">
        <w:rPr>
          <w:rFonts w:ascii="Calibri" w:eastAsia="Calibri" w:hAnsi="Calibri" w:cs="Calibri"/>
        </w:rPr>
        <w:t>Redeployment options are explored.</w:t>
      </w:r>
    </w:p>
    <w:p w14:paraId="5C502D0F" w14:textId="77777777" w:rsidR="004032A1" w:rsidRPr="00DD4F1D" w:rsidRDefault="00FD0A41">
      <w:pPr>
        <w:rPr>
          <w:rFonts w:ascii="Calibri" w:eastAsia="Calibri" w:hAnsi="Calibri" w:cs="Calibri"/>
        </w:rPr>
      </w:pPr>
      <w:r w:rsidRPr="00DD4F1D">
        <w:rPr>
          <w:rFonts w:ascii="Calibri" w:eastAsia="Calibri" w:hAnsi="Calibri" w:cs="Calibri"/>
        </w:rPr>
        <w:t>Allow adequate time for consultation and decision-making. Rushing the redundancy process, especially in cases of collective consultation, can result in legal non-compliance.</w:t>
      </w:r>
    </w:p>
    <w:p w14:paraId="0ADD7956" w14:textId="77777777" w:rsidR="004032A1" w:rsidRPr="00DD4F1D" w:rsidRDefault="00FD0A41">
      <w:pPr>
        <w:rPr>
          <w:rFonts w:ascii="Calibri" w:eastAsia="Calibri" w:hAnsi="Calibri" w:cs="Calibri"/>
        </w:rPr>
      </w:pPr>
      <w:r w:rsidRPr="00DD4F1D">
        <w:rPr>
          <w:rFonts w:ascii="Calibri" w:eastAsia="Calibri" w:hAnsi="Calibri" w:cs="Calibri"/>
        </w:rPr>
        <w:t>In conclusion, redundancy should be managed fairly and in compliance with the law, with proper consultation, objective criteria, and consideration of alternative roles (Pitts, 2024). Non-compliance could expose the organisation to significant legal risks.</w:t>
      </w:r>
    </w:p>
    <w:p w14:paraId="6D848665" w14:textId="77777777" w:rsidR="004032A1" w:rsidRPr="00DD4F1D" w:rsidRDefault="00FD0A41">
      <w:pPr>
        <w:rPr>
          <w:rFonts w:ascii="Calibri" w:eastAsia="Calibri" w:hAnsi="Calibri" w:cs="Calibri"/>
          <w:b/>
          <w:sz w:val="28"/>
          <w:szCs w:val="28"/>
        </w:rPr>
      </w:pPr>
      <w:r w:rsidRPr="00DD4F1D">
        <w:rPr>
          <w:rFonts w:ascii="Calibri" w:eastAsia="Calibri" w:hAnsi="Calibri" w:cs="Calibri"/>
          <w:b/>
          <w:sz w:val="28"/>
          <w:szCs w:val="28"/>
        </w:rPr>
        <w:t>3.3</w:t>
      </w:r>
    </w:p>
    <w:p w14:paraId="1024CCB3" w14:textId="77777777" w:rsidR="004032A1" w:rsidRPr="00DD4F1D" w:rsidRDefault="00FD0A41">
      <w:pPr>
        <w:rPr>
          <w:rFonts w:ascii="Calibri" w:eastAsia="Calibri" w:hAnsi="Calibri" w:cs="Calibri"/>
        </w:rPr>
      </w:pPr>
      <w:r w:rsidRPr="00DD4F1D">
        <w:rPr>
          <w:rFonts w:ascii="Calibri" w:eastAsia="Calibri" w:hAnsi="Calibri" w:cs="Calibri"/>
        </w:rPr>
        <w:t>As you move forward with the merger negotiations, it is essential to have the correct considerations at every step. Consider the rights of employees impacted by the merger, especially those covered by the Transfer of Undertakings (Protection of Employment) (TUPE) Regulations (ACAS, 2021). TUPE protects employees when a business or part of a business is transferred to a new employer, (Suff, 2023) such as in this merger where our Trust's pharmacy operations would integrate with a neighbouring Trust.</w:t>
      </w:r>
    </w:p>
    <w:p w14:paraId="6ECDBA2E" w14:textId="1D667237" w:rsidR="004032A1" w:rsidRPr="00DD4F1D" w:rsidRDefault="00FD0A41">
      <w:pPr>
        <w:rPr>
          <w:rFonts w:ascii="Calibri" w:eastAsia="Calibri" w:hAnsi="Calibri" w:cs="Calibri"/>
          <w:highlight w:val="yellow"/>
        </w:rPr>
      </w:pPr>
      <w:r w:rsidRPr="00DD4F1D">
        <w:rPr>
          <w:rFonts w:ascii="Calibri" w:eastAsia="Calibri" w:hAnsi="Calibri" w:cs="Calibri"/>
        </w:rPr>
        <w:t xml:space="preserve">Under TUPE, employees assigned to the transferring pharmacy operation will automatically transfer to the new employer (our Trust). However, their terms and conditions, including salary, benefits, and service/holiday </w:t>
      </w:r>
      <w:r w:rsidR="00F25182" w:rsidRPr="00DD4F1D">
        <w:rPr>
          <w:rFonts w:ascii="Calibri" w:eastAsia="Calibri" w:hAnsi="Calibri" w:cs="Calibri"/>
        </w:rPr>
        <w:t>entitlements remain</w:t>
      </w:r>
      <w:r w:rsidRPr="00DD4F1D">
        <w:rPr>
          <w:rFonts w:ascii="Calibri" w:eastAsia="Calibri" w:hAnsi="Calibri" w:cs="Calibri"/>
        </w:rPr>
        <w:t xml:space="preserve"> unchanged. No new contracts are necessary, and employee consent is not required (ACAS, 2021). Changes to these terms are only allowed for economic, technical, or organisational reasons as per TUPE guidelines</w:t>
      </w:r>
      <w:r w:rsidR="00A840DC" w:rsidRPr="00DD4F1D">
        <w:rPr>
          <w:rFonts w:ascii="Calibri" w:eastAsia="Calibri" w:hAnsi="Calibri" w:cs="Calibri"/>
        </w:rPr>
        <w:t xml:space="preserve"> </w:t>
      </w:r>
      <w:r w:rsidR="00A840DC" w:rsidRPr="00DD4F1D">
        <w:rPr>
          <w:rFonts w:ascii="Calibri" w:hAnsi="Calibri" w:cs="Calibri"/>
          <w:shd w:val="clear" w:color="auto" w:fill="FFFFFF"/>
        </w:rPr>
        <w:t>(Gov.uk, 2024)</w:t>
      </w:r>
    </w:p>
    <w:p w14:paraId="656C57AB" w14:textId="77777777" w:rsidR="004032A1" w:rsidRPr="00DD4F1D" w:rsidRDefault="00FD0A41">
      <w:pPr>
        <w:rPr>
          <w:rFonts w:ascii="Calibri" w:eastAsia="Calibri" w:hAnsi="Calibri" w:cs="Calibri"/>
        </w:rPr>
      </w:pPr>
      <w:r w:rsidRPr="00DD4F1D">
        <w:rPr>
          <w:rFonts w:ascii="Calibri" w:eastAsia="Calibri" w:hAnsi="Calibri" w:cs="Calibri"/>
        </w:rPr>
        <w:t>Both the current and new employers must inform and consult with affected employees (or their representatives, such as trade unions) before the transfer. This consultation must cover:</w:t>
      </w:r>
    </w:p>
    <w:p w14:paraId="35B1EFF0" w14:textId="77777777" w:rsidR="004032A1" w:rsidRPr="00F9256F" w:rsidRDefault="00FD0A41" w:rsidP="00F9256F">
      <w:pPr>
        <w:pStyle w:val="ListParagraph"/>
        <w:numPr>
          <w:ilvl w:val="0"/>
          <w:numId w:val="6"/>
        </w:numPr>
        <w:rPr>
          <w:rFonts w:ascii="Calibri" w:eastAsia="Calibri" w:hAnsi="Calibri" w:cs="Calibri"/>
        </w:rPr>
      </w:pPr>
      <w:r w:rsidRPr="00F9256F">
        <w:rPr>
          <w:rFonts w:ascii="Calibri" w:eastAsia="Calibri" w:hAnsi="Calibri" w:cs="Calibri"/>
        </w:rPr>
        <w:t>Potential changes to roles, locations, or business structure. Consultation must be timely and meaningful, allowing the new employer to consider employee feedback.</w:t>
      </w:r>
    </w:p>
    <w:p w14:paraId="0E935946" w14:textId="77777777" w:rsidR="004032A1" w:rsidRPr="00F9256F" w:rsidRDefault="00FD0A41" w:rsidP="00F9256F">
      <w:pPr>
        <w:pStyle w:val="ListParagraph"/>
        <w:numPr>
          <w:ilvl w:val="0"/>
          <w:numId w:val="6"/>
        </w:numPr>
        <w:rPr>
          <w:rFonts w:ascii="Calibri" w:eastAsia="Calibri" w:hAnsi="Calibri" w:cs="Calibri"/>
        </w:rPr>
      </w:pPr>
      <w:r w:rsidRPr="00F9256F">
        <w:rPr>
          <w:rFonts w:ascii="Calibri" w:eastAsia="Calibri" w:hAnsi="Calibri" w:cs="Calibri"/>
        </w:rPr>
        <w:t>Employees can object to the transfer, and if they choose to resign, as long as the business conducts themselves within the law, they will not be entitled to redundancy pay. However, if dismissed due to the transfer, it is considered an unfair dismissal, and they can seek redress (William, 2025).</w:t>
      </w:r>
    </w:p>
    <w:p w14:paraId="4528F7FA" w14:textId="3D60D4FF" w:rsidR="004032A1" w:rsidRPr="00DD4F1D" w:rsidRDefault="00FD0A41">
      <w:pPr>
        <w:rPr>
          <w:rFonts w:ascii="Calibri" w:eastAsia="Calibri" w:hAnsi="Calibri" w:cs="Calibri"/>
        </w:rPr>
      </w:pPr>
      <w:r w:rsidRPr="00DD4F1D">
        <w:rPr>
          <w:rFonts w:ascii="Calibri" w:eastAsia="Calibri" w:hAnsi="Calibri" w:cs="Calibri"/>
        </w:rPr>
        <w:t>Dismissals directly caused by the TUPE transfer are usually considered automatically unfair unless justified by economic, technical, or organisational reasons. Post-merger redundancies must be based on legitimate business needs, not solely due to the transfer.</w:t>
      </w:r>
    </w:p>
    <w:p w14:paraId="47EF0E48" w14:textId="77777777" w:rsidR="004032A1" w:rsidRPr="00DD4F1D" w:rsidRDefault="00FD0A41">
      <w:pPr>
        <w:rPr>
          <w:rFonts w:ascii="Calibri" w:eastAsia="Calibri" w:hAnsi="Calibri" w:cs="Calibri"/>
        </w:rPr>
      </w:pPr>
      <w:r w:rsidRPr="00DD4F1D">
        <w:rPr>
          <w:rFonts w:ascii="Calibri" w:eastAsia="Calibri" w:hAnsi="Calibri" w:cs="Calibri"/>
        </w:rPr>
        <w:t>TUPE protects employees' pension rights under the original employer’s scheme. The new employer is not required to continue the same scheme but must offer a comparable one. Changes to pension schemes must be explained during consultation (Morris &amp; Morris, 2025).</w:t>
      </w:r>
    </w:p>
    <w:p w14:paraId="61BDBDE1" w14:textId="77777777" w:rsidR="004032A1" w:rsidRPr="00DD4F1D" w:rsidRDefault="00FD0A41">
      <w:pPr>
        <w:rPr>
          <w:rFonts w:ascii="Calibri" w:eastAsia="Calibri" w:hAnsi="Calibri" w:cs="Calibri"/>
        </w:rPr>
      </w:pPr>
      <w:r w:rsidRPr="00DD4F1D">
        <w:rPr>
          <w:rFonts w:ascii="Calibri" w:eastAsia="Calibri" w:hAnsi="Calibri" w:cs="Calibri"/>
        </w:rPr>
        <w:lastRenderedPageBreak/>
        <w:t>Any changes to working conditions after the transfer must be justified by economic, technical, or organisational reasons and should not bypass TUPE protections.</w:t>
      </w:r>
    </w:p>
    <w:p w14:paraId="3F2C36DA" w14:textId="77777777" w:rsidR="004032A1" w:rsidRPr="00DD4F1D" w:rsidRDefault="00FD0A41">
      <w:pPr>
        <w:rPr>
          <w:rFonts w:ascii="Calibri" w:eastAsia="Calibri" w:hAnsi="Calibri" w:cs="Calibri"/>
        </w:rPr>
      </w:pPr>
      <w:r w:rsidRPr="00DD4F1D">
        <w:rPr>
          <w:rFonts w:ascii="Calibri" w:eastAsia="Calibri" w:hAnsi="Calibri" w:cs="Calibri"/>
        </w:rPr>
        <w:t>The new employer inherits responsibility for any liabilities related to transferred employees, including claims or disputes arising before the transfer (Gov.uk, 2024).</w:t>
      </w:r>
    </w:p>
    <w:p w14:paraId="1E412F8D" w14:textId="77777777" w:rsidR="004032A1" w:rsidRPr="00DD4F1D" w:rsidRDefault="00FD0A41">
      <w:pPr>
        <w:rPr>
          <w:rFonts w:ascii="Calibri" w:eastAsia="Calibri" w:hAnsi="Calibri" w:cs="Calibri"/>
        </w:rPr>
      </w:pPr>
      <w:r w:rsidRPr="00DD4F1D">
        <w:rPr>
          <w:rFonts w:ascii="Calibri" w:eastAsia="Calibri" w:hAnsi="Calibri" w:cs="Calibri"/>
        </w:rPr>
        <w:t>Employees in the pharmacy operations will automatically transfer with unchanged terms. Pre-transfer consultation is required, and employees will retain pension rights. Dismissals related to the transfer are unfair unless justified. Post-transfer changes must be valid and properly consulted.</w:t>
      </w:r>
    </w:p>
    <w:p w14:paraId="45C9EC58" w14:textId="77777777" w:rsidR="004032A1" w:rsidRPr="00DD4F1D" w:rsidRDefault="00FD0A41">
      <w:pPr>
        <w:rPr>
          <w:rFonts w:ascii="Calibri" w:eastAsia="Calibri" w:hAnsi="Calibri" w:cs="Calibri"/>
          <w:b/>
          <w:sz w:val="28"/>
          <w:szCs w:val="28"/>
        </w:rPr>
      </w:pPr>
      <w:r w:rsidRPr="00DD4F1D">
        <w:rPr>
          <w:rFonts w:ascii="Calibri" w:eastAsia="Calibri" w:hAnsi="Calibri" w:cs="Calibri"/>
          <w:b/>
          <w:sz w:val="28"/>
          <w:szCs w:val="28"/>
        </w:rPr>
        <w:t>4.1</w:t>
      </w:r>
    </w:p>
    <w:p w14:paraId="6E7CC7AE" w14:textId="77777777" w:rsidR="004032A1" w:rsidRPr="00DD4F1D" w:rsidRDefault="00FD0A41">
      <w:pPr>
        <w:rPr>
          <w:rFonts w:ascii="Calibri" w:eastAsia="Calibri" w:hAnsi="Calibri" w:cs="Calibri"/>
        </w:rPr>
      </w:pPr>
      <w:r w:rsidRPr="00DD4F1D">
        <w:rPr>
          <w:rFonts w:ascii="Calibri" w:eastAsia="Calibri" w:hAnsi="Calibri" w:cs="Calibri"/>
        </w:rPr>
        <w:t>Under the Working Time Regulations 1998, all workers, including casual or zero-hours employees, are entitled to a minimum of 5.6 weeks of paid holiday annually (28 days for full-time employees). For staff with variable hours, such as nurse bank workers, holiday pay should reflect the actual hours worked (ACAS, n.d.).</w:t>
      </w:r>
    </w:p>
    <w:p w14:paraId="440544A3" w14:textId="5B7DF646" w:rsidR="004032A1" w:rsidRPr="00DD4F1D" w:rsidRDefault="00FD0A41">
      <w:pPr>
        <w:rPr>
          <w:rFonts w:ascii="Calibri" w:eastAsia="Calibri" w:hAnsi="Calibri" w:cs="Calibri"/>
        </w:rPr>
      </w:pPr>
      <w:r w:rsidRPr="00DD4F1D">
        <w:rPr>
          <w:rFonts w:ascii="Calibri" w:eastAsia="Calibri" w:hAnsi="Calibri" w:cs="Calibri"/>
        </w:rPr>
        <w:t>For casual or zero-hours employees, holiday pay is based on their actual earnings, not a fixed salary. This is calculated by adding the total earnings from the past 12 weeks and divide by twelve to find the average weekly earnings</w:t>
      </w:r>
      <w:r w:rsidR="003C31DE" w:rsidRPr="00DD4F1D">
        <w:rPr>
          <w:rFonts w:ascii="Calibri" w:eastAsia="Calibri" w:hAnsi="Calibri" w:cs="Calibri"/>
        </w:rPr>
        <w:t xml:space="preserve">. </w:t>
      </w:r>
      <w:r w:rsidRPr="00DD4F1D">
        <w:rPr>
          <w:rFonts w:ascii="Calibri" w:eastAsia="Calibri" w:hAnsi="Calibri" w:cs="Calibri"/>
        </w:rPr>
        <w:t>(Peninsula Group, 2020). Multiply the average weekly earnings by 12.07% (5.6 weeks of holiday is 12.07% of the working year) (GOV.UK, 2020).</w:t>
      </w:r>
    </w:p>
    <w:p w14:paraId="192706BF" w14:textId="701BC8BD" w:rsidR="004032A1" w:rsidRPr="00DD4F1D" w:rsidRDefault="00FD0A41">
      <w:pPr>
        <w:rPr>
          <w:rFonts w:ascii="Calibri" w:eastAsia="Calibri" w:hAnsi="Calibri" w:cs="Calibri"/>
        </w:rPr>
      </w:pPr>
      <w:r w:rsidRPr="00DD4F1D">
        <w:rPr>
          <w:rFonts w:ascii="Calibri" w:eastAsia="Calibri" w:hAnsi="Calibri" w:cs="Calibri"/>
        </w:rPr>
        <w:t>This accrued holiday pay can then either be added to their regular pay or paid out as a lump sum when they take holiday. Overtime and additional payments</w:t>
      </w:r>
      <w:r w:rsidR="00757456">
        <w:rPr>
          <w:rFonts w:ascii="Calibri" w:eastAsia="Calibri" w:hAnsi="Calibri" w:cs="Calibri"/>
        </w:rPr>
        <w:t xml:space="preserve">, for example </w:t>
      </w:r>
      <w:r w:rsidRPr="00DD4F1D">
        <w:rPr>
          <w:rFonts w:ascii="Calibri" w:eastAsia="Calibri" w:hAnsi="Calibri" w:cs="Calibri"/>
        </w:rPr>
        <w:t>for unsocial hours should be included in the calculation of average weekly pay, as these contribute to the worker’s total earnings.</w:t>
      </w:r>
    </w:p>
    <w:p w14:paraId="093A8596" w14:textId="77777777" w:rsidR="004032A1" w:rsidRPr="00DD4F1D" w:rsidRDefault="00FD0A41">
      <w:pPr>
        <w:rPr>
          <w:rFonts w:ascii="Calibri" w:eastAsia="Calibri" w:hAnsi="Calibri" w:cs="Calibri"/>
        </w:rPr>
      </w:pPr>
      <w:r w:rsidRPr="00DD4F1D">
        <w:rPr>
          <w:rFonts w:ascii="Calibri" w:eastAsia="Calibri" w:hAnsi="Calibri" w:cs="Calibri"/>
        </w:rPr>
        <w:t>Since nurse bank workers often work irregular shifts, careful tracking of their hours is necessary to ensure fair calculation of holiday pay. (GOV.UK, 2024).</w:t>
      </w:r>
    </w:p>
    <w:p w14:paraId="252387D0" w14:textId="77777777" w:rsidR="004032A1" w:rsidRPr="00DD4F1D" w:rsidRDefault="00FD0A41">
      <w:pPr>
        <w:rPr>
          <w:rFonts w:ascii="Calibri" w:eastAsia="Calibri" w:hAnsi="Calibri" w:cs="Calibri"/>
        </w:rPr>
      </w:pPr>
      <w:r w:rsidRPr="00DD4F1D">
        <w:rPr>
          <w:rFonts w:ascii="Calibri" w:eastAsia="Calibri" w:hAnsi="Calibri" w:cs="Calibri"/>
          <w:b/>
        </w:rPr>
        <w:t>Example Calculation:</w:t>
      </w:r>
      <w:r w:rsidRPr="00DD4F1D">
        <w:rPr>
          <w:rFonts w:ascii="Calibri" w:eastAsia="Calibri" w:hAnsi="Calibri" w:cs="Calibri"/>
        </w:rPr>
        <w:t xml:space="preserve"> If a nurse bank worker earned £2,750 over 12 weeks, their average weekly earnings would be £2,750 ÷ 12 = £229.17. The holiday pay would be £229.17 × 12.07% = £27.66. This amount should either be added to the next pay slip or paid separately.</w:t>
      </w:r>
    </w:p>
    <w:p w14:paraId="5F1DF281" w14:textId="76E2FAEB" w:rsidR="004032A1" w:rsidRPr="00DD4F1D" w:rsidRDefault="00FD0A41">
      <w:pPr>
        <w:rPr>
          <w:rFonts w:ascii="Calibri" w:eastAsia="Calibri" w:hAnsi="Calibri" w:cs="Calibri"/>
          <w:b/>
          <w:sz w:val="28"/>
          <w:szCs w:val="28"/>
        </w:rPr>
      </w:pPr>
      <w:r w:rsidRPr="00DD4F1D">
        <w:rPr>
          <w:rFonts w:ascii="Calibri" w:eastAsia="Calibri" w:hAnsi="Calibri" w:cs="Calibri"/>
        </w:rPr>
        <w:t xml:space="preserve">If a worker does not take their holiday, they can carry it over. If they leave employment, any unused holiday must be paid out. By following the above </w:t>
      </w:r>
      <w:r w:rsidR="00144BC1" w:rsidRPr="00DD4F1D">
        <w:rPr>
          <w:rFonts w:ascii="Calibri" w:eastAsia="Calibri" w:hAnsi="Calibri" w:cs="Calibri"/>
        </w:rPr>
        <w:t>steps,</w:t>
      </w:r>
      <w:r w:rsidRPr="00DD4F1D">
        <w:rPr>
          <w:rFonts w:ascii="Calibri" w:eastAsia="Calibri" w:hAnsi="Calibri" w:cs="Calibri"/>
        </w:rPr>
        <w:t xml:space="preserve"> you can be confident you are calculating the pay fairly and lawfully. </w:t>
      </w:r>
    </w:p>
    <w:p w14:paraId="1AED24B2" w14:textId="77777777" w:rsidR="004032A1" w:rsidRDefault="00FD0A41">
      <w:pPr>
        <w:rPr>
          <w:rFonts w:ascii="Calibri" w:eastAsia="Calibri" w:hAnsi="Calibri" w:cs="Calibri"/>
          <w:b/>
          <w:sz w:val="28"/>
          <w:szCs w:val="28"/>
          <w:highlight w:val="white"/>
        </w:rPr>
      </w:pPr>
      <w:r>
        <w:rPr>
          <w:rFonts w:ascii="Calibri" w:eastAsia="Calibri" w:hAnsi="Calibri" w:cs="Calibri"/>
          <w:b/>
          <w:sz w:val="28"/>
          <w:szCs w:val="28"/>
          <w:highlight w:val="white"/>
        </w:rPr>
        <w:t>4.2</w:t>
      </w:r>
    </w:p>
    <w:p w14:paraId="16A56E60" w14:textId="3ADA82E5" w:rsidR="004032A1" w:rsidRPr="00DD4F1D" w:rsidRDefault="00FD0A41">
      <w:pPr>
        <w:rPr>
          <w:rFonts w:ascii="Calibri" w:eastAsia="Calibri" w:hAnsi="Calibri" w:cs="Calibri"/>
        </w:rPr>
      </w:pPr>
      <w:r w:rsidRPr="00DD4F1D">
        <w:rPr>
          <w:rFonts w:ascii="Calibri" w:eastAsia="Calibri" w:hAnsi="Calibri" w:cs="Calibri"/>
        </w:rPr>
        <w:t xml:space="preserve">Both maternity leave and shared parental leave offer important benefits but differ in </w:t>
      </w:r>
      <w:r w:rsidR="00DC7101">
        <w:rPr>
          <w:rFonts w:ascii="Calibri" w:eastAsia="Calibri" w:hAnsi="Calibri" w:cs="Calibri"/>
        </w:rPr>
        <w:t>many ways</w:t>
      </w:r>
      <w:r w:rsidRPr="00DD4F1D">
        <w:rPr>
          <w:rFonts w:ascii="Calibri" w:eastAsia="Calibri" w:hAnsi="Calibri" w:cs="Calibri"/>
        </w:rPr>
        <w:t>, so here is a breakdown to help you decide.</w:t>
      </w:r>
    </w:p>
    <w:p w14:paraId="638804B5" w14:textId="77777777" w:rsidR="004032A1" w:rsidRPr="00DD4F1D" w:rsidRDefault="00FD0A41">
      <w:pPr>
        <w:rPr>
          <w:rFonts w:ascii="Calibri" w:eastAsia="Calibri" w:hAnsi="Calibri" w:cs="Calibri"/>
        </w:rPr>
      </w:pPr>
      <w:r w:rsidRPr="00DD4F1D">
        <w:rPr>
          <w:rFonts w:ascii="Calibri" w:eastAsia="Calibri" w:hAnsi="Calibri" w:cs="Calibri"/>
        </w:rPr>
        <w:lastRenderedPageBreak/>
        <w:t>Maternity leave provides job protection and time off for the mother after childbirth. Available to women employed at the time of childbirth, regardless of length of service. It allows up to 52 weeks (26 weeks Ordinary Maternity Leave (OML) and 26 weeks Additional Maternity Leave (AML)</w:t>
      </w:r>
      <w:r w:rsidRPr="00DD4F1D">
        <w:rPr>
          <w:rFonts w:ascii="Roboto" w:eastAsia="Roboto" w:hAnsi="Roboto" w:cs="Roboto"/>
          <w:sz w:val="23"/>
          <w:szCs w:val="23"/>
          <w:highlight w:val="white"/>
        </w:rPr>
        <w:t xml:space="preserve"> </w:t>
      </w:r>
      <w:r w:rsidRPr="00DD4F1D">
        <w:rPr>
          <w:rFonts w:ascii="Calibri" w:eastAsia="Calibri" w:hAnsi="Calibri" w:cs="Calibri"/>
          <w:highlight w:val="white"/>
        </w:rPr>
        <w:t>(GOV.UK, 2013)</w:t>
      </w:r>
      <w:r w:rsidRPr="00DD4F1D">
        <w:rPr>
          <w:rFonts w:ascii="Calibri" w:eastAsia="Calibri" w:hAnsi="Calibri" w:cs="Calibri"/>
        </w:rPr>
        <w:t>.</w:t>
      </w:r>
    </w:p>
    <w:p w14:paraId="7429778E" w14:textId="781A6479" w:rsidR="004032A1" w:rsidRPr="00DD4F1D" w:rsidRDefault="00FD0A41">
      <w:pPr>
        <w:rPr>
          <w:rFonts w:ascii="Calibri" w:eastAsia="Calibri" w:hAnsi="Calibri" w:cs="Calibri"/>
        </w:rPr>
      </w:pPr>
      <w:r w:rsidRPr="00DD4F1D">
        <w:rPr>
          <w:rFonts w:ascii="Calibri" w:eastAsia="Calibri" w:hAnsi="Calibri" w:cs="Calibri"/>
        </w:rPr>
        <w:t>Pay consists of 90% of average weekly earnings for the first 6 weeks. This is then followed by Statutory Maternity Pay (SMP) of £184.03 per week (or 90% of average earnings, whichever is lower) for the following 33 weeks, (some companies can offer an additional OMP provision)</w:t>
      </w:r>
      <w:r w:rsidR="005A5D49">
        <w:rPr>
          <w:rFonts w:ascii="Calibri" w:eastAsia="Calibri" w:hAnsi="Calibri" w:cs="Calibri"/>
        </w:rPr>
        <w:t>.</w:t>
      </w:r>
    </w:p>
    <w:p w14:paraId="75DC80B0" w14:textId="77777777" w:rsidR="004032A1" w:rsidRPr="00DD4F1D" w:rsidRDefault="00FD0A41">
      <w:pPr>
        <w:rPr>
          <w:rFonts w:ascii="Calibri" w:eastAsia="Calibri" w:hAnsi="Calibri" w:cs="Calibri"/>
        </w:rPr>
      </w:pPr>
      <w:r w:rsidRPr="00DD4F1D">
        <w:rPr>
          <w:rFonts w:ascii="Calibri" w:eastAsia="Calibri" w:hAnsi="Calibri" w:cs="Calibri"/>
        </w:rPr>
        <w:t>You must inform your employer at least 15 weeks before your due date and are guaranteed to return to the same or equivalent position after leave (CIPD, 2022).</w:t>
      </w:r>
    </w:p>
    <w:p w14:paraId="2741D4C1" w14:textId="77777777" w:rsidR="004032A1" w:rsidRPr="00DD4F1D" w:rsidRDefault="00FD0A41">
      <w:pPr>
        <w:rPr>
          <w:rFonts w:ascii="Calibri" w:eastAsia="Calibri" w:hAnsi="Calibri" w:cs="Calibri"/>
        </w:rPr>
      </w:pPr>
      <w:r w:rsidRPr="00DD4F1D">
        <w:rPr>
          <w:rFonts w:ascii="Calibri" w:eastAsia="Calibri" w:hAnsi="Calibri" w:cs="Calibri"/>
        </w:rPr>
        <w:t>Maternity leave offers job security and financial support during the first 6 weeks (90% pay) and provides time to recover and bond with the baby.</w:t>
      </w:r>
    </w:p>
    <w:p w14:paraId="238BAA7C" w14:textId="77777777" w:rsidR="004032A1" w:rsidRPr="00DD4F1D" w:rsidRDefault="00FD0A41">
      <w:pPr>
        <w:rPr>
          <w:rFonts w:ascii="Calibri" w:eastAsia="Calibri" w:hAnsi="Calibri" w:cs="Calibri"/>
          <w:b/>
        </w:rPr>
      </w:pPr>
      <w:r w:rsidRPr="00DD4F1D">
        <w:rPr>
          <w:rFonts w:ascii="Calibri" w:eastAsia="Calibri" w:hAnsi="Calibri" w:cs="Calibri"/>
        </w:rPr>
        <w:t>On the other hand, shared parental leave (SPL)</w:t>
      </w:r>
      <w:r w:rsidRPr="00DD4F1D">
        <w:rPr>
          <w:rFonts w:ascii="Calibri" w:eastAsia="Calibri" w:hAnsi="Calibri" w:cs="Calibri"/>
          <w:b/>
        </w:rPr>
        <w:t xml:space="preserve"> </w:t>
      </w:r>
      <w:r w:rsidRPr="00DD4F1D">
        <w:rPr>
          <w:rFonts w:ascii="Calibri" w:eastAsia="Calibri" w:hAnsi="Calibri" w:cs="Calibri"/>
        </w:rPr>
        <w:t>allows both parents to share time off following the birth of a child, offering flexibility.</w:t>
      </w:r>
    </w:p>
    <w:p w14:paraId="40181DA1" w14:textId="77777777" w:rsidR="004032A1" w:rsidRPr="00DD4F1D" w:rsidRDefault="00FD0A41">
      <w:pPr>
        <w:rPr>
          <w:rFonts w:ascii="Calibri" w:eastAsia="Calibri" w:hAnsi="Calibri" w:cs="Calibri"/>
        </w:rPr>
      </w:pPr>
      <w:r w:rsidRPr="00DD4F1D">
        <w:rPr>
          <w:rFonts w:ascii="Calibri" w:eastAsia="Calibri" w:hAnsi="Calibri" w:cs="Calibri"/>
        </w:rPr>
        <w:t xml:space="preserve">Both parents must meet specific criteria and the mother must take at least 2 weeks of maternity leave before sharing the rest. It allows up to 50 weeks then from here. </w:t>
      </w:r>
    </w:p>
    <w:p w14:paraId="7835875F" w14:textId="77777777" w:rsidR="004032A1" w:rsidRPr="00DD4F1D" w:rsidRDefault="00FD0A41">
      <w:pPr>
        <w:rPr>
          <w:rFonts w:ascii="Calibri" w:eastAsia="Calibri" w:hAnsi="Calibri" w:cs="Calibri"/>
        </w:rPr>
      </w:pPr>
      <w:r w:rsidRPr="00DD4F1D">
        <w:rPr>
          <w:rFonts w:ascii="Calibri" w:eastAsia="Calibri" w:hAnsi="Calibri" w:cs="Calibri"/>
        </w:rPr>
        <w:t>Statutory Shared Parental Pay (ShPP) of £184.03 per week (or 90% of average earnings, whichever is lower) for up to 39 weeks.</w:t>
      </w:r>
    </w:p>
    <w:p w14:paraId="38973834" w14:textId="6F982433" w:rsidR="004032A1" w:rsidRPr="00DD4F1D" w:rsidRDefault="00FD0A41">
      <w:pPr>
        <w:rPr>
          <w:rFonts w:ascii="Calibri" w:eastAsia="Calibri" w:hAnsi="Calibri" w:cs="Calibri"/>
        </w:rPr>
      </w:pPr>
      <w:r w:rsidRPr="00DD4F1D">
        <w:rPr>
          <w:rFonts w:ascii="Calibri" w:eastAsia="Calibri" w:hAnsi="Calibri" w:cs="Calibri"/>
        </w:rPr>
        <w:t>Parents can split the leave into blocks and decide when to take it, 8 weeks’ notice is required for both parents, with the mother ending maternity leave before starting S</w:t>
      </w:r>
      <w:r w:rsidR="00A736B8">
        <w:rPr>
          <w:rFonts w:ascii="Calibri" w:eastAsia="Calibri" w:hAnsi="Calibri" w:cs="Calibri"/>
        </w:rPr>
        <w:t>hPP</w:t>
      </w:r>
      <w:r w:rsidRPr="00DD4F1D">
        <w:rPr>
          <w:rFonts w:ascii="Calibri" w:eastAsia="Calibri" w:hAnsi="Calibri" w:cs="Calibri"/>
        </w:rPr>
        <w:t>.</w:t>
      </w:r>
    </w:p>
    <w:p w14:paraId="1C5403ED" w14:textId="54E577CC" w:rsidR="004032A1" w:rsidRPr="00DD4F1D" w:rsidRDefault="00FD0A41">
      <w:pPr>
        <w:rPr>
          <w:rFonts w:ascii="Calibri" w:eastAsia="Calibri" w:hAnsi="Calibri" w:cs="Calibri"/>
        </w:rPr>
      </w:pPr>
      <w:r w:rsidRPr="00DD4F1D">
        <w:rPr>
          <w:rFonts w:ascii="Calibri" w:eastAsia="Calibri" w:hAnsi="Calibri" w:cs="Calibri"/>
        </w:rPr>
        <w:t>S</w:t>
      </w:r>
      <w:r w:rsidR="00A736B8">
        <w:rPr>
          <w:rFonts w:ascii="Calibri" w:eastAsia="Calibri" w:hAnsi="Calibri" w:cs="Calibri"/>
        </w:rPr>
        <w:t>hPP</w:t>
      </w:r>
      <w:r w:rsidRPr="00DD4F1D">
        <w:rPr>
          <w:rFonts w:ascii="Calibri" w:eastAsia="Calibri" w:hAnsi="Calibri" w:cs="Calibri"/>
        </w:rPr>
        <w:t xml:space="preserve"> offers flexibility in dividing time off between parents and an opportunity to balance childcare and work responsibilities.</w:t>
      </w:r>
    </w:p>
    <w:p w14:paraId="5E275730" w14:textId="77777777" w:rsidR="004032A1" w:rsidRPr="00DD4F1D" w:rsidRDefault="00FD0A41">
      <w:pPr>
        <w:rPr>
          <w:rFonts w:ascii="Calibri" w:eastAsia="Calibri" w:hAnsi="Calibri" w:cs="Calibri"/>
          <w:b/>
        </w:rPr>
      </w:pPr>
      <w:r w:rsidRPr="00DD4F1D">
        <w:rPr>
          <w:rFonts w:ascii="Calibri" w:eastAsia="Calibri" w:hAnsi="Calibri" w:cs="Calibri"/>
          <w:b/>
        </w:rPr>
        <w:t>Key Differences:</w:t>
      </w:r>
    </w:p>
    <w:tbl>
      <w:tblPr>
        <w:tblStyle w:val="a"/>
        <w:tblW w:w="9026" w:type="dxa"/>
        <w:tblLayout w:type="fixed"/>
        <w:tblLook w:val="0400" w:firstRow="0" w:lastRow="0" w:firstColumn="0" w:lastColumn="0" w:noHBand="0" w:noVBand="1"/>
      </w:tblPr>
      <w:tblGrid>
        <w:gridCol w:w="1379"/>
        <w:gridCol w:w="3513"/>
        <w:gridCol w:w="4134"/>
      </w:tblGrid>
      <w:tr w:rsidR="00DD4F1D" w:rsidRPr="00DD4F1D" w14:paraId="2D295925" w14:textId="77777777">
        <w:trPr>
          <w:tblHeader/>
        </w:trPr>
        <w:tc>
          <w:tcPr>
            <w:tcW w:w="1379" w:type="dxa"/>
            <w:vAlign w:val="center"/>
          </w:tcPr>
          <w:p w14:paraId="2648C034" w14:textId="77777777" w:rsidR="004032A1" w:rsidRPr="00DD4F1D" w:rsidRDefault="00FD0A41">
            <w:pPr>
              <w:rPr>
                <w:rFonts w:ascii="Calibri" w:eastAsia="Calibri" w:hAnsi="Calibri" w:cs="Calibri"/>
                <w:b/>
                <w:u w:val="single"/>
              </w:rPr>
            </w:pPr>
            <w:r w:rsidRPr="00DD4F1D">
              <w:rPr>
                <w:rFonts w:ascii="Calibri" w:eastAsia="Calibri" w:hAnsi="Calibri" w:cs="Calibri"/>
                <w:b/>
                <w:u w:val="single"/>
              </w:rPr>
              <w:t>Feature</w:t>
            </w:r>
          </w:p>
        </w:tc>
        <w:tc>
          <w:tcPr>
            <w:tcW w:w="3513" w:type="dxa"/>
            <w:vAlign w:val="center"/>
          </w:tcPr>
          <w:p w14:paraId="500256B8" w14:textId="77777777" w:rsidR="004032A1" w:rsidRPr="00DD4F1D" w:rsidRDefault="00FD0A41">
            <w:pPr>
              <w:rPr>
                <w:rFonts w:ascii="Calibri" w:eastAsia="Calibri" w:hAnsi="Calibri" w:cs="Calibri"/>
                <w:b/>
                <w:u w:val="single"/>
              </w:rPr>
            </w:pPr>
            <w:r w:rsidRPr="00DD4F1D">
              <w:rPr>
                <w:rFonts w:ascii="Calibri" w:eastAsia="Calibri" w:hAnsi="Calibri" w:cs="Calibri"/>
                <w:b/>
                <w:u w:val="single"/>
              </w:rPr>
              <w:t>Maternity Leave</w:t>
            </w:r>
          </w:p>
        </w:tc>
        <w:tc>
          <w:tcPr>
            <w:tcW w:w="4134" w:type="dxa"/>
            <w:vAlign w:val="center"/>
          </w:tcPr>
          <w:p w14:paraId="04C5A3CB" w14:textId="77777777" w:rsidR="004032A1" w:rsidRPr="00DD4F1D" w:rsidRDefault="00FD0A41">
            <w:pPr>
              <w:rPr>
                <w:rFonts w:ascii="Calibri" w:eastAsia="Calibri" w:hAnsi="Calibri" w:cs="Calibri"/>
                <w:b/>
                <w:u w:val="single"/>
              </w:rPr>
            </w:pPr>
            <w:r w:rsidRPr="00DD4F1D">
              <w:rPr>
                <w:rFonts w:ascii="Calibri" w:eastAsia="Calibri" w:hAnsi="Calibri" w:cs="Calibri"/>
                <w:b/>
                <w:u w:val="single"/>
              </w:rPr>
              <w:t>Shared Parental Leave</w:t>
            </w:r>
          </w:p>
        </w:tc>
      </w:tr>
      <w:tr w:rsidR="00DD4F1D" w:rsidRPr="00DD4F1D" w14:paraId="5EE5719F" w14:textId="77777777">
        <w:tc>
          <w:tcPr>
            <w:tcW w:w="1379" w:type="dxa"/>
            <w:vAlign w:val="center"/>
          </w:tcPr>
          <w:p w14:paraId="264DB556" w14:textId="77777777" w:rsidR="004032A1" w:rsidRPr="00DD4F1D" w:rsidRDefault="00FD0A41">
            <w:pPr>
              <w:rPr>
                <w:rFonts w:ascii="Calibri" w:eastAsia="Calibri" w:hAnsi="Calibri" w:cs="Calibri"/>
              </w:rPr>
            </w:pPr>
            <w:r w:rsidRPr="00DD4F1D">
              <w:rPr>
                <w:rFonts w:ascii="Calibri" w:eastAsia="Calibri" w:hAnsi="Calibri" w:cs="Calibri"/>
                <w:b/>
              </w:rPr>
              <w:t>Eligibility</w:t>
            </w:r>
          </w:p>
        </w:tc>
        <w:tc>
          <w:tcPr>
            <w:tcW w:w="3513" w:type="dxa"/>
            <w:vAlign w:val="center"/>
          </w:tcPr>
          <w:p w14:paraId="0E32765E" w14:textId="77777777" w:rsidR="004032A1" w:rsidRPr="00DD4F1D" w:rsidRDefault="00FD0A41">
            <w:pPr>
              <w:rPr>
                <w:rFonts w:ascii="Calibri" w:eastAsia="Calibri" w:hAnsi="Calibri" w:cs="Calibri"/>
              </w:rPr>
            </w:pPr>
            <w:r w:rsidRPr="00DD4F1D">
              <w:rPr>
                <w:rFonts w:ascii="Calibri" w:eastAsia="Calibri" w:hAnsi="Calibri" w:cs="Calibri"/>
              </w:rPr>
              <w:t>For the mother only.</w:t>
            </w:r>
          </w:p>
        </w:tc>
        <w:tc>
          <w:tcPr>
            <w:tcW w:w="4134" w:type="dxa"/>
            <w:vAlign w:val="center"/>
          </w:tcPr>
          <w:p w14:paraId="40F3AA9F" w14:textId="77777777" w:rsidR="004032A1" w:rsidRPr="00DD4F1D" w:rsidRDefault="00FD0A41">
            <w:pPr>
              <w:rPr>
                <w:rFonts w:ascii="Calibri" w:eastAsia="Calibri" w:hAnsi="Calibri" w:cs="Calibri"/>
              </w:rPr>
            </w:pPr>
            <w:r w:rsidRPr="00DD4F1D">
              <w:rPr>
                <w:rFonts w:ascii="Calibri" w:eastAsia="Calibri" w:hAnsi="Calibri" w:cs="Calibri"/>
              </w:rPr>
              <w:t>Both parents must meet eligibility.</w:t>
            </w:r>
          </w:p>
        </w:tc>
      </w:tr>
      <w:tr w:rsidR="00DD4F1D" w:rsidRPr="00DD4F1D" w14:paraId="4CC21863" w14:textId="77777777">
        <w:tc>
          <w:tcPr>
            <w:tcW w:w="1379" w:type="dxa"/>
            <w:vAlign w:val="center"/>
          </w:tcPr>
          <w:p w14:paraId="2344D521" w14:textId="77777777" w:rsidR="004032A1" w:rsidRPr="00DD4F1D" w:rsidRDefault="00FD0A41">
            <w:pPr>
              <w:rPr>
                <w:rFonts w:ascii="Calibri" w:eastAsia="Calibri" w:hAnsi="Calibri" w:cs="Calibri"/>
              </w:rPr>
            </w:pPr>
            <w:r w:rsidRPr="00DD4F1D">
              <w:rPr>
                <w:rFonts w:ascii="Calibri" w:eastAsia="Calibri" w:hAnsi="Calibri" w:cs="Calibri"/>
                <w:b/>
              </w:rPr>
              <w:t>Duration</w:t>
            </w:r>
          </w:p>
        </w:tc>
        <w:tc>
          <w:tcPr>
            <w:tcW w:w="3513" w:type="dxa"/>
            <w:vAlign w:val="center"/>
          </w:tcPr>
          <w:p w14:paraId="22B109D7" w14:textId="77777777" w:rsidR="004032A1" w:rsidRPr="00DD4F1D" w:rsidRDefault="00FD0A41">
            <w:pPr>
              <w:rPr>
                <w:rFonts w:ascii="Calibri" w:eastAsia="Calibri" w:hAnsi="Calibri" w:cs="Calibri"/>
              </w:rPr>
            </w:pPr>
            <w:r w:rsidRPr="00DD4F1D">
              <w:rPr>
                <w:rFonts w:ascii="Calibri" w:eastAsia="Calibri" w:hAnsi="Calibri" w:cs="Calibri"/>
              </w:rPr>
              <w:t>52 weeks total (26 weeks OML, 26 weeks AML).</w:t>
            </w:r>
          </w:p>
        </w:tc>
        <w:tc>
          <w:tcPr>
            <w:tcW w:w="4134" w:type="dxa"/>
            <w:vAlign w:val="center"/>
          </w:tcPr>
          <w:p w14:paraId="7CD32F14" w14:textId="77777777" w:rsidR="004032A1" w:rsidRPr="00DD4F1D" w:rsidRDefault="00FD0A41">
            <w:pPr>
              <w:rPr>
                <w:rFonts w:ascii="Calibri" w:eastAsia="Calibri" w:hAnsi="Calibri" w:cs="Calibri"/>
              </w:rPr>
            </w:pPr>
            <w:r w:rsidRPr="00DD4F1D">
              <w:rPr>
                <w:rFonts w:ascii="Calibri" w:eastAsia="Calibri" w:hAnsi="Calibri" w:cs="Calibri"/>
              </w:rPr>
              <w:t>Up to 50 weeks (after 2 weeks of maternity leave).</w:t>
            </w:r>
          </w:p>
        </w:tc>
      </w:tr>
      <w:tr w:rsidR="00DD4F1D" w:rsidRPr="00DD4F1D" w14:paraId="3D6EC139" w14:textId="77777777">
        <w:tc>
          <w:tcPr>
            <w:tcW w:w="1379" w:type="dxa"/>
            <w:vAlign w:val="center"/>
          </w:tcPr>
          <w:p w14:paraId="4D2E6D33" w14:textId="77777777" w:rsidR="004032A1" w:rsidRPr="00DD4F1D" w:rsidRDefault="00FD0A41">
            <w:pPr>
              <w:rPr>
                <w:rFonts w:ascii="Calibri" w:eastAsia="Calibri" w:hAnsi="Calibri" w:cs="Calibri"/>
              </w:rPr>
            </w:pPr>
            <w:r w:rsidRPr="00DD4F1D">
              <w:rPr>
                <w:rFonts w:ascii="Calibri" w:eastAsia="Calibri" w:hAnsi="Calibri" w:cs="Calibri"/>
                <w:b/>
              </w:rPr>
              <w:t>Pay</w:t>
            </w:r>
          </w:p>
        </w:tc>
        <w:tc>
          <w:tcPr>
            <w:tcW w:w="3513" w:type="dxa"/>
            <w:vAlign w:val="center"/>
          </w:tcPr>
          <w:p w14:paraId="09201233" w14:textId="77777777" w:rsidR="004032A1" w:rsidRPr="00DD4F1D" w:rsidRDefault="00FD0A41">
            <w:pPr>
              <w:rPr>
                <w:rFonts w:ascii="Calibri" w:eastAsia="Calibri" w:hAnsi="Calibri" w:cs="Calibri"/>
              </w:rPr>
            </w:pPr>
            <w:r w:rsidRPr="00DD4F1D">
              <w:rPr>
                <w:rFonts w:ascii="Calibri" w:eastAsia="Calibri" w:hAnsi="Calibri" w:cs="Calibri"/>
              </w:rPr>
              <w:t>First 6 weeks at 90% pay, followed by SMP.</w:t>
            </w:r>
          </w:p>
        </w:tc>
        <w:tc>
          <w:tcPr>
            <w:tcW w:w="4134" w:type="dxa"/>
            <w:vAlign w:val="center"/>
          </w:tcPr>
          <w:p w14:paraId="2E66EBBF" w14:textId="77777777" w:rsidR="004032A1" w:rsidRPr="00DD4F1D" w:rsidRDefault="00FD0A41">
            <w:pPr>
              <w:rPr>
                <w:rFonts w:ascii="Calibri" w:eastAsia="Calibri" w:hAnsi="Calibri" w:cs="Calibri"/>
              </w:rPr>
            </w:pPr>
            <w:r w:rsidRPr="00DD4F1D">
              <w:rPr>
                <w:rFonts w:ascii="Calibri" w:eastAsia="Calibri" w:hAnsi="Calibri" w:cs="Calibri"/>
              </w:rPr>
              <w:t>First 6 weeks at 90% pay, followed by ShPP.</w:t>
            </w:r>
          </w:p>
        </w:tc>
      </w:tr>
      <w:tr w:rsidR="00DD4F1D" w:rsidRPr="00DD4F1D" w14:paraId="022FE5C6" w14:textId="77777777">
        <w:tc>
          <w:tcPr>
            <w:tcW w:w="1379" w:type="dxa"/>
            <w:vAlign w:val="center"/>
          </w:tcPr>
          <w:p w14:paraId="5CF78272" w14:textId="77777777" w:rsidR="004032A1" w:rsidRPr="00DD4F1D" w:rsidRDefault="00FD0A41">
            <w:pPr>
              <w:rPr>
                <w:rFonts w:ascii="Calibri" w:eastAsia="Calibri" w:hAnsi="Calibri" w:cs="Calibri"/>
              </w:rPr>
            </w:pPr>
            <w:r w:rsidRPr="00DD4F1D">
              <w:rPr>
                <w:rFonts w:ascii="Calibri" w:eastAsia="Calibri" w:hAnsi="Calibri" w:cs="Calibri"/>
                <w:b/>
              </w:rPr>
              <w:t>Flexibility</w:t>
            </w:r>
          </w:p>
        </w:tc>
        <w:tc>
          <w:tcPr>
            <w:tcW w:w="3513" w:type="dxa"/>
            <w:vAlign w:val="center"/>
          </w:tcPr>
          <w:p w14:paraId="1E5427FB" w14:textId="77777777" w:rsidR="004032A1" w:rsidRPr="00DD4F1D" w:rsidRDefault="00FD0A41">
            <w:pPr>
              <w:rPr>
                <w:rFonts w:ascii="Calibri" w:eastAsia="Calibri" w:hAnsi="Calibri" w:cs="Calibri"/>
              </w:rPr>
            </w:pPr>
            <w:r w:rsidRPr="00DD4F1D">
              <w:rPr>
                <w:rFonts w:ascii="Calibri" w:eastAsia="Calibri" w:hAnsi="Calibri" w:cs="Calibri"/>
              </w:rPr>
              <w:t>Fixed leave period for the mother.</w:t>
            </w:r>
          </w:p>
        </w:tc>
        <w:tc>
          <w:tcPr>
            <w:tcW w:w="4134" w:type="dxa"/>
            <w:vAlign w:val="center"/>
          </w:tcPr>
          <w:p w14:paraId="1D8E967C" w14:textId="77777777" w:rsidR="004032A1" w:rsidRPr="00DD4F1D" w:rsidRDefault="00FD0A41">
            <w:pPr>
              <w:rPr>
                <w:rFonts w:ascii="Calibri" w:eastAsia="Calibri" w:hAnsi="Calibri" w:cs="Calibri"/>
              </w:rPr>
            </w:pPr>
            <w:r w:rsidRPr="00DD4F1D">
              <w:rPr>
                <w:rFonts w:ascii="Calibri" w:eastAsia="Calibri" w:hAnsi="Calibri" w:cs="Calibri"/>
              </w:rPr>
              <w:t>Flexible – can be shared between both parents.</w:t>
            </w:r>
          </w:p>
        </w:tc>
      </w:tr>
      <w:tr w:rsidR="00DD4F1D" w:rsidRPr="00DD4F1D" w14:paraId="15666743" w14:textId="77777777">
        <w:tc>
          <w:tcPr>
            <w:tcW w:w="1379" w:type="dxa"/>
            <w:vAlign w:val="center"/>
          </w:tcPr>
          <w:p w14:paraId="028E7E6D" w14:textId="77777777" w:rsidR="004032A1" w:rsidRPr="00DD4F1D" w:rsidRDefault="00FD0A41">
            <w:pPr>
              <w:rPr>
                <w:rFonts w:ascii="Calibri" w:eastAsia="Calibri" w:hAnsi="Calibri" w:cs="Calibri"/>
              </w:rPr>
            </w:pPr>
            <w:r w:rsidRPr="00DD4F1D">
              <w:rPr>
                <w:rFonts w:ascii="Calibri" w:eastAsia="Calibri" w:hAnsi="Calibri" w:cs="Calibri"/>
                <w:b/>
              </w:rPr>
              <w:t>Job Protection</w:t>
            </w:r>
          </w:p>
        </w:tc>
        <w:tc>
          <w:tcPr>
            <w:tcW w:w="3513" w:type="dxa"/>
            <w:vAlign w:val="center"/>
          </w:tcPr>
          <w:p w14:paraId="2F94D67F" w14:textId="77777777" w:rsidR="004032A1" w:rsidRPr="00DD4F1D" w:rsidRDefault="00FD0A41">
            <w:pPr>
              <w:rPr>
                <w:rFonts w:ascii="Calibri" w:eastAsia="Calibri" w:hAnsi="Calibri" w:cs="Calibri"/>
              </w:rPr>
            </w:pPr>
            <w:r w:rsidRPr="00DD4F1D">
              <w:rPr>
                <w:rFonts w:ascii="Calibri" w:eastAsia="Calibri" w:hAnsi="Calibri" w:cs="Calibri"/>
              </w:rPr>
              <w:t>Job protected for mother.</w:t>
            </w:r>
          </w:p>
        </w:tc>
        <w:tc>
          <w:tcPr>
            <w:tcW w:w="4134" w:type="dxa"/>
            <w:vAlign w:val="center"/>
          </w:tcPr>
          <w:p w14:paraId="7BF587C4" w14:textId="77777777" w:rsidR="004032A1" w:rsidRPr="00DD4F1D" w:rsidRDefault="00FD0A41">
            <w:pPr>
              <w:rPr>
                <w:rFonts w:ascii="Calibri" w:eastAsia="Calibri" w:hAnsi="Calibri" w:cs="Calibri"/>
              </w:rPr>
            </w:pPr>
            <w:r w:rsidRPr="00DD4F1D">
              <w:rPr>
                <w:rFonts w:ascii="Calibri" w:eastAsia="Calibri" w:hAnsi="Calibri" w:cs="Calibri"/>
              </w:rPr>
              <w:t>Job protected for both parents.</w:t>
            </w:r>
          </w:p>
        </w:tc>
      </w:tr>
      <w:tr w:rsidR="00DD4F1D" w:rsidRPr="00DD4F1D" w14:paraId="7BAA004E" w14:textId="77777777">
        <w:tc>
          <w:tcPr>
            <w:tcW w:w="1379" w:type="dxa"/>
            <w:vAlign w:val="center"/>
          </w:tcPr>
          <w:p w14:paraId="14942EF6" w14:textId="77777777" w:rsidR="004032A1" w:rsidRPr="00DD4F1D" w:rsidRDefault="00FD0A41">
            <w:pPr>
              <w:rPr>
                <w:rFonts w:ascii="Calibri" w:eastAsia="Calibri" w:hAnsi="Calibri" w:cs="Calibri"/>
              </w:rPr>
            </w:pPr>
            <w:r w:rsidRPr="00DD4F1D">
              <w:rPr>
                <w:rFonts w:ascii="Calibri" w:eastAsia="Calibri" w:hAnsi="Calibri" w:cs="Calibri"/>
                <w:b/>
              </w:rPr>
              <w:lastRenderedPageBreak/>
              <w:t>Notice</w:t>
            </w:r>
          </w:p>
        </w:tc>
        <w:tc>
          <w:tcPr>
            <w:tcW w:w="3513" w:type="dxa"/>
            <w:vAlign w:val="center"/>
          </w:tcPr>
          <w:p w14:paraId="13DA60FF" w14:textId="77777777" w:rsidR="004032A1" w:rsidRPr="00DD4F1D" w:rsidRDefault="00FD0A41">
            <w:pPr>
              <w:rPr>
                <w:rFonts w:ascii="Calibri" w:eastAsia="Calibri" w:hAnsi="Calibri" w:cs="Calibri"/>
              </w:rPr>
            </w:pPr>
            <w:r w:rsidRPr="00DD4F1D">
              <w:rPr>
                <w:rFonts w:ascii="Calibri" w:eastAsia="Calibri" w:hAnsi="Calibri" w:cs="Calibri"/>
              </w:rPr>
              <w:t>15 weeks’ notice for maternity leave.</w:t>
            </w:r>
          </w:p>
        </w:tc>
        <w:tc>
          <w:tcPr>
            <w:tcW w:w="4134" w:type="dxa"/>
            <w:vAlign w:val="center"/>
          </w:tcPr>
          <w:p w14:paraId="3BC7D102" w14:textId="4E0070F6" w:rsidR="004032A1" w:rsidRPr="00DD4F1D" w:rsidRDefault="00FD0A41">
            <w:pPr>
              <w:rPr>
                <w:rFonts w:ascii="Calibri" w:eastAsia="Calibri" w:hAnsi="Calibri" w:cs="Calibri"/>
              </w:rPr>
            </w:pPr>
            <w:r w:rsidRPr="00DD4F1D">
              <w:rPr>
                <w:rFonts w:ascii="Calibri" w:eastAsia="Calibri" w:hAnsi="Calibri" w:cs="Calibri"/>
              </w:rPr>
              <w:t>8 weeks’ notice for S</w:t>
            </w:r>
            <w:r w:rsidR="0013423A">
              <w:rPr>
                <w:rFonts w:ascii="Calibri" w:eastAsia="Calibri" w:hAnsi="Calibri" w:cs="Calibri"/>
              </w:rPr>
              <w:t>hPP</w:t>
            </w:r>
            <w:r w:rsidRPr="00DD4F1D">
              <w:rPr>
                <w:rFonts w:ascii="Calibri" w:eastAsia="Calibri" w:hAnsi="Calibri" w:cs="Calibri"/>
              </w:rPr>
              <w:t>, after 2 weeks of maternity leave.</w:t>
            </w:r>
          </w:p>
        </w:tc>
      </w:tr>
    </w:tbl>
    <w:p w14:paraId="384EA8E6" w14:textId="35EC21AC" w:rsidR="004032A1" w:rsidRPr="002B1954" w:rsidRDefault="00FD0A41">
      <w:pPr>
        <w:rPr>
          <w:rFonts w:ascii="Calibri" w:eastAsia="Calibri" w:hAnsi="Calibri" w:cs="Calibri"/>
        </w:rPr>
      </w:pPr>
      <w:r w:rsidRPr="00DD4F1D">
        <w:rPr>
          <w:rFonts w:ascii="Calibri" w:eastAsia="Calibri" w:hAnsi="Calibri" w:cs="Calibri"/>
        </w:rPr>
        <w:t>If you prefer more time to recover after childbirth and have financial support upfront, maternity leave might be better. If both you and your partner want flexibility and to share caregiving responsibilities, S</w:t>
      </w:r>
      <w:r w:rsidR="00A96A9B">
        <w:rPr>
          <w:rFonts w:ascii="Calibri" w:eastAsia="Calibri" w:hAnsi="Calibri" w:cs="Calibri"/>
        </w:rPr>
        <w:t>hPP</w:t>
      </w:r>
      <w:r w:rsidRPr="00DD4F1D">
        <w:rPr>
          <w:rFonts w:ascii="Calibri" w:eastAsia="Calibri" w:hAnsi="Calibri" w:cs="Calibri"/>
        </w:rPr>
        <w:t xml:space="preserve"> could be the right choice. Your decision will depend on how much time off you both want and how you would like to balance work and childcare (CIPD, 2024).</w:t>
      </w:r>
    </w:p>
    <w:p w14:paraId="3CB24131" w14:textId="77777777" w:rsidR="004032A1" w:rsidRDefault="00FD0A41">
      <w:pPr>
        <w:rPr>
          <w:rFonts w:ascii="Calibri" w:eastAsia="Calibri" w:hAnsi="Calibri" w:cs="Calibri"/>
          <w:b/>
          <w:sz w:val="28"/>
          <w:szCs w:val="28"/>
          <w:highlight w:val="white"/>
        </w:rPr>
      </w:pPr>
      <w:r w:rsidRPr="00DD4F1D">
        <w:rPr>
          <w:rFonts w:ascii="Calibri" w:eastAsia="Calibri" w:hAnsi="Calibri" w:cs="Calibri"/>
          <w:b/>
          <w:sz w:val="28"/>
          <w:szCs w:val="28"/>
          <w:highlight w:val="white"/>
        </w:rPr>
        <w:t>4.3</w:t>
      </w:r>
    </w:p>
    <w:p w14:paraId="1008F662" w14:textId="77777777" w:rsidR="00B00968" w:rsidRPr="00B00968" w:rsidRDefault="00B00968" w:rsidP="00B00968">
      <w:pPr>
        <w:rPr>
          <w:rFonts w:ascii="Segoe UI" w:hAnsi="Segoe UI" w:cs="Segoe UI"/>
          <w:strike/>
          <w:sz w:val="18"/>
          <w:szCs w:val="18"/>
        </w:rPr>
      </w:pPr>
      <w:r w:rsidRPr="00B00968">
        <w:rPr>
          <w:rStyle w:val="normaltextrun"/>
          <w:rFonts w:ascii="Calibri" w:hAnsi="Calibri" w:cs="Calibri"/>
          <w:strike/>
          <w:color w:val="000000"/>
          <w:lang w:val="en-US"/>
        </w:rPr>
        <w:t>In the UK, employees who have worked continuously for at least 26 weeks are legally entitled to request flexible working arrangements, such as working from home, changing their hours, or altering their work patterns. This right is protected under the Employment Rights Act 1996 and the Flexible Working Regulations (GOV.UK, 2024).</w:t>
      </w:r>
      <w:r w:rsidRPr="00B00968">
        <w:rPr>
          <w:rStyle w:val="eop"/>
          <w:rFonts w:ascii="Calibri" w:hAnsi="Calibri" w:cs="Calibri"/>
          <w:strike/>
          <w:color w:val="000000"/>
        </w:rPr>
        <w:t> </w:t>
      </w:r>
    </w:p>
    <w:p w14:paraId="42E0C6EC" w14:textId="77777777" w:rsidR="00B00968" w:rsidRPr="00B00968" w:rsidRDefault="00B00968" w:rsidP="00B00968">
      <w:pPr>
        <w:rPr>
          <w:rFonts w:ascii="Segoe UI" w:hAnsi="Segoe UI" w:cs="Segoe UI"/>
          <w:strike/>
          <w:sz w:val="18"/>
          <w:szCs w:val="18"/>
        </w:rPr>
      </w:pPr>
      <w:r w:rsidRPr="00B00968">
        <w:rPr>
          <w:rStyle w:val="normaltextrun"/>
          <w:rFonts w:ascii="Calibri" w:hAnsi="Calibri" w:cs="Calibri"/>
          <w:strike/>
          <w:color w:val="000000"/>
          <w:lang w:val="en-US"/>
        </w:rPr>
        <w:t>Employees have the right to request flexible working, but it is not an automatic entitlement. The request needs to be reviewed and considered. If the officer has met the employment duration requirement, she is eligible to request working from home (CIPD, 2024).</w:t>
      </w:r>
      <w:r w:rsidRPr="00B00968">
        <w:rPr>
          <w:rStyle w:val="eop"/>
          <w:rFonts w:ascii="Calibri" w:hAnsi="Calibri" w:cs="Calibri"/>
          <w:strike/>
          <w:color w:val="000000"/>
        </w:rPr>
        <w:t> </w:t>
      </w:r>
    </w:p>
    <w:p w14:paraId="443C23DA" w14:textId="77777777" w:rsidR="00B00968" w:rsidRPr="00B00968" w:rsidRDefault="00B00968" w:rsidP="00B00968">
      <w:pPr>
        <w:rPr>
          <w:rFonts w:ascii="Segoe UI" w:hAnsi="Segoe UI" w:cs="Segoe UI"/>
          <w:strike/>
          <w:sz w:val="18"/>
          <w:szCs w:val="18"/>
        </w:rPr>
      </w:pPr>
      <w:r w:rsidRPr="00B00968">
        <w:rPr>
          <w:rStyle w:val="normaltextrun"/>
          <w:rFonts w:ascii="Calibri" w:hAnsi="Calibri" w:cs="Calibri"/>
          <w:strike/>
          <w:color w:val="000000"/>
          <w:lang w:val="en-US"/>
        </w:rPr>
        <w:t>You must review the request fairly and respond within three months. The decision should be based on the impact of the request on the business, considering operational needs (ACAS, 2023). While you are not required to approve the request, any refusal must be based on valid business reasons, such as:</w:t>
      </w:r>
      <w:r w:rsidRPr="00B00968">
        <w:rPr>
          <w:rStyle w:val="eop"/>
          <w:rFonts w:ascii="Calibri" w:hAnsi="Calibri" w:cs="Calibri"/>
          <w:strike/>
          <w:color w:val="000000"/>
        </w:rPr>
        <w:t> </w:t>
      </w:r>
    </w:p>
    <w:p w14:paraId="52382D0C" w14:textId="77777777" w:rsidR="00B00968" w:rsidRPr="00B00968" w:rsidRDefault="00B00968" w:rsidP="00B00968">
      <w:pPr>
        <w:rPr>
          <w:strike/>
        </w:rPr>
      </w:pPr>
      <w:r w:rsidRPr="00B00968">
        <w:rPr>
          <w:rStyle w:val="normaltextrun"/>
          <w:rFonts w:ascii="Calibri" w:hAnsi="Calibri" w:cs="Calibri"/>
          <w:strike/>
          <w:color w:val="000000"/>
          <w:lang w:val="en-US"/>
        </w:rPr>
        <w:t>Increased costs.</w:t>
      </w:r>
      <w:r w:rsidRPr="00B00968">
        <w:rPr>
          <w:rStyle w:val="eop"/>
          <w:rFonts w:ascii="Calibri" w:hAnsi="Calibri" w:cs="Calibri"/>
          <w:strike/>
          <w:color w:val="000000"/>
        </w:rPr>
        <w:t> </w:t>
      </w:r>
    </w:p>
    <w:p w14:paraId="502510CE" w14:textId="77777777" w:rsidR="00B00968" w:rsidRPr="00B00968" w:rsidRDefault="00B00968" w:rsidP="00B00968">
      <w:pPr>
        <w:rPr>
          <w:strike/>
        </w:rPr>
      </w:pPr>
      <w:r w:rsidRPr="00B00968">
        <w:rPr>
          <w:rStyle w:val="normaltextrun"/>
          <w:rFonts w:ascii="Calibri" w:hAnsi="Calibri" w:cs="Calibri"/>
          <w:strike/>
          <w:color w:val="000000"/>
          <w:lang w:val="en-US"/>
        </w:rPr>
        <w:t>Difficulty in redistributing work.</w:t>
      </w:r>
      <w:r w:rsidRPr="00B00968">
        <w:rPr>
          <w:rStyle w:val="eop"/>
          <w:rFonts w:ascii="Calibri" w:hAnsi="Calibri" w:cs="Calibri"/>
          <w:strike/>
          <w:color w:val="000000"/>
        </w:rPr>
        <w:t> </w:t>
      </w:r>
    </w:p>
    <w:p w14:paraId="39029ACF" w14:textId="77777777" w:rsidR="00B00968" w:rsidRPr="00B00968" w:rsidRDefault="00B00968" w:rsidP="00B00968">
      <w:pPr>
        <w:rPr>
          <w:strike/>
        </w:rPr>
      </w:pPr>
      <w:r w:rsidRPr="00B00968">
        <w:rPr>
          <w:rStyle w:val="normaltextrun"/>
          <w:rFonts w:ascii="Calibri" w:hAnsi="Calibri" w:cs="Calibri"/>
          <w:strike/>
          <w:color w:val="000000"/>
          <w:lang w:val="en-US"/>
        </w:rPr>
        <w:t>Inability to recruit additional staff.</w:t>
      </w:r>
      <w:r w:rsidRPr="00B00968">
        <w:rPr>
          <w:rStyle w:val="eop"/>
          <w:rFonts w:ascii="Calibri" w:hAnsi="Calibri" w:cs="Calibri"/>
          <w:strike/>
          <w:color w:val="000000"/>
        </w:rPr>
        <w:t> </w:t>
      </w:r>
    </w:p>
    <w:p w14:paraId="33F9C739" w14:textId="77777777" w:rsidR="00B00968" w:rsidRPr="00B00968" w:rsidRDefault="00B00968" w:rsidP="00B00968">
      <w:pPr>
        <w:rPr>
          <w:strike/>
        </w:rPr>
      </w:pPr>
      <w:r w:rsidRPr="00B00968">
        <w:rPr>
          <w:rStyle w:val="normaltextrun"/>
          <w:rFonts w:ascii="Calibri" w:hAnsi="Calibri" w:cs="Calibri"/>
          <w:strike/>
          <w:color w:val="000000"/>
          <w:lang w:val="en-US"/>
        </w:rPr>
        <w:t>Negative impact on service quality.</w:t>
      </w:r>
      <w:r w:rsidRPr="00B00968">
        <w:rPr>
          <w:rStyle w:val="eop"/>
          <w:rFonts w:ascii="Calibri" w:hAnsi="Calibri" w:cs="Calibri"/>
          <w:strike/>
          <w:color w:val="000000"/>
        </w:rPr>
        <w:t> </w:t>
      </w:r>
    </w:p>
    <w:p w14:paraId="105CAF40" w14:textId="77777777" w:rsidR="00B00968" w:rsidRPr="00B00968" w:rsidRDefault="00B00968" w:rsidP="00B00968">
      <w:pPr>
        <w:rPr>
          <w:strike/>
        </w:rPr>
      </w:pPr>
      <w:r w:rsidRPr="00B00968">
        <w:rPr>
          <w:rStyle w:val="normaltextrun"/>
          <w:rFonts w:ascii="Calibri" w:hAnsi="Calibri" w:cs="Calibri"/>
          <w:strike/>
          <w:color w:val="000000"/>
          <w:lang w:val="en-US"/>
        </w:rPr>
        <w:t>Insufficient work during proposed hours.</w:t>
      </w:r>
      <w:r w:rsidRPr="00B00968">
        <w:rPr>
          <w:rStyle w:val="eop"/>
          <w:rFonts w:ascii="Calibri" w:hAnsi="Calibri" w:cs="Calibri"/>
          <w:strike/>
          <w:color w:val="000000"/>
        </w:rPr>
        <w:t> </w:t>
      </w:r>
    </w:p>
    <w:p w14:paraId="4EBBE00C" w14:textId="77777777" w:rsidR="00B00968" w:rsidRPr="00B00968" w:rsidRDefault="00B00968" w:rsidP="00B00968">
      <w:pPr>
        <w:rPr>
          <w:strike/>
        </w:rPr>
      </w:pPr>
      <w:r w:rsidRPr="00B00968">
        <w:rPr>
          <w:rStyle w:val="normaltextrun"/>
          <w:rFonts w:ascii="Calibri" w:hAnsi="Calibri" w:cs="Calibri"/>
          <w:strike/>
          <w:color w:val="000000"/>
          <w:lang w:val="en-US"/>
        </w:rPr>
        <w:t>Planned structural changes.</w:t>
      </w:r>
      <w:r w:rsidRPr="00B00968">
        <w:rPr>
          <w:rStyle w:val="eop"/>
          <w:rFonts w:ascii="Calibri" w:hAnsi="Calibri" w:cs="Calibri"/>
          <w:strike/>
          <w:color w:val="000000"/>
        </w:rPr>
        <w:t> </w:t>
      </w:r>
    </w:p>
    <w:p w14:paraId="188F163C" w14:textId="77777777" w:rsidR="00B00968" w:rsidRPr="00B00968" w:rsidRDefault="00B00968" w:rsidP="00B00968">
      <w:pPr>
        <w:rPr>
          <w:rFonts w:ascii="Segoe UI" w:hAnsi="Segoe UI" w:cs="Segoe UI"/>
          <w:strike/>
          <w:sz w:val="18"/>
          <w:szCs w:val="18"/>
        </w:rPr>
      </w:pPr>
      <w:r w:rsidRPr="00B00968">
        <w:rPr>
          <w:rStyle w:val="normaltextrun"/>
          <w:rFonts w:ascii="Calibri" w:hAnsi="Calibri" w:cs="Calibri"/>
          <w:strike/>
          <w:color w:val="000000"/>
          <w:lang w:val="en-US"/>
        </w:rPr>
        <w:t>It is good practice to acknowledge the request in writing and arrange a meeting to discuss the details. Evaluate if the employee’s role can be performed from home three days a week, considering work nature, collaboration needs, and service delivery impact.</w:t>
      </w:r>
      <w:r w:rsidRPr="00B00968">
        <w:rPr>
          <w:rStyle w:val="eop"/>
          <w:rFonts w:ascii="Calibri" w:hAnsi="Calibri" w:cs="Calibri"/>
          <w:strike/>
          <w:color w:val="000000"/>
        </w:rPr>
        <w:t> </w:t>
      </w:r>
    </w:p>
    <w:p w14:paraId="4454C886" w14:textId="77777777" w:rsidR="00B00968" w:rsidRPr="00B00968" w:rsidRDefault="00B00968" w:rsidP="00B00968">
      <w:pPr>
        <w:rPr>
          <w:rFonts w:ascii="Segoe UI" w:hAnsi="Segoe UI" w:cs="Segoe UI"/>
          <w:strike/>
          <w:sz w:val="18"/>
          <w:szCs w:val="18"/>
        </w:rPr>
      </w:pPr>
      <w:r w:rsidRPr="00B00968">
        <w:rPr>
          <w:rStyle w:val="normaltextrun"/>
          <w:rFonts w:ascii="Calibri" w:hAnsi="Calibri" w:cs="Calibri"/>
          <w:strike/>
          <w:color w:val="000000"/>
          <w:lang w:val="en-US"/>
        </w:rPr>
        <w:t>If the arrangement is not feasible, explain the decision with clear business reasons. While you have the right to refuse, it is essential to communicate the rationale and reference valid reasons.</w:t>
      </w:r>
      <w:r w:rsidRPr="00B00968">
        <w:rPr>
          <w:rStyle w:val="eop"/>
          <w:rFonts w:ascii="Calibri" w:hAnsi="Calibri" w:cs="Calibri"/>
          <w:strike/>
          <w:color w:val="000000"/>
        </w:rPr>
        <w:t> </w:t>
      </w:r>
    </w:p>
    <w:p w14:paraId="039D9686" w14:textId="77777777" w:rsidR="00B00968" w:rsidRPr="00B00968" w:rsidRDefault="00B00968" w:rsidP="00B00968">
      <w:pPr>
        <w:rPr>
          <w:rFonts w:ascii="Segoe UI" w:hAnsi="Segoe UI" w:cs="Segoe UI"/>
          <w:strike/>
          <w:sz w:val="18"/>
          <w:szCs w:val="18"/>
        </w:rPr>
      </w:pPr>
      <w:r w:rsidRPr="00B00968">
        <w:rPr>
          <w:rStyle w:val="normaltextrun"/>
          <w:rFonts w:ascii="Calibri" w:hAnsi="Calibri" w:cs="Calibri"/>
          <w:strike/>
          <w:color w:val="000000"/>
          <w:lang w:val="en-US"/>
        </w:rPr>
        <w:lastRenderedPageBreak/>
        <w:t>Employees can appeal the decision, so ensure there is a fair process for handling appeals. If unsure about the arrangement’s impact, consider a trial period. This allows you to evaluate its effects on operations and reassess after a few months. If full remote work is not possible, explore hybrid or adjusted hours as alternatives to provide flexibility without compromising service quality.</w:t>
      </w:r>
      <w:r w:rsidRPr="00B00968">
        <w:rPr>
          <w:rStyle w:val="eop"/>
          <w:rFonts w:ascii="Calibri" w:hAnsi="Calibri" w:cs="Calibri"/>
          <w:strike/>
          <w:color w:val="000000"/>
        </w:rPr>
        <w:t> </w:t>
      </w:r>
    </w:p>
    <w:p w14:paraId="785ED802" w14:textId="68EAD319" w:rsidR="00B00968" w:rsidRPr="00B00968" w:rsidRDefault="00B00968" w:rsidP="00B00968">
      <w:pPr>
        <w:rPr>
          <w:rFonts w:ascii="Segoe UI" w:hAnsi="Segoe UI" w:cs="Segoe UI"/>
          <w:strike/>
          <w:sz w:val="18"/>
          <w:szCs w:val="18"/>
        </w:rPr>
      </w:pPr>
      <w:r w:rsidRPr="00B00968">
        <w:rPr>
          <w:rStyle w:val="normaltextrun"/>
          <w:rFonts w:ascii="Calibri" w:hAnsi="Calibri" w:cs="Calibri"/>
          <w:strike/>
          <w:color w:val="000000"/>
          <w:lang w:val="en-US"/>
        </w:rPr>
        <w:t>While you are not obligated to grant the request if there are valid business reasons, clear communication and fairness are crucial to maintaining a positive work environment and morale (Team, 2019).</w:t>
      </w:r>
      <w:r w:rsidRPr="00B00968">
        <w:rPr>
          <w:rStyle w:val="eop"/>
          <w:rFonts w:ascii="Calibri" w:hAnsi="Calibri" w:cs="Calibri"/>
          <w:strike/>
          <w:color w:val="000000"/>
        </w:rPr>
        <w:t> </w:t>
      </w:r>
    </w:p>
    <w:p w14:paraId="183AF4A5" w14:textId="14C116D0" w:rsidR="000508ED" w:rsidRPr="00962310" w:rsidRDefault="000508ED" w:rsidP="00591CFA">
      <w:pPr>
        <w:rPr>
          <w:rFonts w:ascii="Calibri" w:hAnsi="Calibri" w:cs="Calibri"/>
          <w:color w:val="FF0000"/>
        </w:rPr>
      </w:pPr>
      <w:r w:rsidRPr="00962310">
        <w:rPr>
          <w:rFonts w:ascii="Calibri" w:hAnsi="Calibri" w:cs="Calibri"/>
          <w:color w:val="FF0000"/>
        </w:rPr>
        <w:t xml:space="preserve">In the UK, employees who have worked continuously for at least 26 weeks are legally entitled to request flexible working arrangements, including changes to working hours or location. This right is covered under the Employment Rights Act 1996 and the Flexible Working Regulations (GOV.UK, 2024). While the officer has a legal right to make the request, this does not mean the request must be granted. You are required to consider it </w:t>
      </w:r>
      <w:r w:rsidR="002C4DDE">
        <w:rPr>
          <w:rFonts w:ascii="Calibri" w:hAnsi="Calibri" w:cs="Calibri"/>
          <w:color w:val="FF0000"/>
        </w:rPr>
        <w:t>reasonably</w:t>
      </w:r>
      <w:r w:rsidRPr="00962310">
        <w:rPr>
          <w:rFonts w:ascii="Calibri" w:hAnsi="Calibri" w:cs="Calibri"/>
          <w:color w:val="FF0000"/>
        </w:rPr>
        <w:t xml:space="preserve"> and </w:t>
      </w:r>
      <w:r w:rsidR="002E28C5" w:rsidRPr="00962310">
        <w:rPr>
          <w:rFonts w:ascii="Calibri" w:hAnsi="Calibri" w:cs="Calibri"/>
          <w:color w:val="FF0000"/>
        </w:rPr>
        <w:t>decide</w:t>
      </w:r>
      <w:r w:rsidRPr="00962310">
        <w:rPr>
          <w:rFonts w:ascii="Calibri" w:hAnsi="Calibri" w:cs="Calibri"/>
          <w:color w:val="FF0000"/>
        </w:rPr>
        <w:t xml:space="preserve"> based on the needs of the business.</w:t>
      </w:r>
    </w:p>
    <w:p w14:paraId="28C8097A" w14:textId="32335B52" w:rsidR="000508ED" w:rsidRPr="00962310" w:rsidRDefault="000508ED" w:rsidP="00591CFA">
      <w:pPr>
        <w:rPr>
          <w:rFonts w:ascii="Calibri" w:hAnsi="Calibri" w:cs="Calibri"/>
          <w:color w:val="FF0000"/>
        </w:rPr>
      </w:pPr>
      <w:r w:rsidRPr="00962310">
        <w:rPr>
          <w:rFonts w:ascii="Calibri" w:hAnsi="Calibri" w:cs="Calibri"/>
          <w:color w:val="FF0000"/>
        </w:rPr>
        <w:t>As a manager, it</w:t>
      </w:r>
      <w:r w:rsidR="00385BD1" w:rsidRPr="00962310">
        <w:rPr>
          <w:rFonts w:ascii="Calibri" w:hAnsi="Calibri" w:cs="Calibri"/>
          <w:color w:val="FF0000"/>
        </w:rPr>
        <w:t xml:space="preserve"> is</w:t>
      </w:r>
      <w:r w:rsidRPr="00962310">
        <w:rPr>
          <w:rFonts w:ascii="Calibri" w:hAnsi="Calibri" w:cs="Calibri"/>
          <w:color w:val="FF0000"/>
        </w:rPr>
        <w:t xml:space="preserve"> understandable to be concerned about how this request might affect the wider team. Flexible working</w:t>
      </w:r>
      <w:r w:rsidR="00B53EC3" w:rsidRPr="00962310">
        <w:rPr>
          <w:rFonts w:ascii="Calibri" w:hAnsi="Calibri" w:cs="Calibri"/>
          <w:color w:val="FF0000"/>
        </w:rPr>
        <w:t xml:space="preserve"> can affect how the team functions, especially in roles where staff need to be on-site or work closely with others. It may also impact how tasks are shared </w:t>
      </w:r>
      <w:r w:rsidR="00B53EC3" w:rsidRPr="00D76805">
        <w:rPr>
          <w:rFonts w:ascii="Calibri" w:hAnsi="Calibri" w:cs="Calibri"/>
          <w:color w:val="FF0000"/>
        </w:rPr>
        <w:t xml:space="preserve">and how services are </w:t>
      </w:r>
      <w:r w:rsidR="00962310" w:rsidRPr="00D76805">
        <w:rPr>
          <w:rFonts w:ascii="Calibri" w:hAnsi="Calibri" w:cs="Calibri"/>
          <w:color w:val="FF0000"/>
        </w:rPr>
        <w:t>delivered. If</w:t>
      </w:r>
      <w:r w:rsidRPr="00D76805">
        <w:rPr>
          <w:rFonts w:ascii="Calibri" w:hAnsi="Calibri" w:cs="Calibri"/>
          <w:color w:val="FF0000"/>
        </w:rPr>
        <w:t xml:space="preserve"> other team members are already stretched, approving a request for remote work could create additional pressure or lead to a sense of unfairness</w:t>
      </w:r>
      <w:r w:rsidR="00D76805" w:rsidRPr="00D76805">
        <w:rPr>
          <w:rFonts w:ascii="Calibri" w:hAnsi="Calibri" w:cs="Calibri"/>
          <w:color w:val="FF0000"/>
        </w:rPr>
        <w:t xml:space="preserve"> </w:t>
      </w:r>
      <w:r w:rsidR="00D76805" w:rsidRPr="00D76805">
        <w:rPr>
          <w:rFonts w:ascii="Calibri" w:hAnsi="Calibri" w:cs="Calibri"/>
          <w:color w:val="FF0000"/>
          <w:shd w:val="clear" w:color="auto" w:fill="FFFFFF"/>
        </w:rPr>
        <w:t xml:space="preserve">(CIPD, 2024). </w:t>
      </w:r>
      <w:r w:rsidRPr="00D76805">
        <w:rPr>
          <w:rFonts w:ascii="Calibri" w:hAnsi="Calibri" w:cs="Calibri"/>
          <w:color w:val="FF0000"/>
        </w:rPr>
        <w:t xml:space="preserve">These </w:t>
      </w:r>
      <w:r w:rsidR="000C43E4">
        <w:rPr>
          <w:rFonts w:ascii="Calibri" w:hAnsi="Calibri" w:cs="Calibri"/>
          <w:color w:val="FF0000"/>
        </w:rPr>
        <w:t xml:space="preserve">concerns are </w:t>
      </w:r>
      <w:r w:rsidR="00C62442" w:rsidRPr="00962310">
        <w:rPr>
          <w:rFonts w:ascii="Calibri" w:hAnsi="Calibri" w:cs="Calibri"/>
          <w:color w:val="FF0000"/>
        </w:rPr>
        <w:t>valid and</w:t>
      </w:r>
      <w:r w:rsidR="00640220">
        <w:rPr>
          <w:rFonts w:ascii="Calibri" w:hAnsi="Calibri" w:cs="Calibri"/>
          <w:color w:val="FF0000"/>
        </w:rPr>
        <w:t xml:space="preserve"> </w:t>
      </w:r>
      <w:r w:rsidRPr="00962310">
        <w:rPr>
          <w:rFonts w:ascii="Calibri" w:hAnsi="Calibri" w:cs="Calibri"/>
          <w:color w:val="FF0000"/>
        </w:rPr>
        <w:t xml:space="preserve">should be </w:t>
      </w:r>
      <w:r w:rsidR="00436901" w:rsidRPr="00962310">
        <w:rPr>
          <w:rFonts w:ascii="Calibri" w:hAnsi="Calibri" w:cs="Calibri"/>
          <w:color w:val="FF0000"/>
        </w:rPr>
        <w:t>considered</w:t>
      </w:r>
      <w:r w:rsidRPr="00962310">
        <w:rPr>
          <w:rFonts w:ascii="Calibri" w:hAnsi="Calibri" w:cs="Calibri"/>
          <w:color w:val="FF0000"/>
        </w:rPr>
        <w:t xml:space="preserve"> as part of your decision-making process.</w:t>
      </w:r>
    </w:p>
    <w:p w14:paraId="1D205541" w14:textId="0DCC341D" w:rsidR="000508ED" w:rsidRPr="00F23355" w:rsidRDefault="000508ED" w:rsidP="00591CFA">
      <w:pPr>
        <w:rPr>
          <w:rFonts w:ascii="Calibri" w:hAnsi="Calibri" w:cs="Calibri"/>
          <w:color w:val="FF0000"/>
        </w:rPr>
      </w:pPr>
      <w:r w:rsidRPr="00962310">
        <w:rPr>
          <w:rFonts w:ascii="Calibri" w:hAnsi="Calibri" w:cs="Calibri"/>
          <w:color w:val="FF0000"/>
        </w:rPr>
        <w:t>The law allows you to refuse a flexible working request if there are genuine business reasons. These can include increase</w:t>
      </w:r>
      <w:r w:rsidR="00640220">
        <w:rPr>
          <w:rFonts w:ascii="Calibri" w:hAnsi="Calibri" w:cs="Calibri"/>
          <w:color w:val="FF0000"/>
        </w:rPr>
        <w:t>d</w:t>
      </w:r>
      <w:r w:rsidRPr="00962310">
        <w:rPr>
          <w:rFonts w:ascii="Calibri" w:hAnsi="Calibri" w:cs="Calibri"/>
          <w:color w:val="FF0000"/>
        </w:rPr>
        <w:t xml:space="preserve"> costs, difficulties in covering the work, a</w:t>
      </w:r>
      <w:r w:rsidR="008271E2">
        <w:rPr>
          <w:rFonts w:ascii="Calibri" w:hAnsi="Calibri" w:cs="Calibri"/>
          <w:color w:val="FF0000"/>
        </w:rPr>
        <w:t>n</w:t>
      </w:r>
      <w:r w:rsidRPr="00962310">
        <w:rPr>
          <w:rFonts w:ascii="Calibri" w:hAnsi="Calibri" w:cs="Calibri"/>
          <w:color w:val="FF0000"/>
        </w:rPr>
        <w:t xml:space="preserve"> </w:t>
      </w:r>
      <w:r w:rsidR="008271E2">
        <w:rPr>
          <w:rFonts w:ascii="Calibri" w:hAnsi="Calibri" w:cs="Calibri"/>
          <w:color w:val="FF0000"/>
        </w:rPr>
        <w:t xml:space="preserve">adverse </w:t>
      </w:r>
      <w:r w:rsidRPr="00962310">
        <w:rPr>
          <w:rFonts w:ascii="Calibri" w:hAnsi="Calibri" w:cs="Calibri"/>
          <w:color w:val="FF0000"/>
        </w:rPr>
        <w:t xml:space="preserve">effect on the ability to meet customer demand, or an impact on team performance (ACAS, 2023). </w:t>
      </w:r>
      <w:r w:rsidR="00DF3C91" w:rsidRPr="00F23355">
        <w:rPr>
          <w:rStyle w:val="Strong"/>
          <w:rFonts w:ascii="Calibri" w:hAnsi="Calibri" w:cs="Calibri"/>
          <w:b w:val="0"/>
          <w:bCs w:val="0"/>
          <w:color w:val="FF0000"/>
          <w:shd w:val="clear" w:color="auto" w:fill="FFFFFF"/>
        </w:rPr>
        <w:t>Suppose</w:t>
      </w:r>
      <w:r w:rsidR="00DF3C91" w:rsidRPr="00F23355">
        <w:rPr>
          <w:rStyle w:val="fc6omth"/>
          <w:rFonts w:ascii="Calibri" w:hAnsi="Calibri" w:cs="Calibri"/>
          <w:color w:val="FF0000"/>
          <w:shd w:val="clear" w:color="auto" w:fill="FFFFFF"/>
        </w:rPr>
        <w:t> you feel that the officer’s proposal to work from home three days a week would negatively affect the team's effectiveness or morale</w:t>
      </w:r>
      <w:r w:rsidR="00CA377B" w:rsidRPr="00F23355">
        <w:rPr>
          <w:rStyle w:val="fc6omth"/>
          <w:rFonts w:ascii="Calibri" w:hAnsi="Calibri" w:cs="Calibri"/>
          <w:color w:val="FF0000"/>
          <w:shd w:val="clear" w:color="auto" w:fill="FFFFFF"/>
        </w:rPr>
        <w:t xml:space="preserve">, </w:t>
      </w:r>
      <w:r w:rsidR="00DF3C91" w:rsidRPr="00F23355">
        <w:rPr>
          <w:rStyle w:val="Strong"/>
          <w:rFonts w:ascii="Calibri" w:hAnsi="Calibri" w:cs="Calibri"/>
          <w:b w:val="0"/>
          <w:bCs w:val="0"/>
          <w:color w:val="FF0000"/>
          <w:shd w:val="clear" w:color="auto" w:fill="FFFFFF"/>
        </w:rPr>
        <w:t>In that case</w:t>
      </w:r>
      <w:r w:rsidR="00DF3C91" w:rsidRPr="00F23355">
        <w:rPr>
          <w:rStyle w:val="Strong"/>
          <w:rFonts w:ascii="Calibri" w:hAnsi="Calibri" w:cs="Calibri"/>
          <w:color w:val="FF0000"/>
          <w:shd w:val="clear" w:color="auto" w:fill="FFFFFF"/>
        </w:rPr>
        <w:t>,</w:t>
      </w:r>
      <w:r w:rsidR="00DF3C91" w:rsidRPr="00F23355">
        <w:rPr>
          <w:rStyle w:val="fc6omth"/>
          <w:rFonts w:ascii="Calibri" w:hAnsi="Calibri" w:cs="Calibri"/>
          <w:color w:val="FF0000"/>
          <w:shd w:val="clear" w:color="auto" w:fill="FFFFFF"/>
        </w:rPr>
        <w:t> this can be a justified reason for refusal, provided you explain it clearly.</w:t>
      </w:r>
    </w:p>
    <w:p w14:paraId="61C3AB01" w14:textId="55082AA1" w:rsidR="003C32E3" w:rsidRPr="003C32E3" w:rsidRDefault="003C32E3" w:rsidP="003C32E3">
      <w:pPr>
        <w:rPr>
          <w:color w:val="FF0000"/>
        </w:rPr>
      </w:pPr>
      <w:r w:rsidRPr="003C32E3">
        <w:rPr>
          <w:rStyle w:val="fc6omth"/>
          <w:rFonts w:ascii="Calibri" w:hAnsi="Calibri" w:cs="Calibri"/>
          <w:color w:val="FF0000"/>
          <w:shd w:val="clear" w:color="auto" w:fill="FFFFFF"/>
        </w:rPr>
        <w:t>Before making a final decision, it may be helpful to meet with the officer to explore other options. For example, could a hybrid model or different working pattern offer more flexibility without compromising the team's needs? You could also consider a temporary trial to assess the impact. This will show </w:t>
      </w:r>
      <w:r w:rsidRPr="003C32E3">
        <w:rPr>
          <w:rStyle w:val="Strong"/>
          <w:rFonts w:ascii="Calibri" w:hAnsi="Calibri" w:cs="Calibri"/>
          <w:b w:val="0"/>
          <w:bCs w:val="0"/>
          <w:color w:val="FF0000"/>
          <w:shd w:val="clear" w:color="auto" w:fill="FFFFFF"/>
        </w:rPr>
        <w:t>your</w:t>
      </w:r>
      <w:r w:rsidRPr="003C32E3">
        <w:rPr>
          <w:rStyle w:val="Strong"/>
          <w:rFonts w:ascii="Calibri" w:hAnsi="Calibri" w:cs="Calibri"/>
          <w:color w:val="FF0000"/>
          <w:shd w:val="clear" w:color="auto" w:fill="FFFFFF"/>
        </w:rPr>
        <w:t> </w:t>
      </w:r>
      <w:r w:rsidRPr="003C32E3">
        <w:rPr>
          <w:rStyle w:val="fc6omth"/>
          <w:rFonts w:ascii="Calibri" w:hAnsi="Calibri" w:cs="Calibri"/>
          <w:color w:val="FF0000"/>
          <w:shd w:val="clear" w:color="auto" w:fill="FFFFFF"/>
        </w:rPr>
        <w:t>willingness to support the employee while protecting service delivery and team cohesion.</w:t>
      </w:r>
    </w:p>
    <w:p w14:paraId="7148F532" w14:textId="76EE72C8" w:rsidR="000508ED" w:rsidRPr="00962310" w:rsidRDefault="000508ED" w:rsidP="00591CFA">
      <w:pPr>
        <w:rPr>
          <w:rFonts w:ascii="Calibri" w:hAnsi="Calibri" w:cs="Calibri"/>
          <w:color w:val="FF0000"/>
        </w:rPr>
      </w:pPr>
      <w:r w:rsidRPr="00962310">
        <w:rPr>
          <w:rFonts w:ascii="Calibri" w:hAnsi="Calibri" w:cs="Calibri"/>
          <w:color w:val="FF0000"/>
        </w:rPr>
        <w:t>Whatever the outcome, it</w:t>
      </w:r>
      <w:r w:rsidR="00DB6BA7" w:rsidRPr="00962310">
        <w:rPr>
          <w:rFonts w:ascii="Calibri" w:hAnsi="Calibri" w:cs="Calibri"/>
          <w:color w:val="FF0000"/>
        </w:rPr>
        <w:t xml:space="preserve"> is </w:t>
      </w:r>
      <w:r w:rsidR="00836D14">
        <w:rPr>
          <w:rFonts w:ascii="Calibri" w:hAnsi="Calibri" w:cs="Calibri"/>
          <w:color w:val="FF0000"/>
        </w:rPr>
        <w:t>critical</w:t>
      </w:r>
      <w:r w:rsidRPr="00962310">
        <w:rPr>
          <w:rFonts w:ascii="Calibri" w:hAnsi="Calibri" w:cs="Calibri"/>
          <w:color w:val="FF0000"/>
        </w:rPr>
        <w:t xml:space="preserve"> to respond within</w:t>
      </w:r>
      <w:r w:rsidR="00836D14">
        <w:rPr>
          <w:rFonts w:ascii="Calibri" w:hAnsi="Calibri" w:cs="Calibri"/>
          <w:color w:val="FF0000"/>
        </w:rPr>
        <w:t xml:space="preserve"> </w:t>
      </w:r>
      <w:r w:rsidRPr="00962310">
        <w:rPr>
          <w:rFonts w:ascii="Calibri" w:hAnsi="Calibri" w:cs="Calibri"/>
          <w:color w:val="FF0000"/>
        </w:rPr>
        <w:t>three</w:t>
      </w:r>
      <w:r w:rsidR="00836D14">
        <w:rPr>
          <w:rFonts w:ascii="Calibri" w:hAnsi="Calibri" w:cs="Calibri"/>
          <w:color w:val="FF0000"/>
        </w:rPr>
        <w:t xml:space="preserve"> months</w:t>
      </w:r>
      <w:r w:rsidRPr="00962310">
        <w:rPr>
          <w:rFonts w:ascii="Calibri" w:hAnsi="Calibri" w:cs="Calibri"/>
          <w:color w:val="FF0000"/>
        </w:rPr>
        <w:t xml:space="preserve">, provide clear reasons if you decline the request, and ensure the process is fair </w:t>
      </w:r>
      <w:r w:rsidR="005C7C20" w:rsidRPr="005C7C20">
        <w:rPr>
          <w:rFonts w:ascii="Calibri" w:hAnsi="Calibri" w:cs="Calibri"/>
          <w:color w:val="FF0000"/>
          <w:shd w:val="clear" w:color="auto" w:fill="FFFFFF"/>
        </w:rPr>
        <w:t xml:space="preserve">(Ico.org.uk, 2024). </w:t>
      </w:r>
      <w:r w:rsidRPr="005C7C20">
        <w:rPr>
          <w:rFonts w:ascii="Calibri" w:hAnsi="Calibri" w:cs="Calibri"/>
          <w:color w:val="FF0000"/>
        </w:rPr>
        <w:t>This meets legal requirements</w:t>
      </w:r>
      <w:r w:rsidR="00DC66CE">
        <w:rPr>
          <w:rFonts w:ascii="Calibri" w:hAnsi="Calibri" w:cs="Calibri"/>
          <w:color w:val="FF0000"/>
        </w:rPr>
        <w:t xml:space="preserve"> and </w:t>
      </w:r>
      <w:r w:rsidRPr="005C7C20">
        <w:rPr>
          <w:rFonts w:ascii="Calibri" w:hAnsi="Calibri" w:cs="Calibri"/>
          <w:color w:val="FF0000"/>
        </w:rPr>
        <w:t xml:space="preserve">helps maintain trust within your </w:t>
      </w:r>
      <w:r w:rsidRPr="00962310">
        <w:rPr>
          <w:rFonts w:ascii="Calibri" w:hAnsi="Calibri" w:cs="Calibri"/>
          <w:color w:val="FF0000"/>
        </w:rPr>
        <w:t>team.</w:t>
      </w:r>
    </w:p>
    <w:p w14:paraId="6535B64C" w14:textId="77777777" w:rsidR="00596C68" w:rsidRPr="00DD4F1D" w:rsidRDefault="00596C68">
      <w:pPr>
        <w:rPr>
          <w:rFonts w:ascii="Calibri" w:eastAsia="Calibri" w:hAnsi="Calibri" w:cs="Calibri"/>
          <w:b/>
          <w:sz w:val="28"/>
          <w:szCs w:val="28"/>
          <w:highlight w:val="white"/>
        </w:rPr>
      </w:pPr>
    </w:p>
    <w:p w14:paraId="0036203E" w14:textId="6D0809DF" w:rsidR="004032A1" w:rsidRDefault="00FD0A41">
      <w:pPr>
        <w:rPr>
          <w:rFonts w:ascii="Calibri" w:eastAsia="Calibri" w:hAnsi="Calibri" w:cs="Calibri"/>
          <w:b/>
          <w:sz w:val="28"/>
          <w:szCs w:val="28"/>
        </w:rPr>
      </w:pPr>
      <w:r>
        <w:rPr>
          <w:rFonts w:ascii="Calibri" w:eastAsia="Calibri" w:hAnsi="Calibri" w:cs="Calibri"/>
          <w:b/>
          <w:sz w:val="28"/>
          <w:szCs w:val="28"/>
        </w:rPr>
        <w:t>References:</w:t>
      </w:r>
    </w:p>
    <w:p w14:paraId="1B10B60C" w14:textId="58B4E22C" w:rsidR="00EB30BD" w:rsidRDefault="00EB30BD">
      <w:pPr>
        <w:rPr>
          <w:rFonts w:ascii="Calibri" w:eastAsia="Calibri" w:hAnsi="Calibri" w:cs="Calibri"/>
          <w:b/>
          <w:sz w:val="28"/>
          <w:szCs w:val="28"/>
        </w:rPr>
      </w:pPr>
      <w:r w:rsidRPr="00EB30BD">
        <w:rPr>
          <w:rStyle w:val="Strong"/>
          <w:rFonts w:ascii="Calibri" w:hAnsi="Calibri" w:cs="Calibri"/>
          <w:b w:val="0"/>
          <w:bCs w:val="0"/>
        </w:rPr>
        <w:lastRenderedPageBreak/>
        <w:t>ACAS (2019) Changing an employment contract | Acas. [online] Acas.org.uk. Available at: https://www.acas.org.uk/changing-an-employment-</w:t>
      </w:r>
      <w:r w:rsidRPr="00595704">
        <w:rPr>
          <w:rStyle w:val="Strong"/>
          <w:rFonts w:ascii="Calibri" w:hAnsi="Calibri" w:cs="Calibri"/>
          <w:b w:val="0"/>
          <w:bCs w:val="0"/>
        </w:rPr>
        <w:t>contract</w:t>
      </w:r>
    </w:p>
    <w:p w14:paraId="28FF1529" w14:textId="77777777" w:rsidR="004032A1" w:rsidRDefault="00FD0A41">
      <w:pPr>
        <w:rPr>
          <w:rFonts w:ascii="Calibri" w:eastAsia="Calibri" w:hAnsi="Calibri" w:cs="Calibri"/>
        </w:rPr>
      </w:pPr>
      <w:r>
        <w:rPr>
          <w:rFonts w:ascii="Calibri" w:eastAsia="Calibri" w:hAnsi="Calibri" w:cs="Calibri"/>
        </w:rPr>
        <w:t xml:space="preserve">ACAS (2022) </w:t>
      </w:r>
      <w:r>
        <w:rPr>
          <w:rFonts w:ascii="Calibri" w:eastAsia="Calibri" w:hAnsi="Calibri" w:cs="Calibri"/>
          <w:i/>
        </w:rPr>
        <w:t>Constructive dismissal</w:t>
      </w:r>
      <w:r>
        <w:rPr>
          <w:rFonts w:ascii="Calibri" w:eastAsia="Calibri" w:hAnsi="Calibri" w:cs="Calibri"/>
        </w:rPr>
        <w:t xml:space="preserve">. [online] www.acas.org.uk. Available at: </w:t>
      </w:r>
      <w:hyperlink r:id="rId7">
        <w:r>
          <w:rPr>
            <w:rFonts w:ascii="Calibri" w:eastAsia="Calibri" w:hAnsi="Calibri" w:cs="Calibri"/>
            <w:color w:val="0000FF"/>
            <w:u w:val="single"/>
          </w:rPr>
          <w:t>https://www.acas.org.uk/dismissals/constructive-dismissal</w:t>
        </w:r>
      </w:hyperlink>
      <w:r>
        <w:rPr>
          <w:rFonts w:ascii="Calibri" w:eastAsia="Calibri" w:hAnsi="Calibri" w:cs="Calibri"/>
        </w:rPr>
        <w:t>.</w:t>
      </w:r>
    </w:p>
    <w:p w14:paraId="5CDB7F5D" w14:textId="77777777" w:rsidR="004032A1" w:rsidRDefault="00FD0A41">
      <w:pPr>
        <w:rPr>
          <w:rFonts w:ascii="Calibri" w:eastAsia="Calibri" w:hAnsi="Calibri" w:cs="Calibri"/>
        </w:rPr>
      </w:pPr>
      <w:r>
        <w:rPr>
          <w:rFonts w:ascii="Calibri" w:eastAsia="Calibri" w:hAnsi="Calibri" w:cs="Calibri"/>
        </w:rPr>
        <w:t>ACAS (2022) </w:t>
      </w:r>
      <w:r>
        <w:rPr>
          <w:rFonts w:ascii="Calibri" w:eastAsia="Calibri" w:hAnsi="Calibri" w:cs="Calibri"/>
          <w:i/>
        </w:rPr>
        <w:t>Employment Tribunal Time Limits.</w:t>
      </w:r>
      <w:r>
        <w:rPr>
          <w:rFonts w:ascii="Calibri" w:eastAsia="Calibri" w:hAnsi="Calibri" w:cs="Calibri"/>
        </w:rPr>
        <w:t xml:space="preserve"> [online] Acas. Available at: https://www.acas.org.uk/employment-tribunal-time-limits.</w:t>
      </w:r>
    </w:p>
    <w:p w14:paraId="6BB1F8D6" w14:textId="77777777" w:rsidR="004032A1" w:rsidRPr="005C1393" w:rsidRDefault="00FD0A41">
      <w:pPr>
        <w:rPr>
          <w:rFonts w:ascii="Calibri" w:eastAsia="Calibri" w:hAnsi="Calibri" w:cs="Calibri"/>
          <w:color w:val="FF0000"/>
        </w:rPr>
      </w:pPr>
      <w:r w:rsidRPr="005C1393">
        <w:rPr>
          <w:rFonts w:ascii="Calibri" w:eastAsia="Calibri" w:hAnsi="Calibri" w:cs="Calibri"/>
          <w:color w:val="FF0000"/>
        </w:rPr>
        <w:t>Acas. (2024) </w:t>
      </w:r>
      <w:r w:rsidRPr="005C1393">
        <w:rPr>
          <w:rFonts w:ascii="Calibri" w:eastAsia="Calibri" w:hAnsi="Calibri" w:cs="Calibri"/>
          <w:i/>
          <w:color w:val="FF0000"/>
        </w:rPr>
        <w:t>Equal pay and the law</w:t>
      </w:r>
      <w:r w:rsidRPr="005C1393">
        <w:rPr>
          <w:rFonts w:ascii="Calibri" w:eastAsia="Calibri" w:hAnsi="Calibri" w:cs="Calibri"/>
          <w:color w:val="FF0000"/>
        </w:rPr>
        <w:t xml:space="preserve">. [online] Available at: </w:t>
      </w:r>
      <w:hyperlink r:id="rId8">
        <w:r w:rsidRPr="005C1393">
          <w:rPr>
            <w:rFonts w:ascii="Calibri" w:eastAsia="Calibri" w:hAnsi="Calibri" w:cs="Calibri"/>
            <w:color w:val="FF0000"/>
            <w:u w:val="single"/>
          </w:rPr>
          <w:t>https://www.acas.org.uk/equal-pay/equal-pay-law</w:t>
        </w:r>
      </w:hyperlink>
      <w:r w:rsidRPr="005C1393">
        <w:rPr>
          <w:rFonts w:ascii="Calibri" w:eastAsia="Calibri" w:hAnsi="Calibri" w:cs="Calibri"/>
          <w:color w:val="FF0000"/>
        </w:rPr>
        <w:t>.</w:t>
      </w:r>
    </w:p>
    <w:p w14:paraId="25A412B8" w14:textId="019C27B5" w:rsidR="004032A1" w:rsidRDefault="00FD0A41">
      <w:pPr>
        <w:rPr>
          <w:rFonts w:ascii="Calibri" w:eastAsia="Calibri" w:hAnsi="Calibri" w:cs="Calibri"/>
        </w:rPr>
      </w:pPr>
      <w:r>
        <w:rPr>
          <w:rFonts w:ascii="Calibri" w:eastAsia="Calibri" w:hAnsi="Calibri" w:cs="Calibri"/>
        </w:rPr>
        <w:t xml:space="preserve">ACAS (2014) Job evaluation: considerations and risks advice booklet | Acas. [online] www.acas.org.uk. Available at: </w:t>
      </w:r>
      <w:hyperlink r:id="rId9" w:history="1">
        <w:r w:rsidR="00345C72" w:rsidRPr="00163BA4">
          <w:rPr>
            <w:rStyle w:val="Hyperlink"/>
            <w:rFonts w:ascii="Calibri" w:eastAsia="Calibri" w:hAnsi="Calibri" w:cs="Calibri"/>
          </w:rPr>
          <w:t>https://www.acas.org.uk/job-evaluation-considerations-and-risks-advice-booklet</w:t>
        </w:r>
      </w:hyperlink>
      <w:r>
        <w:rPr>
          <w:rFonts w:ascii="Calibri" w:eastAsia="Calibri" w:hAnsi="Calibri" w:cs="Calibri"/>
        </w:rPr>
        <w:t>.</w:t>
      </w:r>
    </w:p>
    <w:p w14:paraId="17E61748" w14:textId="5AA64562" w:rsidR="00345C72" w:rsidRPr="00345C72" w:rsidRDefault="00345C72">
      <w:pPr>
        <w:rPr>
          <w:rStyle w:val="Strong"/>
          <w:rFonts w:ascii="Calibri" w:hAnsi="Calibri" w:cs="Calibri"/>
          <w:b w:val="0"/>
          <w:bCs w:val="0"/>
          <w:color w:val="FF0000"/>
        </w:rPr>
      </w:pPr>
      <w:r w:rsidRPr="00345C72">
        <w:rPr>
          <w:rStyle w:val="Strong"/>
          <w:rFonts w:ascii="Calibri" w:hAnsi="Calibri" w:cs="Calibri"/>
          <w:b w:val="0"/>
          <w:bCs w:val="0"/>
          <w:color w:val="FF0000"/>
        </w:rPr>
        <w:t>ACAS (2023) Objective Justification - Using Protected Characteristics to Make Decisions. [online] Acas. Available at: https://www.acas.org.uk/employer-decision-protected-characteristic/objective-justification.</w:t>
      </w:r>
    </w:p>
    <w:p w14:paraId="226EE2C1" w14:textId="77777777" w:rsidR="004032A1" w:rsidRDefault="00FD0A41">
      <w:pPr>
        <w:rPr>
          <w:rFonts w:ascii="Calibri" w:eastAsia="Calibri" w:hAnsi="Calibri" w:cs="Calibri"/>
        </w:rPr>
      </w:pPr>
      <w:r>
        <w:rPr>
          <w:rFonts w:ascii="Calibri" w:eastAsia="Calibri" w:hAnsi="Calibri" w:cs="Calibri"/>
        </w:rPr>
        <w:t>ACAS (2020) </w:t>
      </w:r>
      <w:r>
        <w:rPr>
          <w:rFonts w:ascii="Calibri" w:eastAsia="Calibri" w:hAnsi="Calibri" w:cs="Calibri"/>
          <w:i/>
        </w:rPr>
        <w:t>Redundancy.</w:t>
      </w:r>
      <w:r>
        <w:rPr>
          <w:rFonts w:ascii="Calibri" w:eastAsia="Calibri" w:hAnsi="Calibri" w:cs="Calibri"/>
        </w:rPr>
        <w:t xml:space="preserve"> [online] Acas.org.uk. Available at: https://www.acas.org.uk/redundancy.</w:t>
      </w:r>
    </w:p>
    <w:p w14:paraId="12FDCBA6" w14:textId="77777777" w:rsidR="004032A1" w:rsidRDefault="00FD0A41">
      <w:pPr>
        <w:rPr>
          <w:rFonts w:ascii="Calibri" w:eastAsia="Calibri" w:hAnsi="Calibri" w:cs="Calibri"/>
        </w:rPr>
      </w:pPr>
      <w:r>
        <w:rPr>
          <w:rFonts w:ascii="Calibri" w:eastAsia="Calibri" w:hAnsi="Calibri" w:cs="Calibri"/>
        </w:rPr>
        <w:t>ACAS (2023) </w:t>
      </w:r>
      <w:r>
        <w:rPr>
          <w:rFonts w:ascii="Calibri" w:eastAsia="Calibri" w:hAnsi="Calibri" w:cs="Calibri"/>
          <w:i/>
        </w:rPr>
        <w:t>Rest breaks</w:t>
      </w:r>
      <w:r>
        <w:rPr>
          <w:rFonts w:ascii="Calibri" w:eastAsia="Calibri" w:hAnsi="Calibri" w:cs="Calibri"/>
        </w:rPr>
        <w:t xml:space="preserve"> | Acas. [online] Acas.org.uk. Available at: </w:t>
      </w:r>
      <w:hyperlink r:id="rId10">
        <w:r>
          <w:rPr>
            <w:rFonts w:ascii="Calibri" w:eastAsia="Calibri" w:hAnsi="Calibri" w:cs="Calibri"/>
            <w:color w:val="0000FF"/>
            <w:u w:val="single"/>
          </w:rPr>
          <w:t>https://www.acas.org.uk/rest-breaks</w:t>
        </w:r>
      </w:hyperlink>
      <w:r>
        <w:rPr>
          <w:rFonts w:ascii="Calibri" w:eastAsia="Calibri" w:hAnsi="Calibri" w:cs="Calibri"/>
        </w:rPr>
        <w:t>.</w:t>
      </w:r>
    </w:p>
    <w:p w14:paraId="2D7A685C" w14:textId="77777777" w:rsidR="004032A1" w:rsidRDefault="00FD0A41">
      <w:pPr>
        <w:rPr>
          <w:rFonts w:ascii="Calibri" w:eastAsia="Calibri" w:hAnsi="Calibri" w:cs="Calibri"/>
        </w:rPr>
      </w:pPr>
      <w:r>
        <w:rPr>
          <w:rFonts w:ascii="Calibri" w:eastAsia="Calibri" w:hAnsi="Calibri" w:cs="Calibri"/>
        </w:rPr>
        <w:t>ACAS (2022) Shared Parental Leave and Pay | Acas. [online] www.acas.org.uk. Available at: https://www.acas.org.uk/shared-parental-leave-and-pay.</w:t>
      </w:r>
    </w:p>
    <w:p w14:paraId="4C026F15" w14:textId="77777777" w:rsidR="004032A1" w:rsidRDefault="00FD0A41">
      <w:pPr>
        <w:rPr>
          <w:rFonts w:ascii="Calibri" w:eastAsia="Calibri" w:hAnsi="Calibri" w:cs="Calibri"/>
        </w:rPr>
      </w:pPr>
      <w:r>
        <w:rPr>
          <w:rFonts w:ascii="Calibri" w:eastAsia="Calibri" w:hAnsi="Calibri" w:cs="Calibri"/>
        </w:rPr>
        <w:t>Acas (2024) </w:t>
      </w:r>
      <w:r>
        <w:rPr>
          <w:rFonts w:ascii="Calibri" w:eastAsia="Calibri" w:hAnsi="Calibri" w:cs="Calibri"/>
          <w:i/>
        </w:rPr>
        <w:t>The 48-hour weekly maximum: Working time rules.</w:t>
      </w:r>
      <w:r>
        <w:rPr>
          <w:rFonts w:ascii="Calibri" w:eastAsia="Calibri" w:hAnsi="Calibri" w:cs="Calibri"/>
        </w:rPr>
        <w:t xml:space="preserve"> [online] Acas. Available at: </w:t>
      </w:r>
      <w:hyperlink r:id="rId11">
        <w:r>
          <w:rPr>
            <w:rFonts w:ascii="Calibri" w:eastAsia="Calibri" w:hAnsi="Calibri" w:cs="Calibri"/>
            <w:color w:val="0000FF"/>
            <w:u w:val="single"/>
          </w:rPr>
          <w:t>https://www.acas.org.uk/working-time-rules/the-48-hour-weekly-maximum</w:t>
        </w:r>
      </w:hyperlink>
      <w:r>
        <w:rPr>
          <w:rFonts w:ascii="Calibri" w:eastAsia="Calibri" w:hAnsi="Calibri" w:cs="Calibri"/>
        </w:rPr>
        <w:t>.</w:t>
      </w:r>
    </w:p>
    <w:p w14:paraId="146C546B" w14:textId="77777777" w:rsidR="004032A1" w:rsidRDefault="00FD0A41">
      <w:pPr>
        <w:rPr>
          <w:rFonts w:ascii="Calibri" w:eastAsia="Calibri" w:hAnsi="Calibri" w:cs="Calibri"/>
        </w:rPr>
      </w:pPr>
      <w:r>
        <w:rPr>
          <w:rFonts w:ascii="Calibri" w:eastAsia="Calibri" w:hAnsi="Calibri" w:cs="Calibri"/>
        </w:rPr>
        <w:t>Acas. (2024) What the law says - Gender reassignment discrimination - Acas. [online] Available at: https://www.acas.org.uk/gender-reassignment-discrimination.</w:t>
      </w:r>
    </w:p>
    <w:p w14:paraId="1AEF53E8" w14:textId="77777777" w:rsidR="004032A1" w:rsidRDefault="00FD0A41">
      <w:pPr>
        <w:rPr>
          <w:rFonts w:ascii="Calibri" w:eastAsia="Calibri" w:hAnsi="Calibri" w:cs="Calibri"/>
        </w:rPr>
      </w:pPr>
      <w:r>
        <w:rPr>
          <w:rFonts w:ascii="Calibri" w:eastAsia="Calibri" w:hAnsi="Calibri" w:cs="Calibri"/>
        </w:rPr>
        <w:t>ACAS (2021) </w:t>
      </w:r>
      <w:r>
        <w:rPr>
          <w:rFonts w:ascii="Calibri" w:eastAsia="Calibri" w:hAnsi="Calibri" w:cs="Calibri"/>
          <w:i/>
        </w:rPr>
        <w:t>When TUPE regulations apply: Employee rights during a TUPE transfer</w:t>
      </w:r>
      <w:r>
        <w:rPr>
          <w:rFonts w:ascii="Calibri" w:eastAsia="Calibri" w:hAnsi="Calibri" w:cs="Calibri"/>
        </w:rPr>
        <w:t xml:space="preserve"> - Acas. [online] www.acas.org.uk. Available at: </w:t>
      </w:r>
      <w:hyperlink r:id="rId12">
        <w:r>
          <w:rPr>
            <w:rFonts w:ascii="Calibri" w:eastAsia="Calibri" w:hAnsi="Calibri" w:cs="Calibri"/>
          </w:rPr>
          <w:t>https://www.acas.org.uk/employee-rights-during-a-tupe-transfer/when-tupe-regulations-apply</w:t>
        </w:r>
      </w:hyperlink>
      <w:r>
        <w:rPr>
          <w:rFonts w:ascii="Calibri" w:eastAsia="Calibri" w:hAnsi="Calibri" w:cs="Calibri"/>
        </w:rPr>
        <w:t>.</w:t>
      </w:r>
    </w:p>
    <w:p w14:paraId="6A72A63F" w14:textId="0E698395" w:rsidR="004032A1" w:rsidRDefault="00FD0A41">
      <w:pPr>
        <w:rPr>
          <w:rFonts w:ascii="Calibri" w:eastAsia="Calibri" w:hAnsi="Calibri" w:cs="Calibri"/>
        </w:rPr>
      </w:pPr>
      <w:r>
        <w:rPr>
          <w:rFonts w:ascii="Calibri" w:eastAsia="Calibri" w:hAnsi="Calibri" w:cs="Calibri"/>
        </w:rPr>
        <w:t xml:space="preserve">Allen, A. (2024) Hybrid working – what are the employment and digital pitfalls? [online] Gatehouse Chambers. Available at: </w:t>
      </w:r>
      <w:hyperlink r:id="rId13" w:history="1">
        <w:r w:rsidR="00843535" w:rsidRPr="005E0271">
          <w:rPr>
            <w:rStyle w:val="Hyperlink"/>
            <w:rFonts w:ascii="Calibri" w:eastAsia="Calibri" w:hAnsi="Calibri" w:cs="Calibri"/>
          </w:rPr>
          <w:t>https://gatehouselaw.co.uk/hybrid-working-what-are-the-employment-and-digital-pitfalls</w:t>
        </w:r>
      </w:hyperlink>
      <w:r>
        <w:rPr>
          <w:rFonts w:ascii="Calibri" w:eastAsia="Calibri" w:hAnsi="Calibri" w:cs="Calibri"/>
        </w:rPr>
        <w:t>.</w:t>
      </w:r>
    </w:p>
    <w:p w14:paraId="36A8D778" w14:textId="65A5589E" w:rsidR="00843535" w:rsidRDefault="00843535">
      <w:pPr>
        <w:rPr>
          <w:rFonts w:ascii="Calibri" w:eastAsia="Calibri" w:hAnsi="Calibri" w:cs="Calibri"/>
        </w:rPr>
      </w:pPr>
      <w:r w:rsidRPr="00843535">
        <w:rPr>
          <w:rFonts w:ascii="Calibri" w:eastAsia="Calibri" w:hAnsi="Calibri" w:cs="Calibri"/>
        </w:rPr>
        <w:t>AllBusiness (2024) </w:t>
      </w:r>
      <w:r w:rsidRPr="00843535">
        <w:rPr>
          <w:rFonts w:ascii="Calibri" w:eastAsia="Calibri" w:hAnsi="Calibri" w:cs="Calibri"/>
          <w:i/>
          <w:iCs/>
        </w:rPr>
        <w:t>8 Ways To Build A Culture Of Trust In The Workplace</w:t>
      </w:r>
      <w:r w:rsidRPr="00843535">
        <w:rPr>
          <w:rFonts w:ascii="Calibri" w:eastAsia="Calibri" w:hAnsi="Calibri" w:cs="Calibri"/>
        </w:rPr>
        <w:t>. [online] Forbes. Available at: https://www.forbes.com/sites/allbusiness/2024/03/28/8-ways-to-build-a-culture-of-trust-in-the-workplace/.</w:t>
      </w:r>
    </w:p>
    <w:p w14:paraId="4B60BD37" w14:textId="77777777" w:rsidR="004032A1" w:rsidRDefault="00FD0A41">
      <w:pPr>
        <w:rPr>
          <w:rFonts w:ascii="Calibri" w:eastAsia="Calibri" w:hAnsi="Calibri" w:cs="Calibri"/>
        </w:rPr>
      </w:pPr>
      <w:r>
        <w:rPr>
          <w:rFonts w:ascii="Calibri" w:eastAsia="Calibri" w:hAnsi="Calibri" w:cs="Calibri"/>
        </w:rPr>
        <w:lastRenderedPageBreak/>
        <w:t>betacdn.equalityhumanrights.com. (n.d.). Maternity, paternity, adoption or shared parental leave and pay | EHRC. [online] Available at: https://betacdn.equalityhumanrights.com/guidance/maternity-paternity-adoption-or-shared-parental-leave-and-pay [Accessed 23 Jan. 2025].</w:t>
      </w:r>
    </w:p>
    <w:p w14:paraId="5947CA42" w14:textId="77777777" w:rsidR="004032A1" w:rsidRDefault="00FD0A41">
      <w:pPr>
        <w:rPr>
          <w:rFonts w:ascii="Calibri" w:eastAsia="Calibri" w:hAnsi="Calibri" w:cs="Calibri"/>
        </w:rPr>
      </w:pPr>
      <w:r>
        <w:rPr>
          <w:rFonts w:ascii="Calibri" w:eastAsia="Calibri" w:hAnsi="Calibri" w:cs="Calibri"/>
        </w:rPr>
        <w:t>Bloor, J. (2024) </w:t>
      </w:r>
      <w:r>
        <w:rPr>
          <w:rFonts w:ascii="Calibri" w:eastAsia="Calibri" w:hAnsi="Calibri" w:cs="Calibri"/>
          <w:i/>
        </w:rPr>
        <w:t>Redundancy Rules for Employers UK</w:t>
      </w:r>
      <w:r>
        <w:rPr>
          <w:rFonts w:ascii="Calibri" w:eastAsia="Calibri" w:hAnsi="Calibri" w:cs="Calibri"/>
        </w:rPr>
        <w:t>. [online] Employment Law Advice For Employers | Tribunal Representation. Available at: https://www.ebslaw.co.uk/blog/redundancy-rules-for-employers-in-the-uk-a-comprehensive-guide/.</w:t>
      </w:r>
    </w:p>
    <w:p w14:paraId="322739AB" w14:textId="77777777" w:rsidR="004032A1" w:rsidRDefault="00FD0A41">
      <w:pPr>
        <w:rPr>
          <w:rFonts w:ascii="Calibri" w:eastAsia="Calibri" w:hAnsi="Calibri" w:cs="Calibri"/>
        </w:rPr>
      </w:pPr>
      <w:r>
        <w:rPr>
          <w:rFonts w:ascii="Calibri" w:eastAsia="Calibri" w:hAnsi="Calibri" w:cs="Calibri"/>
        </w:rPr>
        <w:t>Business Advice. (2021) </w:t>
      </w:r>
      <w:r>
        <w:rPr>
          <w:rFonts w:ascii="Calibri" w:eastAsia="Calibri" w:hAnsi="Calibri" w:cs="Calibri"/>
          <w:i/>
        </w:rPr>
        <w:t>What is the difference between tribunals and court?</w:t>
      </w:r>
      <w:r>
        <w:rPr>
          <w:rFonts w:ascii="Calibri" w:eastAsia="Calibri" w:hAnsi="Calibri" w:cs="Calibri"/>
        </w:rPr>
        <w:t> [online] Available at: https://businessadvice.co.uk/business-law-compliance/what-is-the-difference-between-tribunal-and-court/.</w:t>
      </w:r>
    </w:p>
    <w:p w14:paraId="25DC19FB" w14:textId="77777777" w:rsidR="004032A1" w:rsidRDefault="00FD0A41">
      <w:pPr>
        <w:rPr>
          <w:rFonts w:ascii="Calibri" w:eastAsia="Calibri" w:hAnsi="Calibri" w:cs="Calibri"/>
        </w:rPr>
      </w:pPr>
      <w:r>
        <w:rPr>
          <w:rFonts w:ascii="Calibri" w:eastAsia="Calibri" w:hAnsi="Calibri" w:cs="Calibri"/>
        </w:rPr>
        <w:t>Cheary, M. (2017) </w:t>
      </w:r>
      <w:r>
        <w:rPr>
          <w:rFonts w:ascii="Calibri" w:eastAsia="Calibri" w:hAnsi="Calibri" w:cs="Calibri"/>
          <w:i/>
        </w:rPr>
        <w:t>Why does employment law exist?</w:t>
      </w:r>
      <w:r>
        <w:rPr>
          <w:rFonts w:ascii="Calibri" w:eastAsia="Calibri" w:hAnsi="Calibri" w:cs="Calibri"/>
        </w:rPr>
        <w:t xml:space="preserve"> | reed.co.uk. [online] reed.co.uk. Available at: </w:t>
      </w:r>
      <w:hyperlink r:id="rId14">
        <w:r>
          <w:rPr>
            <w:rFonts w:ascii="Calibri" w:eastAsia="Calibri" w:hAnsi="Calibri" w:cs="Calibri"/>
          </w:rPr>
          <w:t>https://www.reed.co.uk/career-advice/why-does-employment-law-exist/</w:t>
        </w:r>
      </w:hyperlink>
      <w:r>
        <w:rPr>
          <w:rFonts w:ascii="Calibri" w:eastAsia="Calibri" w:hAnsi="Calibri" w:cs="Calibri"/>
        </w:rPr>
        <w:t>.</w:t>
      </w:r>
    </w:p>
    <w:p w14:paraId="07DD8941" w14:textId="77777777" w:rsidR="004032A1" w:rsidRDefault="00FD0A41">
      <w:pPr>
        <w:rPr>
          <w:rFonts w:ascii="Calibri" w:eastAsia="Calibri" w:hAnsi="Calibri" w:cs="Calibri"/>
        </w:rPr>
      </w:pPr>
      <w:r>
        <w:rPr>
          <w:rFonts w:ascii="Calibri" w:eastAsia="Calibri" w:hAnsi="Calibri" w:cs="Calibri"/>
        </w:rPr>
        <w:t>CIPD (2023) </w:t>
      </w:r>
      <w:r>
        <w:rPr>
          <w:rFonts w:ascii="Calibri" w:eastAsia="Calibri" w:hAnsi="Calibri" w:cs="Calibri"/>
          <w:i/>
        </w:rPr>
        <w:t>CIPD | Discrimination: UK employment law</w:t>
      </w:r>
      <w:r>
        <w:rPr>
          <w:rFonts w:ascii="Calibri" w:eastAsia="Calibri" w:hAnsi="Calibri" w:cs="Calibri"/>
        </w:rPr>
        <w:t xml:space="preserve">. [online] CIPD. Available at: </w:t>
      </w:r>
      <w:hyperlink r:id="rId15">
        <w:r>
          <w:rPr>
            <w:rFonts w:ascii="Calibri" w:eastAsia="Calibri" w:hAnsi="Calibri" w:cs="Calibri"/>
            <w:color w:val="0000FF"/>
            <w:u w:val="single"/>
          </w:rPr>
          <w:t>https://www.cipd.org/uk/knowledge/employment-law/discrimination-employment-law/</w:t>
        </w:r>
      </w:hyperlink>
      <w:r>
        <w:rPr>
          <w:rFonts w:ascii="Calibri" w:eastAsia="Calibri" w:hAnsi="Calibri" w:cs="Calibri"/>
        </w:rPr>
        <w:t>.</w:t>
      </w:r>
    </w:p>
    <w:p w14:paraId="58E738A3" w14:textId="77777777" w:rsidR="004032A1" w:rsidRDefault="00FD0A41">
      <w:pPr>
        <w:rPr>
          <w:rFonts w:ascii="Calibri" w:eastAsia="Calibri" w:hAnsi="Calibri" w:cs="Calibri"/>
        </w:rPr>
      </w:pPr>
      <w:r>
        <w:rPr>
          <w:rFonts w:ascii="Calibri" w:eastAsia="Calibri" w:hAnsi="Calibri" w:cs="Calibri"/>
        </w:rPr>
        <w:t>CIPD (2017) CIPD | Employment regulation in the UK: burden or benefit? [online] CIPD. Available at: https://www.cipd.org/uk/knowledge/reports/employment-regulation-in-the-uk-burden-or-benefit/.</w:t>
      </w:r>
    </w:p>
    <w:p w14:paraId="39749DA2" w14:textId="77777777" w:rsidR="004032A1" w:rsidRDefault="00FD0A41">
      <w:pPr>
        <w:rPr>
          <w:rFonts w:ascii="Calibri" w:eastAsia="Calibri" w:hAnsi="Calibri" w:cs="Calibri"/>
        </w:rPr>
      </w:pPr>
      <w:r>
        <w:rPr>
          <w:rFonts w:ascii="Calibri" w:eastAsia="Calibri" w:hAnsi="Calibri" w:cs="Calibri"/>
        </w:rPr>
        <w:t>CIPD (2023) </w:t>
      </w:r>
      <w:r>
        <w:rPr>
          <w:rFonts w:ascii="Calibri" w:eastAsia="Calibri" w:hAnsi="Calibri" w:cs="Calibri"/>
          <w:i/>
        </w:rPr>
        <w:t>CIPD | Employment status, rights and regulation.</w:t>
      </w:r>
      <w:r>
        <w:rPr>
          <w:rFonts w:ascii="Calibri" w:eastAsia="Calibri" w:hAnsi="Calibri" w:cs="Calibri"/>
        </w:rPr>
        <w:t xml:space="preserve"> [online] CIPD. Available at: </w:t>
      </w:r>
      <w:hyperlink r:id="rId16">
        <w:r>
          <w:rPr>
            <w:rFonts w:ascii="Calibri" w:eastAsia="Calibri" w:hAnsi="Calibri" w:cs="Calibri"/>
          </w:rPr>
          <w:t>https://www.cipd.org/uk/views-and-insights/cipd-viewpoint/employment-status-rights/</w:t>
        </w:r>
      </w:hyperlink>
      <w:r>
        <w:rPr>
          <w:rFonts w:ascii="Calibri" w:eastAsia="Calibri" w:hAnsi="Calibri" w:cs="Calibri"/>
        </w:rPr>
        <w:t>.</w:t>
      </w:r>
    </w:p>
    <w:p w14:paraId="0245513F" w14:textId="6CA9CF27" w:rsidR="00123189" w:rsidRDefault="00123189">
      <w:pPr>
        <w:rPr>
          <w:rStyle w:val="Strong"/>
          <w:rFonts w:ascii="Calibri" w:hAnsi="Calibri" w:cs="Calibri"/>
          <w:b w:val="0"/>
          <w:bCs w:val="0"/>
          <w:color w:val="FF0000"/>
        </w:rPr>
      </w:pPr>
      <w:r w:rsidRPr="00123189">
        <w:rPr>
          <w:rStyle w:val="Strong"/>
          <w:rFonts w:ascii="Calibri" w:hAnsi="Calibri" w:cs="Calibri"/>
          <w:b w:val="0"/>
          <w:bCs w:val="0"/>
          <w:color w:val="FF0000"/>
        </w:rPr>
        <w:t xml:space="preserve">CIPD (2024) Equal Pay: UK Employment Law. [online] CIPD. Available at: </w:t>
      </w:r>
      <w:hyperlink r:id="rId17" w:history="1">
        <w:r w:rsidR="001D0931" w:rsidRPr="00692CCC">
          <w:rPr>
            <w:rStyle w:val="Hyperlink"/>
            <w:rFonts w:ascii="Calibri" w:hAnsi="Calibri" w:cs="Calibri"/>
          </w:rPr>
          <w:t>https://www.cipd.org/uk/knowledge/employment-law/equal-pay/</w:t>
        </w:r>
      </w:hyperlink>
      <w:r w:rsidRPr="00123189">
        <w:rPr>
          <w:rStyle w:val="Strong"/>
          <w:rFonts w:ascii="Calibri" w:hAnsi="Calibri" w:cs="Calibri"/>
          <w:b w:val="0"/>
          <w:bCs w:val="0"/>
          <w:color w:val="FF0000"/>
        </w:rPr>
        <w:t>.</w:t>
      </w:r>
    </w:p>
    <w:p w14:paraId="27E5F618" w14:textId="460EB7CB" w:rsidR="001D0931" w:rsidRPr="001D0931" w:rsidRDefault="001D0931">
      <w:pPr>
        <w:rPr>
          <w:rStyle w:val="Strong"/>
          <w:rFonts w:ascii="Calibri" w:hAnsi="Calibri" w:cs="Calibri"/>
          <w:b w:val="0"/>
          <w:bCs w:val="0"/>
          <w:color w:val="FF0000"/>
        </w:rPr>
      </w:pPr>
      <w:r w:rsidRPr="001D0931">
        <w:rPr>
          <w:rStyle w:val="Strong"/>
          <w:rFonts w:ascii="Calibri" w:hAnsi="Calibri" w:cs="Calibri"/>
          <w:b w:val="0"/>
          <w:bCs w:val="0"/>
          <w:color w:val="FF0000"/>
        </w:rPr>
        <w:t>CIPD (2024) CIPD | Flexible working: Guidance for People Professionals on Planning and Managing. [online] CIPD. Available at: https://www.cipd.org/uk/knowledge/guides/flexible-working/.</w:t>
      </w:r>
    </w:p>
    <w:p w14:paraId="49D01037" w14:textId="77777777" w:rsidR="004032A1" w:rsidRDefault="00FD0A41">
      <w:pPr>
        <w:rPr>
          <w:rFonts w:ascii="Calibri" w:eastAsia="Calibri" w:hAnsi="Calibri" w:cs="Calibri"/>
        </w:rPr>
      </w:pPr>
      <w:r>
        <w:rPr>
          <w:rFonts w:ascii="Calibri" w:eastAsia="Calibri" w:hAnsi="Calibri" w:cs="Calibri"/>
        </w:rPr>
        <w:t>CIPD (2024</w:t>
      </w:r>
      <w:r>
        <w:rPr>
          <w:rFonts w:ascii="Calibri" w:eastAsia="Calibri" w:hAnsi="Calibri" w:cs="Calibri"/>
          <w:i/>
        </w:rPr>
        <w:t>) Information on Equal Pay.</w:t>
      </w:r>
      <w:r>
        <w:rPr>
          <w:rFonts w:ascii="Calibri" w:eastAsia="Calibri" w:hAnsi="Calibri" w:cs="Calibri"/>
        </w:rPr>
        <w:t xml:space="preserve"> [online] CIPD. Available at: </w:t>
      </w:r>
      <w:hyperlink r:id="rId18">
        <w:r>
          <w:rPr>
            <w:rFonts w:ascii="Calibri" w:eastAsia="Calibri" w:hAnsi="Calibri" w:cs="Calibri"/>
          </w:rPr>
          <w:t>https://www.cipd.org/uk/knowledge/employment-law/equal-pay/</w:t>
        </w:r>
      </w:hyperlink>
      <w:r>
        <w:rPr>
          <w:rFonts w:ascii="Calibri" w:eastAsia="Calibri" w:hAnsi="Calibri" w:cs="Calibri"/>
        </w:rPr>
        <w:t>.</w:t>
      </w:r>
    </w:p>
    <w:p w14:paraId="4E0AE8F1" w14:textId="77777777" w:rsidR="004032A1" w:rsidRDefault="00FD0A41">
      <w:pPr>
        <w:rPr>
          <w:rFonts w:ascii="Calibri" w:eastAsia="Calibri" w:hAnsi="Calibri" w:cs="Calibri"/>
        </w:rPr>
      </w:pPr>
      <w:r>
        <w:rPr>
          <w:rFonts w:ascii="Calibri" w:eastAsia="Calibri" w:hAnsi="Calibri" w:cs="Calibri"/>
        </w:rPr>
        <w:t>CIPD (2024) CIPD | Flexible and hybrid working: Employment law. [online] CIPD. Available at: https://www.cipd.org/uk/knowledge/employment-law/flexible-working/.</w:t>
      </w:r>
    </w:p>
    <w:p w14:paraId="13975306" w14:textId="77777777" w:rsidR="004032A1" w:rsidRDefault="00FD0A41">
      <w:pPr>
        <w:rPr>
          <w:rFonts w:ascii="Calibri" w:eastAsia="Calibri" w:hAnsi="Calibri" w:cs="Calibri"/>
        </w:rPr>
      </w:pPr>
      <w:r>
        <w:rPr>
          <w:rFonts w:ascii="Calibri" w:eastAsia="Calibri" w:hAnsi="Calibri" w:cs="Calibri"/>
        </w:rPr>
        <w:t>CIPD (2022) </w:t>
      </w:r>
      <w:r>
        <w:rPr>
          <w:rFonts w:ascii="Calibri" w:eastAsia="Calibri" w:hAnsi="Calibri" w:cs="Calibri"/>
          <w:i/>
        </w:rPr>
        <w:t>Maternity, Paternity and Adoption Rights</w:t>
      </w:r>
      <w:r>
        <w:rPr>
          <w:rFonts w:ascii="Calibri" w:eastAsia="Calibri" w:hAnsi="Calibri" w:cs="Calibri"/>
        </w:rPr>
        <w:t>. [online] CIPD. Available at: https://www.cipd.org/uk/knowledge/factsheets/maternity-paternity-rights-factsheet/.</w:t>
      </w:r>
    </w:p>
    <w:p w14:paraId="2F58CF1E" w14:textId="77777777" w:rsidR="004032A1" w:rsidRDefault="00FD0A41">
      <w:pPr>
        <w:rPr>
          <w:rFonts w:ascii="Calibri" w:eastAsia="Calibri" w:hAnsi="Calibri" w:cs="Calibri"/>
        </w:rPr>
      </w:pPr>
      <w:r>
        <w:rPr>
          <w:rFonts w:ascii="Calibri" w:eastAsia="Calibri" w:hAnsi="Calibri" w:cs="Calibri"/>
        </w:rPr>
        <w:t xml:space="preserve">CIPD (2024) CIPD | </w:t>
      </w:r>
      <w:r>
        <w:rPr>
          <w:rFonts w:ascii="Calibri" w:eastAsia="Calibri" w:hAnsi="Calibri" w:cs="Calibri"/>
          <w:i/>
        </w:rPr>
        <w:t>Working time: UK employment law.</w:t>
      </w:r>
      <w:r>
        <w:rPr>
          <w:rFonts w:ascii="Calibri" w:eastAsia="Calibri" w:hAnsi="Calibri" w:cs="Calibri"/>
        </w:rPr>
        <w:t xml:space="preserve"> [online] CIPD. Available at: </w:t>
      </w:r>
      <w:hyperlink r:id="rId19">
        <w:r>
          <w:rPr>
            <w:rFonts w:ascii="Calibri" w:eastAsia="Calibri" w:hAnsi="Calibri" w:cs="Calibri"/>
          </w:rPr>
          <w:t>https://www.cipd.org/uk/knowledge/employment-law/working-time/</w:t>
        </w:r>
      </w:hyperlink>
      <w:r>
        <w:rPr>
          <w:rFonts w:ascii="Calibri" w:eastAsia="Calibri" w:hAnsi="Calibri" w:cs="Calibri"/>
        </w:rPr>
        <w:t>.</w:t>
      </w:r>
    </w:p>
    <w:p w14:paraId="7D0E85BD" w14:textId="77777777" w:rsidR="004032A1" w:rsidRDefault="00FD0A41">
      <w:pPr>
        <w:rPr>
          <w:rFonts w:ascii="Calibri" w:eastAsia="Calibri" w:hAnsi="Calibri" w:cs="Calibri"/>
        </w:rPr>
      </w:pPr>
      <w:r>
        <w:rPr>
          <w:rFonts w:ascii="Calibri" w:eastAsia="Calibri" w:hAnsi="Calibri" w:cs="Calibri"/>
        </w:rPr>
        <w:lastRenderedPageBreak/>
        <w:t xml:space="preserve">Citizens Advice (n.d.) </w:t>
      </w:r>
      <w:r>
        <w:rPr>
          <w:rFonts w:ascii="Calibri" w:eastAsia="Calibri" w:hAnsi="Calibri" w:cs="Calibri"/>
          <w:i/>
        </w:rPr>
        <w:t>Working on bank holidays.</w:t>
      </w:r>
      <w:r>
        <w:rPr>
          <w:rFonts w:ascii="Calibri" w:eastAsia="Calibri" w:hAnsi="Calibri" w:cs="Calibri"/>
        </w:rPr>
        <w:t xml:space="preserve"> [online] Available at: https://www.citizensadvice.org.uk/work/working-hours-and-rest-breaks/working-bank-holidays/.</w:t>
      </w:r>
    </w:p>
    <w:p w14:paraId="312DADAE" w14:textId="77777777" w:rsidR="004032A1" w:rsidRDefault="00FD0A41">
      <w:pPr>
        <w:rPr>
          <w:rFonts w:ascii="Calibri" w:eastAsia="Calibri" w:hAnsi="Calibri" w:cs="Calibri"/>
        </w:rPr>
      </w:pPr>
      <w:r>
        <w:rPr>
          <w:rFonts w:ascii="Calibri" w:eastAsia="Calibri" w:hAnsi="Calibri" w:cs="Calibri"/>
        </w:rPr>
        <w:t>Citizensinformation.ie (n.d.) </w:t>
      </w:r>
      <w:r>
        <w:rPr>
          <w:rFonts w:ascii="Calibri" w:eastAsia="Calibri" w:hAnsi="Calibri" w:cs="Calibri"/>
          <w:i/>
        </w:rPr>
        <w:t>Equal pay.</w:t>
      </w:r>
      <w:r>
        <w:rPr>
          <w:rFonts w:ascii="Calibri" w:eastAsia="Calibri" w:hAnsi="Calibri" w:cs="Calibri"/>
        </w:rPr>
        <w:t xml:space="preserve"> [online] www.citizensinformation.ie. Available at: </w:t>
      </w:r>
      <w:hyperlink r:id="rId20">
        <w:r>
          <w:rPr>
            <w:rFonts w:ascii="Calibri" w:eastAsia="Calibri" w:hAnsi="Calibri" w:cs="Calibri"/>
          </w:rPr>
          <w:t>https://www.citizensinformation.ie/en/employment/equality-in-work/equal-pay/</w:t>
        </w:r>
      </w:hyperlink>
      <w:r>
        <w:rPr>
          <w:rFonts w:ascii="Calibri" w:eastAsia="Calibri" w:hAnsi="Calibri" w:cs="Calibri"/>
        </w:rPr>
        <w:t>.</w:t>
      </w:r>
    </w:p>
    <w:p w14:paraId="406CB62A" w14:textId="77777777" w:rsidR="004032A1" w:rsidRDefault="00FD0A41">
      <w:pPr>
        <w:rPr>
          <w:rFonts w:ascii="Calibri" w:eastAsia="Calibri" w:hAnsi="Calibri" w:cs="Calibri"/>
        </w:rPr>
      </w:pPr>
      <w:r>
        <w:rPr>
          <w:rFonts w:ascii="Calibri" w:eastAsia="Calibri" w:hAnsi="Calibri" w:cs="Calibri"/>
        </w:rPr>
        <w:t>Clio Springer (2015) </w:t>
      </w:r>
      <w:r>
        <w:rPr>
          <w:rFonts w:ascii="Calibri" w:eastAsia="Calibri" w:hAnsi="Calibri" w:cs="Calibri"/>
          <w:i/>
        </w:rPr>
        <w:t>Changing contracts of employment</w:t>
      </w:r>
      <w:r>
        <w:rPr>
          <w:rFonts w:ascii="Calibri" w:eastAsia="Calibri" w:hAnsi="Calibri" w:cs="Calibri"/>
        </w:rPr>
        <w:t>. [online] Personnel Today. Available at: https://www.personneltoday.com/hr/changing-contracts-of-employment-varying-contracts-of-employment/.</w:t>
      </w:r>
    </w:p>
    <w:p w14:paraId="25954DD0" w14:textId="77777777" w:rsidR="004032A1" w:rsidRDefault="00FD0A41">
      <w:pPr>
        <w:rPr>
          <w:rFonts w:ascii="Calibri" w:eastAsia="Calibri" w:hAnsi="Calibri" w:cs="Calibri"/>
        </w:rPr>
      </w:pPr>
      <w:r>
        <w:rPr>
          <w:rFonts w:ascii="Calibri" w:eastAsia="Calibri" w:hAnsi="Calibri" w:cs="Calibri"/>
        </w:rPr>
        <w:t xml:space="preserve">Cotton, C. (2023) CIPD | </w:t>
      </w:r>
      <w:r>
        <w:rPr>
          <w:rFonts w:ascii="Calibri" w:eastAsia="Calibri" w:hAnsi="Calibri" w:cs="Calibri"/>
          <w:i/>
        </w:rPr>
        <w:t>Pay Fairness &amp; Pay Reporting</w:t>
      </w:r>
      <w:r>
        <w:rPr>
          <w:rFonts w:ascii="Calibri" w:eastAsia="Calibri" w:hAnsi="Calibri" w:cs="Calibri"/>
        </w:rPr>
        <w:t xml:space="preserve"> | Factsheets. [online] CIPD. Available at: https://www.cipd.org/uk/knowledge/factsheets/pay-fairness-reporting-factsheet/#Equalpay.</w:t>
      </w:r>
    </w:p>
    <w:p w14:paraId="6BD6F542" w14:textId="77777777" w:rsidR="004032A1" w:rsidRDefault="00FD0A41">
      <w:pPr>
        <w:rPr>
          <w:rFonts w:ascii="Calibri" w:eastAsia="Calibri" w:hAnsi="Calibri" w:cs="Calibri"/>
        </w:rPr>
      </w:pPr>
      <w:r>
        <w:rPr>
          <w:rFonts w:ascii="Calibri" w:eastAsia="Calibri" w:hAnsi="Calibri" w:cs="Calibri"/>
        </w:rPr>
        <w:t xml:space="preserve">Courts and Tribunals Judiciary (2023) </w:t>
      </w:r>
      <w:r>
        <w:rPr>
          <w:rFonts w:ascii="Calibri" w:eastAsia="Calibri" w:hAnsi="Calibri" w:cs="Calibri"/>
          <w:i/>
        </w:rPr>
        <w:t>Structure of the Courts &amp; Tribunals system</w:t>
      </w:r>
      <w:r>
        <w:rPr>
          <w:rFonts w:ascii="Calibri" w:eastAsia="Calibri" w:hAnsi="Calibri" w:cs="Calibri"/>
        </w:rPr>
        <w:t xml:space="preserve">. [online] Courts and Tribunals Judiciary. Available at: </w:t>
      </w:r>
      <w:hyperlink r:id="rId21">
        <w:r>
          <w:rPr>
            <w:rFonts w:ascii="Calibri" w:eastAsia="Calibri" w:hAnsi="Calibri" w:cs="Calibri"/>
            <w:color w:val="0000FF"/>
            <w:u w:val="single"/>
          </w:rPr>
          <w:t>https://www.judiciary.uk/about-the-judiciary/our-justice-system/court-structure/</w:t>
        </w:r>
      </w:hyperlink>
      <w:r>
        <w:rPr>
          <w:rFonts w:ascii="Calibri" w:eastAsia="Calibri" w:hAnsi="Calibri" w:cs="Calibri"/>
        </w:rPr>
        <w:t>.</w:t>
      </w:r>
    </w:p>
    <w:p w14:paraId="308BD6DE" w14:textId="77777777" w:rsidR="004032A1" w:rsidRDefault="00FD0A41">
      <w:pPr>
        <w:rPr>
          <w:rFonts w:ascii="Calibri" w:eastAsia="Calibri" w:hAnsi="Calibri" w:cs="Calibri"/>
        </w:rPr>
      </w:pPr>
      <w:r>
        <w:rPr>
          <w:rFonts w:ascii="Calibri" w:eastAsia="Calibri" w:hAnsi="Calibri" w:cs="Calibri"/>
        </w:rPr>
        <w:t>Duncan, S (2024) Can An Employer Change Working Hours? [online] Real Business. Available at: https://realbusiness.co.uk/employer-change-working-hours [Accessed 11 Feb. 2025].</w:t>
      </w:r>
    </w:p>
    <w:p w14:paraId="7FBEE015" w14:textId="77777777" w:rsidR="004032A1" w:rsidRDefault="00FD0A41">
      <w:pPr>
        <w:rPr>
          <w:rFonts w:ascii="Calibri" w:eastAsia="Calibri" w:hAnsi="Calibri" w:cs="Calibri"/>
        </w:rPr>
      </w:pPr>
      <w:r>
        <w:rPr>
          <w:rFonts w:ascii="Calibri" w:eastAsia="Calibri" w:hAnsi="Calibri" w:cs="Calibri"/>
        </w:rPr>
        <w:t>Employer Advice. (n.d.) </w:t>
      </w:r>
      <w:r>
        <w:rPr>
          <w:rFonts w:ascii="Calibri" w:eastAsia="Calibri" w:hAnsi="Calibri" w:cs="Calibri"/>
          <w:i/>
        </w:rPr>
        <w:t>ACAS Advice for Business Owners</w:t>
      </w:r>
      <w:r>
        <w:rPr>
          <w:rFonts w:ascii="Calibri" w:eastAsia="Calibri" w:hAnsi="Calibri" w:cs="Calibri"/>
        </w:rPr>
        <w:t>. [online] Available at: https://employeradvice.org/acas?utm_source=bing&amp;utm_medium=PPC&amp;utm_term=acas&amp;utm_campaign=ACAS%20-%20Rest%20-%20Tier%202Home&amp;msclkid=41927586d0bd1240f76113fc79f6aca8&amp;utm_content=Home [Accessed 22 Jan. 2025].</w:t>
      </w:r>
    </w:p>
    <w:p w14:paraId="58A772E0" w14:textId="77777777" w:rsidR="004032A1" w:rsidRDefault="00FD0A41">
      <w:pPr>
        <w:rPr>
          <w:rFonts w:ascii="Calibri" w:eastAsia="Calibri" w:hAnsi="Calibri" w:cs="Calibri"/>
        </w:rPr>
      </w:pPr>
      <w:r>
        <w:rPr>
          <w:rFonts w:ascii="Calibri" w:eastAsia="Calibri" w:hAnsi="Calibri" w:cs="Calibri"/>
        </w:rPr>
        <w:t>EmploymentSolicitor.com. (2020) </w:t>
      </w:r>
      <w:r>
        <w:rPr>
          <w:rFonts w:ascii="Calibri" w:eastAsia="Calibri" w:hAnsi="Calibri" w:cs="Calibri"/>
          <w:i/>
        </w:rPr>
        <w:t>Constructive Dismissal Claims and How to Win.</w:t>
      </w:r>
      <w:r>
        <w:rPr>
          <w:rFonts w:ascii="Calibri" w:eastAsia="Calibri" w:hAnsi="Calibri" w:cs="Calibri"/>
        </w:rPr>
        <w:t xml:space="preserve"> [online] Available at: https://www.employmentsolicitor.com/constructive-dismissal/.</w:t>
      </w:r>
    </w:p>
    <w:p w14:paraId="2AEECEEC" w14:textId="77777777" w:rsidR="004032A1" w:rsidRDefault="00FD0A41">
      <w:pPr>
        <w:rPr>
          <w:rFonts w:ascii="Calibri" w:eastAsia="Calibri" w:hAnsi="Calibri" w:cs="Calibri"/>
        </w:rPr>
      </w:pPr>
      <w:r>
        <w:rPr>
          <w:rFonts w:ascii="Calibri" w:eastAsia="Calibri" w:hAnsi="Calibri" w:cs="Calibri"/>
        </w:rPr>
        <w:t>Equality and Human Rights Commission (2011) </w:t>
      </w:r>
      <w:r>
        <w:rPr>
          <w:rFonts w:ascii="Calibri" w:eastAsia="Calibri" w:hAnsi="Calibri" w:cs="Calibri"/>
          <w:i/>
        </w:rPr>
        <w:t>Equality Act 2010 Code of Practice Equal pay Statutory Code of Practice.</w:t>
      </w:r>
      <w:r>
        <w:rPr>
          <w:rFonts w:ascii="Calibri" w:eastAsia="Calibri" w:hAnsi="Calibri" w:cs="Calibri"/>
        </w:rPr>
        <w:t xml:space="preserve"> [online] Available at: </w:t>
      </w:r>
      <w:hyperlink r:id="rId22">
        <w:r>
          <w:rPr>
            <w:rFonts w:ascii="Calibri" w:eastAsia="Calibri" w:hAnsi="Calibri" w:cs="Calibri"/>
          </w:rPr>
          <w:t>https://www.equalityhumanrights.com/sites/default/files/equalpaycode.pdf</w:t>
        </w:r>
      </w:hyperlink>
      <w:r>
        <w:rPr>
          <w:rFonts w:ascii="Calibri" w:eastAsia="Calibri" w:hAnsi="Calibri" w:cs="Calibri"/>
        </w:rPr>
        <w:t>.</w:t>
      </w:r>
    </w:p>
    <w:p w14:paraId="2684FB84" w14:textId="77777777" w:rsidR="004032A1" w:rsidRDefault="00FD0A41">
      <w:pPr>
        <w:rPr>
          <w:rFonts w:ascii="Calibri" w:eastAsia="Calibri" w:hAnsi="Calibri" w:cs="Calibri"/>
        </w:rPr>
      </w:pPr>
      <w:r>
        <w:rPr>
          <w:rFonts w:ascii="Calibri" w:eastAsia="Calibri" w:hAnsi="Calibri" w:cs="Calibri"/>
        </w:rPr>
        <w:t xml:space="preserve">Equality and Human Rights Commission (2020) </w:t>
      </w:r>
      <w:r>
        <w:rPr>
          <w:rFonts w:ascii="Calibri" w:eastAsia="Calibri" w:hAnsi="Calibri" w:cs="Calibri"/>
          <w:i/>
        </w:rPr>
        <w:t>Sex discrimination</w:t>
      </w:r>
      <w:r>
        <w:rPr>
          <w:rFonts w:ascii="Calibri" w:eastAsia="Calibri" w:hAnsi="Calibri" w:cs="Calibri"/>
        </w:rPr>
        <w:t xml:space="preserve"> | EHRC. [online] www.equalityhumanrights.com. Available at: https://www.equalityhumanrights.com/equality/equality-act-2010/your-rights-under-equality-act-2010/sex-discrimination.</w:t>
      </w:r>
    </w:p>
    <w:p w14:paraId="56B1D13E" w14:textId="77777777" w:rsidR="004032A1" w:rsidRDefault="00FD0A41">
      <w:pPr>
        <w:rPr>
          <w:rFonts w:ascii="Calibri" w:eastAsia="Calibri" w:hAnsi="Calibri" w:cs="Calibri"/>
        </w:rPr>
      </w:pPr>
      <w:r>
        <w:rPr>
          <w:rFonts w:ascii="Calibri" w:eastAsia="Calibri" w:hAnsi="Calibri" w:cs="Calibri"/>
        </w:rPr>
        <w:t>Farmer, C. (2022) </w:t>
      </w:r>
      <w:r>
        <w:rPr>
          <w:rFonts w:ascii="Calibri" w:eastAsia="Calibri" w:hAnsi="Calibri" w:cs="Calibri"/>
          <w:i/>
        </w:rPr>
        <w:t>An Employer’s Guide to Employment Contract Variation in England - LegalVision UK</w:t>
      </w:r>
      <w:r>
        <w:rPr>
          <w:rFonts w:ascii="Calibri" w:eastAsia="Calibri" w:hAnsi="Calibri" w:cs="Calibri"/>
        </w:rPr>
        <w:t xml:space="preserve">. [online] legalvision.co.uk. Available at: </w:t>
      </w:r>
      <w:hyperlink r:id="rId23">
        <w:r>
          <w:rPr>
            <w:rFonts w:ascii="Calibri" w:eastAsia="Calibri" w:hAnsi="Calibri" w:cs="Calibri"/>
            <w:color w:val="0000FF"/>
            <w:u w:val="single"/>
          </w:rPr>
          <w:t>https://legalvision.co.uk/employment/employment-contract-variation/</w:t>
        </w:r>
      </w:hyperlink>
      <w:r>
        <w:rPr>
          <w:rFonts w:ascii="Calibri" w:eastAsia="Calibri" w:hAnsi="Calibri" w:cs="Calibri"/>
        </w:rPr>
        <w:t>.</w:t>
      </w:r>
    </w:p>
    <w:p w14:paraId="7EB50CA3" w14:textId="77777777" w:rsidR="004032A1" w:rsidRDefault="00FD0A41">
      <w:pPr>
        <w:rPr>
          <w:rFonts w:ascii="Calibri" w:eastAsia="Calibri" w:hAnsi="Calibri" w:cs="Calibri"/>
        </w:rPr>
      </w:pPr>
      <w:r>
        <w:rPr>
          <w:rFonts w:ascii="Calibri" w:eastAsia="Calibri" w:hAnsi="Calibri" w:cs="Calibri"/>
        </w:rPr>
        <w:t>Gov.uk (2024) </w:t>
      </w:r>
      <w:r>
        <w:rPr>
          <w:rFonts w:ascii="Calibri" w:eastAsia="Calibri" w:hAnsi="Calibri" w:cs="Calibri"/>
          <w:i/>
        </w:rPr>
        <w:t>Business transfers, takeovers and TUPE.</w:t>
      </w:r>
      <w:r>
        <w:rPr>
          <w:rFonts w:ascii="Calibri" w:eastAsia="Calibri" w:hAnsi="Calibri" w:cs="Calibri"/>
        </w:rPr>
        <w:t xml:space="preserve"> [online] GOV.UK. Available at: </w:t>
      </w:r>
      <w:hyperlink r:id="rId24">
        <w:r>
          <w:rPr>
            <w:rFonts w:ascii="Calibri" w:eastAsia="Calibri" w:hAnsi="Calibri" w:cs="Calibri"/>
            <w:color w:val="0000FF"/>
            <w:u w:val="single"/>
          </w:rPr>
          <w:t>https://www.gov.uk/transfers-takeovers</w:t>
        </w:r>
      </w:hyperlink>
      <w:r>
        <w:rPr>
          <w:rFonts w:ascii="Calibri" w:eastAsia="Calibri" w:hAnsi="Calibri" w:cs="Calibri"/>
        </w:rPr>
        <w:t>.</w:t>
      </w:r>
    </w:p>
    <w:p w14:paraId="02B2D69C" w14:textId="77777777" w:rsidR="004032A1" w:rsidRDefault="00FD0A41">
      <w:pPr>
        <w:rPr>
          <w:rFonts w:ascii="Calibri" w:eastAsia="Calibri" w:hAnsi="Calibri" w:cs="Calibri"/>
        </w:rPr>
      </w:pPr>
      <w:r>
        <w:rPr>
          <w:rFonts w:ascii="Calibri" w:eastAsia="Calibri" w:hAnsi="Calibri" w:cs="Calibri"/>
        </w:rPr>
        <w:lastRenderedPageBreak/>
        <w:t>GOV.UK (2020) </w:t>
      </w:r>
      <w:r>
        <w:rPr>
          <w:rFonts w:ascii="Calibri" w:eastAsia="Calibri" w:hAnsi="Calibri" w:cs="Calibri"/>
          <w:i/>
        </w:rPr>
        <w:t>Calculating holiday pay for workers without fixed hours or pay.</w:t>
      </w:r>
      <w:r>
        <w:rPr>
          <w:rFonts w:ascii="Calibri" w:eastAsia="Calibri" w:hAnsi="Calibri" w:cs="Calibri"/>
        </w:rPr>
        <w:t xml:space="preserve"> [online] GOV.UK. Available at: https://www.gov.uk/government/publications/calculating-holiday-pay-for-workers-without-fixed-hours-or-pay/calculating-holiday-pay-for-workers-without-fixed-hours-or-pay--2.</w:t>
      </w:r>
    </w:p>
    <w:p w14:paraId="21DFC8DC" w14:textId="77777777" w:rsidR="004032A1" w:rsidRDefault="00FD0A41">
      <w:pPr>
        <w:rPr>
          <w:rFonts w:ascii="Calibri" w:eastAsia="Calibri" w:hAnsi="Calibri" w:cs="Calibri"/>
        </w:rPr>
      </w:pPr>
      <w:r>
        <w:rPr>
          <w:rFonts w:ascii="Calibri" w:eastAsia="Calibri" w:hAnsi="Calibri" w:cs="Calibri"/>
        </w:rPr>
        <w:t>GOV.UK (1996) </w:t>
      </w:r>
      <w:r>
        <w:rPr>
          <w:rFonts w:ascii="Calibri" w:eastAsia="Calibri" w:hAnsi="Calibri" w:cs="Calibri"/>
          <w:i/>
        </w:rPr>
        <w:t>Employment Rights Act 1996.</w:t>
      </w:r>
      <w:r>
        <w:rPr>
          <w:rFonts w:ascii="Calibri" w:eastAsia="Calibri" w:hAnsi="Calibri" w:cs="Calibri"/>
        </w:rPr>
        <w:t xml:space="preserve"> [online] Legislation.gov.uk. Available at: </w:t>
      </w:r>
      <w:hyperlink r:id="rId25">
        <w:r>
          <w:rPr>
            <w:rFonts w:ascii="Calibri" w:eastAsia="Calibri" w:hAnsi="Calibri" w:cs="Calibri"/>
          </w:rPr>
          <w:t>https://www.legislation.gov.uk/ukpga/1996/18/contents</w:t>
        </w:r>
      </w:hyperlink>
      <w:r>
        <w:rPr>
          <w:rFonts w:ascii="Calibri" w:eastAsia="Calibri" w:hAnsi="Calibri" w:cs="Calibri"/>
        </w:rPr>
        <w:t>.</w:t>
      </w:r>
    </w:p>
    <w:p w14:paraId="21295D84" w14:textId="77777777" w:rsidR="004032A1" w:rsidRDefault="00FD0A41">
      <w:pPr>
        <w:rPr>
          <w:rFonts w:ascii="Calibri" w:eastAsia="Calibri" w:hAnsi="Calibri" w:cs="Calibri"/>
        </w:rPr>
      </w:pPr>
      <w:r>
        <w:rPr>
          <w:rFonts w:ascii="Calibri" w:eastAsia="Calibri" w:hAnsi="Calibri" w:cs="Calibri"/>
        </w:rPr>
        <w:t>GOV.UK (2022) </w:t>
      </w:r>
      <w:r>
        <w:rPr>
          <w:rFonts w:ascii="Calibri" w:eastAsia="Calibri" w:hAnsi="Calibri" w:cs="Calibri"/>
          <w:i/>
        </w:rPr>
        <w:t>Employment status and rights: support for individuals</w:t>
      </w:r>
      <w:r>
        <w:rPr>
          <w:rFonts w:ascii="Calibri" w:eastAsia="Calibri" w:hAnsi="Calibri" w:cs="Calibri"/>
        </w:rPr>
        <w:t xml:space="preserve">. [online] GOV.UK. Available at: </w:t>
      </w:r>
      <w:hyperlink r:id="rId26">
        <w:r>
          <w:rPr>
            <w:rFonts w:ascii="Calibri" w:eastAsia="Calibri" w:hAnsi="Calibri" w:cs="Calibri"/>
          </w:rPr>
          <w:t>https://www.gov.uk/government/publications/employment-status-and-employment-rights/employment-status-and-rights-support-for-individuals</w:t>
        </w:r>
      </w:hyperlink>
      <w:r>
        <w:rPr>
          <w:rFonts w:ascii="Calibri" w:eastAsia="Calibri" w:hAnsi="Calibri" w:cs="Calibri"/>
        </w:rPr>
        <w:t>.</w:t>
      </w:r>
    </w:p>
    <w:p w14:paraId="4AF56745" w14:textId="77777777" w:rsidR="004032A1" w:rsidRDefault="00FD0A41">
      <w:pPr>
        <w:rPr>
          <w:rFonts w:ascii="Calibri" w:eastAsia="Calibri" w:hAnsi="Calibri" w:cs="Calibri"/>
        </w:rPr>
      </w:pPr>
      <w:r>
        <w:rPr>
          <w:rFonts w:ascii="Calibri" w:eastAsia="Calibri" w:hAnsi="Calibri" w:cs="Calibri"/>
        </w:rPr>
        <w:t xml:space="preserve">GOV.UK (2013) </w:t>
      </w:r>
      <w:r>
        <w:rPr>
          <w:rFonts w:ascii="Calibri" w:eastAsia="Calibri" w:hAnsi="Calibri" w:cs="Calibri"/>
          <w:i/>
        </w:rPr>
        <w:t>Equality Act 2010.</w:t>
      </w:r>
      <w:r>
        <w:rPr>
          <w:rFonts w:ascii="Calibri" w:eastAsia="Calibri" w:hAnsi="Calibri" w:cs="Calibri"/>
        </w:rPr>
        <w:t xml:space="preserve"> [online] Gov.Uk. Available at: https://www.gov.uk/guidance/equality-act-2010-guidance.</w:t>
      </w:r>
    </w:p>
    <w:p w14:paraId="4387A57F" w14:textId="77777777" w:rsidR="004032A1" w:rsidRDefault="00FD0A41">
      <w:pPr>
        <w:rPr>
          <w:rFonts w:ascii="Calibri" w:eastAsia="Calibri" w:hAnsi="Calibri" w:cs="Calibri"/>
        </w:rPr>
      </w:pPr>
      <w:r>
        <w:rPr>
          <w:rFonts w:ascii="Calibri" w:eastAsia="Calibri" w:hAnsi="Calibri" w:cs="Calibri"/>
        </w:rPr>
        <w:t>GOV.UK (2024) </w:t>
      </w:r>
      <w:r>
        <w:rPr>
          <w:rFonts w:ascii="Calibri" w:eastAsia="Calibri" w:hAnsi="Calibri" w:cs="Calibri"/>
          <w:i/>
        </w:rPr>
        <w:t>Flexible working</w:t>
      </w:r>
      <w:r>
        <w:rPr>
          <w:rFonts w:ascii="Calibri" w:eastAsia="Calibri" w:hAnsi="Calibri" w:cs="Calibri"/>
        </w:rPr>
        <w:t xml:space="preserve">. [online] GOV.UK. Available at: </w:t>
      </w:r>
      <w:hyperlink r:id="rId27">
        <w:r>
          <w:rPr>
            <w:rFonts w:ascii="Calibri" w:eastAsia="Calibri" w:hAnsi="Calibri" w:cs="Calibri"/>
            <w:color w:val="0000FF"/>
            <w:u w:val="single"/>
          </w:rPr>
          <w:t>https://www.gov.uk/flexible-working</w:t>
        </w:r>
      </w:hyperlink>
      <w:r>
        <w:rPr>
          <w:rFonts w:ascii="Calibri" w:eastAsia="Calibri" w:hAnsi="Calibri" w:cs="Calibri"/>
        </w:rPr>
        <w:t>.</w:t>
      </w:r>
    </w:p>
    <w:p w14:paraId="45E4D466" w14:textId="77777777" w:rsidR="004032A1" w:rsidRDefault="00FD0A41">
      <w:pPr>
        <w:rPr>
          <w:rFonts w:ascii="Calibri" w:eastAsia="Calibri" w:hAnsi="Calibri" w:cs="Calibri"/>
        </w:rPr>
      </w:pPr>
      <w:r>
        <w:rPr>
          <w:rFonts w:ascii="Calibri" w:eastAsia="Calibri" w:hAnsi="Calibri" w:cs="Calibri"/>
        </w:rPr>
        <w:t>GOV.UK (2024) </w:t>
      </w:r>
      <w:r>
        <w:rPr>
          <w:rFonts w:ascii="Calibri" w:eastAsia="Calibri" w:hAnsi="Calibri" w:cs="Calibri"/>
          <w:i/>
        </w:rPr>
        <w:t>Holiday pay and entitlement reforms from 1 January 2024</w:t>
      </w:r>
      <w:r>
        <w:rPr>
          <w:rFonts w:ascii="Calibri" w:eastAsia="Calibri" w:hAnsi="Calibri" w:cs="Calibri"/>
        </w:rPr>
        <w:t xml:space="preserve">. [online] GOV.UK. Available at: </w:t>
      </w:r>
      <w:hyperlink r:id="rId28">
        <w:r>
          <w:rPr>
            <w:rFonts w:ascii="Calibri" w:eastAsia="Calibri" w:hAnsi="Calibri" w:cs="Calibri"/>
            <w:color w:val="0000FF"/>
            <w:u w:val="single"/>
          </w:rPr>
          <w:t>https://www.gov.uk/government/publications/simplifying-holiday-entitlement-and-holiday-pay-calculations/holiday-pay-and-entitlement-reforms-from-1-january-2024</w:t>
        </w:r>
      </w:hyperlink>
      <w:r>
        <w:rPr>
          <w:rFonts w:ascii="Calibri" w:eastAsia="Calibri" w:hAnsi="Calibri" w:cs="Calibri"/>
        </w:rPr>
        <w:t>.</w:t>
      </w:r>
    </w:p>
    <w:p w14:paraId="76B53008" w14:textId="77777777" w:rsidR="004032A1" w:rsidRDefault="00FD0A41">
      <w:pPr>
        <w:rPr>
          <w:rFonts w:ascii="Calibri" w:eastAsia="Calibri" w:hAnsi="Calibri" w:cs="Calibri"/>
        </w:rPr>
      </w:pPr>
      <w:r>
        <w:rPr>
          <w:rFonts w:ascii="Calibri" w:eastAsia="Calibri" w:hAnsi="Calibri" w:cs="Calibri"/>
        </w:rPr>
        <w:t>GOV.UK (2013) Maternity Pay and Leave. [online] GOV.UK. Available at: https://www.gov.uk/maternity-pay-leave.</w:t>
      </w:r>
    </w:p>
    <w:p w14:paraId="2000A116" w14:textId="77777777" w:rsidR="004032A1" w:rsidRDefault="00FD0A41">
      <w:pPr>
        <w:rPr>
          <w:rFonts w:ascii="Calibri" w:eastAsia="Calibri" w:hAnsi="Calibri" w:cs="Calibri"/>
        </w:rPr>
      </w:pPr>
      <w:r>
        <w:rPr>
          <w:rFonts w:ascii="Calibri" w:eastAsia="Calibri" w:hAnsi="Calibri" w:cs="Calibri"/>
        </w:rPr>
        <w:t>GOV.UK (2023) </w:t>
      </w:r>
      <w:r>
        <w:rPr>
          <w:rFonts w:ascii="Calibri" w:eastAsia="Calibri" w:hAnsi="Calibri" w:cs="Calibri"/>
          <w:i/>
        </w:rPr>
        <w:t>Rates and thresholds for employers 2023 to 2024</w:t>
      </w:r>
      <w:r>
        <w:rPr>
          <w:rFonts w:ascii="Calibri" w:eastAsia="Calibri" w:hAnsi="Calibri" w:cs="Calibri"/>
        </w:rPr>
        <w:t xml:space="preserve">. [online] GOV.UK. Available at: </w:t>
      </w:r>
      <w:hyperlink r:id="rId29">
        <w:r>
          <w:rPr>
            <w:rFonts w:ascii="Calibri" w:eastAsia="Calibri" w:hAnsi="Calibri" w:cs="Calibri"/>
          </w:rPr>
          <w:t>https://www.gov.uk/guidance/rates-and-thresholds-for-employers-2023-to-2024</w:t>
        </w:r>
      </w:hyperlink>
      <w:r>
        <w:rPr>
          <w:rFonts w:ascii="Calibri" w:eastAsia="Calibri" w:hAnsi="Calibri" w:cs="Calibri"/>
        </w:rPr>
        <w:t>.</w:t>
      </w:r>
    </w:p>
    <w:p w14:paraId="53309E56" w14:textId="77777777" w:rsidR="004032A1" w:rsidRDefault="00FD0A41">
      <w:pPr>
        <w:rPr>
          <w:rFonts w:ascii="Calibri" w:eastAsia="Calibri" w:hAnsi="Calibri" w:cs="Calibri"/>
        </w:rPr>
      </w:pPr>
      <w:r>
        <w:rPr>
          <w:rFonts w:ascii="Calibri" w:eastAsia="Calibri" w:hAnsi="Calibri" w:cs="Calibri"/>
        </w:rPr>
        <w:t>GOV.UK (2012) </w:t>
      </w:r>
      <w:r>
        <w:rPr>
          <w:rFonts w:ascii="Calibri" w:eastAsia="Calibri" w:hAnsi="Calibri" w:cs="Calibri"/>
          <w:i/>
        </w:rPr>
        <w:t>Redundancy: your rights.</w:t>
      </w:r>
      <w:r>
        <w:rPr>
          <w:rFonts w:ascii="Calibri" w:eastAsia="Calibri" w:hAnsi="Calibri" w:cs="Calibri"/>
        </w:rPr>
        <w:t xml:space="preserve"> [online] GOV.UK. Available at: https://www.gov.uk/redundancy-your-rights/notice-periods.</w:t>
      </w:r>
    </w:p>
    <w:p w14:paraId="0B371ED0" w14:textId="77777777" w:rsidR="004032A1" w:rsidRDefault="00FD0A41">
      <w:pPr>
        <w:rPr>
          <w:rFonts w:ascii="Calibri" w:eastAsia="Calibri" w:hAnsi="Calibri" w:cs="Calibri"/>
        </w:rPr>
      </w:pPr>
      <w:r>
        <w:rPr>
          <w:rFonts w:ascii="Calibri" w:eastAsia="Calibri" w:hAnsi="Calibri" w:cs="Calibri"/>
        </w:rPr>
        <w:t>Gov.UK (2014) </w:t>
      </w:r>
      <w:r>
        <w:rPr>
          <w:rFonts w:ascii="Calibri" w:eastAsia="Calibri" w:hAnsi="Calibri" w:cs="Calibri"/>
          <w:i/>
        </w:rPr>
        <w:t>Shared Parental Leave and Pay</w:t>
      </w:r>
      <w:r>
        <w:rPr>
          <w:rFonts w:ascii="Calibri" w:eastAsia="Calibri" w:hAnsi="Calibri" w:cs="Calibri"/>
        </w:rPr>
        <w:t>. [online] GOV.UK. Available at: https://www.gov.uk/shared-parental-leave-and-pay.</w:t>
      </w:r>
    </w:p>
    <w:p w14:paraId="5CA5D5AC" w14:textId="77777777" w:rsidR="004032A1" w:rsidRDefault="00FD0A41">
      <w:pPr>
        <w:rPr>
          <w:rFonts w:ascii="Calibri" w:eastAsia="Calibri" w:hAnsi="Calibri" w:cs="Calibri"/>
        </w:rPr>
      </w:pPr>
      <w:r>
        <w:rPr>
          <w:rFonts w:ascii="Calibri" w:eastAsia="Calibri" w:hAnsi="Calibri" w:cs="Calibri"/>
        </w:rPr>
        <w:t xml:space="preserve">Harper James. (n.d.) </w:t>
      </w:r>
      <w:r>
        <w:rPr>
          <w:rFonts w:ascii="Calibri" w:eastAsia="Calibri" w:hAnsi="Calibri" w:cs="Calibri"/>
          <w:i/>
        </w:rPr>
        <w:t>How to change terms of a contract</w:t>
      </w:r>
      <w:r>
        <w:rPr>
          <w:rFonts w:ascii="Calibri" w:eastAsia="Calibri" w:hAnsi="Calibri" w:cs="Calibri"/>
        </w:rPr>
        <w:t xml:space="preserve">: </w:t>
      </w:r>
      <w:r>
        <w:rPr>
          <w:rFonts w:ascii="Calibri" w:eastAsia="Calibri" w:hAnsi="Calibri" w:cs="Calibri"/>
          <w:i/>
        </w:rPr>
        <w:t>Varying a business agreement.</w:t>
      </w:r>
      <w:r>
        <w:rPr>
          <w:rFonts w:ascii="Calibri" w:eastAsia="Calibri" w:hAnsi="Calibri" w:cs="Calibri"/>
        </w:rPr>
        <w:t xml:space="preserve"> [online] Available at: </w:t>
      </w:r>
      <w:hyperlink r:id="rId30" w:anchor=":~:text=Varying%20a%20legally%20binding%20contract%20can%20only%20be">
        <w:r>
          <w:rPr>
            <w:rFonts w:ascii="Calibri" w:eastAsia="Calibri" w:hAnsi="Calibri" w:cs="Calibri"/>
            <w:color w:val="0000FF"/>
            <w:u w:val="single"/>
          </w:rPr>
          <w:t>https://harperjames.co.uk/article/changing-terms-of-a-contract-agreement/#:~:text=Varying%20a%20legally%20binding%20contract%20can%20only%20be</w:t>
        </w:r>
      </w:hyperlink>
      <w:r>
        <w:rPr>
          <w:rFonts w:ascii="Calibri" w:eastAsia="Calibri" w:hAnsi="Calibri" w:cs="Calibri"/>
        </w:rPr>
        <w:t>.</w:t>
      </w:r>
    </w:p>
    <w:p w14:paraId="41D348F0" w14:textId="4D5E83B2" w:rsidR="00A55D8B" w:rsidRDefault="00A55D8B">
      <w:pPr>
        <w:rPr>
          <w:rStyle w:val="Strong"/>
          <w:rFonts w:ascii="Calibri" w:hAnsi="Calibri" w:cs="Calibri"/>
          <w:b w:val="0"/>
          <w:bCs w:val="0"/>
        </w:rPr>
      </w:pPr>
      <w:r w:rsidRPr="00A55D8B">
        <w:rPr>
          <w:rStyle w:val="Strong"/>
          <w:rFonts w:ascii="Calibri" w:hAnsi="Calibri" w:cs="Calibri"/>
          <w:b w:val="0"/>
          <w:bCs w:val="0"/>
        </w:rPr>
        <w:t>Harrisr, L. and Foster, C</w:t>
      </w:r>
      <w:r>
        <w:rPr>
          <w:rStyle w:val="Strong"/>
          <w:rFonts w:ascii="Calibri" w:hAnsi="Calibri" w:cs="Calibri"/>
          <w:b w:val="0"/>
          <w:bCs w:val="0"/>
        </w:rPr>
        <w:t>.</w:t>
      </w:r>
      <w:r w:rsidRPr="00A55D8B">
        <w:rPr>
          <w:rStyle w:val="Strong"/>
          <w:rFonts w:ascii="Calibri" w:hAnsi="Calibri" w:cs="Calibri"/>
          <w:b w:val="0"/>
          <w:bCs w:val="0"/>
        </w:rPr>
        <w:t xml:space="preserve"> (2010) Aligning talent management with approaches to equality and diversity. Equality, Diversity and Inclusion: An International Journal, [online] 29(5), pp.422–435. doi:https://doi.org/10.1108/02610151011052753.</w:t>
      </w:r>
    </w:p>
    <w:p w14:paraId="6620DB79" w14:textId="1511CE9C" w:rsidR="008A4264" w:rsidRPr="008A4264" w:rsidRDefault="008A4264">
      <w:pPr>
        <w:rPr>
          <w:rStyle w:val="Strong"/>
          <w:rFonts w:ascii="Calibri" w:hAnsi="Calibri" w:cs="Calibri"/>
          <w:b w:val="0"/>
          <w:bCs w:val="0"/>
          <w:color w:val="FF0000"/>
        </w:rPr>
      </w:pPr>
      <w:r w:rsidRPr="008A4264">
        <w:rPr>
          <w:rStyle w:val="Strong"/>
          <w:rFonts w:ascii="Calibri" w:hAnsi="Calibri" w:cs="Calibri"/>
          <w:b w:val="0"/>
          <w:bCs w:val="0"/>
          <w:color w:val="FF0000"/>
        </w:rPr>
        <w:t>Hastings, S. (2014) Gender-Neutral Job Evaluation Schemes An Introductory Guide. [online] Available at: https://www.equalityhumanrights.com/sites/default/files/gd.13.101-1_gender_neutral_jes-ig_18-03-14_final.pdf.</w:t>
      </w:r>
    </w:p>
    <w:p w14:paraId="61030598" w14:textId="77777777" w:rsidR="004032A1" w:rsidRDefault="00FD0A41">
      <w:pPr>
        <w:rPr>
          <w:rFonts w:ascii="Calibri" w:eastAsia="Calibri" w:hAnsi="Calibri" w:cs="Calibri"/>
        </w:rPr>
      </w:pPr>
      <w:r>
        <w:rPr>
          <w:rFonts w:ascii="Calibri" w:eastAsia="Calibri" w:hAnsi="Calibri" w:cs="Calibri"/>
        </w:rPr>
        <w:lastRenderedPageBreak/>
        <w:t>Health and Safety Executive (2024) The law on workplace safety - HSE. [online] www.hse.gov.uk. Available at: https://www.hse.gov.uk/workplace-health/law.htm.</w:t>
      </w:r>
    </w:p>
    <w:p w14:paraId="4BFA7774" w14:textId="77777777" w:rsidR="004032A1" w:rsidRDefault="00FD0A41">
      <w:pPr>
        <w:rPr>
          <w:rFonts w:ascii="Calibri" w:eastAsia="Calibri" w:hAnsi="Calibri" w:cs="Calibri"/>
        </w:rPr>
      </w:pPr>
      <w:r>
        <w:rPr>
          <w:rFonts w:ascii="Calibri" w:eastAsia="Calibri" w:hAnsi="Calibri" w:cs="Calibri"/>
        </w:rPr>
        <w:t>hrcentre.uk.brightmine.com. (n.d.) </w:t>
      </w:r>
      <w:r>
        <w:rPr>
          <w:rFonts w:ascii="Calibri" w:eastAsia="Calibri" w:hAnsi="Calibri" w:cs="Calibri"/>
          <w:i/>
        </w:rPr>
        <w:t>Discrimination in recruitment and selection | Recruitment and selection | Employment law guide | Tools | HR &amp; Compliance Centre.co.uk.</w:t>
      </w:r>
      <w:r>
        <w:rPr>
          <w:rFonts w:ascii="Calibri" w:eastAsia="Calibri" w:hAnsi="Calibri" w:cs="Calibri"/>
        </w:rPr>
        <w:t xml:space="preserve"> [online] Available at: </w:t>
      </w:r>
      <w:hyperlink r:id="rId31">
        <w:r>
          <w:rPr>
            <w:rFonts w:ascii="Calibri" w:eastAsia="Calibri" w:hAnsi="Calibri" w:cs="Calibri"/>
            <w:color w:val="0000FF"/>
            <w:u w:val="single"/>
          </w:rPr>
          <w:t>https://hrcentre.uk.brightmine.com/employment-law-guide/discrimination-in-recruitment-and-selection/157530/</w:t>
        </w:r>
      </w:hyperlink>
      <w:r>
        <w:rPr>
          <w:rFonts w:ascii="Calibri" w:eastAsia="Calibri" w:hAnsi="Calibri" w:cs="Calibri"/>
        </w:rPr>
        <w:t>.</w:t>
      </w:r>
    </w:p>
    <w:p w14:paraId="62C571CF" w14:textId="1E6BD4D2" w:rsidR="004032A1" w:rsidRDefault="00FD0A41">
      <w:pPr>
        <w:rPr>
          <w:rFonts w:ascii="Calibri" w:eastAsia="Calibri" w:hAnsi="Calibri" w:cs="Calibri"/>
        </w:rPr>
      </w:pPr>
      <w:r>
        <w:rPr>
          <w:rFonts w:ascii="Calibri" w:eastAsia="Calibri" w:hAnsi="Calibri" w:cs="Calibri"/>
        </w:rPr>
        <w:t xml:space="preserve">HR Future (2024) 10 Ways HR Professionals Can Mitigate Legal Risks in the Workplace. [online] Available at: </w:t>
      </w:r>
      <w:hyperlink r:id="rId32" w:history="1">
        <w:r w:rsidR="007C23DD" w:rsidRPr="00692CCC">
          <w:rPr>
            <w:rStyle w:val="Hyperlink"/>
            <w:rFonts w:ascii="Calibri" w:eastAsia="Calibri" w:hAnsi="Calibri" w:cs="Calibri"/>
          </w:rPr>
          <w:t>https://www.hrfuture.net/workplace-culture/strategy/legal/10-ways-hr-professionals-can-mitigate-legal-risks-in-the-workplace/</w:t>
        </w:r>
      </w:hyperlink>
      <w:r>
        <w:rPr>
          <w:rFonts w:ascii="Calibri" w:eastAsia="Calibri" w:hAnsi="Calibri" w:cs="Calibri"/>
        </w:rPr>
        <w:t>.</w:t>
      </w:r>
    </w:p>
    <w:p w14:paraId="1A72FB98" w14:textId="28A6843B" w:rsidR="007C23DD" w:rsidRPr="007C23DD" w:rsidRDefault="007C23DD">
      <w:pPr>
        <w:rPr>
          <w:rStyle w:val="Strong"/>
          <w:rFonts w:ascii="Calibri" w:hAnsi="Calibri" w:cs="Calibri"/>
          <w:b w:val="0"/>
          <w:bCs w:val="0"/>
          <w:color w:val="FF0000"/>
        </w:rPr>
      </w:pPr>
      <w:r w:rsidRPr="007C23DD">
        <w:rPr>
          <w:rStyle w:val="Strong"/>
          <w:rFonts w:ascii="Calibri" w:hAnsi="Calibri" w:cs="Calibri"/>
          <w:b w:val="0"/>
          <w:bCs w:val="0"/>
          <w:color w:val="FF0000"/>
        </w:rPr>
        <w:t>Ico.org.uk. (2024)</w:t>
      </w:r>
      <w:r>
        <w:rPr>
          <w:rStyle w:val="Strong"/>
          <w:rFonts w:ascii="Calibri" w:hAnsi="Calibri" w:cs="Calibri"/>
          <w:b w:val="0"/>
          <w:bCs w:val="0"/>
          <w:color w:val="FF0000"/>
        </w:rPr>
        <w:t xml:space="preserve"> </w:t>
      </w:r>
      <w:r w:rsidRPr="007C23DD">
        <w:rPr>
          <w:rStyle w:val="Strong"/>
          <w:rFonts w:ascii="Calibri" w:hAnsi="Calibri" w:cs="Calibri"/>
          <w:b w:val="0"/>
          <w:bCs w:val="0"/>
          <w:color w:val="FF0000"/>
        </w:rPr>
        <w:t>What actions are recommended before making a final decision? [online] Available at: https://ico.org.uk/for-organisations/foi/freedom-of-information-and-environmental-information-regulations/section-14-dealing-with-vexatious-requests/what-actions-are-recommended-before-making-a-final-decision/ [Accessed 1 May 2025].</w:t>
      </w:r>
    </w:p>
    <w:p w14:paraId="4BABF5C7" w14:textId="77777777" w:rsidR="004032A1" w:rsidRDefault="00FD0A41">
      <w:pPr>
        <w:rPr>
          <w:rFonts w:ascii="Calibri" w:eastAsia="Calibri" w:hAnsi="Calibri" w:cs="Calibri"/>
        </w:rPr>
      </w:pPr>
      <w:r>
        <w:rPr>
          <w:rFonts w:ascii="Calibri" w:eastAsia="Calibri" w:hAnsi="Calibri" w:cs="Calibri"/>
        </w:rPr>
        <w:t>IPSA LOQUITUR. (2023) </w:t>
      </w:r>
      <w:r>
        <w:rPr>
          <w:rFonts w:ascii="Calibri" w:eastAsia="Calibri" w:hAnsi="Calibri" w:cs="Calibri"/>
          <w:i/>
        </w:rPr>
        <w:t>WM Morrison Supermarkets v Various Claimants – Case Summary.</w:t>
      </w:r>
      <w:r>
        <w:rPr>
          <w:rFonts w:ascii="Calibri" w:eastAsia="Calibri" w:hAnsi="Calibri" w:cs="Calibri"/>
        </w:rPr>
        <w:t xml:space="preserve"> [online] Available at: https://ipsaloquitur.com/tort-law/cases/wm-morrison-v-various-claimants/.</w:t>
      </w:r>
    </w:p>
    <w:p w14:paraId="1F00BC7F" w14:textId="77777777" w:rsidR="004032A1" w:rsidRDefault="00FD0A41">
      <w:pPr>
        <w:rPr>
          <w:rFonts w:ascii="Calibri" w:eastAsia="Calibri" w:hAnsi="Calibri" w:cs="Calibri"/>
        </w:rPr>
      </w:pPr>
      <w:r>
        <w:rPr>
          <w:rFonts w:ascii="Calibri" w:eastAsia="Calibri" w:hAnsi="Calibri" w:cs="Calibri"/>
        </w:rPr>
        <w:t>JustCite (2011) </w:t>
      </w:r>
      <w:r>
        <w:rPr>
          <w:rFonts w:ascii="Calibri" w:eastAsia="Calibri" w:hAnsi="Calibri" w:cs="Calibri"/>
          <w:i/>
        </w:rPr>
        <w:t>UK Court Structure | JustCite Knowledge Base.</w:t>
      </w:r>
      <w:r>
        <w:rPr>
          <w:rFonts w:ascii="Calibri" w:eastAsia="Calibri" w:hAnsi="Calibri" w:cs="Calibri"/>
        </w:rPr>
        <w:t xml:space="preserve"> [online] www.justcite.com. Available at: https://www.justcite.com/kb/editorial-policies/terms/uk-court-structure/.</w:t>
      </w:r>
    </w:p>
    <w:p w14:paraId="7A4C0882" w14:textId="77777777" w:rsidR="004032A1" w:rsidRDefault="00FD0A41">
      <w:pPr>
        <w:rPr>
          <w:rFonts w:ascii="Calibri" w:eastAsia="Calibri" w:hAnsi="Calibri" w:cs="Calibri"/>
        </w:rPr>
      </w:pPr>
      <w:r>
        <w:rPr>
          <w:rFonts w:ascii="Calibri" w:eastAsia="Calibri" w:hAnsi="Calibri" w:cs="Calibri"/>
        </w:rPr>
        <w:t>Key Differences (2017) </w:t>
      </w:r>
      <w:r>
        <w:rPr>
          <w:rFonts w:ascii="Calibri" w:eastAsia="Calibri" w:hAnsi="Calibri" w:cs="Calibri"/>
          <w:i/>
        </w:rPr>
        <w:t>Difference Between Tribunal and Court (with Comparison Chart).</w:t>
      </w:r>
      <w:r>
        <w:rPr>
          <w:rFonts w:ascii="Calibri" w:eastAsia="Calibri" w:hAnsi="Calibri" w:cs="Calibri"/>
        </w:rPr>
        <w:t xml:space="preserve"> [online] Available at: </w:t>
      </w:r>
      <w:hyperlink r:id="rId33">
        <w:r>
          <w:rPr>
            <w:rFonts w:ascii="Calibri" w:eastAsia="Calibri" w:hAnsi="Calibri" w:cs="Calibri"/>
          </w:rPr>
          <w:t>https://keydifferences.com/difference-between-tribunal-and-court.html</w:t>
        </w:r>
      </w:hyperlink>
      <w:r>
        <w:rPr>
          <w:rFonts w:ascii="Calibri" w:eastAsia="Calibri" w:hAnsi="Calibri" w:cs="Calibri"/>
        </w:rPr>
        <w:t>.</w:t>
      </w:r>
    </w:p>
    <w:p w14:paraId="51EF6228" w14:textId="77777777" w:rsidR="004032A1" w:rsidRDefault="00FD0A41">
      <w:pPr>
        <w:rPr>
          <w:rFonts w:ascii="Calibri" w:eastAsia="Calibri" w:hAnsi="Calibri" w:cs="Calibri"/>
        </w:rPr>
      </w:pPr>
      <w:r>
        <w:rPr>
          <w:rFonts w:ascii="Calibri" w:eastAsia="Calibri" w:hAnsi="Calibri" w:cs="Calibri"/>
        </w:rPr>
        <w:t xml:space="preserve">Legal Foundations (2024) </w:t>
      </w:r>
      <w:r>
        <w:rPr>
          <w:rFonts w:ascii="Calibri" w:eastAsia="Calibri" w:hAnsi="Calibri" w:cs="Calibri"/>
          <w:i/>
        </w:rPr>
        <w:t xml:space="preserve">Redundancy </w:t>
      </w:r>
      <w:r>
        <w:rPr>
          <w:rFonts w:ascii="Calibri" w:eastAsia="Calibri" w:hAnsi="Calibri" w:cs="Calibri"/>
        </w:rPr>
        <w:t>Process – Legal Requirements and Best Practices - Legal Foundations. [online] Available at: https://legalfoundations.org.uk/guide/redundancy-process-legal-requirements-and-best-practices/.</w:t>
      </w:r>
    </w:p>
    <w:p w14:paraId="679566FB" w14:textId="77777777" w:rsidR="004032A1" w:rsidRDefault="00FD0A41">
      <w:pPr>
        <w:rPr>
          <w:rFonts w:ascii="Calibri" w:eastAsia="Calibri" w:hAnsi="Calibri" w:cs="Calibri"/>
        </w:rPr>
      </w:pPr>
      <w:r>
        <w:rPr>
          <w:rFonts w:ascii="Calibri" w:eastAsia="Calibri" w:hAnsi="Calibri" w:cs="Calibri"/>
        </w:rPr>
        <w:t xml:space="preserve">Mars, S. de (2020) </w:t>
      </w:r>
      <w:r>
        <w:rPr>
          <w:rFonts w:ascii="Calibri" w:eastAsia="Calibri" w:hAnsi="Calibri" w:cs="Calibri"/>
          <w:i/>
        </w:rPr>
        <w:t>Brexit next steps</w:t>
      </w:r>
      <w:r>
        <w:rPr>
          <w:rFonts w:ascii="Calibri" w:eastAsia="Calibri" w:hAnsi="Calibri" w:cs="Calibri"/>
        </w:rPr>
        <w:t xml:space="preserve">: </w:t>
      </w:r>
      <w:r>
        <w:rPr>
          <w:rFonts w:ascii="Calibri" w:eastAsia="Calibri" w:hAnsi="Calibri" w:cs="Calibri"/>
          <w:i/>
        </w:rPr>
        <w:t>The Court of Justice of the EU and the UK. commonslibrary.parliament.uk.</w:t>
      </w:r>
      <w:r>
        <w:rPr>
          <w:rFonts w:ascii="Calibri" w:eastAsia="Calibri" w:hAnsi="Calibri" w:cs="Calibri"/>
        </w:rPr>
        <w:t xml:space="preserve"> [online] Available at: </w:t>
      </w:r>
      <w:hyperlink r:id="rId34">
        <w:r>
          <w:rPr>
            <w:rFonts w:ascii="Calibri" w:eastAsia="Calibri" w:hAnsi="Calibri" w:cs="Calibri"/>
            <w:color w:val="0000FF"/>
            <w:u w:val="single"/>
          </w:rPr>
          <w:t>https://commonslibrary.parliament.uk/brexit-next-steps-the-court-of-justice-of-the-eu-and-the-uk/</w:t>
        </w:r>
      </w:hyperlink>
      <w:r>
        <w:rPr>
          <w:rFonts w:ascii="Calibri" w:eastAsia="Calibri" w:hAnsi="Calibri" w:cs="Calibri"/>
        </w:rPr>
        <w:t>.</w:t>
      </w:r>
    </w:p>
    <w:p w14:paraId="699C8BD7" w14:textId="77777777" w:rsidR="004032A1" w:rsidRDefault="00FD0A41">
      <w:pPr>
        <w:rPr>
          <w:rFonts w:ascii="Calibri" w:eastAsia="Calibri" w:hAnsi="Calibri" w:cs="Calibri"/>
        </w:rPr>
      </w:pPr>
      <w:r>
        <w:rPr>
          <w:rFonts w:ascii="Calibri" w:eastAsia="Calibri" w:hAnsi="Calibri" w:cs="Calibri"/>
        </w:rPr>
        <w:t>Morris, A. and Morris, A. (2025) ETO TUPE &amp; Making Workforce Changes | DavidsonMorris. [online] DavidsonMorris | Solicitors. Available at: https://www.davidsonmorris.com/eto-reason-tupe/.</w:t>
      </w:r>
    </w:p>
    <w:p w14:paraId="35AD9D15" w14:textId="77777777" w:rsidR="004032A1" w:rsidRDefault="00FD0A41">
      <w:pPr>
        <w:rPr>
          <w:rFonts w:ascii="Calibri" w:eastAsia="Calibri" w:hAnsi="Calibri" w:cs="Calibri"/>
        </w:rPr>
      </w:pPr>
      <w:r>
        <w:rPr>
          <w:rFonts w:ascii="Calibri" w:eastAsia="Calibri" w:hAnsi="Calibri" w:cs="Calibri"/>
        </w:rPr>
        <w:t>Morris, A. (2022) </w:t>
      </w:r>
      <w:r>
        <w:rPr>
          <w:rFonts w:ascii="Calibri" w:eastAsia="Calibri" w:hAnsi="Calibri" w:cs="Calibri"/>
          <w:i/>
        </w:rPr>
        <w:t>Avoiding Discrimination in Recruitment | DavidsonMorris</w:t>
      </w:r>
      <w:r>
        <w:rPr>
          <w:rFonts w:ascii="Calibri" w:eastAsia="Calibri" w:hAnsi="Calibri" w:cs="Calibri"/>
        </w:rPr>
        <w:t xml:space="preserve">. [online] Davidson Morris. Available at: </w:t>
      </w:r>
      <w:hyperlink r:id="rId35">
        <w:r>
          <w:rPr>
            <w:rFonts w:ascii="Calibri" w:eastAsia="Calibri" w:hAnsi="Calibri" w:cs="Calibri"/>
          </w:rPr>
          <w:t>https://www.davidsonmorris.com/recruitment-discrimination/</w:t>
        </w:r>
      </w:hyperlink>
      <w:r>
        <w:rPr>
          <w:rFonts w:ascii="Calibri" w:eastAsia="Calibri" w:hAnsi="Calibri" w:cs="Calibri"/>
        </w:rPr>
        <w:t>.</w:t>
      </w:r>
    </w:p>
    <w:p w14:paraId="10820757" w14:textId="4E0BCC72" w:rsidR="00D26E42" w:rsidRPr="00D26E42" w:rsidRDefault="00D26E42">
      <w:pPr>
        <w:rPr>
          <w:rStyle w:val="Strong"/>
          <w:rFonts w:ascii="Calibri" w:hAnsi="Calibri" w:cs="Calibri"/>
          <w:b w:val="0"/>
          <w:bCs w:val="0"/>
        </w:rPr>
      </w:pPr>
      <w:r w:rsidRPr="00D26E42">
        <w:rPr>
          <w:rStyle w:val="Strong"/>
          <w:rFonts w:ascii="Calibri" w:hAnsi="Calibri" w:cs="Calibri"/>
          <w:b w:val="0"/>
          <w:bCs w:val="0"/>
        </w:rPr>
        <w:lastRenderedPageBreak/>
        <w:t>Morris, A. (2024) Same Job Different Pay: Is it Illegal in the UK? | DavidsonMorris. [online] DavidsonMorris | Solicitors. Available at: https://www.davidsonmorris.com/same-job-different-pay-is-it-illegal-uk/.</w:t>
      </w:r>
    </w:p>
    <w:p w14:paraId="607010A2" w14:textId="77777777" w:rsidR="004032A1" w:rsidRDefault="00FD0A41">
      <w:pPr>
        <w:rPr>
          <w:rFonts w:ascii="Calibri" w:eastAsia="Calibri" w:hAnsi="Calibri" w:cs="Calibri"/>
        </w:rPr>
      </w:pPr>
      <w:r>
        <w:rPr>
          <w:rFonts w:ascii="Calibri" w:eastAsia="Calibri" w:hAnsi="Calibri" w:cs="Calibri"/>
        </w:rPr>
        <w:t>myshiftplannersiteadmin (2017) </w:t>
      </w:r>
      <w:r>
        <w:rPr>
          <w:rFonts w:ascii="Calibri" w:eastAsia="Calibri" w:hAnsi="Calibri" w:cs="Calibri"/>
          <w:i/>
        </w:rPr>
        <w:t>Bank Holidays and Public Holidays – What are the rights of shift workers? </w:t>
      </w:r>
      <w:r>
        <w:rPr>
          <w:rFonts w:ascii="Calibri" w:eastAsia="Calibri" w:hAnsi="Calibri" w:cs="Calibri"/>
        </w:rPr>
        <w:t>[online] MyShiftPlanner. Available at: https://myshiftplanner.com/bank-holidays-and-public-holidays-what-are-the-rights-of-shift-workers [Accessed 23 Jan. 2025].</w:t>
      </w:r>
    </w:p>
    <w:p w14:paraId="5FA7FA9D" w14:textId="68F18D67" w:rsidR="00107692" w:rsidRPr="00DB1728" w:rsidRDefault="00DB1728">
      <w:pPr>
        <w:rPr>
          <w:rStyle w:val="Strong"/>
          <w:rFonts w:ascii="Calibri" w:hAnsi="Calibri" w:cs="Calibri"/>
          <w:b w:val="0"/>
          <w:bCs w:val="0"/>
        </w:rPr>
      </w:pPr>
      <w:r w:rsidRPr="00DB1728">
        <w:rPr>
          <w:rStyle w:val="Strong"/>
          <w:rFonts w:ascii="Calibri" w:hAnsi="Calibri" w:cs="Calibri"/>
          <w:b w:val="0"/>
          <w:bCs w:val="0"/>
        </w:rPr>
        <w:t>Okechukwu, C.A., Souza, K., Davis, K.D. and de Castro, A.B. (2019) Discrimination, harassment, abuse, and bullying in the workplace: Contribution of workplace injustice to occupational health disparities. American Journal of Industrial Medicine, [online] 57(5), pp.573–586. doi:https://doi.org/10.1002/ajim.22221.</w:t>
      </w:r>
    </w:p>
    <w:p w14:paraId="463B072B" w14:textId="77777777" w:rsidR="004032A1" w:rsidRDefault="00FD0A41">
      <w:pPr>
        <w:rPr>
          <w:rFonts w:ascii="Calibri" w:eastAsia="Calibri" w:hAnsi="Calibri" w:cs="Calibri"/>
        </w:rPr>
      </w:pPr>
      <w:r>
        <w:rPr>
          <w:rFonts w:ascii="Calibri" w:eastAsia="Calibri" w:hAnsi="Calibri" w:cs="Calibri"/>
        </w:rPr>
        <w:t>Pitts, C. (2024) </w:t>
      </w:r>
      <w:r>
        <w:rPr>
          <w:rFonts w:ascii="Calibri" w:eastAsia="Calibri" w:hAnsi="Calibri" w:cs="Calibri"/>
          <w:i/>
        </w:rPr>
        <w:t>Restructuring and Redundancy: Employer’s Guide to Managing Changes Effectively.</w:t>
      </w:r>
      <w:r>
        <w:rPr>
          <w:rFonts w:ascii="Calibri" w:eastAsia="Calibri" w:hAnsi="Calibri" w:cs="Calibri"/>
        </w:rPr>
        <w:t xml:space="preserve"> [online] The HR Consultants. Available at: https://www.thehrconsultants.co.uk/restructuring-and-redundancy-employers-guide-to-managing-changes-effectively/.</w:t>
      </w:r>
    </w:p>
    <w:p w14:paraId="618EE12C" w14:textId="77777777" w:rsidR="004032A1" w:rsidRDefault="00FD0A41">
      <w:pPr>
        <w:rPr>
          <w:rFonts w:ascii="Calibri" w:eastAsia="Calibri" w:hAnsi="Calibri" w:cs="Calibri"/>
        </w:rPr>
      </w:pPr>
      <w:r>
        <w:rPr>
          <w:rFonts w:ascii="Calibri" w:eastAsia="Calibri" w:hAnsi="Calibri" w:cs="Calibri"/>
        </w:rPr>
        <w:t xml:space="preserve">Redmans Solicitors. (n.d.) </w:t>
      </w:r>
      <w:r>
        <w:rPr>
          <w:rFonts w:ascii="Calibri" w:eastAsia="Calibri" w:hAnsi="Calibri" w:cs="Calibri"/>
          <w:i/>
        </w:rPr>
        <w:t>Payment of wages - the rights and responsibilities of workers and employers.</w:t>
      </w:r>
      <w:r>
        <w:rPr>
          <w:rFonts w:ascii="Calibri" w:eastAsia="Calibri" w:hAnsi="Calibri" w:cs="Calibri"/>
        </w:rPr>
        <w:t xml:space="preserve"> [online] Available at: </w:t>
      </w:r>
      <w:hyperlink r:id="rId36">
        <w:r>
          <w:rPr>
            <w:rFonts w:ascii="Calibri" w:eastAsia="Calibri" w:hAnsi="Calibri" w:cs="Calibri"/>
          </w:rPr>
          <w:t>https://redmans.co.uk/insights/payment-of-wages-the-rights-and-responsibilities-of-workers-and-employers/</w:t>
        </w:r>
      </w:hyperlink>
      <w:r>
        <w:rPr>
          <w:rFonts w:ascii="Calibri" w:eastAsia="Calibri" w:hAnsi="Calibri" w:cs="Calibri"/>
        </w:rPr>
        <w:t>.</w:t>
      </w:r>
    </w:p>
    <w:p w14:paraId="41614C0C" w14:textId="77777777" w:rsidR="004032A1" w:rsidRDefault="00FD0A41">
      <w:pPr>
        <w:rPr>
          <w:rFonts w:ascii="Calibri" w:eastAsia="Calibri" w:hAnsi="Calibri" w:cs="Calibri"/>
        </w:rPr>
      </w:pPr>
      <w:r>
        <w:rPr>
          <w:rFonts w:ascii="Calibri" w:eastAsia="Calibri" w:hAnsi="Calibri" w:cs="Calibri"/>
        </w:rPr>
        <w:t>Simpson, S. (2017) </w:t>
      </w:r>
      <w:r>
        <w:rPr>
          <w:rFonts w:ascii="Calibri" w:eastAsia="Calibri" w:hAnsi="Calibri" w:cs="Calibri"/>
          <w:i/>
        </w:rPr>
        <w:t>Long-term sickness absence policy: a 16-step guide for HR</w:t>
      </w:r>
      <w:r>
        <w:rPr>
          <w:rFonts w:ascii="Calibri" w:eastAsia="Calibri" w:hAnsi="Calibri" w:cs="Calibri"/>
        </w:rPr>
        <w:t xml:space="preserve">. [online] Personnel Today. Available at: </w:t>
      </w:r>
      <w:hyperlink r:id="rId37">
        <w:r>
          <w:rPr>
            <w:rFonts w:ascii="Calibri" w:eastAsia="Calibri" w:hAnsi="Calibri" w:cs="Calibri"/>
            <w:color w:val="0000FF"/>
            <w:u w:val="single"/>
          </w:rPr>
          <w:t>https://www.personneltoday.com/hr/long-term-sickness-absence-policy-guide-hr/</w:t>
        </w:r>
      </w:hyperlink>
      <w:r>
        <w:rPr>
          <w:rFonts w:ascii="Calibri" w:eastAsia="Calibri" w:hAnsi="Calibri" w:cs="Calibri"/>
        </w:rPr>
        <w:t>.</w:t>
      </w:r>
    </w:p>
    <w:p w14:paraId="7BC74821" w14:textId="7E72A19C" w:rsidR="004A63B8" w:rsidRPr="003E235E" w:rsidRDefault="004A63B8">
      <w:pPr>
        <w:rPr>
          <w:rStyle w:val="Strong"/>
          <w:rFonts w:ascii="Calibri" w:hAnsi="Calibri" w:cs="Calibri"/>
          <w:b w:val="0"/>
          <w:bCs w:val="0"/>
          <w:color w:val="FF0000"/>
        </w:rPr>
      </w:pPr>
      <w:r w:rsidRPr="003E235E">
        <w:rPr>
          <w:rStyle w:val="Strong"/>
          <w:rFonts w:ascii="Calibri" w:hAnsi="Calibri" w:cs="Calibri"/>
          <w:b w:val="0"/>
          <w:bCs w:val="0"/>
          <w:color w:val="FF0000"/>
        </w:rPr>
        <w:t>Sutherland, K. (2021) What are employers’ obligations under the Equality Act 2010? [online] Harper Macleod LLP. Available at: https://www.harpermacleod.co.uk/insights/what-are-employers-obligations-under-the-equality-act-2010/.</w:t>
      </w:r>
    </w:p>
    <w:p w14:paraId="4CAF33E3" w14:textId="77777777" w:rsidR="004032A1" w:rsidRDefault="00FD0A41">
      <w:pPr>
        <w:rPr>
          <w:rFonts w:ascii="Calibri" w:eastAsia="Calibri" w:hAnsi="Calibri" w:cs="Calibri"/>
        </w:rPr>
      </w:pPr>
      <w:r>
        <w:rPr>
          <w:rFonts w:ascii="Calibri" w:eastAsia="Calibri" w:hAnsi="Calibri" w:cs="Calibri"/>
        </w:rPr>
        <w:t>Team, E. (2019) Can I use a trial period to test flexible working arrangements? - Warner Goodman LLP. [online] Warner Goodman. Available at: https://www.warnergoodman.co.uk/site/blog/news/can-i-use-a-trial-period-to-test-flexible-working-arrangements.</w:t>
      </w:r>
    </w:p>
    <w:p w14:paraId="786668E6" w14:textId="268D04A8" w:rsidR="004032A1" w:rsidRDefault="00FD0A41">
      <w:pPr>
        <w:rPr>
          <w:rFonts w:ascii="Calibri" w:eastAsia="Calibri" w:hAnsi="Calibri" w:cs="Calibri"/>
        </w:rPr>
      </w:pPr>
      <w:r>
        <w:rPr>
          <w:rFonts w:ascii="Calibri" w:eastAsia="Calibri" w:hAnsi="Calibri" w:cs="Calibri"/>
        </w:rPr>
        <w:t>The Law Society (2023) </w:t>
      </w:r>
      <w:r>
        <w:rPr>
          <w:rFonts w:ascii="Calibri" w:eastAsia="Calibri" w:hAnsi="Calibri" w:cs="Calibri"/>
          <w:i/>
        </w:rPr>
        <w:t>What is the European Court of Justice and why does it matter? </w:t>
      </w:r>
      <w:r>
        <w:rPr>
          <w:rFonts w:ascii="Calibri" w:eastAsia="Calibri" w:hAnsi="Calibri" w:cs="Calibri"/>
        </w:rPr>
        <w:t xml:space="preserve">[online] www.lawsociety.org.uk. Available at: </w:t>
      </w:r>
      <w:hyperlink r:id="rId38" w:history="1">
        <w:r w:rsidR="0028777B" w:rsidRPr="00261C30">
          <w:rPr>
            <w:rStyle w:val="Hyperlink"/>
            <w:rFonts w:ascii="Calibri" w:eastAsia="Calibri" w:hAnsi="Calibri" w:cs="Calibri"/>
          </w:rPr>
          <w:t>https://www.lawsociety.org.uk/topics/brexit/what-is-the-european-court-of-justice-and-why-does-it-matter</w:t>
        </w:r>
      </w:hyperlink>
      <w:r>
        <w:rPr>
          <w:rFonts w:ascii="Calibri" w:eastAsia="Calibri" w:hAnsi="Calibri" w:cs="Calibri"/>
        </w:rPr>
        <w:t>.</w:t>
      </w:r>
    </w:p>
    <w:p w14:paraId="453F5EDE" w14:textId="5B0A5706" w:rsidR="0028777B" w:rsidRPr="0028777B" w:rsidRDefault="0028777B">
      <w:pPr>
        <w:rPr>
          <w:rStyle w:val="Strong"/>
          <w:rFonts w:ascii="Calibri" w:hAnsi="Calibri" w:cs="Calibri"/>
          <w:b w:val="0"/>
          <w:bCs w:val="0"/>
        </w:rPr>
      </w:pPr>
      <w:r w:rsidRPr="0028777B">
        <w:rPr>
          <w:rStyle w:val="Strong"/>
          <w:rFonts w:ascii="Calibri" w:hAnsi="Calibri" w:cs="Calibri"/>
          <w:b w:val="0"/>
          <w:bCs w:val="0"/>
        </w:rPr>
        <w:t>Thorneloe, D. (2024). UK Supreme Court rewrites the rules on retained EU case law. [online] Pinsent Masons. Available at: https://www.pinsentmasons.com/out-law/analysis/uk-supreme-court-rewrites-the-rules-on-retained-eu-case-law.</w:t>
      </w:r>
    </w:p>
    <w:p w14:paraId="0BD32CCE" w14:textId="77777777" w:rsidR="004032A1" w:rsidRDefault="00FD0A41">
      <w:pPr>
        <w:rPr>
          <w:rFonts w:ascii="Calibri" w:eastAsia="Calibri" w:hAnsi="Calibri" w:cs="Calibri"/>
        </w:rPr>
      </w:pPr>
      <w:r>
        <w:rPr>
          <w:rFonts w:ascii="Calibri" w:eastAsia="Calibri" w:hAnsi="Calibri" w:cs="Calibri"/>
        </w:rPr>
        <w:lastRenderedPageBreak/>
        <w:t>Today, P. (2009) </w:t>
      </w:r>
      <w:r>
        <w:rPr>
          <w:rFonts w:ascii="Calibri" w:eastAsia="Calibri" w:hAnsi="Calibri" w:cs="Calibri"/>
          <w:i/>
        </w:rPr>
        <w:t>TUPE - latest cases and outcomes reviewed</w:t>
      </w:r>
      <w:r>
        <w:rPr>
          <w:rFonts w:ascii="Calibri" w:eastAsia="Calibri" w:hAnsi="Calibri" w:cs="Calibri"/>
        </w:rPr>
        <w:t xml:space="preserve">. [online] Personnel Today. Available at: </w:t>
      </w:r>
      <w:hyperlink r:id="rId39">
        <w:r>
          <w:rPr>
            <w:rFonts w:ascii="Calibri" w:eastAsia="Calibri" w:hAnsi="Calibri" w:cs="Calibri"/>
          </w:rPr>
          <w:t>https://www.personneltoday.com/hr/tupe-latest-cases-and-outcomes-reviewed/</w:t>
        </w:r>
      </w:hyperlink>
      <w:r>
        <w:rPr>
          <w:rFonts w:ascii="Calibri" w:eastAsia="Calibri" w:hAnsi="Calibri" w:cs="Calibri"/>
        </w:rPr>
        <w:t>.</w:t>
      </w:r>
    </w:p>
    <w:p w14:paraId="3F6A8805" w14:textId="77777777" w:rsidR="004032A1" w:rsidRDefault="00FD0A41">
      <w:pPr>
        <w:rPr>
          <w:rFonts w:ascii="Calibri" w:eastAsia="Calibri" w:hAnsi="Calibri" w:cs="Calibri"/>
        </w:rPr>
      </w:pPr>
      <w:r>
        <w:rPr>
          <w:rFonts w:ascii="Calibri" w:eastAsia="Calibri" w:hAnsi="Calibri" w:cs="Calibri"/>
        </w:rPr>
        <w:t>UK Government (2013) </w:t>
      </w:r>
      <w:r>
        <w:rPr>
          <w:rFonts w:ascii="Calibri" w:eastAsia="Calibri" w:hAnsi="Calibri" w:cs="Calibri"/>
          <w:i/>
        </w:rPr>
        <w:t>Paternity Pay and Leave</w:t>
      </w:r>
      <w:r>
        <w:rPr>
          <w:rFonts w:ascii="Calibri" w:eastAsia="Calibri" w:hAnsi="Calibri" w:cs="Calibri"/>
        </w:rPr>
        <w:t>. [online] gov.uk. Available at: https://www.gov.uk/paternity-pay-leave.</w:t>
      </w:r>
    </w:p>
    <w:p w14:paraId="74F0EF98" w14:textId="77777777" w:rsidR="004032A1" w:rsidRDefault="00FD0A41">
      <w:pPr>
        <w:rPr>
          <w:rFonts w:ascii="Calibri" w:eastAsia="Calibri" w:hAnsi="Calibri" w:cs="Calibri"/>
        </w:rPr>
      </w:pPr>
      <w:r>
        <w:rPr>
          <w:rFonts w:ascii="Calibri" w:eastAsia="Calibri" w:hAnsi="Calibri" w:cs="Calibri"/>
        </w:rPr>
        <w:t>Quantrills. (n.d.) </w:t>
      </w:r>
      <w:r>
        <w:rPr>
          <w:rFonts w:ascii="Calibri" w:eastAsia="Calibri" w:hAnsi="Calibri" w:cs="Calibri"/>
          <w:i/>
        </w:rPr>
        <w:t>What is a ‘relevant transfer’ under TUPE?</w:t>
      </w:r>
      <w:r>
        <w:rPr>
          <w:rFonts w:ascii="Calibri" w:eastAsia="Calibri" w:hAnsi="Calibri" w:cs="Calibri"/>
        </w:rPr>
        <w:t> [online] Available at: https://www.quantrills.com/for-employees/kb/what-is-a-relevant-transfer-under-tupe/.</w:t>
      </w:r>
    </w:p>
    <w:p w14:paraId="5A249ADF" w14:textId="77777777" w:rsidR="004032A1" w:rsidRDefault="00FD0A41">
      <w:pPr>
        <w:rPr>
          <w:rFonts w:ascii="Calibri" w:eastAsia="Calibri" w:hAnsi="Calibri" w:cs="Calibri"/>
        </w:rPr>
      </w:pPr>
      <w:r>
        <w:rPr>
          <w:rFonts w:ascii="Calibri" w:eastAsia="Calibri" w:hAnsi="Calibri" w:cs="Calibri"/>
        </w:rPr>
        <w:t xml:space="preserve">Suff, R. (2023) CIPD | </w:t>
      </w:r>
      <w:r>
        <w:rPr>
          <w:rFonts w:ascii="Calibri" w:eastAsia="Calibri" w:hAnsi="Calibri" w:cs="Calibri"/>
          <w:i/>
        </w:rPr>
        <w:t>TUPE (Transfer of Undertakings)</w:t>
      </w:r>
      <w:r>
        <w:rPr>
          <w:rFonts w:ascii="Calibri" w:eastAsia="Calibri" w:hAnsi="Calibri" w:cs="Calibri"/>
        </w:rPr>
        <w:t xml:space="preserve"> | Factsheets. [online] CIPD. Available at: </w:t>
      </w:r>
      <w:hyperlink r:id="rId40">
        <w:r>
          <w:rPr>
            <w:rFonts w:ascii="Calibri" w:eastAsia="Calibri" w:hAnsi="Calibri" w:cs="Calibri"/>
          </w:rPr>
          <w:t>https://www.cipd.org/uk/knowledge/factsheets/tupe-factsheet/</w:t>
        </w:r>
      </w:hyperlink>
      <w:r>
        <w:rPr>
          <w:rFonts w:ascii="Calibri" w:eastAsia="Calibri" w:hAnsi="Calibri" w:cs="Calibri"/>
        </w:rPr>
        <w:t>.</w:t>
      </w:r>
    </w:p>
    <w:p w14:paraId="49563234" w14:textId="77777777" w:rsidR="004032A1" w:rsidRDefault="00FD0A41">
      <w:pPr>
        <w:rPr>
          <w:rFonts w:ascii="Calibri" w:eastAsia="Calibri" w:hAnsi="Calibri" w:cs="Calibri"/>
        </w:rPr>
      </w:pPr>
      <w:r>
        <w:rPr>
          <w:rFonts w:ascii="Calibri" w:eastAsia="Calibri" w:hAnsi="Calibri" w:cs="Calibri"/>
        </w:rPr>
        <w:t>Wikipedia Contributors (2019) </w:t>
      </w:r>
      <w:r>
        <w:rPr>
          <w:rFonts w:ascii="Calibri" w:eastAsia="Calibri" w:hAnsi="Calibri" w:cs="Calibri"/>
          <w:i/>
        </w:rPr>
        <w:t>Gender equality</w:t>
      </w:r>
      <w:r>
        <w:rPr>
          <w:rFonts w:ascii="Calibri" w:eastAsia="Calibri" w:hAnsi="Calibri" w:cs="Calibri"/>
        </w:rPr>
        <w:t xml:space="preserve">. [online] Wikipedia. Available at: </w:t>
      </w:r>
      <w:hyperlink r:id="rId41">
        <w:r>
          <w:rPr>
            <w:rFonts w:ascii="Calibri" w:eastAsia="Calibri" w:hAnsi="Calibri" w:cs="Calibri"/>
            <w:color w:val="0000FF"/>
            <w:u w:val="single"/>
          </w:rPr>
          <w:t>https://en.wikipedia.org/wiki/Gender_equality</w:t>
        </w:r>
      </w:hyperlink>
      <w:r>
        <w:rPr>
          <w:rFonts w:ascii="Calibri" w:eastAsia="Calibri" w:hAnsi="Calibri" w:cs="Calibri"/>
        </w:rPr>
        <w:t>.</w:t>
      </w:r>
    </w:p>
    <w:p w14:paraId="0AD0E2E4" w14:textId="77777777" w:rsidR="004032A1" w:rsidRDefault="00FD0A41">
      <w:pPr>
        <w:rPr>
          <w:rFonts w:ascii="Calibri" w:eastAsia="Calibri" w:hAnsi="Calibri" w:cs="Calibri"/>
        </w:rPr>
      </w:pPr>
      <w:r>
        <w:rPr>
          <w:rFonts w:ascii="Calibri" w:eastAsia="Calibri" w:hAnsi="Calibri" w:cs="Calibri"/>
        </w:rPr>
        <w:t>William (2025) TUPE Transfers: What is TUPE and How Does it Work? - Employment Law Review. [online] Employment Law Review - Employment law &amp; HR law for everyone. Available at: https://www.employmentlawreview.co.uk/what-is-tupe-employer-best-practice-tupe-transfers/ [Accessed 11 Feb. 2025].</w:t>
      </w:r>
    </w:p>
    <w:p w14:paraId="0A9CEAD2" w14:textId="77777777" w:rsidR="004032A1" w:rsidRDefault="00FD0A41">
      <w:pPr>
        <w:rPr>
          <w:rFonts w:ascii="Calibri" w:eastAsia="Calibri" w:hAnsi="Calibri" w:cs="Calibri"/>
        </w:rPr>
      </w:pPr>
      <w:r>
        <w:rPr>
          <w:rFonts w:ascii="Calibri" w:eastAsia="Calibri" w:hAnsi="Calibri" w:cs="Calibri"/>
        </w:rPr>
        <w:t xml:space="preserve">Working Families. (n.d.) </w:t>
      </w:r>
      <w:r>
        <w:rPr>
          <w:rFonts w:ascii="Calibri" w:eastAsia="Calibri" w:hAnsi="Calibri" w:cs="Calibri"/>
          <w:i/>
        </w:rPr>
        <w:t>Working Families | Summary of maternity, paternity and parental rights and remedies.</w:t>
      </w:r>
      <w:r>
        <w:rPr>
          <w:rFonts w:ascii="Calibri" w:eastAsia="Calibri" w:hAnsi="Calibri" w:cs="Calibri"/>
        </w:rPr>
        <w:t xml:space="preserve"> [online] Available at: https://workingfamilies.org.uk/articles/summary-maternity-paternity-parental-remedies/.</w:t>
      </w:r>
    </w:p>
    <w:p w14:paraId="40E93149" w14:textId="79CC5B44" w:rsidR="004032A1" w:rsidRDefault="00FD0A41">
      <w:pPr>
        <w:rPr>
          <w:rFonts w:ascii="Calibri" w:eastAsia="Calibri" w:hAnsi="Calibri" w:cs="Calibri"/>
        </w:rPr>
      </w:pPr>
      <w:r>
        <w:rPr>
          <w:rFonts w:ascii="Calibri" w:eastAsia="Calibri" w:hAnsi="Calibri" w:cs="Calibri"/>
        </w:rPr>
        <w:t>www.acas.org.uk. (n.d.) </w:t>
      </w:r>
      <w:r>
        <w:rPr>
          <w:rFonts w:ascii="Calibri" w:eastAsia="Calibri" w:hAnsi="Calibri" w:cs="Calibri"/>
          <w:i/>
        </w:rPr>
        <w:t>Contracts, hours and pay</w:t>
      </w:r>
      <w:r>
        <w:rPr>
          <w:rFonts w:ascii="Calibri" w:eastAsia="Calibri" w:hAnsi="Calibri" w:cs="Calibri"/>
        </w:rPr>
        <w:t xml:space="preserve"> | Acas. [online] Available at: </w:t>
      </w:r>
      <w:hyperlink r:id="rId42" w:history="1">
        <w:r w:rsidR="00D42A18" w:rsidRPr="00692CCC">
          <w:rPr>
            <w:rStyle w:val="Hyperlink"/>
            <w:rFonts w:ascii="Calibri" w:eastAsia="Calibri" w:hAnsi="Calibri" w:cs="Calibri"/>
          </w:rPr>
          <w:t>https://www.acas.org.uk/contracts-hours-and-pay</w:t>
        </w:r>
      </w:hyperlink>
      <w:r>
        <w:rPr>
          <w:rFonts w:ascii="Calibri" w:eastAsia="Calibri" w:hAnsi="Calibri" w:cs="Calibri"/>
        </w:rPr>
        <w:t>.</w:t>
      </w:r>
    </w:p>
    <w:p w14:paraId="6BFB9D2B" w14:textId="501B99A9" w:rsidR="00D42A18" w:rsidRPr="00390983" w:rsidRDefault="00D42A18">
      <w:pPr>
        <w:rPr>
          <w:rStyle w:val="Strong"/>
          <w:rFonts w:ascii="Calibri" w:hAnsi="Calibri" w:cs="Calibri"/>
          <w:b w:val="0"/>
          <w:bCs w:val="0"/>
          <w:color w:val="FF0000"/>
        </w:rPr>
      </w:pPr>
      <w:r w:rsidRPr="00390983">
        <w:rPr>
          <w:rStyle w:val="Strong"/>
          <w:rFonts w:ascii="Calibri" w:hAnsi="Calibri" w:cs="Calibri"/>
          <w:b w:val="0"/>
          <w:bCs w:val="0"/>
          <w:color w:val="FF0000"/>
        </w:rPr>
        <w:t>www.equalityhumanrights.com. (2020) Equal pay audit for larger organisations | EHRC. [online] Available at: https://www.equalityhumanrights.com/guidance/equal-pay/how-achieve-equal-pay/equal-pay-audit-larger-organisations.</w:t>
      </w:r>
    </w:p>
    <w:p w14:paraId="4D14A3CC" w14:textId="77777777" w:rsidR="004032A1" w:rsidRDefault="00FD0A41">
      <w:pPr>
        <w:rPr>
          <w:rFonts w:ascii="Calibri" w:eastAsia="Calibri" w:hAnsi="Calibri" w:cs="Calibri"/>
        </w:rPr>
      </w:pPr>
      <w:r>
        <w:rPr>
          <w:rFonts w:ascii="Calibri" w:eastAsia="Calibri" w:hAnsi="Calibri" w:cs="Calibri"/>
        </w:rPr>
        <w:t xml:space="preserve">www.girlings.com. (n.d.) StackPath. [online] Available at: </w:t>
      </w:r>
      <w:hyperlink r:id="rId43">
        <w:r>
          <w:rPr>
            <w:rFonts w:ascii="Calibri" w:eastAsia="Calibri" w:hAnsi="Calibri" w:cs="Calibri"/>
          </w:rPr>
          <w:t>https://www.girlings.com/latest/recruitment-and-candidate-selection-what-is-the-law</w:t>
        </w:r>
      </w:hyperlink>
      <w:r>
        <w:rPr>
          <w:rFonts w:ascii="Calibri" w:eastAsia="Calibri" w:hAnsi="Calibri" w:cs="Calibri"/>
        </w:rPr>
        <w:t>.</w:t>
      </w:r>
    </w:p>
    <w:p w14:paraId="2BDCA0A1" w14:textId="77777777" w:rsidR="004032A1" w:rsidRDefault="00FD0A41">
      <w:pPr>
        <w:rPr>
          <w:rFonts w:ascii="Calibri" w:eastAsia="Calibri" w:hAnsi="Calibri" w:cs="Calibri"/>
        </w:rPr>
      </w:pPr>
      <w:r>
        <w:rPr>
          <w:rFonts w:ascii="Calibri" w:eastAsia="Calibri" w:hAnsi="Calibri" w:cs="Calibri"/>
        </w:rPr>
        <w:t>www.hr-inform.co.uk. (n.d.) </w:t>
      </w:r>
      <w:r>
        <w:rPr>
          <w:rFonts w:ascii="Calibri" w:eastAsia="Calibri" w:hAnsi="Calibri" w:cs="Calibri"/>
          <w:i/>
        </w:rPr>
        <w:t>Working time and time away from work</w:t>
      </w:r>
      <w:r>
        <w:rPr>
          <w:rFonts w:ascii="Calibri" w:eastAsia="Calibri" w:hAnsi="Calibri" w:cs="Calibri"/>
        </w:rPr>
        <w:t xml:space="preserve"> | CIPD HR-inform. [online] Available at: https://www.hr-inform.co.uk/employment_law/working-time-and-time-away-from-work.</w:t>
      </w:r>
    </w:p>
    <w:p w14:paraId="4A0AF9F5" w14:textId="77777777" w:rsidR="004032A1" w:rsidRDefault="00FD0A41">
      <w:pPr>
        <w:rPr>
          <w:rFonts w:ascii="Calibri" w:eastAsia="Calibri" w:hAnsi="Calibri" w:cs="Calibri"/>
        </w:rPr>
      </w:pPr>
      <w:r>
        <w:rPr>
          <w:rFonts w:ascii="Calibri" w:eastAsia="Calibri" w:hAnsi="Calibri" w:cs="Calibri"/>
        </w:rPr>
        <w:t>www.justice.gov.uk. (n.d.) </w:t>
      </w:r>
      <w:r>
        <w:rPr>
          <w:rFonts w:ascii="Calibri" w:eastAsia="Calibri" w:hAnsi="Calibri" w:cs="Calibri"/>
          <w:i/>
        </w:rPr>
        <w:t>PRACTICE DIRECTION – PRE-ACTION CONDUCT AND PROTOCOLS - Civil Procedure Rules.</w:t>
      </w:r>
      <w:r>
        <w:rPr>
          <w:rFonts w:ascii="Calibri" w:eastAsia="Calibri" w:hAnsi="Calibri" w:cs="Calibri"/>
        </w:rPr>
        <w:t xml:space="preserve"> [online] Available at: </w:t>
      </w:r>
      <w:hyperlink r:id="rId44" w:anchor="6.1">
        <w:r>
          <w:rPr>
            <w:rFonts w:ascii="Calibri" w:eastAsia="Calibri" w:hAnsi="Calibri" w:cs="Calibri"/>
          </w:rPr>
          <w:t>https://www.justice.gov.uk/courts/procedure-rules/civil/rules/pd_pre-action_conduct#6.1</w:t>
        </w:r>
      </w:hyperlink>
      <w:r>
        <w:rPr>
          <w:rFonts w:ascii="Calibri" w:eastAsia="Calibri" w:hAnsi="Calibri" w:cs="Calibri"/>
        </w:rPr>
        <w:t>.</w:t>
      </w:r>
    </w:p>
    <w:p w14:paraId="2224120F" w14:textId="77777777" w:rsidR="004032A1" w:rsidRDefault="00FD0A41">
      <w:pPr>
        <w:rPr>
          <w:rFonts w:ascii="Calibri" w:eastAsia="Calibri" w:hAnsi="Calibri" w:cs="Calibri"/>
        </w:rPr>
      </w:pPr>
      <w:r>
        <w:rPr>
          <w:rFonts w:ascii="Calibri" w:eastAsia="Calibri" w:hAnsi="Calibri" w:cs="Calibri"/>
        </w:rPr>
        <w:t>www.peninsulagrouplimited.com. (2020) </w:t>
      </w:r>
      <w:r>
        <w:rPr>
          <w:rFonts w:ascii="Calibri" w:eastAsia="Calibri" w:hAnsi="Calibri" w:cs="Calibri"/>
          <w:i/>
        </w:rPr>
        <w:t>Statutory Employment Rights</w:t>
      </w:r>
      <w:r>
        <w:rPr>
          <w:rFonts w:ascii="Calibri" w:eastAsia="Calibri" w:hAnsi="Calibri" w:cs="Calibri"/>
        </w:rPr>
        <w:t xml:space="preserve"> | Peninsula UK. [online] Available at: https://www.peninsulagrouplimited.com/resource-hub/employment-law/employment-rights</w:t>
      </w:r>
    </w:p>
    <w:p w14:paraId="5CD58C0F" w14:textId="77777777" w:rsidR="004032A1" w:rsidRDefault="004032A1">
      <w:pPr>
        <w:rPr>
          <w:rFonts w:ascii="Calibri" w:eastAsia="Calibri" w:hAnsi="Calibri" w:cs="Calibri"/>
        </w:rPr>
      </w:pPr>
    </w:p>
    <w:sectPr w:rsidR="004032A1">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embedRegular r:id="rId1" w:fontKey="{52D9C92E-2412-4583-A7D6-453B994C75D8}"/>
  </w:font>
  <w:font w:name="Aptos">
    <w:charset w:val="00"/>
    <w:family w:val="swiss"/>
    <w:pitch w:val="variable"/>
    <w:sig w:usb0="20000287" w:usb1="00000003" w:usb2="00000000" w:usb3="00000000" w:csb0="0000019F" w:csb1="00000000"/>
    <w:embedRegular r:id="rId2" w:fontKey="{DA857645-2FAA-4E67-9B79-392EA6A2CE83}"/>
    <w:embedBold r:id="rId3" w:fontKey="{366132EF-5451-40E2-AF47-4AC8C30A6429}"/>
    <w:embedItalic r:id="rId4" w:fontKey="{EC0A7B5D-CD33-4E37-B3BB-2262E5DAEFA4}"/>
  </w:font>
  <w:font w:name="Aptos Display">
    <w:charset w:val="00"/>
    <w:family w:val="swiss"/>
    <w:pitch w:val="variable"/>
    <w:sig w:usb0="20000287" w:usb1="00000003" w:usb2="00000000" w:usb3="00000000" w:csb0="0000019F" w:csb1="00000000"/>
    <w:embedRegular r:id="rId5" w:fontKey="{63209D40-156A-4612-8C35-112B9638DD5E}"/>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embedRegular r:id="rId6" w:fontKey="{74765B65-DBEB-435E-B248-C9D6290D575E}"/>
    <w:embedBold r:id="rId7" w:fontKey="{16A9E745-D08F-4C42-8C06-97DA41119D96}"/>
  </w:font>
  <w:font w:name="Arial Unicode MS">
    <w:panose1 w:val="020B0604020202020204"/>
    <w:charset w:val="00"/>
    <w:family w:val="roman"/>
    <w:pitch w:val="default"/>
  </w:font>
  <w:font w:name="Calibri">
    <w:panose1 w:val="020F0502020204030204"/>
    <w:charset w:val="00"/>
    <w:family w:val="swiss"/>
    <w:pitch w:val="variable"/>
    <w:sig w:usb0="E4002EFF" w:usb1="C200247B" w:usb2="00000009" w:usb3="00000000" w:csb0="000001FF" w:csb1="00000000"/>
    <w:embedRegular r:id="rId8" w:fontKey="{B2AF486E-D2D5-4591-BDCA-26F6034E8C7E}"/>
    <w:embedBold r:id="rId9" w:fontKey="{3025A5DC-500C-459D-8356-A51C9355DB4E}"/>
    <w:embedItalic r:id="rId10" w:fontKey="{ABB9CF3E-B6F5-4A67-A728-D23041C92F47}"/>
  </w:font>
  <w:font w:name="Roboto">
    <w:charset w:val="00"/>
    <w:family w:val="auto"/>
    <w:pitch w:val="variable"/>
    <w:sig w:usb0="E0000AFF" w:usb1="5000217F" w:usb2="00000021" w:usb3="00000000" w:csb0="0000019F" w:csb1="00000000"/>
    <w:embedRegular r:id="rId11" w:fontKey="{CE035B0F-C775-4FCC-A6DB-0BF3D12022BD}"/>
  </w:font>
  <w:font w:name="Segoe UI">
    <w:panose1 w:val="020B0502040204020203"/>
    <w:charset w:val="00"/>
    <w:family w:val="swiss"/>
    <w:pitch w:val="variable"/>
    <w:sig w:usb0="E4002EFF" w:usb1="C000E47F" w:usb2="00000009" w:usb3="00000000" w:csb0="000001FF" w:csb1="00000000"/>
    <w:embedRegular r:id="rId12" w:fontKey="{4DABE8A6-6C48-4A18-853F-7A4985640BC7}"/>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E7177"/>
    <w:multiLevelType w:val="multilevel"/>
    <w:tmpl w:val="60D2E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15B4AA7"/>
    <w:multiLevelType w:val="hybridMultilevel"/>
    <w:tmpl w:val="E0605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8C7E17"/>
    <w:multiLevelType w:val="multilevel"/>
    <w:tmpl w:val="397CD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F6620B0"/>
    <w:multiLevelType w:val="multilevel"/>
    <w:tmpl w:val="8646B4D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39287309"/>
    <w:multiLevelType w:val="multilevel"/>
    <w:tmpl w:val="C50E489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395367F8"/>
    <w:multiLevelType w:val="multilevel"/>
    <w:tmpl w:val="B5B0A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B166B88"/>
    <w:multiLevelType w:val="multilevel"/>
    <w:tmpl w:val="07941CB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429B7337"/>
    <w:multiLevelType w:val="hybridMultilevel"/>
    <w:tmpl w:val="80C46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B97048"/>
    <w:multiLevelType w:val="multilevel"/>
    <w:tmpl w:val="AB2A0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9CD762C"/>
    <w:multiLevelType w:val="multilevel"/>
    <w:tmpl w:val="82848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BD335B3"/>
    <w:multiLevelType w:val="multilevel"/>
    <w:tmpl w:val="8DF2E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33C7751"/>
    <w:multiLevelType w:val="multilevel"/>
    <w:tmpl w:val="44BA211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2" w15:restartNumberingAfterBreak="0">
    <w:nsid w:val="5FC4334A"/>
    <w:multiLevelType w:val="multilevel"/>
    <w:tmpl w:val="9E20A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FC66881"/>
    <w:multiLevelType w:val="multilevel"/>
    <w:tmpl w:val="D5F21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60A4943"/>
    <w:multiLevelType w:val="multilevel"/>
    <w:tmpl w:val="B150D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FF42AFF"/>
    <w:multiLevelType w:val="multilevel"/>
    <w:tmpl w:val="86480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DAC7723"/>
    <w:multiLevelType w:val="multilevel"/>
    <w:tmpl w:val="AE382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69736350">
    <w:abstractNumId w:val="4"/>
  </w:num>
  <w:num w:numId="2" w16cid:durableId="698243543">
    <w:abstractNumId w:val="11"/>
  </w:num>
  <w:num w:numId="3" w16cid:durableId="1556894223">
    <w:abstractNumId w:val="3"/>
  </w:num>
  <w:num w:numId="4" w16cid:durableId="2136822921">
    <w:abstractNumId w:val="6"/>
  </w:num>
  <w:num w:numId="5" w16cid:durableId="45110282">
    <w:abstractNumId w:val="7"/>
  </w:num>
  <w:num w:numId="6" w16cid:durableId="1792093607">
    <w:abstractNumId w:val="1"/>
  </w:num>
  <w:num w:numId="7" w16cid:durableId="491868857">
    <w:abstractNumId w:val="2"/>
  </w:num>
  <w:num w:numId="8" w16cid:durableId="688068327">
    <w:abstractNumId w:val="16"/>
  </w:num>
  <w:num w:numId="9" w16cid:durableId="529418211">
    <w:abstractNumId w:val="14"/>
  </w:num>
  <w:num w:numId="10" w16cid:durableId="2071146096">
    <w:abstractNumId w:val="15"/>
  </w:num>
  <w:num w:numId="11" w16cid:durableId="1466972124">
    <w:abstractNumId w:val="13"/>
  </w:num>
  <w:num w:numId="12" w16cid:durableId="853302933">
    <w:abstractNumId w:val="5"/>
  </w:num>
  <w:num w:numId="13" w16cid:durableId="746459376">
    <w:abstractNumId w:val="8"/>
  </w:num>
  <w:num w:numId="14" w16cid:durableId="890580623">
    <w:abstractNumId w:val="10"/>
  </w:num>
  <w:num w:numId="15" w16cid:durableId="414203191">
    <w:abstractNumId w:val="12"/>
  </w:num>
  <w:num w:numId="16" w16cid:durableId="929004251">
    <w:abstractNumId w:val="9"/>
  </w:num>
  <w:num w:numId="17" w16cid:durableId="2302390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32A1"/>
    <w:rsid w:val="0002052D"/>
    <w:rsid w:val="00034CAC"/>
    <w:rsid w:val="00037AAE"/>
    <w:rsid w:val="000508ED"/>
    <w:rsid w:val="00054F4E"/>
    <w:rsid w:val="00055884"/>
    <w:rsid w:val="00062E9E"/>
    <w:rsid w:val="000652A2"/>
    <w:rsid w:val="00086965"/>
    <w:rsid w:val="00092D81"/>
    <w:rsid w:val="000955C9"/>
    <w:rsid w:val="000C43E4"/>
    <w:rsid w:val="000C67B8"/>
    <w:rsid w:val="000D6B33"/>
    <w:rsid w:val="000E326D"/>
    <w:rsid w:val="000E7556"/>
    <w:rsid w:val="000F20B6"/>
    <w:rsid w:val="000F3F3B"/>
    <w:rsid w:val="00101D9E"/>
    <w:rsid w:val="00106313"/>
    <w:rsid w:val="00107692"/>
    <w:rsid w:val="00123189"/>
    <w:rsid w:val="0012516C"/>
    <w:rsid w:val="0013423A"/>
    <w:rsid w:val="00135D0D"/>
    <w:rsid w:val="00144BC1"/>
    <w:rsid w:val="00165332"/>
    <w:rsid w:val="0017780B"/>
    <w:rsid w:val="00190A83"/>
    <w:rsid w:val="001A20CD"/>
    <w:rsid w:val="001B044A"/>
    <w:rsid w:val="001B090C"/>
    <w:rsid w:val="001B0BA1"/>
    <w:rsid w:val="001D0931"/>
    <w:rsid w:val="001E6190"/>
    <w:rsid w:val="001F3B0B"/>
    <w:rsid w:val="0028489C"/>
    <w:rsid w:val="002872CA"/>
    <w:rsid w:val="0028777B"/>
    <w:rsid w:val="002A4D27"/>
    <w:rsid w:val="002B1954"/>
    <w:rsid w:val="002C4DDE"/>
    <w:rsid w:val="002E28C5"/>
    <w:rsid w:val="002E725A"/>
    <w:rsid w:val="002F4547"/>
    <w:rsid w:val="00303EED"/>
    <w:rsid w:val="00327422"/>
    <w:rsid w:val="00345C72"/>
    <w:rsid w:val="00355783"/>
    <w:rsid w:val="00357FDA"/>
    <w:rsid w:val="00367547"/>
    <w:rsid w:val="003709B3"/>
    <w:rsid w:val="00376A77"/>
    <w:rsid w:val="00385BD1"/>
    <w:rsid w:val="00390983"/>
    <w:rsid w:val="003B5F95"/>
    <w:rsid w:val="003C31DE"/>
    <w:rsid w:val="003C32E3"/>
    <w:rsid w:val="003D02DB"/>
    <w:rsid w:val="003E235E"/>
    <w:rsid w:val="003F4857"/>
    <w:rsid w:val="003F5120"/>
    <w:rsid w:val="003F6E5D"/>
    <w:rsid w:val="003F7883"/>
    <w:rsid w:val="004032A1"/>
    <w:rsid w:val="0042265E"/>
    <w:rsid w:val="004304F1"/>
    <w:rsid w:val="00435D67"/>
    <w:rsid w:val="00436901"/>
    <w:rsid w:val="00441739"/>
    <w:rsid w:val="0044351D"/>
    <w:rsid w:val="0049693F"/>
    <w:rsid w:val="004A6165"/>
    <w:rsid w:val="004A63B8"/>
    <w:rsid w:val="004C2C95"/>
    <w:rsid w:val="004E1093"/>
    <w:rsid w:val="004F2C15"/>
    <w:rsid w:val="004F5322"/>
    <w:rsid w:val="00505DBF"/>
    <w:rsid w:val="00591CFA"/>
    <w:rsid w:val="00595704"/>
    <w:rsid w:val="00596C68"/>
    <w:rsid w:val="005A5D49"/>
    <w:rsid w:val="005B07E7"/>
    <w:rsid w:val="005B528C"/>
    <w:rsid w:val="005C1393"/>
    <w:rsid w:val="005C7C20"/>
    <w:rsid w:val="005F5AE2"/>
    <w:rsid w:val="00601339"/>
    <w:rsid w:val="00601C9F"/>
    <w:rsid w:val="00623ED1"/>
    <w:rsid w:val="00637A24"/>
    <w:rsid w:val="00640220"/>
    <w:rsid w:val="0064310B"/>
    <w:rsid w:val="00647DAD"/>
    <w:rsid w:val="00655F91"/>
    <w:rsid w:val="006608D5"/>
    <w:rsid w:val="00663136"/>
    <w:rsid w:val="00684747"/>
    <w:rsid w:val="006A3A98"/>
    <w:rsid w:val="006B6399"/>
    <w:rsid w:val="006C4CC5"/>
    <w:rsid w:val="006F3EEE"/>
    <w:rsid w:val="00712388"/>
    <w:rsid w:val="007130B9"/>
    <w:rsid w:val="00740E7C"/>
    <w:rsid w:val="00757456"/>
    <w:rsid w:val="00761259"/>
    <w:rsid w:val="007800D7"/>
    <w:rsid w:val="00785987"/>
    <w:rsid w:val="007A038D"/>
    <w:rsid w:val="007A5CEA"/>
    <w:rsid w:val="007C23DD"/>
    <w:rsid w:val="007C79AF"/>
    <w:rsid w:val="007E29E4"/>
    <w:rsid w:val="008271E2"/>
    <w:rsid w:val="008345BA"/>
    <w:rsid w:val="00835B77"/>
    <w:rsid w:val="00836D14"/>
    <w:rsid w:val="00843535"/>
    <w:rsid w:val="008449CE"/>
    <w:rsid w:val="00855CE2"/>
    <w:rsid w:val="00876E66"/>
    <w:rsid w:val="0089377C"/>
    <w:rsid w:val="008A4264"/>
    <w:rsid w:val="008B7AB5"/>
    <w:rsid w:val="008C2213"/>
    <w:rsid w:val="008C53A9"/>
    <w:rsid w:val="008D196B"/>
    <w:rsid w:val="00905250"/>
    <w:rsid w:val="009174C0"/>
    <w:rsid w:val="00920F8F"/>
    <w:rsid w:val="00937AB7"/>
    <w:rsid w:val="00957A47"/>
    <w:rsid w:val="00962310"/>
    <w:rsid w:val="00973877"/>
    <w:rsid w:val="009A3A73"/>
    <w:rsid w:val="009B5DBA"/>
    <w:rsid w:val="00A04C18"/>
    <w:rsid w:val="00A40594"/>
    <w:rsid w:val="00A55D8B"/>
    <w:rsid w:val="00A56C94"/>
    <w:rsid w:val="00A736B8"/>
    <w:rsid w:val="00A840DC"/>
    <w:rsid w:val="00A84606"/>
    <w:rsid w:val="00A96A9B"/>
    <w:rsid w:val="00AD5E29"/>
    <w:rsid w:val="00B00968"/>
    <w:rsid w:val="00B1373D"/>
    <w:rsid w:val="00B21410"/>
    <w:rsid w:val="00B2354A"/>
    <w:rsid w:val="00B265C9"/>
    <w:rsid w:val="00B53EC3"/>
    <w:rsid w:val="00B558B2"/>
    <w:rsid w:val="00B85288"/>
    <w:rsid w:val="00B9467E"/>
    <w:rsid w:val="00BB461A"/>
    <w:rsid w:val="00BB6CA4"/>
    <w:rsid w:val="00BD4CF1"/>
    <w:rsid w:val="00BF05AB"/>
    <w:rsid w:val="00BF3E70"/>
    <w:rsid w:val="00C14578"/>
    <w:rsid w:val="00C20F42"/>
    <w:rsid w:val="00C54D86"/>
    <w:rsid w:val="00C62442"/>
    <w:rsid w:val="00C666FE"/>
    <w:rsid w:val="00C85EA2"/>
    <w:rsid w:val="00CA377B"/>
    <w:rsid w:val="00CA3A1F"/>
    <w:rsid w:val="00CB4733"/>
    <w:rsid w:val="00CB4AE9"/>
    <w:rsid w:val="00CC0E33"/>
    <w:rsid w:val="00CC11A8"/>
    <w:rsid w:val="00CD0556"/>
    <w:rsid w:val="00CE6390"/>
    <w:rsid w:val="00D00B09"/>
    <w:rsid w:val="00D21086"/>
    <w:rsid w:val="00D21118"/>
    <w:rsid w:val="00D26E42"/>
    <w:rsid w:val="00D42A18"/>
    <w:rsid w:val="00D5491B"/>
    <w:rsid w:val="00D56AB0"/>
    <w:rsid w:val="00D572EA"/>
    <w:rsid w:val="00D66F64"/>
    <w:rsid w:val="00D74495"/>
    <w:rsid w:val="00D76805"/>
    <w:rsid w:val="00D80F91"/>
    <w:rsid w:val="00DB1728"/>
    <w:rsid w:val="00DB6BA7"/>
    <w:rsid w:val="00DC66CE"/>
    <w:rsid w:val="00DC7101"/>
    <w:rsid w:val="00DD4F1D"/>
    <w:rsid w:val="00DE47C6"/>
    <w:rsid w:val="00DF3C91"/>
    <w:rsid w:val="00DF7E27"/>
    <w:rsid w:val="00E117B7"/>
    <w:rsid w:val="00E21FE2"/>
    <w:rsid w:val="00E47046"/>
    <w:rsid w:val="00E65FB1"/>
    <w:rsid w:val="00E725A8"/>
    <w:rsid w:val="00E965CF"/>
    <w:rsid w:val="00EA4B97"/>
    <w:rsid w:val="00EB216F"/>
    <w:rsid w:val="00EB30BD"/>
    <w:rsid w:val="00EC4E63"/>
    <w:rsid w:val="00ED61AF"/>
    <w:rsid w:val="00F00F79"/>
    <w:rsid w:val="00F04478"/>
    <w:rsid w:val="00F11341"/>
    <w:rsid w:val="00F23355"/>
    <w:rsid w:val="00F25182"/>
    <w:rsid w:val="00F254A5"/>
    <w:rsid w:val="00F3354B"/>
    <w:rsid w:val="00F63260"/>
    <w:rsid w:val="00F72CCC"/>
    <w:rsid w:val="00F87BED"/>
    <w:rsid w:val="00F87CB1"/>
    <w:rsid w:val="00F9256F"/>
    <w:rsid w:val="00F962E2"/>
    <w:rsid w:val="00FB58BF"/>
    <w:rsid w:val="00FD0A41"/>
    <w:rsid w:val="00FF2B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801D31"/>
  <w15:docId w15:val="{A7BF6592-FA12-4786-9634-6036A5D1D8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19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19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19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19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19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19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19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19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19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C19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2C19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19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19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19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19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19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19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19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1959"/>
    <w:rPr>
      <w:rFonts w:eastAsiaTheme="majorEastAsia" w:cstheme="majorBidi"/>
      <w:color w:val="272727" w:themeColor="text1" w:themeTint="D8"/>
    </w:rPr>
  </w:style>
  <w:style w:type="character" w:customStyle="1" w:styleId="TitleChar">
    <w:name w:val="Title Char"/>
    <w:basedOn w:val="DefaultParagraphFont"/>
    <w:link w:val="Title"/>
    <w:uiPriority w:val="10"/>
    <w:rsid w:val="002C19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Pr>
      <w:color w:val="595959"/>
      <w:sz w:val="28"/>
      <w:szCs w:val="28"/>
    </w:rPr>
  </w:style>
  <w:style w:type="character" w:customStyle="1" w:styleId="SubtitleChar">
    <w:name w:val="Subtitle Char"/>
    <w:basedOn w:val="DefaultParagraphFont"/>
    <w:link w:val="Subtitle"/>
    <w:uiPriority w:val="11"/>
    <w:rsid w:val="002C19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1959"/>
    <w:pPr>
      <w:spacing w:before="160"/>
      <w:jc w:val="center"/>
    </w:pPr>
    <w:rPr>
      <w:i/>
      <w:iCs/>
      <w:color w:val="404040" w:themeColor="text1" w:themeTint="BF"/>
    </w:rPr>
  </w:style>
  <w:style w:type="character" w:customStyle="1" w:styleId="QuoteChar">
    <w:name w:val="Quote Char"/>
    <w:basedOn w:val="DefaultParagraphFont"/>
    <w:link w:val="Quote"/>
    <w:uiPriority w:val="29"/>
    <w:rsid w:val="002C1959"/>
    <w:rPr>
      <w:i/>
      <w:iCs/>
      <w:color w:val="404040" w:themeColor="text1" w:themeTint="BF"/>
    </w:rPr>
  </w:style>
  <w:style w:type="paragraph" w:styleId="ListParagraph">
    <w:name w:val="List Paragraph"/>
    <w:basedOn w:val="Normal"/>
    <w:uiPriority w:val="34"/>
    <w:qFormat/>
    <w:rsid w:val="002C1959"/>
    <w:pPr>
      <w:ind w:left="720"/>
      <w:contextualSpacing/>
    </w:pPr>
  </w:style>
  <w:style w:type="character" w:styleId="IntenseEmphasis">
    <w:name w:val="Intense Emphasis"/>
    <w:basedOn w:val="DefaultParagraphFont"/>
    <w:uiPriority w:val="21"/>
    <w:qFormat/>
    <w:rsid w:val="002C1959"/>
    <w:rPr>
      <w:i/>
      <w:iCs/>
      <w:color w:val="0F4761" w:themeColor="accent1" w:themeShade="BF"/>
    </w:rPr>
  </w:style>
  <w:style w:type="paragraph" w:styleId="IntenseQuote">
    <w:name w:val="Intense Quote"/>
    <w:basedOn w:val="Normal"/>
    <w:next w:val="Normal"/>
    <w:link w:val="IntenseQuoteChar"/>
    <w:uiPriority w:val="30"/>
    <w:qFormat/>
    <w:rsid w:val="002C19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1959"/>
    <w:rPr>
      <w:i/>
      <w:iCs/>
      <w:color w:val="0F4761" w:themeColor="accent1" w:themeShade="BF"/>
    </w:rPr>
  </w:style>
  <w:style w:type="character" w:styleId="IntenseReference">
    <w:name w:val="Intense Reference"/>
    <w:basedOn w:val="DefaultParagraphFont"/>
    <w:uiPriority w:val="32"/>
    <w:qFormat/>
    <w:rsid w:val="002C1959"/>
    <w:rPr>
      <w:b/>
      <w:bCs/>
      <w:smallCaps/>
      <w:color w:val="0F4761" w:themeColor="accent1" w:themeShade="BF"/>
      <w:spacing w:val="5"/>
    </w:rPr>
  </w:style>
  <w:style w:type="paragraph" w:styleId="NormalWeb">
    <w:name w:val="Normal (Web)"/>
    <w:basedOn w:val="Normal"/>
    <w:uiPriority w:val="99"/>
    <w:semiHidden/>
    <w:unhideWhenUsed/>
    <w:rsid w:val="006E54B8"/>
    <w:pPr>
      <w:spacing w:before="100" w:beforeAutospacing="1" w:after="100" w:afterAutospacing="1" w:line="240" w:lineRule="auto"/>
    </w:pPr>
    <w:rPr>
      <w:rFonts w:ascii="Times New Roman" w:eastAsia="Times New Roman" w:hAnsi="Times New Roman" w:cs="Times New Roman"/>
    </w:rPr>
  </w:style>
  <w:style w:type="character" w:styleId="Strong">
    <w:name w:val="Strong"/>
    <w:basedOn w:val="DefaultParagraphFont"/>
    <w:uiPriority w:val="22"/>
    <w:qFormat/>
    <w:rsid w:val="00AA5922"/>
    <w:rPr>
      <w:b/>
      <w:bCs/>
    </w:rPr>
  </w:style>
  <w:style w:type="character" w:styleId="Hyperlink">
    <w:name w:val="Hyperlink"/>
    <w:basedOn w:val="DefaultParagraphFont"/>
    <w:uiPriority w:val="99"/>
    <w:unhideWhenUsed/>
    <w:rsid w:val="00033EE2"/>
    <w:rPr>
      <w:color w:val="0000FF"/>
      <w:u w:val="single"/>
    </w:rPr>
  </w:style>
  <w:style w:type="character" w:styleId="UnresolvedMention">
    <w:name w:val="Unresolved Mention"/>
    <w:basedOn w:val="DefaultParagraphFont"/>
    <w:uiPriority w:val="99"/>
    <w:semiHidden/>
    <w:unhideWhenUsed/>
    <w:rsid w:val="007134DE"/>
    <w:rPr>
      <w:color w:val="605E5C"/>
      <w:shd w:val="clear" w:color="auto" w:fill="E1DFDD"/>
    </w:rPr>
  </w:style>
  <w:style w:type="paragraph" w:styleId="NoSpacing">
    <w:name w:val="No Spacing"/>
    <w:uiPriority w:val="1"/>
    <w:qFormat/>
    <w:rsid w:val="005B6AF6"/>
    <w:pPr>
      <w:spacing w:after="0" w:line="240" w:lineRule="auto"/>
    </w:pPr>
  </w:style>
  <w:style w:type="character" w:styleId="Emphasis">
    <w:name w:val="Emphasis"/>
    <w:basedOn w:val="DefaultParagraphFont"/>
    <w:uiPriority w:val="20"/>
    <w:qFormat/>
    <w:rsid w:val="00F26D2D"/>
    <w:rPr>
      <w:i/>
      <w:iCs/>
    </w:rPr>
  </w:style>
  <w:style w:type="table" w:customStyle="1" w:styleId="a">
    <w:basedOn w:val="TableNormal"/>
    <w:tblPr>
      <w:tblStyleRowBandSize w:val="1"/>
      <w:tblStyleColBandSize w:val="1"/>
      <w:tblCellMar>
        <w:top w:w="15" w:type="dxa"/>
        <w:left w:w="15" w:type="dxa"/>
        <w:bottom w:w="15" w:type="dxa"/>
        <w:right w:w="15" w:type="dxa"/>
      </w:tblCellMar>
    </w:tblPr>
  </w:style>
  <w:style w:type="paragraph" w:customStyle="1" w:styleId="Body">
    <w:name w:val="Body"/>
    <w:rsid w:val="007E29E4"/>
    <w:pPr>
      <w:pBdr>
        <w:top w:val="nil"/>
        <w:left w:val="nil"/>
        <w:bottom w:val="nil"/>
        <w:right w:val="nil"/>
        <w:between w:val="nil"/>
        <w:bar w:val="nil"/>
      </w:pBdr>
      <w:spacing w:after="0" w:line="259" w:lineRule="auto"/>
    </w:pPr>
    <w:rPr>
      <w:rFonts w:ascii="Arial" w:eastAsia="Arial" w:hAnsi="Arial" w:cs="Arial"/>
      <w:color w:val="000000"/>
      <w:sz w:val="22"/>
      <w:szCs w:val="22"/>
      <w:u w:color="000000"/>
      <w:bdr w:val="nil"/>
      <w14:textOutline w14:w="0" w14:cap="flat" w14:cmpd="sng" w14:algn="ctr">
        <w14:noFill/>
        <w14:prstDash w14:val="solid"/>
        <w14:bevel/>
      </w14:textOutline>
    </w:rPr>
  </w:style>
  <w:style w:type="character" w:customStyle="1" w:styleId="fc6omth">
    <w:name w:val="fc6omth"/>
    <w:basedOn w:val="DefaultParagraphFont"/>
    <w:rsid w:val="00303EED"/>
  </w:style>
  <w:style w:type="paragraph" w:customStyle="1" w:styleId="paragraph">
    <w:name w:val="paragraph"/>
    <w:basedOn w:val="Normal"/>
    <w:rsid w:val="00B00968"/>
    <w:pPr>
      <w:spacing w:before="100" w:beforeAutospacing="1" w:after="100" w:afterAutospacing="1" w:line="240" w:lineRule="auto"/>
    </w:pPr>
    <w:rPr>
      <w:rFonts w:ascii="Times New Roman" w:eastAsia="Times New Roman" w:hAnsi="Times New Roman" w:cs="Times New Roman"/>
    </w:rPr>
  </w:style>
  <w:style w:type="character" w:customStyle="1" w:styleId="normaltextrun">
    <w:name w:val="normaltextrun"/>
    <w:basedOn w:val="DefaultParagraphFont"/>
    <w:rsid w:val="00B00968"/>
  </w:style>
  <w:style w:type="character" w:customStyle="1" w:styleId="eop">
    <w:name w:val="eop"/>
    <w:basedOn w:val="DefaultParagraphFont"/>
    <w:rsid w:val="00B009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600267">
      <w:bodyDiv w:val="1"/>
      <w:marLeft w:val="0"/>
      <w:marRight w:val="0"/>
      <w:marTop w:val="0"/>
      <w:marBottom w:val="0"/>
      <w:divBdr>
        <w:top w:val="none" w:sz="0" w:space="0" w:color="auto"/>
        <w:left w:val="none" w:sz="0" w:space="0" w:color="auto"/>
        <w:bottom w:val="none" w:sz="0" w:space="0" w:color="auto"/>
        <w:right w:val="none" w:sz="0" w:space="0" w:color="auto"/>
      </w:divBdr>
    </w:div>
    <w:div w:id="67386823">
      <w:bodyDiv w:val="1"/>
      <w:marLeft w:val="0"/>
      <w:marRight w:val="0"/>
      <w:marTop w:val="0"/>
      <w:marBottom w:val="0"/>
      <w:divBdr>
        <w:top w:val="none" w:sz="0" w:space="0" w:color="auto"/>
        <w:left w:val="none" w:sz="0" w:space="0" w:color="auto"/>
        <w:bottom w:val="none" w:sz="0" w:space="0" w:color="auto"/>
        <w:right w:val="none" w:sz="0" w:space="0" w:color="auto"/>
      </w:divBdr>
    </w:div>
    <w:div w:id="89669559">
      <w:bodyDiv w:val="1"/>
      <w:marLeft w:val="0"/>
      <w:marRight w:val="0"/>
      <w:marTop w:val="0"/>
      <w:marBottom w:val="0"/>
      <w:divBdr>
        <w:top w:val="none" w:sz="0" w:space="0" w:color="auto"/>
        <w:left w:val="none" w:sz="0" w:space="0" w:color="auto"/>
        <w:bottom w:val="none" w:sz="0" w:space="0" w:color="auto"/>
        <w:right w:val="none" w:sz="0" w:space="0" w:color="auto"/>
      </w:divBdr>
    </w:div>
    <w:div w:id="740374641">
      <w:bodyDiv w:val="1"/>
      <w:marLeft w:val="0"/>
      <w:marRight w:val="0"/>
      <w:marTop w:val="0"/>
      <w:marBottom w:val="0"/>
      <w:divBdr>
        <w:top w:val="none" w:sz="0" w:space="0" w:color="auto"/>
        <w:left w:val="none" w:sz="0" w:space="0" w:color="auto"/>
        <w:bottom w:val="none" w:sz="0" w:space="0" w:color="auto"/>
        <w:right w:val="none" w:sz="0" w:space="0" w:color="auto"/>
      </w:divBdr>
    </w:div>
    <w:div w:id="774835304">
      <w:bodyDiv w:val="1"/>
      <w:marLeft w:val="0"/>
      <w:marRight w:val="0"/>
      <w:marTop w:val="0"/>
      <w:marBottom w:val="0"/>
      <w:divBdr>
        <w:top w:val="none" w:sz="0" w:space="0" w:color="auto"/>
        <w:left w:val="none" w:sz="0" w:space="0" w:color="auto"/>
        <w:bottom w:val="none" w:sz="0" w:space="0" w:color="auto"/>
        <w:right w:val="none" w:sz="0" w:space="0" w:color="auto"/>
      </w:divBdr>
    </w:div>
    <w:div w:id="793209657">
      <w:bodyDiv w:val="1"/>
      <w:marLeft w:val="0"/>
      <w:marRight w:val="0"/>
      <w:marTop w:val="0"/>
      <w:marBottom w:val="0"/>
      <w:divBdr>
        <w:top w:val="none" w:sz="0" w:space="0" w:color="auto"/>
        <w:left w:val="none" w:sz="0" w:space="0" w:color="auto"/>
        <w:bottom w:val="none" w:sz="0" w:space="0" w:color="auto"/>
        <w:right w:val="none" w:sz="0" w:space="0" w:color="auto"/>
      </w:divBdr>
    </w:div>
    <w:div w:id="1049770011">
      <w:bodyDiv w:val="1"/>
      <w:marLeft w:val="0"/>
      <w:marRight w:val="0"/>
      <w:marTop w:val="0"/>
      <w:marBottom w:val="0"/>
      <w:divBdr>
        <w:top w:val="none" w:sz="0" w:space="0" w:color="auto"/>
        <w:left w:val="none" w:sz="0" w:space="0" w:color="auto"/>
        <w:bottom w:val="none" w:sz="0" w:space="0" w:color="auto"/>
        <w:right w:val="none" w:sz="0" w:space="0" w:color="auto"/>
      </w:divBdr>
    </w:div>
    <w:div w:id="1058162090">
      <w:bodyDiv w:val="1"/>
      <w:marLeft w:val="0"/>
      <w:marRight w:val="0"/>
      <w:marTop w:val="0"/>
      <w:marBottom w:val="0"/>
      <w:divBdr>
        <w:top w:val="none" w:sz="0" w:space="0" w:color="auto"/>
        <w:left w:val="none" w:sz="0" w:space="0" w:color="auto"/>
        <w:bottom w:val="none" w:sz="0" w:space="0" w:color="auto"/>
        <w:right w:val="none" w:sz="0" w:space="0" w:color="auto"/>
      </w:divBdr>
    </w:div>
    <w:div w:id="1119884573">
      <w:bodyDiv w:val="1"/>
      <w:marLeft w:val="0"/>
      <w:marRight w:val="0"/>
      <w:marTop w:val="0"/>
      <w:marBottom w:val="0"/>
      <w:divBdr>
        <w:top w:val="none" w:sz="0" w:space="0" w:color="auto"/>
        <w:left w:val="none" w:sz="0" w:space="0" w:color="auto"/>
        <w:bottom w:val="none" w:sz="0" w:space="0" w:color="auto"/>
        <w:right w:val="none" w:sz="0" w:space="0" w:color="auto"/>
      </w:divBdr>
    </w:div>
    <w:div w:id="1264848457">
      <w:bodyDiv w:val="1"/>
      <w:marLeft w:val="0"/>
      <w:marRight w:val="0"/>
      <w:marTop w:val="0"/>
      <w:marBottom w:val="0"/>
      <w:divBdr>
        <w:top w:val="none" w:sz="0" w:space="0" w:color="auto"/>
        <w:left w:val="none" w:sz="0" w:space="0" w:color="auto"/>
        <w:bottom w:val="none" w:sz="0" w:space="0" w:color="auto"/>
        <w:right w:val="none" w:sz="0" w:space="0" w:color="auto"/>
      </w:divBdr>
    </w:div>
    <w:div w:id="1274745025">
      <w:bodyDiv w:val="1"/>
      <w:marLeft w:val="0"/>
      <w:marRight w:val="0"/>
      <w:marTop w:val="0"/>
      <w:marBottom w:val="0"/>
      <w:divBdr>
        <w:top w:val="none" w:sz="0" w:space="0" w:color="auto"/>
        <w:left w:val="none" w:sz="0" w:space="0" w:color="auto"/>
        <w:bottom w:val="none" w:sz="0" w:space="0" w:color="auto"/>
        <w:right w:val="none" w:sz="0" w:space="0" w:color="auto"/>
      </w:divBdr>
    </w:div>
    <w:div w:id="1436169795">
      <w:bodyDiv w:val="1"/>
      <w:marLeft w:val="0"/>
      <w:marRight w:val="0"/>
      <w:marTop w:val="0"/>
      <w:marBottom w:val="0"/>
      <w:divBdr>
        <w:top w:val="none" w:sz="0" w:space="0" w:color="auto"/>
        <w:left w:val="none" w:sz="0" w:space="0" w:color="auto"/>
        <w:bottom w:val="none" w:sz="0" w:space="0" w:color="auto"/>
        <w:right w:val="none" w:sz="0" w:space="0" w:color="auto"/>
      </w:divBdr>
    </w:div>
    <w:div w:id="1707565368">
      <w:bodyDiv w:val="1"/>
      <w:marLeft w:val="0"/>
      <w:marRight w:val="0"/>
      <w:marTop w:val="0"/>
      <w:marBottom w:val="0"/>
      <w:divBdr>
        <w:top w:val="none" w:sz="0" w:space="0" w:color="auto"/>
        <w:left w:val="none" w:sz="0" w:space="0" w:color="auto"/>
        <w:bottom w:val="none" w:sz="0" w:space="0" w:color="auto"/>
        <w:right w:val="none" w:sz="0" w:space="0" w:color="auto"/>
      </w:divBdr>
    </w:div>
    <w:div w:id="1796948235">
      <w:bodyDiv w:val="1"/>
      <w:marLeft w:val="0"/>
      <w:marRight w:val="0"/>
      <w:marTop w:val="0"/>
      <w:marBottom w:val="0"/>
      <w:divBdr>
        <w:top w:val="none" w:sz="0" w:space="0" w:color="auto"/>
        <w:left w:val="none" w:sz="0" w:space="0" w:color="auto"/>
        <w:bottom w:val="none" w:sz="0" w:space="0" w:color="auto"/>
        <w:right w:val="none" w:sz="0" w:space="0" w:color="auto"/>
      </w:divBdr>
    </w:div>
    <w:div w:id="1822501465">
      <w:bodyDiv w:val="1"/>
      <w:marLeft w:val="0"/>
      <w:marRight w:val="0"/>
      <w:marTop w:val="0"/>
      <w:marBottom w:val="0"/>
      <w:divBdr>
        <w:top w:val="none" w:sz="0" w:space="0" w:color="auto"/>
        <w:left w:val="none" w:sz="0" w:space="0" w:color="auto"/>
        <w:bottom w:val="none" w:sz="0" w:space="0" w:color="auto"/>
        <w:right w:val="none" w:sz="0" w:space="0" w:color="auto"/>
      </w:divBdr>
      <w:divsChild>
        <w:div w:id="248537873">
          <w:marLeft w:val="0"/>
          <w:marRight w:val="0"/>
          <w:marTop w:val="0"/>
          <w:marBottom w:val="0"/>
          <w:divBdr>
            <w:top w:val="none" w:sz="0" w:space="0" w:color="auto"/>
            <w:left w:val="none" w:sz="0" w:space="0" w:color="auto"/>
            <w:bottom w:val="none" w:sz="0" w:space="0" w:color="auto"/>
            <w:right w:val="none" w:sz="0" w:space="0" w:color="auto"/>
          </w:divBdr>
        </w:div>
        <w:div w:id="523860718">
          <w:marLeft w:val="0"/>
          <w:marRight w:val="0"/>
          <w:marTop w:val="0"/>
          <w:marBottom w:val="0"/>
          <w:divBdr>
            <w:top w:val="none" w:sz="0" w:space="0" w:color="auto"/>
            <w:left w:val="none" w:sz="0" w:space="0" w:color="auto"/>
            <w:bottom w:val="none" w:sz="0" w:space="0" w:color="auto"/>
            <w:right w:val="none" w:sz="0" w:space="0" w:color="auto"/>
          </w:divBdr>
        </w:div>
        <w:div w:id="742944400">
          <w:marLeft w:val="0"/>
          <w:marRight w:val="0"/>
          <w:marTop w:val="0"/>
          <w:marBottom w:val="0"/>
          <w:divBdr>
            <w:top w:val="none" w:sz="0" w:space="0" w:color="auto"/>
            <w:left w:val="none" w:sz="0" w:space="0" w:color="auto"/>
            <w:bottom w:val="none" w:sz="0" w:space="0" w:color="auto"/>
            <w:right w:val="none" w:sz="0" w:space="0" w:color="auto"/>
          </w:divBdr>
        </w:div>
        <w:div w:id="985474179">
          <w:marLeft w:val="0"/>
          <w:marRight w:val="0"/>
          <w:marTop w:val="0"/>
          <w:marBottom w:val="0"/>
          <w:divBdr>
            <w:top w:val="none" w:sz="0" w:space="0" w:color="auto"/>
            <w:left w:val="none" w:sz="0" w:space="0" w:color="auto"/>
            <w:bottom w:val="none" w:sz="0" w:space="0" w:color="auto"/>
            <w:right w:val="none" w:sz="0" w:space="0" w:color="auto"/>
          </w:divBdr>
        </w:div>
        <w:div w:id="1854303221">
          <w:marLeft w:val="0"/>
          <w:marRight w:val="0"/>
          <w:marTop w:val="0"/>
          <w:marBottom w:val="0"/>
          <w:divBdr>
            <w:top w:val="none" w:sz="0" w:space="0" w:color="auto"/>
            <w:left w:val="none" w:sz="0" w:space="0" w:color="auto"/>
            <w:bottom w:val="none" w:sz="0" w:space="0" w:color="auto"/>
            <w:right w:val="none" w:sz="0" w:space="0" w:color="auto"/>
          </w:divBdr>
        </w:div>
        <w:div w:id="1819689874">
          <w:marLeft w:val="0"/>
          <w:marRight w:val="0"/>
          <w:marTop w:val="0"/>
          <w:marBottom w:val="0"/>
          <w:divBdr>
            <w:top w:val="none" w:sz="0" w:space="0" w:color="auto"/>
            <w:left w:val="none" w:sz="0" w:space="0" w:color="auto"/>
            <w:bottom w:val="none" w:sz="0" w:space="0" w:color="auto"/>
            <w:right w:val="none" w:sz="0" w:space="0" w:color="auto"/>
          </w:divBdr>
        </w:div>
        <w:div w:id="551697758">
          <w:marLeft w:val="0"/>
          <w:marRight w:val="0"/>
          <w:marTop w:val="0"/>
          <w:marBottom w:val="0"/>
          <w:divBdr>
            <w:top w:val="none" w:sz="0" w:space="0" w:color="auto"/>
            <w:left w:val="none" w:sz="0" w:space="0" w:color="auto"/>
            <w:bottom w:val="none" w:sz="0" w:space="0" w:color="auto"/>
            <w:right w:val="none" w:sz="0" w:space="0" w:color="auto"/>
          </w:divBdr>
        </w:div>
        <w:div w:id="1895845029">
          <w:marLeft w:val="0"/>
          <w:marRight w:val="0"/>
          <w:marTop w:val="0"/>
          <w:marBottom w:val="0"/>
          <w:divBdr>
            <w:top w:val="none" w:sz="0" w:space="0" w:color="auto"/>
            <w:left w:val="none" w:sz="0" w:space="0" w:color="auto"/>
            <w:bottom w:val="none" w:sz="0" w:space="0" w:color="auto"/>
            <w:right w:val="none" w:sz="0" w:space="0" w:color="auto"/>
          </w:divBdr>
        </w:div>
        <w:div w:id="425731339">
          <w:marLeft w:val="0"/>
          <w:marRight w:val="0"/>
          <w:marTop w:val="0"/>
          <w:marBottom w:val="0"/>
          <w:divBdr>
            <w:top w:val="none" w:sz="0" w:space="0" w:color="auto"/>
            <w:left w:val="none" w:sz="0" w:space="0" w:color="auto"/>
            <w:bottom w:val="none" w:sz="0" w:space="0" w:color="auto"/>
            <w:right w:val="none" w:sz="0" w:space="0" w:color="auto"/>
          </w:divBdr>
        </w:div>
        <w:div w:id="618141867">
          <w:marLeft w:val="0"/>
          <w:marRight w:val="0"/>
          <w:marTop w:val="0"/>
          <w:marBottom w:val="0"/>
          <w:divBdr>
            <w:top w:val="none" w:sz="0" w:space="0" w:color="auto"/>
            <w:left w:val="none" w:sz="0" w:space="0" w:color="auto"/>
            <w:bottom w:val="none" w:sz="0" w:space="0" w:color="auto"/>
            <w:right w:val="none" w:sz="0" w:space="0" w:color="auto"/>
          </w:divBdr>
        </w:div>
        <w:div w:id="1836021797">
          <w:marLeft w:val="0"/>
          <w:marRight w:val="0"/>
          <w:marTop w:val="0"/>
          <w:marBottom w:val="0"/>
          <w:divBdr>
            <w:top w:val="none" w:sz="0" w:space="0" w:color="auto"/>
            <w:left w:val="none" w:sz="0" w:space="0" w:color="auto"/>
            <w:bottom w:val="none" w:sz="0" w:space="0" w:color="auto"/>
            <w:right w:val="none" w:sz="0" w:space="0" w:color="auto"/>
          </w:divBdr>
        </w:div>
        <w:div w:id="1180774442">
          <w:marLeft w:val="0"/>
          <w:marRight w:val="0"/>
          <w:marTop w:val="0"/>
          <w:marBottom w:val="0"/>
          <w:divBdr>
            <w:top w:val="none" w:sz="0" w:space="0" w:color="auto"/>
            <w:left w:val="none" w:sz="0" w:space="0" w:color="auto"/>
            <w:bottom w:val="none" w:sz="0" w:space="0" w:color="auto"/>
            <w:right w:val="none" w:sz="0" w:space="0" w:color="auto"/>
          </w:divBdr>
        </w:div>
        <w:div w:id="1277104732">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equal-pay/equal-pay-law" TargetMode="External"/><Relationship Id="rId13" Type="http://schemas.openxmlformats.org/officeDocument/2006/relationships/hyperlink" Target="https://gatehouselaw.co.uk/hybrid-working-what-are-the-employment-and-digital-pitfalls" TargetMode="External"/><Relationship Id="rId18" Type="http://schemas.openxmlformats.org/officeDocument/2006/relationships/hyperlink" Target="https://www.cipd.org/uk/knowledge/employment-law/equal-pay/" TargetMode="External"/><Relationship Id="rId26" Type="http://schemas.openxmlformats.org/officeDocument/2006/relationships/hyperlink" Target="https://www.gov.uk/government/publications/employment-status-and-employment-rights/employment-status-and-rights-support-for-individuals" TargetMode="External"/><Relationship Id="rId39" Type="http://schemas.openxmlformats.org/officeDocument/2006/relationships/hyperlink" Target="https://www.personneltoday.com/hr/tupe-latest-cases-and-outcomes-reviewed/" TargetMode="External"/><Relationship Id="rId3" Type="http://schemas.openxmlformats.org/officeDocument/2006/relationships/numbering" Target="numbering.xml"/><Relationship Id="rId21" Type="http://schemas.openxmlformats.org/officeDocument/2006/relationships/hyperlink" Target="https://www.judiciary.uk/about-the-judiciary/our-justice-system/court-structure/" TargetMode="External"/><Relationship Id="rId34" Type="http://schemas.openxmlformats.org/officeDocument/2006/relationships/hyperlink" Target="https://commonslibrary.parliament.uk/brexit-next-steps-the-court-of-justice-of-the-eu-and-the-uk/" TargetMode="External"/><Relationship Id="rId42" Type="http://schemas.openxmlformats.org/officeDocument/2006/relationships/hyperlink" Target="https://www.acas.org.uk/contracts-hours-and-pay" TargetMode="External"/><Relationship Id="rId7" Type="http://schemas.openxmlformats.org/officeDocument/2006/relationships/hyperlink" Target="https://www.acas.org.uk/dismissals/constructive-dismissal" TargetMode="External"/><Relationship Id="rId12" Type="http://schemas.openxmlformats.org/officeDocument/2006/relationships/hyperlink" Target="https://www.acas.org.uk/employee-rights-during-a-tupe-transfer/when-tupe-regulations-apply" TargetMode="External"/><Relationship Id="rId17" Type="http://schemas.openxmlformats.org/officeDocument/2006/relationships/hyperlink" Target="https://www.cipd.org/uk/knowledge/employment-law/equal-pay/" TargetMode="External"/><Relationship Id="rId25" Type="http://schemas.openxmlformats.org/officeDocument/2006/relationships/hyperlink" Target="https://www.legislation.gov.uk/ukpga/1996/18/contents" TargetMode="External"/><Relationship Id="rId33" Type="http://schemas.openxmlformats.org/officeDocument/2006/relationships/hyperlink" Target="https://keydifferences.com/difference-between-tribunal-and-court.html" TargetMode="External"/><Relationship Id="rId38" Type="http://schemas.openxmlformats.org/officeDocument/2006/relationships/hyperlink" Target="https://www.lawsociety.org.uk/topics/brexit/what-is-the-european-court-of-justice-and-why-does-it-matter" TargetMode="Externa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d.org/uk/views-and-insights/cipd-viewpoint/employment-status-rights/" TargetMode="External"/><Relationship Id="rId20" Type="http://schemas.openxmlformats.org/officeDocument/2006/relationships/hyperlink" Target="https://www.citizensinformation.ie/en/employment/equality-in-work/equal-pay/" TargetMode="External"/><Relationship Id="rId29" Type="http://schemas.openxmlformats.org/officeDocument/2006/relationships/hyperlink" Target="https://www.gov.uk/guidance/rates-and-thresholds-for-employers-2023-to-2024" TargetMode="External"/><Relationship Id="rId41" Type="http://schemas.openxmlformats.org/officeDocument/2006/relationships/hyperlink" Target="https://en.wikipedia.org/wiki/Gender_equalit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cas.org.uk/working-time-rules/the-48-hour-weekly-maximum" TargetMode="External"/><Relationship Id="rId24" Type="http://schemas.openxmlformats.org/officeDocument/2006/relationships/hyperlink" Target="https://www.gov.uk/transfers-takeovers" TargetMode="External"/><Relationship Id="rId32" Type="http://schemas.openxmlformats.org/officeDocument/2006/relationships/hyperlink" Target="https://www.hrfuture.net/workplace-culture/strategy/legal/10-ways-hr-professionals-can-mitigate-legal-risks-in-the-workplace/" TargetMode="External"/><Relationship Id="rId37" Type="http://schemas.openxmlformats.org/officeDocument/2006/relationships/hyperlink" Target="https://www.personneltoday.com/hr/long-term-sickness-absence-policy-guide-hr/" TargetMode="External"/><Relationship Id="rId40" Type="http://schemas.openxmlformats.org/officeDocument/2006/relationships/hyperlink" Target="https://www.cipd.org/uk/knowledge/factsheets/tupe-factsheet/" TargetMode="External"/><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cipd.org/uk/knowledge/employment-law/discrimination-employment-law/" TargetMode="External"/><Relationship Id="rId23" Type="http://schemas.openxmlformats.org/officeDocument/2006/relationships/hyperlink" Target="https://legalvision.co.uk/employment/employment-contract-variation/" TargetMode="External"/><Relationship Id="rId28" Type="http://schemas.openxmlformats.org/officeDocument/2006/relationships/hyperlink" Target="https://www.gov.uk/government/publications/simplifying-holiday-entitlement-and-holiday-pay-calculations/holiday-pay-and-entitlement-reforms-from-1-january-2024" TargetMode="External"/><Relationship Id="rId36" Type="http://schemas.openxmlformats.org/officeDocument/2006/relationships/hyperlink" Target="https://redmans.co.uk/insights/payment-of-wages-the-rights-and-responsibilities-of-workers-and-employers/" TargetMode="External"/><Relationship Id="rId10" Type="http://schemas.openxmlformats.org/officeDocument/2006/relationships/hyperlink" Target="https://www.acas.org.uk/rest-breaks" TargetMode="External"/><Relationship Id="rId19" Type="http://schemas.openxmlformats.org/officeDocument/2006/relationships/hyperlink" Target="https://www.cipd.org/uk/knowledge/employment-law/working-time/" TargetMode="External"/><Relationship Id="rId31" Type="http://schemas.openxmlformats.org/officeDocument/2006/relationships/hyperlink" Target="https://hrcentre.uk.brightmine.com/employment-law-guide/discrimination-in-recruitment-and-selection/157530/" TargetMode="External"/><Relationship Id="rId44" Type="http://schemas.openxmlformats.org/officeDocument/2006/relationships/hyperlink" Target="https://www.justice.gov.uk/courts/procedure-rules/civil/rules/pd_pre-action_conduct" TargetMode="External"/><Relationship Id="rId4" Type="http://schemas.openxmlformats.org/officeDocument/2006/relationships/styles" Target="styles.xml"/><Relationship Id="rId9" Type="http://schemas.openxmlformats.org/officeDocument/2006/relationships/hyperlink" Target="https://www.acas.org.uk/job-evaluation-considerations-and-risks-advice-booklet" TargetMode="External"/><Relationship Id="rId14" Type="http://schemas.openxmlformats.org/officeDocument/2006/relationships/hyperlink" Target="https://www.reed.co.uk/career-advice/why-does-employment-law-exist/" TargetMode="External"/><Relationship Id="rId22" Type="http://schemas.openxmlformats.org/officeDocument/2006/relationships/hyperlink" Target="https://www.equalityhumanrights.com/sites/default/files/equalpaycode.pdf" TargetMode="External"/><Relationship Id="rId27" Type="http://schemas.openxmlformats.org/officeDocument/2006/relationships/hyperlink" Target="https://www.gov.uk/flexible-working" TargetMode="External"/><Relationship Id="rId30" Type="http://schemas.openxmlformats.org/officeDocument/2006/relationships/hyperlink" Target="https://harperjames.co.uk/article/changing-terms-of-a-contract-agreement/" TargetMode="External"/><Relationship Id="rId35" Type="http://schemas.openxmlformats.org/officeDocument/2006/relationships/hyperlink" Target="https://www.davidsonmorris.com/recruitment-discrimination/" TargetMode="External"/><Relationship Id="rId43" Type="http://schemas.openxmlformats.org/officeDocument/2006/relationships/hyperlink" Target="https://www.girlings.com/latest/recruitment-and-candidate-selection-what-is-the-law"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GN00OTeIiCw6sTk2233Ty+S41mg==">CgMxLjA4AHIhMVJNeTV5UEU3dEJwQXprT1BIejVMVlZEUFZUeUxQNHVC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customXml/itemProps2.xml><?xml version="1.0" encoding="utf-8"?>
<ds:datastoreItem xmlns:ds="http://schemas.openxmlformats.org/officeDocument/2006/customXml" ds:itemID="{24A65621-E424-45BE-BE99-D1C30166DA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285</TotalTime>
  <Pages>20</Pages>
  <Words>7648</Words>
  <Characters>43595</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Lindsey M Warwick</dc:creator>
  <cp:lastModifiedBy>Lindsey M Warwick</cp:lastModifiedBy>
  <cp:revision>249</cp:revision>
  <dcterms:created xsi:type="dcterms:W3CDTF">2025-02-17T10:17:00Z</dcterms:created>
  <dcterms:modified xsi:type="dcterms:W3CDTF">2025-05-02T10:56:00Z</dcterms:modified>
</cp:coreProperties>
</file>