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F90C3" w14:textId="77777777" w:rsidR="00324545" w:rsidRPr="00206A5F" w:rsidRDefault="00324545" w:rsidP="00324545">
      <w:pPr>
        <w:rPr>
          <w:rFonts w:cs="Arial"/>
          <w:szCs w:val="22"/>
        </w:rPr>
      </w:pPr>
      <w:r w:rsidRPr="00206A5F">
        <w:rPr>
          <w:rFonts w:cs="Arial"/>
          <w:noProof/>
          <w:szCs w:val="22"/>
        </w:rPr>
        <w:drawing>
          <wp:inline distT="0" distB="0" distL="85723" distR="85723" wp14:anchorId="2C4EF962" wp14:editId="1D3BD72E">
            <wp:extent cx="2650417" cy="969560"/>
            <wp:effectExtent l="0" t="0" r="0" b="0"/>
            <wp:docPr id="420514022" name="Picture 420514022"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514022" name="Picture 420514022" descr="A black background with white text&#10;&#10;AI-generated content may be incorrect."/>
                    <pic:cNvPicPr/>
                  </pic:nvPicPr>
                  <pic:blipFill>
                    <a:blip r:embed="rId7"/>
                    <a:stretch>
                      <a:fillRect/>
                    </a:stretch>
                  </pic:blipFill>
                  <pic:spPr>
                    <a:xfrm>
                      <a:off x="0" y="0"/>
                      <a:ext cx="2650417" cy="969560"/>
                    </a:xfrm>
                    <a:prstGeom prst="rect">
                      <a:avLst/>
                    </a:prstGeom>
                    <a:noFill/>
                    <a:ln w="12700" cap="flat" cmpd="sng">
                      <a:noFill/>
                      <a:prstDash val="solid"/>
                      <a:miter/>
                    </a:ln>
                  </pic:spPr>
                </pic:pic>
              </a:graphicData>
            </a:graphic>
          </wp:inline>
        </w:drawing>
      </w:r>
    </w:p>
    <w:p w14:paraId="0231647B" w14:textId="77777777" w:rsidR="00324545" w:rsidRPr="00206A5F" w:rsidRDefault="00324545" w:rsidP="00324545">
      <w:pPr>
        <w:rPr>
          <w:rFonts w:cs="Arial"/>
          <w:szCs w:val="22"/>
        </w:rPr>
      </w:pPr>
    </w:p>
    <w:p w14:paraId="3BE87BC8" w14:textId="77777777" w:rsidR="00324545" w:rsidRPr="00206A5F" w:rsidRDefault="00324545" w:rsidP="00324545">
      <w:pPr>
        <w:rPr>
          <w:rFonts w:cs="Arial"/>
          <w:szCs w:val="22"/>
        </w:rPr>
      </w:pPr>
    </w:p>
    <w:p w14:paraId="60E16ADE" w14:textId="77777777" w:rsidR="00324545" w:rsidRPr="00206A5F" w:rsidRDefault="00324545" w:rsidP="00324545">
      <w:pPr>
        <w:rPr>
          <w:rFonts w:cs="Arial"/>
          <w:szCs w:val="22"/>
        </w:rPr>
      </w:pPr>
    </w:p>
    <w:p w14:paraId="42CDB4DE" w14:textId="77777777" w:rsidR="00324545" w:rsidRPr="00206A5F" w:rsidRDefault="00324545" w:rsidP="00324545">
      <w:pPr>
        <w:rPr>
          <w:rFonts w:cs="Arial"/>
          <w:szCs w:val="22"/>
        </w:rPr>
      </w:pPr>
    </w:p>
    <w:p w14:paraId="68A089E7" w14:textId="77777777" w:rsidR="00324545" w:rsidRPr="00206A5F" w:rsidRDefault="00324545" w:rsidP="00324545">
      <w:pPr>
        <w:rPr>
          <w:rFonts w:cs="Arial"/>
          <w:szCs w:val="22"/>
        </w:rPr>
      </w:pPr>
    </w:p>
    <w:p w14:paraId="71D75A47" w14:textId="77777777" w:rsidR="00324545" w:rsidRPr="00206A5F" w:rsidRDefault="00324545" w:rsidP="00324545">
      <w:pPr>
        <w:rPr>
          <w:rFonts w:cs="Arial"/>
          <w:szCs w:val="22"/>
        </w:rPr>
      </w:pPr>
    </w:p>
    <w:p w14:paraId="6DAF3D31" w14:textId="4B46F01F" w:rsidR="00324545" w:rsidRPr="00206A5F" w:rsidRDefault="00324545" w:rsidP="00324545">
      <w:pPr>
        <w:jc w:val="center"/>
        <w:rPr>
          <w:rFonts w:ascii="Arial" w:hAnsi="Arial" w:cs="Arial"/>
          <w:b/>
          <w:bCs/>
          <w:szCs w:val="22"/>
        </w:rPr>
      </w:pPr>
      <w:r w:rsidRPr="00206A5F">
        <w:rPr>
          <w:rFonts w:ascii="Arial" w:hAnsi="Arial" w:cs="Arial"/>
          <w:b/>
          <w:bCs/>
          <w:szCs w:val="22"/>
        </w:rPr>
        <w:t xml:space="preserve">QUALITY ASSURANCE AND SERVICE IMPROVEMENT – ASSESSMENT </w:t>
      </w:r>
      <w:r w:rsidR="00EC5A7A" w:rsidRPr="00206A5F">
        <w:rPr>
          <w:rFonts w:ascii="Arial" w:hAnsi="Arial" w:cs="Arial"/>
          <w:b/>
          <w:bCs/>
          <w:szCs w:val="22"/>
        </w:rPr>
        <w:t>2</w:t>
      </w:r>
    </w:p>
    <w:p w14:paraId="76CB741D" w14:textId="77777777" w:rsidR="00324545" w:rsidRPr="00206A5F" w:rsidRDefault="00324545" w:rsidP="00324545">
      <w:pPr>
        <w:jc w:val="center"/>
        <w:rPr>
          <w:rFonts w:ascii="Arial" w:hAnsi="Arial" w:cs="Arial"/>
          <w:b/>
          <w:bCs/>
          <w:szCs w:val="22"/>
        </w:rPr>
      </w:pPr>
      <w:r w:rsidRPr="00206A5F">
        <w:rPr>
          <w:rFonts w:ascii="Arial" w:hAnsi="Arial" w:cs="Arial"/>
          <w:b/>
          <w:bCs/>
          <w:szCs w:val="22"/>
        </w:rPr>
        <w:t>SERVICE IMPROVEMENT REPORT</w:t>
      </w:r>
    </w:p>
    <w:p w14:paraId="76326B5A" w14:textId="06C8A1EC" w:rsidR="00324545" w:rsidRPr="00206A5F" w:rsidRDefault="00324545" w:rsidP="00324545">
      <w:pPr>
        <w:jc w:val="center"/>
        <w:rPr>
          <w:rFonts w:ascii="Arial" w:hAnsi="Arial" w:cs="Arial"/>
          <w:b/>
          <w:bCs/>
          <w:szCs w:val="22"/>
        </w:rPr>
      </w:pPr>
      <w:r w:rsidRPr="00206A5F">
        <w:rPr>
          <w:rFonts w:ascii="Arial" w:hAnsi="Arial" w:cs="Arial"/>
          <w:b/>
          <w:bCs/>
          <w:szCs w:val="22"/>
        </w:rPr>
        <w:t xml:space="preserve">Topic: </w:t>
      </w:r>
      <w:r w:rsidR="00EC5A7A" w:rsidRPr="00206A5F">
        <w:rPr>
          <w:rFonts w:ascii="Arial" w:hAnsi="Arial" w:cs="Arial"/>
          <w:b/>
          <w:bCs/>
          <w:szCs w:val="22"/>
        </w:rPr>
        <w:t>Medication Reconciliation Failure in the UK NHS: A Quality Improvement Report</w:t>
      </w:r>
    </w:p>
    <w:p w14:paraId="074D4E6A" w14:textId="77777777" w:rsidR="00324545" w:rsidRPr="00206A5F" w:rsidRDefault="00324545" w:rsidP="00324545">
      <w:pPr>
        <w:rPr>
          <w:rFonts w:ascii="Arial" w:hAnsi="Arial" w:cs="Arial"/>
          <w:szCs w:val="22"/>
        </w:rPr>
      </w:pPr>
    </w:p>
    <w:p w14:paraId="3BC5EF95" w14:textId="77777777" w:rsidR="00324545" w:rsidRPr="00206A5F" w:rsidRDefault="00324545" w:rsidP="00324545">
      <w:pPr>
        <w:rPr>
          <w:rFonts w:ascii="Arial" w:hAnsi="Arial" w:cs="Arial"/>
          <w:szCs w:val="22"/>
        </w:rPr>
      </w:pPr>
    </w:p>
    <w:p w14:paraId="3384EE03" w14:textId="77777777" w:rsidR="00324545" w:rsidRPr="00206A5F" w:rsidRDefault="00324545" w:rsidP="00324545">
      <w:pPr>
        <w:rPr>
          <w:rFonts w:ascii="Arial" w:hAnsi="Arial" w:cs="Arial"/>
          <w:szCs w:val="22"/>
        </w:rPr>
      </w:pPr>
    </w:p>
    <w:p w14:paraId="0DABBC7D" w14:textId="77777777" w:rsidR="00324545" w:rsidRPr="00206A5F" w:rsidRDefault="00324545" w:rsidP="00324545">
      <w:pPr>
        <w:rPr>
          <w:rFonts w:ascii="Arial" w:hAnsi="Arial" w:cs="Arial"/>
          <w:szCs w:val="22"/>
        </w:rPr>
      </w:pPr>
    </w:p>
    <w:p w14:paraId="106AC142" w14:textId="77777777" w:rsidR="00324545" w:rsidRPr="00206A5F" w:rsidRDefault="00324545" w:rsidP="00324545">
      <w:pPr>
        <w:rPr>
          <w:rFonts w:ascii="Arial" w:hAnsi="Arial" w:cs="Arial"/>
          <w:szCs w:val="22"/>
        </w:rPr>
      </w:pPr>
    </w:p>
    <w:p w14:paraId="6A84BD24" w14:textId="77777777" w:rsidR="00324545" w:rsidRPr="00206A5F" w:rsidRDefault="00324545" w:rsidP="00324545">
      <w:pPr>
        <w:rPr>
          <w:rFonts w:ascii="Arial" w:hAnsi="Arial" w:cs="Arial"/>
          <w:szCs w:val="22"/>
        </w:rPr>
      </w:pPr>
      <w:r w:rsidRPr="00206A5F">
        <w:rPr>
          <w:rFonts w:ascii="Arial" w:hAnsi="Arial" w:cs="Arial"/>
          <w:szCs w:val="22"/>
        </w:rPr>
        <w:t>Programme: MSc Public Health and Social Care in Practice</w:t>
      </w:r>
    </w:p>
    <w:p w14:paraId="015908D1" w14:textId="01921921" w:rsidR="00324545" w:rsidRPr="00206A5F" w:rsidRDefault="00324545" w:rsidP="00324545">
      <w:pPr>
        <w:rPr>
          <w:rFonts w:ascii="Arial" w:hAnsi="Arial" w:cs="Arial"/>
          <w:szCs w:val="22"/>
        </w:rPr>
      </w:pPr>
      <w:r w:rsidRPr="00206A5F">
        <w:rPr>
          <w:rFonts w:ascii="Arial" w:hAnsi="Arial" w:cs="Arial"/>
          <w:szCs w:val="22"/>
        </w:rPr>
        <w:t xml:space="preserve">Module </w:t>
      </w:r>
      <w:r w:rsidR="007F0F2E">
        <w:rPr>
          <w:rFonts w:ascii="Arial" w:hAnsi="Arial" w:cs="Arial"/>
          <w:szCs w:val="22"/>
        </w:rPr>
        <w:t>N</w:t>
      </w:r>
      <w:r w:rsidRPr="00206A5F">
        <w:rPr>
          <w:rFonts w:ascii="Arial" w:hAnsi="Arial" w:cs="Arial"/>
          <w:szCs w:val="22"/>
        </w:rPr>
        <w:t>ame: Quality Assurance and Service Improvement</w:t>
      </w:r>
      <w:r w:rsidR="007F0F2E">
        <w:rPr>
          <w:rFonts w:ascii="Arial" w:hAnsi="Arial" w:cs="Arial"/>
          <w:szCs w:val="22"/>
        </w:rPr>
        <w:t>s</w:t>
      </w:r>
    </w:p>
    <w:p w14:paraId="4FB3DB45" w14:textId="10ACCB50" w:rsidR="00324545" w:rsidRPr="00206A5F" w:rsidRDefault="00324545" w:rsidP="00324545">
      <w:pPr>
        <w:rPr>
          <w:rFonts w:ascii="Arial" w:hAnsi="Arial" w:cs="Arial"/>
          <w:szCs w:val="22"/>
        </w:rPr>
      </w:pPr>
      <w:r w:rsidRPr="00206A5F">
        <w:rPr>
          <w:rFonts w:ascii="Arial" w:hAnsi="Arial" w:cs="Arial"/>
          <w:szCs w:val="22"/>
        </w:rPr>
        <w:t xml:space="preserve">Module </w:t>
      </w:r>
      <w:r w:rsidR="007F0F2E">
        <w:rPr>
          <w:rFonts w:ascii="Arial" w:hAnsi="Arial" w:cs="Arial"/>
          <w:szCs w:val="22"/>
        </w:rPr>
        <w:t>C</w:t>
      </w:r>
      <w:r w:rsidRPr="00206A5F">
        <w:rPr>
          <w:rFonts w:ascii="Arial" w:hAnsi="Arial" w:cs="Arial"/>
          <w:szCs w:val="22"/>
        </w:rPr>
        <w:t xml:space="preserve">ode: </w:t>
      </w:r>
      <w:r w:rsidR="007F0F2E">
        <w:rPr>
          <w:rFonts w:ascii="Arial" w:hAnsi="Arial" w:cs="Arial"/>
          <w:szCs w:val="22"/>
        </w:rPr>
        <w:t>LCHS7006</w:t>
      </w:r>
    </w:p>
    <w:p w14:paraId="41EFB963" w14:textId="5155D0E5" w:rsidR="00324545" w:rsidRPr="00206A5F" w:rsidRDefault="00324545" w:rsidP="00324545">
      <w:pPr>
        <w:rPr>
          <w:rFonts w:ascii="Arial" w:hAnsi="Arial" w:cs="Arial"/>
          <w:szCs w:val="22"/>
        </w:rPr>
      </w:pPr>
      <w:r w:rsidRPr="00206A5F">
        <w:rPr>
          <w:rFonts w:ascii="Arial" w:hAnsi="Arial" w:cs="Arial"/>
          <w:szCs w:val="22"/>
        </w:rPr>
        <w:t xml:space="preserve">Student </w:t>
      </w:r>
      <w:r w:rsidR="007F0F2E">
        <w:rPr>
          <w:rFonts w:ascii="Arial" w:hAnsi="Arial" w:cs="Arial"/>
          <w:szCs w:val="22"/>
        </w:rPr>
        <w:t>Na</w:t>
      </w:r>
      <w:r w:rsidRPr="00206A5F">
        <w:rPr>
          <w:rFonts w:ascii="Arial" w:hAnsi="Arial" w:cs="Arial"/>
          <w:szCs w:val="22"/>
        </w:rPr>
        <w:t xml:space="preserve">me: </w:t>
      </w:r>
      <w:r w:rsidR="007F0F2E">
        <w:rPr>
          <w:rFonts w:ascii="Arial" w:hAnsi="Arial" w:cs="Arial"/>
          <w:szCs w:val="22"/>
        </w:rPr>
        <w:t>Krina Patel</w:t>
      </w:r>
    </w:p>
    <w:p w14:paraId="24A7EFAC" w14:textId="0EEC6542" w:rsidR="00324545" w:rsidRPr="00206A5F" w:rsidRDefault="00324545" w:rsidP="00324545">
      <w:pPr>
        <w:rPr>
          <w:rFonts w:ascii="Arial" w:hAnsi="Arial" w:cs="Arial"/>
          <w:szCs w:val="22"/>
        </w:rPr>
      </w:pPr>
      <w:r w:rsidRPr="00206A5F">
        <w:rPr>
          <w:rFonts w:ascii="Arial" w:hAnsi="Arial" w:cs="Arial"/>
          <w:szCs w:val="22"/>
        </w:rPr>
        <w:t xml:space="preserve">Student ID: </w:t>
      </w:r>
      <w:r w:rsidR="007F0F2E">
        <w:rPr>
          <w:rFonts w:ascii="Arial" w:hAnsi="Arial" w:cs="Arial"/>
          <w:szCs w:val="22"/>
        </w:rPr>
        <w:t>2430966</w:t>
      </w:r>
    </w:p>
    <w:p w14:paraId="59A251C1" w14:textId="38892D0D" w:rsidR="00324545" w:rsidRPr="00206A5F" w:rsidRDefault="00324545" w:rsidP="00324545">
      <w:pPr>
        <w:rPr>
          <w:rFonts w:ascii="Arial" w:hAnsi="Arial" w:cs="Arial"/>
          <w:szCs w:val="22"/>
        </w:rPr>
      </w:pPr>
      <w:r w:rsidRPr="00206A5F">
        <w:rPr>
          <w:rFonts w:ascii="Arial" w:hAnsi="Arial" w:cs="Arial"/>
          <w:szCs w:val="22"/>
        </w:rPr>
        <w:t>Lecturer</w:t>
      </w:r>
      <w:r w:rsidR="007F0F2E">
        <w:rPr>
          <w:rFonts w:ascii="Arial" w:hAnsi="Arial" w:cs="Arial"/>
          <w:szCs w:val="22"/>
        </w:rPr>
        <w:t xml:space="preserve"> Name: Shepherd Ziko</w:t>
      </w:r>
    </w:p>
    <w:p w14:paraId="432742C3" w14:textId="77777777" w:rsidR="00324545" w:rsidRPr="00206A5F" w:rsidRDefault="00324545" w:rsidP="00324545">
      <w:pPr>
        <w:rPr>
          <w:rFonts w:cs="Arial"/>
          <w:szCs w:val="22"/>
        </w:rPr>
      </w:pPr>
    </w:p>
    <w:p w14:paraId="54391106" w14:textId="77777777" w:rsidR="00324545" w:rsidRPr="00206A5F" w:rsidRDefault="00324545" w:rsidP="00324545">
      <w:pPr>
        <w:spacing w:line="480" w:lineRule="auto"/>
        <w:rPr>
          <w:rFonts w:cs="Arial"/>
          <w:b/>
          <w:bCs/>
          <w:szCs w:val="22"/>
        </w:rPr>
      </w:pPr>
      <w:r w:rsidRPr="00206A5F">
        <w:rPr>
          <w:rFonts w:cs="Arial"/>
          <w:b/>
          <w:bCs/>
          <w:szCs w:val="22"/>
        </w:rPr>
        <w:br w:type="page"/>
      </w:r>
    </w:p>
    <w:sdt>
      <w:sdtPr>
        <w:rPr>
          <w:rFonts w:asciiTheme="minorHAnsi" w:eastAsiaTheme="minorHAnsi" w:hAnsiTheme="minorHAnsi" w:cstheme="minorBidi"/>
          <w:color w:val="auto"/>
          <w:kern w:val="2"/>
          <w:sz w:val="24"/>
          <w:szCs w:val="24"/>
          <w:lang w:eastAsia="en-US"/>
          <w14:ligatures w14:val="standardContextual"/>
        </w:rPr>
        <w:id w:val="-565410847"/>
        <w:docPartObj>
          <w:docPartGallery w:val="Table of Contents"/>
          <w:docPartUnique/>
        </w:docPartObj>
      </w:sdtPr>
      <w:sdtEndPr>
        <w:rPr>
          <w:b/>
          <w:bCs/>
        </w:rPr>
      </w:sdtEndPr>
      <w:sdtContent>
        <w:p w14:paraId="33293EB1" w14:textId="49850AF5" w:rsidR="006C45DE" w:rsidRDefault="006C45DE">
          <w:pPr>
            <w:pStyle w:val="TOCHeading"/>
          </w:pPr>
          <w:r>
            <w:t>Table of Contents</w:t>
          </w:r>
        </w:p>
        <w:p w14:paraId="2A9FDF84" w14:textId="2FDAFE26" w:rsidR="006C45DE" w:rsidRDefault="006C45DE">
          <w:pPr>
            <w:pStyle w:val="TOC1"/>
            <w:tabs>
              <w:tab w:val="right" w:leader="dot" w:pos="9016"/>
            </w:tabs>
            <w:rPr>
              <w:noProof/>
            </w:rPr>
          </w:pPr>
          <w:r>
            <w:fldChar w:fldCharType="begin"/>
          </w:r>
          <w:r>
            <w:instrText xml:space="preserve"> TOC \o "1-3" \h \z \u </w:instrText>
          </w:r>
          <w:r>
            <w:fldChar w:fldCharType="separate"/>
          </w:r>
          <w:hyperlink w:anchor="_Toc215996635" w:history="1">
            <w:r w:rsidRPr="00BC22A2">
              <w:rPr>
                <w:rStyle w:val="Hyperlink"/>
                <w:noProof/>
              </w:rPr>
              <w:t>1. Introduction</w:t>
            </w:r>
            <w:r>
              <w:rPr>
                <w:noProof/>
                <w:webHidden/>
              </w:rPr>
              <w:tab/>
            </w:r>
            <w:r>
              <w:rPr>
                <w:noProof/>
                <w:webHidden/>
              </w:rPr>
              <w:fldChar w:fldCharType="begin"/>
            </w:r>
            <w:r>
              <w:rPr>
                <w:noProof/>
                <w:webHidden/>
              </w:rPr>
              <w:instrText xml:space="preserve"> PAGEREF _Toc215996635 \h </w:instrText>
            </w:r>
            <w:r>
              <w:rPr>
                <w:noProof/>
                <w:webHidden/>
              </w:rPr>
            </w:r>
            <w:r>
              <w:rPr>
                <w:noProof/>
                <w:webHidden/>
              </w:rPr>
              <w:fldChar w:fldCharType="separate"/>
            </w:r>
            <w:r>
              <w:rPr>
                <w:noProof/>
                <w:webHidden/>
              </w:rPr>
              <w:t>3</w:t>
            </w:r>
            <w:r>
              <w:rPr>
                <w:noProof/>
                <w:webHidden/>
              </w:rPr>
              <w:fldChar w:fldCharType="end"/>
            </w:r>
          </w:hyperlink>
        </w:p>
        <w:p w14:paraId="524E992D" w14:textId="6F63CD81" w:rsidR="006C45DE" w:rsidRDefault="006C45DE">
          <w:pPr>
            <w:pStyle w:val="TOC2"/>
            <w:tabs>
              <w:tab w:val="right" w:leader="dot" w:pos="9016"/>
            </w:tabs>
            <w:rPr>
              <w:noProof/>
            </w:rPr>
          </w:pPr>
          <w:hyperlink w:anchor="_Toc215996636" w:history="1">
            <w:r w:rsidRPr="00BC22A2">
              <w:rPr>
                <w:rStyle w:val="Hyperlink"/>
                <w:rFonts w:eastAsiaTheme="majorEastAsia"/>
                <w:noProof/>
              </w:rPr>
              <w:t>1.1 Background</w:t>
            </w:r>
            <w:r>
              <w:rPr>
                <w:noProof/>
                <w:webHidden/>
              </w:rPr>
              <w:tab/>
            </w:r>
            <w:r>
              <w:rPr>
                <w:noProof/>
                <w:webHidden/>
              </w:rPr>
              <w:fldChar w:fldCharType="begin"/>
            </w:r>
            <w:r>
              <w:rPr>
                <w:noProof/>
                <w:webHidden/>
              </w:rPr>
              <w:instrText xml:space="preserve"> PAGEREF _Toc215996636 \h </w:instrText>
            </w:r>
            <w:r>
              <w:rPr>
                <w:noProof/>
                <w:webHidden/>
              </w:rPr>
            </w:r>
            <w:r>
              <w:rPr>
                <w:noProof/>
                <w:webHidden/>
              </w:rPr>
              <w:fldChar w:fldCharType="separate"/>
            </w:r>
            <w:r>
              <w:rPr>
                <w:noProof/>
                <w:webHidden/>
              </w:rPr>
              <w:t>3</w:t>
            </w:r>
            <w:r>
              <w:rPr>
                <w:noProof/>
                <w:webHidden/>
              </w:rPr>
              <w:fldChar w:fldCharType="end"/>
            </w:r>
          </w:hyperlink>
        </w:p>
        <w:p w14:paraId="2C574577" w14:textId="58B3F8D6" w:rsidR="006C45DE" w:rsidRDefault="006C45DE">
          <w:pPr>
            <w:pStyle w:val="TOC2"/>
            <w:tabs>
              <w:tab w:val="right" w:leader="dot" w:pos="9016"/>
            </w:tabs>
            <w:rPr>
              <w:noProof/>
            </w:rPr>
          </w:pPr>
          <w:hyperlink w:anchor="_Toc215996637" w:history="1">
            <w:r w:rsidRPr="00BC22A2">
              <w:rPr>
                <w:rStyle w:val="Hyperlink"/>
                <w:rFonts w:eastAsiaTheme="majorEastAsia"/>
                <w:noProof/>
              </w:rPr>
              <w:t>1.2 Quality Care</w:t>
            </w:r>
            <w:r>
              <w:rPr>
                <w:noProof/>
                <w:webHidden/>
              </w:rPr>
              <w:tab/>
            </w:r>
            <w:r>
              <w:rPr>
                <w:noProof/>
                <w:webHidden/>
              </w:rPr>
              <w:fldChar w:fldCharType="begin"/>
            </w:r>
            <w:r>
              <w:rPr>
                <w:noProof/>
                <w:webHidden/>
              </w:rPr>
              <w:instrText xml:space="preserve"> PAGEREF _Toc215996637 \h </w:instrText>
            </w:r>
            <w:r>
              <w:rPr>
                <w:noProof/>
                <w:webHidden/>
              </w:rPr>
            </w:r>
            <w:r>
              <w:rPr>
                <w:noProof/>
                <w:webHidden/>
              </w:rPr>
              <w:fldChar w:fldCharType="separate"/>
            </w:r>
            <w:r>
              <w:rPr>
                <w:noProof/>
                <w:webHidden/>
              </w:rPr>
              <w:t>3</w:t>
            </w:r>
            <w:r>
              <w:rPr>
                <w:noProof/>
                <w:webHidden/>
              </w:rPr>
              <w:fldChar w:fldCharType="end"/>
            </w:r>
          </w:hyperlink>
        </w:p>
        <w:p w14:paraId="2B10B236" w14:textId="322F0C1E" w:rsidR="006C45DE" w:rsidRDefault="006C45DE">
          <w:pPr>
            <w:pStyle w:val="TOC2"/>
            <w:tabs>
              <w:tab w:val="right" w:leader="dot" w:pos="9016"/>
            </w:tabs>
            <w:rPr>
              <w:noProof/>
            </w:rPr>
          </w:pPr>
          <w:hyperlink w:anchor="_Toc215996638" w:history="1">
            <w:r w:rsidRPr="00BC22A2">
              <w:rPr>
                <w:rStyle w:val="Hyperlink"/>
                <w:rFonts w:eastAsiaTheme="majorEastAsia"/>
                <w:noProof/>
              </w:rPr>
              <w:t>1.3 Overview of Medication Reconciliation Failure</w:t>
            </w:r>
            <w:r>
              <w:rPr>
                <w:noProof/>
                <w:webHidden/>
              </w:rPr>
              <w:tab/>
            </w:r>
            <w:r>
              <w:rPr>
                <w:noProof/>
                <w:webHidden/>
              </w:rPr>
              <w:fldChar w:fldCharType="begin"/>
            </w:r>
            <w:r>
              <w:rPr>
                <w:noProof/>
                <w:webHidden/>
              </w:rPr>
              <w:instrText xml:space="preserve"> PAGEREF _Toc215996638 \h </w:instrText>
            </w:r>
            <w:r>
              <w:rPr>
                <w:noProof/>
                <w:webHidden/>
              </w:rPr>
            </w:r>
            <w:r>
              <w:rPr>
                <w:noProof/>
                <w:webHidden/>
              </w:rPr>
              <w:fldChar w:fldCharType="separate"/>
            </w:r>
            <w:r>
              <w:rPr>
                <w:noProof/>
                <w:webHidden/>
              </w:rPr>
              <w:t>3</w:t>
            </w:r>
            <w:r>
              <w:rPr>
                <w:noProof/>
                <w:webHidden/>
              </w:rPr>
              <w:fldChar w:fldCharType="end"/>
            </w:r>
          </w:hyperlink>
        </w:p>
        <w:p w14:paraId="3A917C23" w14:textId="1B131FAB" w:rsidR="006C45DE" w:rsidRDefault="006C45DE">
          <w:pPr>
            <w:pStyle w:val="TOC2"/>
            <w:tabs>
              <w:tab w:val="right" w:leader="dot" w:pos="9016"/>
            </w:tabs>
            <w:rPr>
              <w:noProof/>
            </w:rPr>
          </w:pPr>
          <w:hyperlink w:anchor="_Toc215996639" w:history="1">
            <w:r w:rsidRPr="00BC22A2">
              <w:rPr>
                <w:rStyle w:val="Hyperlink"/>
                <w:rFonts w:eastAsiaTheme="majorEastAsia"/>
                <w:noProof/>
              </w:rPr>
              <w:t>1.4 Prevalence and Statistical Evidence</w:t>
            </w:r>
            <w:r>
              <w:rPr>
                <w:noProof/>
                <w:webHidden/>
              </w:rPr>
              <w:tab/>
            </w:r>
            <w:r>
              <w:rPr>
                <w:noProof/>
                <w:webHidden/>
              </w:rPr>
              <w:fldChar w:fldCharType="begin"/>
            </w:r>
            <w:r>
              <w:rPr>
                <w:noProof/>
                <w:webHidden/>
              </w:rPr>
              <w:instrText xml:space="preserve"> PAGEREF _Toc215996639 \h </w:instrText>
            </w:r>
            <w:r>
              <w:rPr>
                <w:noProof/>
                <w:webHidden/>
              </w:rPr>
            </w:r>
            <w:r>
              <w:rPr>
                <w:noProof/>
                <w:webHidden/>
              </w:rPr>
              <w:fldChar w:fldCharType="separate"/>
            </w:r>
            <w:r>
              <w:rPr>
                <w:noProof/>
                <w:webHidden/>
              </w:rPr>
              <w:t>4</w:t>
            </w:r>
            <w:r>
              <w:rPr>
                <w:noProof/>
                <w:webHidden/>
              </w:rPr>
              <w:fldChar w:fldCharType="end"/>
            </w:r>
          </w:hyperlink>
        </w:p>
        <w:p w14:paraId="7A541F3B" w14:textId="2DD468E1" w:rsidR="006C45DE" w:rsidRDefault="006C45DE">
          <w:pPr>
            <w:pStyle w:val="TOC1"/>
            <w:tabs>
              <w:tab w:val="right" w:leader="dot" w:pos="9016"/>
            </w:tabs>
            <w:rPr>
              <w:noProof/>
            </w:rPr>
          </w:pPr>
          <w:hyperlink w:anchor="_Toc215996640" w:history="1">
            <w:r w:rsidRPr="00BC22A2">
              <w:rPr>
                <w:rStyle w:val="Hyperlink"/>
                <w:noProof/>
              </w:rPr>
              <w:t>2. Main Body</w:t>
            </w:r>
            <w:r>
              <w:rPr>
                <w:noProof/>
                <w:webHidden/>
              </w:rPr>
              <w:tab/>
            </w:r>
            <w:r>
              <w:rPr>
                <w:noProof/>
                <w:webHidden/>
              </w:rPr>
              <w:fldChar w:fldCharType="begin"/>
            </w:r>
            <w:r>
              <w:rPr>
                <w:noProof/>
                <w:webHidden/>
              </w:rPr>
              <w:instrText xml:space="preserve"> PAGEREF _Toc215996640 \h </w:instrText>
            </w:r>
            <w:r>
              <w:rPr>
                <w:noProof/>
                <w:webHidden/>
              </w:rPr>
            </w:r>
            <w:r>
              <w:rPr>
                <w:noProof/>
                <w:webHidden/>
              </w:rPr>
              <w:fldChar w:fldCharType="separate"/>
            </w:r>
            <w:r>
              <w:rPr>
                <w:noProof/>
                <w:webHidden/>
              </w:rPr>
              <w:t>4</w:t>
            </w:r>
            <w:r>
              <w:rPr>
                <w:noProof/>
                <w:webHidden/>
              </w:rPr>
              <w:fldChar w:fldCharType="end"/>
            </w:r>
          </w:hyperlink>
        </w:p>
        <w:p w14:paraId="083F1672" w14:textId="462796B5" w:rsidR="006C45DE" w:rsidRDefault="006C45DE">
          <w:pPr>
            <w:pStyle w:val="TOC2"/>
            <w:tabs>
              <w:tab w:val="right" w:leader="dot" w:pos="9016"/>
            </w:tabs>
            <w:rPr>
              <w:noProof/>
            </w:rPr>
          </w:pPr>
          <w:hyperlink w:anchor="_Toc215996641" w:history="1">
            <w:r w:rsidRPr="00BC22A2">
              <w:rPr>
                <w:rStyle w:val="Hyperlink"/>
                <w:rFonts w:eastAsiaTheme="majorEastAsia"/>
                <w:noProof/>
              </w:rPr>
              <w:t>2.1 Rationale</w:t>
            </w:r>
            <w:r>
              <w:rPr>
                <w:noProof/>
                <w:webHidden/>
              </w:rPr>
              <w:tab/>
            </w:r>
            <w:r>
              <w:rPr>
                <w:noProof/>
                <w:webHidden/>
              </w:rPr>
              <w:fldChar w:fldCharType="begin"/>
            </w:r>
            <w:r>
              <w:rPr>
                <w:noProof/>
                <w:webHidden/>
              </w:rPr>
              <w:instrText xml:space="preserve"> PAGEREF _Toc215996641 \h </w:instrText>
            </w:r>
            <w:r>
              <w:rPr>
                <w:noProof/>
                <w:webHidden/>
              </w:rPr>
            </w:r>
            <w:r>
              <w:rPr>
                <w:noProof/>
                <w:webHidden/>
              </w:rPr>
              <w:fldChar w:fldCharType="separate"/>
            </w:r>
            <w:r>
              <w:rPr>
                <w:noProof/>
                <w:webHidden/>
              </w:rPr>
              <w:t>4</w:t>
            </w:r>
            <w:r>
              <w:rPr>
                <w:noProof/>
                <w:webHidden/>
              </w:rPr>
              <w:fldChar w:fldCharType="end"/>
            </w:r>
          </w:hyperlink>
        </w:p>
        <w:p w14:paraId="774CB833" w14:textId="230F95C2" w:rsidR="006C45DE" w:rsidRDefault="006C45DE">
          <w:pPr>
            <w:pStyle w:val="TOC2"/>
            <w:tabs>
              <w:tab w:val="right" w:leader="dot" w:pos="9016"/>
            </w:tabs>
            <w:rPr>
              <w:noProof/>
            </w:rPr>
          </w:pPr>
          <w:hyperlink w:anchor="_Toc215996642" w:history="1">
            <w:r w:rsidRPr="00BC22A2">
              <w:rPr>
                <w:rStyle w:val="Hyperlink"/>
                <w:rFonts w:eastAsiaTheme="majorEastAsia"/>
                <w:noProof/>
              </w:rPr>
              <w:t>2.2 Root Cause Analysis Using the Fishbone Diagram</w:t>
            </w:r>
            <w:r>
              <w:rPr>
                <w:noProof/>
                <w:webHidden/>
              </w:rPr>
              <w:tab/>
            </w:r>
            <w:r>
              <w:rPr>
                <w:noProof/>
                <w:webHidden/>
              </w:rPr>
              <w:fldChar w:fldCharType="begin"/>
            </w:r>
            <w:r>
              <w:rPr>
                <w:noProof/>
                <w:webHidden/>
              </w:rPr>
              <w:instrText xml:space="preserve"> PAGEREF _Toc215996642 \h </w:instrText>
            </w:r>
            <w:r>
              <w:rPr>
                <w:noProof/>
                <w:webHidden/>
              </w:rPr>
            </w:r>
            <w:r>
              <w:rPr>
                <w:noProof/>
                <w:webHidden/>
              </w:rPr>
              <w:fldChar w:fldCharType="separate"/>
            </w:r>
            <w:r>
              <w:rPr>
                <w:noProof/>
                <w:webHidden/>
              </w:rPr>
              <w:t>5</w:t>
            </w:r>
            <w:r>
              <w:rPr>
                <w:noProof/>
                <w:webHidden/>
              </w:rPr>
              <w:fldChar w:fldCharType="end"/>
            </w:r>
          </w:hyperlink>
        </w:p>
        <w:p w14:paraId="554383D9" w14:textId="655F30AF" w:rsidR="006C45DE" w:rsidRDefault="006C45DE">
          <w:pPr>
            <w:pStyle w:val="TOC2"/>
            <w:tabs>
              <w:tab w:val="right" w:leader="dot" w:pos="9016"/>
            </w:tabs>
            <w:rPr>
              <w:noProof/>
            </w:rPr>
          </w:pPr>
          <w:hyperlink w:anchor="_Toc215996643" w:history="1">
            <w:r w:rsidRPr="00BC22A2">
              <w:rPr>
                <w:rStyle w:val="Hyperlink"/>
                <w:rFonts w:eastAsiaTheme="majorEastAsia"/>
                <w:noProof/>
              </w:rPr>
              <w:t>2.</w:t>
            </w:r>
            <w:r w:rsidRPr="00BC22A2">
              <w:rPr>
                <w:rStyle w:val="Hyperlink"/>
                <w:noProof/>
              </w:rPr>
              <w:t>3</w:t>
            </w:r>
            <w:r w:rsidRPr="00BC22A2">
              <w:rPr>
                <w:rStyle w:val="Hyperlink"/>
                <w:rFonts w:eastAsiaTheme="majorEastAsia"/>
                <w:noProof/>
              </w:rPr>
              <w:t xml:space="preserve"> The Five Whys Approach</w:t>
            </w:r>
            <w:r>
              <w:rPr>
                <w:noProof/>
                <w:webHidden/>
              </w:rPr>
              <w:tab/>
            </w:r>
            <w:r>
              <w:rPr>
                <w:noProof/>
                <w:webHidden/>
              </w:rPr>
              <w:fldChar w:fldCharType="begin"/>
            </w:r>
            <w:r>
              <w:rPr>
                <w:noProof/>
                <w:webHidden/>
              </w:rPr>
              <w:instrText xml:space="preserve"> PAGEREF _Toc215996643 \h </w:instrText>
            </w:r>
            <w:r>
              <w:rPr>
                <w:noProof/>
                <w:webHidden/>
              </w:rPr>
            </w:r>
            <w:r>
              <w:rPr>
                <w:noProof/>
                <w:webHidden/>
              </w:rPr>
              <w:fldChar w:fldCharType="separate"/>
            </w:r>
            <w:r>
              <w:rPr>
                <w:noProof/>
                <w:webHidden/>
              </w:rPr>
              <w:t>6</w:t>
            </w:r>
            <w:r>
              <w:rPr>
                <w:noProof/>
                <w:webHidden/>
              </w:rPr>
              <w:fldChar w:fldCharType="end"/>
            </w:r>
          </w:hyperlink>
        </w:p>
        <w:p w14:paraId="1A25F779" w14:textId="74168220" w:rsidR="006C45DE" w:rsidRDefault="006C45DE">
          <w:pPr>
            <w:pStyle w:val="TOC2"/>
            <w:tabs>
              <w:tab w:val="right" w:leader="dot" w:pos="9016"/>
            </w:tabs>
            <w:rPr>
              <w:noProof/>
            </w:rPr>
          </w:pPr>
          <w:hyperlink w:anchor="_Toc215996644" w:history="1">
            <w:r w:rsidRPr="00BC22A2">
              <w:rPr>
                <w:rStyle w:val="Hyperlink"/>
                <w:rFonts w:eastAsiaTheme="majorEastAsia"/>
                <w:noProof/>
              </w:rPr>
              <w:t>2.4 Applying the Donabedian Model</w:t>
            </w:r>
            <w:r>
              <w:rPr>
                <w:noProof/>
                <w:webHidden/>
              </w:rPr>
              <w:tab/>
            </w:r>
            <w:r>
              <w:rPr>
                <w:noProof/>
                <w:webHidden/>
              </w:rPr>
              <w:fldChar w:fldCharType="begin"/>
            </w:r>
            <w:r>
              <w:rPr>
                <w:noProof/>
                <w:webHidden/>
              </w:rPr>
              <w:instrText xml:space="preserve"> PAGEREF _Toc215996644 \h </w:instrText>
            </w:r>
            <w:r>
              <w:rPr>
                <w:noProof/>
                <w:webHidden/>
              </w:rPr>
            </w:r>
            <w:r>
              <w:rPr>
                <w:noProof/>
                <w:webHidden/>
              </w:rPr>
              <w:fldChar w:fldCharType="separate"/>
            </w:r>
            <w:r>
              <w:rPr>
                <w:noProof/>
                <w:webHidden/>
              </w:rPr>
              <w:t>7</w:t>
            </w:r>
            <w:r>
              <w:rPr>
                <w:noProof/>
                <w:webHidden/>
              </w:rPr>
              <w:fldChar w:fldCharType="end"/>
            </w:r>
          </w:hyperlink>
        </w:p>
        <w:p w14:paraId="3D93960E" w14:textId="535D8AF0" w:rsidR="006C45DE" w:rsidRDefault="006C45DE">
          <w:pPr>
            <w:pStyle w:val="TOC2"/>
            <w:tabs>
              <w:tab w:val="right" w:leader="dot" w:pos="9016"/>
            </w:tabs>
            <w:rPr>
              <w:noProof/>
            </w:rPr>
          </w:pPr>
          <w:hyperlink w:anchor="_Toc215996645" w:history="1">
            <w:r w:rsidRPr="00BC22A2">
              <w:rPr>
                <w:rStyle w:val="Hyperlink"/>
                <w:rFonts w:eastAsiaTheme="majorEastAsia"/>
                <w:noProof/>
              </w:rPr>
              <w:t>2.</w:t>
            </w:r>
            <w:r w:rsidRPr="00BC22A2">
              <w:rPr>
                <w:rStyle w:val="Hyperlink"/>
                <w:noProof/>
              </w:rPr>
              <w:t>5</w:t>
            </w:r>
            <w:r w:rsidRPr="00BC22A2">
              <w:rPr>
                <w:rStyle w:val="Hyperlink"/>
                <w:rFonts w:eastAsiaTheme="majorEastAsia"/>
                <w:noProof/>
              </w:rPr>
              <w:t xml:space="preserve"> SWOT Analysis of the NHS Context</w:t>
            </w:r>
            <w:r>
              <w:rPr>
                <w:noProof/>
                <w:webHidden/>
              </w:rPr>
              <w:tab/>
            </w:r>
            <w:r>
              <w:rPr>
                <w:noProof/>
                <w:webHidden/>
              </w:rPr>
              <w:fldChar w:fldCharType="begin"/>
            </w:r>
            <w:r>
              <w:rPr>
                <w:noProof/>
                <w:webHidden/>
              </w:rPr>
              <w:instrText xml:space="preserve"> PAGEREF _Toc215996645 \h </w:instrText>
            </w:r>
            <w:r>
              <w:rPr>
                <w:noProof/>
                <w:webHidden/>
              </w:rPr>
            </w:r>
            <w:r>
              <w:rPr>
                <w:noProof/>
                <w:webHidden/>
              </w:rPr>
              <w:fldChar w:fldCharType="separate"/>
            </w:r>
            <w:r>
              <w:rPr>
                <w:noProof/>
                <w:webHidden/>
              </w:rPr>
              <w:t>8</w:t>
            </w:r>
            <w:r>
              <w:rPr>
                <w:noProof/>
                <w:webHidden/>
              </w:rPr>
              <w:fldChar w:fldCharType="end"/>
            </w:r>
          </w:hyperlink>
        </w:p>
        <w:p w14:paraId="61F05A4B" w14:textId="365F2B7B" w:rsidR="006C45DE" w:rsidRDefault="006C45DE">
          <w:pPr>
            <w:pStyle w:val="TOC2"/>
            <w:tabs>
              <w:tab w:val="right" w:leader="dot" w:pos="9016"/>
            </w:tabs>
            <w:rPr>
              <w:noProof/>
            </w:rPr>
          </w:pPr>
          <w:hyperlink w:anchor="_Toc215996646" w:history="1">
            <w:r w:rsidRPr="00BC22A2">
              <w:rPr>
                <w:rStyle w:val="Hyperlink"/>
                <w:noProof/>
              </w:rPr>
              <w:t>2.6 Application of the Six Sigma Model</w:t>
            </w:r>
            <w:r>
              <w:rPr>
                <w:noProof/>
                <w:webHidden/>
              </w:rPr>
              <w:tab/>
            </w:r>
            <w:r>
              <w:rPr>
                <w:noProof/>
                <w:webHidden/>
              </w:rPr>
              <w:fldChar w:fldCharType="begin"/>
            </w:r>
            <w:r>
              <w:rPr>
                <w:noProof/>
                <w:webHidden/>
              </w:rPr>
              <w:instrText xml:space="preserve"> PAGEREF _Toc215996646 \h </w:instrText>
            </w:r>
            <w:r>
              <w:rPr>
                <w:noProof/>
                <w:webHidden/>
              </w:rPr>
            </w:r>
            <w:r>
              <w:rPr>
                <w:noProof/>
                <w:webHidden/>
              </w:rPr>
              <w:fldChar w:fldCharType="separate"/>
            </w:r>
            <w:r>
              <w:rPr>
                <w:noProof/>
                <w:webHidden/>
              </w:rPr>
              <w:t>9</w:t>
            </w:r>
            <w:r>
              <w:rPr>
                <w:noProof/>
                <w:webHidden/>
              </w:rPr>
              <w:fldChar w:fldCharType="end"/>
            </w:r>
          </w:hyperlink>
        </w:p>
        <w:p w14:paraId="5CC4ECD3" w14:textId="2069CB17" w:rsidR="006C45DE" w:rsidRDefault="006C45DE">
          <w:pPr>
            <w:pStyle w:val="TOC1"/>
            <w:tabs>
              <w:tab w:val="right" w:leader="dot" w:pos="9016"/>
            </w:tabs>
            <w:rPr>
              <w:noProof/>
            </w:rPr>
          </w:pPr>
          <w:hyperlink w:anchor="_Toc215996647" w:history="1">
            <w:r w:rsidRPr="00BC22A2">
              <w:rPr>
                <w:rStyle w:val="Hyperlink"/>
                <w:noProof/>
              </w:rPr>
              <w:t>3</w:t>
            </w:r>
            <w:r w:rsidRPr="00BC22A2">
              <w:rPr>
                <w:rStyle w:val="Hyperlink"/>
                <w:rFonts w:cs="Arial"/>
                <w:noProof/>
              </w:rPr>
              <w:t>. Recommendations</w:t>
            </w:r>
            <w:r>
              <w:rPr>
                <w:noProof/>
                <w:webHidden/>
              </w:rPr>
              <w:tab/>
            </w:r>
            <w:r>
              <w:rPr>
                <w:noProof/>
                <w:webHidden/>
              </w:rPr>
              <w:fldChar w:fldCharType="begin"/>
            </w:r>
            <w:r>
              <w:rPr>
                <w:noProof/>
                <w:webHidden/>
              </w:rPr>
              <w:instrText xml:space="preserve"> PAGEREF _Toc215996647 \h </w:instrText>
            </w:r>
            <w:r>
              <w:rPr>
                <w:noProof/>
                <w:webHidden/>
              </w:rPr>
            </w:r>
            <w:r>
              <w:rPr>
                <w:noProof/>
                <w:webHidden/>
              </w:rPr>
              <w:fldChar w:fldCharType="separate"/>
            </w:r>
            <w:r>
              <w:rPr>
                <w:noProof/>
                <w:webHidden/>
              </w:rPr>
              <w:t>10</w:t>
            </w:r>
            <w:r>
              <w:rPr>
                <w:noProof/>
                <w:webHidden/>
              </w:rPr>
              <w:fldChar w:fldCharType="end"/>
            </w:r>
          </w:hyperlink>
        </w:p>
        <w:p w14:paraId="09BE44FB" w14:textId="5A93F8BC" w:rsidR="006C45DE" w:rsidRDefault="006C45DE">
          <w:pPr>
            <w:pStyle w:val="TOC1"/>
            <w:tabs>
              <w:tab w:val="right" w:leader="dot" w:pos="9016"/>
            </w:tabs>
            <w:rPr>
              <w:noProof/>
            </w:rPr>
          </w:pPr>
          <w:hyperlink w:anchor="_Toc215996648" w:history="1">
            <w:r w:rsidRPr="00BC22A2">
              <w:rPr>
                <w:rStyle w:val="Hyperlink"/>
                <w:rFonts w:cs="Arial"/>
                <w:noProof/>
              </w:rPr>
              <w:t>4. Conclusion</w:t>
            </w:r>
            <w:r>
              <w:rPr>
                <w:noProof/>
                <w:webHidden/>
              </w:rPr>
              <w:tab/>
            </w:r>
            <w:r>
              <w:rPr>
                <w:noProof/>
                <w:webHidden/>
              </w:rPr>
              <w:fldChar w:fldCharType="begin"/>
            </w:r>
            <w:r>
              <w:rPr>
                <w:noProof/>
                <w:webHidden/>
              </w:rPr>
              <w:instrText xml:space="preserve"> PAGEREF _Toc215996648 \h </w:instrText>
            </w:r>
            <w:r>
              <w:rPr>
                <w:noProof/>
                <w:webHidden/>
              </w:rPr>
            </w:r>
            <w:r>
              <w:rPr>
                <w:noProof/>
                <w:webHidden/>
              </w:rPr>
              <w:fldChar w:fldCharType="separate"/>
            </w:r>
            <w:r>
              <w:rPr>
                <w:noProof/>
                <w:webHidden/>
              </w:rPr>
              <w:t>12</w:t>
            </w:r>
            <w:r>
              <w:rPr>
                <w:noProof/>
                <w:webHidden/>
              </w:rPr>
              <w:fldChar w:fldCharType="end"/>
            </w:r>
          </w:hyperlink>
        </w:p>
        <w:p w14:paraId="6368FAFE" w14:textId="78B201E1" w:rsidR="006C45DE" w:rsidRDefault="006C45DE">
          <w:pPr>
            <w:pStyle w:val="TOC1"/>
            <w:tabs>
              <w:tab w:val="right" w:leader="dot" w:pos="9016"/>
            </w:tabs>
            <w:rPr>
              <w:noProof/>
            </w:rPr>
          </w:pPr>
          <w:hyperlink w:anchor="_Toc215996649" w:history="1">
            <w:r w:rsidRPr="00BC22A2">
              <w:rPr>
                <w:rStyle w:val="Hyperlink"/>
                <w:noProof/>
              </w:rPr>
              <w:t>References</w:t>
            </w:r>
            <w:r>
              <w:rPr>
                <w:noProof/>
                <w:webHidden/>
              </w:rPr>
              <w:tab/>
            </w:r>
            <w:r>
              <w:rPr>
                <w:noProof/>
                <w:webHidden/>
              </w:rPr>
              <w:fldChar w:fldCharType="begin"/>
            </w:r>
            <w:r>
              <w:rPr>
                <w:noProof/>
                <w:webHidden/>
              </w:rPr>
              <w:instrText xml:space="preserve"> PAGEREF _Toc215996649 \h </w:instrText>
            </w:r>
            <w:r>
              <w:rPr>
                <w:noProof/>
                <w:webHidden/>
              </w:rPr>
            </w:r>
            <w:r>
              <w:rPr>
                <w:noProof/>
                <w:webHidden/>
              </w:rPr>
              <w:fldChar w:fldCharType="separate"/>
            </w:r>
            <w:r>
              <w:rPr>
                <w:noProof/>
                <w:webHidden/>
              </w:rPr>
              <w:t>13</w:t>
            </w:r>
            <w:r>
              <w:rPr>
                <w:noProof/>
                <w:webHidden/>
              </w:rPr>
              <w:fldChar w:fldCharType="end"/>
            </w:r>
          </w:hyperlink>
        </w:p>
        <w:p w14:paraId="5056D37B" w14:textId="5E5A4E91" w:rsidR="006C45DE" w:rsidRDefault="006C45DE">
          <w:r>
            <w:rPr>
              <w:b/>
              <w:bCs/>
            </w:rPr>
            <w:fldChar w:fldCharType="end"/>
          </w:r>
        </w:p>
      </w:sdtContent>
    </w:sdt>
    <w:p w14:paraId="780C6971" w14:textId="77777777" w:rsidR="00324545" w:rsidRDefault="00324545" w:rsidP="00324545">
      <w:pPr>
        <w:spacing w:line="360" w:lineRule="auto"/>
        <w:jc w:val="both"/>
        <w:rPr>
          <w:rFonts w:ascii="Arial" w:hAnsi="Arial" w:cs="Arial"/>
          <w:b/>
          <w:bCs/>
        </w:rPr>
      </w:pPr>
    </w:p>
    <w:p w14:paraId="1C4BA21E" w14:textId="77777777" w:rsidR="006C45DE" w:rsidRDefault="006C45DE" w:rsidP="00324545">
      <w:pPr>
        <w:spacing w:line="360" w:lineRule="auto"/>
        <w:jc w:val="both"/>
        <w:rPr>
          <w:rFonts w:ascii="Arial" w:hAnsi="Arial" w:cs="Arial"/>
          <w:b/>
          <w:bCs/>
        </w:rPr>
      </w:pPr>
    </w:p>
    <w:p w14:paraId="6E76FA5B" w14:textId="77777777" w:rsidR="006C45DE" w:rsidRDefault="006C45DE" w:rsidP="00324545">
      <w:pPr>
        <w:spacing w:line="360" w:lineRule="auto"/>
        <w:jc w:val="both"/>
        <w:rPr>
          <w:rFonts w:ascii="Arial" w:hAnsi="Arial" w:cs="Arial"/>
          <w:b/>
          <w:bCs/>
        </w:rPr>
      </w:pPr>
    </w:p>
    <w:p w14:paraId="7FD2BE6E" w14:textId="77777777" w:rsidR="006C45DE" w:rsidRDefault="006C45DE" w:rsidP="00324545">
      <w:pPr>
        <w:spacing w:line="360" w:lineRule="auto"/>
        <w:jc w:val="both"/>
        <w:rPr>
          <w:rFonts w:ascii="Arial" w:hAnsi="Arial" w:cs="Arial"/>
          <w:b/>
          <w:bCs/>
        </w:rPr>
      </w:pPr>
    </w:p>
    <w:p w14:paraId="0AE86BD5" w14:textId="77777777" w:rsidR="006C45DE" w:rsidRDefault="006C45DE" w:rsidP="00324545">
      <w:pPr>
        <w:spacing w:line="360" w:lineRule="auto"/>
        <w:jc w:val="both"/>
        <w:rPr>
          <w:rFonts w:ascii="Arial" w:hAnsi="Arial" w:cs="Arial"/>
          <w:b/>
          <w:bCs/>
        </w:rPr>
      </w:pPr>
    </w:p>
    <w:p w14:paraId="165AABD8" w14:textId="77777777" w:rsidR="006C45DE" w:rsidRDefault="006C45DE" w:rsidP="00324545">
      <w:pPr>
        <w:spacing w:line="360" w:lineRule="auto"/>
        <w:jc w:val="both"/>
        <w:rPr>
          <w:rFonts w:ascii="Arial" w:hAnsi="Arial" w:cs="Arial"/>
          <w:b/>
          <w:bCs/>
        </w:rPr>
      </w:pPr>
    </w:p>
    <w:p w14:paraId="4159B97C" w14:textId="77777777" w:rsidR="006C45DE" w:rsidRPr="00206A5F" w:rsidRDefault="006C45DE" w:rsidP="00324545">
      <w:pPr>
        <w:spacing w:line="360" w:lineRule="auto"/>
        <w:jc w:val="both"/>
        <w:rPr>
          <w:rFonts w:ascii="Arial" w:hAnsi="Arial" w:cs="Arial"/>
          <w:b/>
          <w:bCs/>
        </w:rPr>
      </w:pPr>
    </w:p>
    <w:p w14:paraId="27CDDDB5" w14:textId="77777777" w:rsidR="00324545" w:rsidRPr="00206A5F" w:rsidRDefault="00324545" w:rsidP="00324545">
      <w:pPr>
        <w:spacing w:line="360" w:lineRule="auto"/>
        <w:jc w:val="both"/>
        <w:rPr>
          <w:rFonts w:ascii="Arial" w:hAnsi="Arial" w:cs="Arial"/>
          <w:b/>
          <w:bCs/>
        </w:rPr>
      </w:pPr>
    </w:p>
    <w:p w14:paraId="060EC28B" w14:textId="77777777" w:rsidR="00324545" w:rsidRPr="00206A5F" w:rsidRDefault="00324545" w:rsidP="00324545">
      <w:pPr>
        <w:spacing w:line="360" w:lineRule="auto"/>
        <w:jc w:val="both"/>
        <w:rPr>
          <w:rFonts w:ascii="Arial" w:hAnsi="Arial" w:cs="Arial"/>
          <w:b/>
          <w:bCs/>
        </w:rPr>
      </w:pPr>
    </w:p>
    <w:p w14:paraId="55266008" w14:textId="77777777" w:rsidR="00324545" w:rsidRPr="00206A5F" w:rsidRDefault="00324545" w:rsidP="00324545">
      <w:pPr>
        <w:spacing w:line="360" w:lineRule="auto"/>
        <w:jc w:val="both"/>
        <w:rPr>
          <w:rFonts w:ascii="Arial" w:hAnsi="Arial" w:cs="Arial"/>
          <w:b/>
          <w:bCs/>
        </w:rPr>
      </w:pPr>
    </w:p>
    <w:p w14:paraId="14273474" w14:textId="7F4A0172" w:rsidR="00251200" w:rsidRPr="00206A5F" w:rsidRDefault="00251200" w:rsidP="00B62219">
      <w:pPr>
        <w:pStyle w:val="Heading1"/>
      </w:pPr>
      <w:bookmarkStart w:id="0" w:name="_Toc215996635"/>
      <w:r w:rsidRPr="00206A5F">
        <w:lastRenderedPageBreak/>
        <w:t>1. Introduction</w:t>
      </w:r>
      <w:bookmarkEnd w:id="0"/>
    </w:p>
    <w:p w14:paraId="7BB53B91" w14:textId="77EF72A0" w:rsidR="00251200" w:rsidRPr="00251200" w:rsidRDefault="00251200" w:rsidP="00324545">
      <w:pPr>
        <w:spacing w:line="360" w:lineRule="auto"/>
        <w:jc w:val="both"/>
        <w:rPr>
          <w:rFonts w:ascii="Arial" w:hAnsi="Arial" w:cs="Arial"/>
        </w:rPr>
      </w:pPr>
      <w:r w:rsidRPr="00251200">
        <w:rPr>
          <w:rFonts w:ascii="Arial" w:hAnsi="Arial" w:cs="Arial"/>
        </w:rPr>
        <w:t>Medication safety is a key priority within the UK healthcare system and is central to delivering high-quality care</w:t>
      </w:r>
      <w:r w:rsidR="00091364">
        <w:rPr>
          <w:rFonts w:ascii="Arial" w:hAnsi="Arial" w:cs="Arial"/>
        </w:rPr>
        <w:t xml:space="preserve"> (</w:t>
      </w:r>
      <w:proofErr w:type="spellStart"/>
      <w:r w:rsidR="00091364" w:rsidRPr="00091364">
        <w:rPr>
          <w:rFonts w:ascii="Arial" w:hAnsi="Arial" w:cs="Arial"/>
        </w:rPr>
        <w:t>Bienassis</w:t>
      </w:r>
      <w:proofErr w:type="spellEnd"/>
      <w:r w:rsidR="00091364">
        <w:rPr>
          <w:rFonts w:ascii="Arial" w:hAnsi="Arial" w:cs="Arial"/>
        </w:rPr>
        <w:t xml:space="preserve"> et al, 2022)</w:t>
      </w:r>
      <w:r w:rsidRPr="00251200">
        <w:rPr>
          <w:rFonts w:ascii="Arial" w:hAnsi="Arial" w:cs="Arial"/>
        </w:rPr>
        <w:t>. Failures in medication reconciliation are recognised as a significant contributor to preventable patient harm, prolonged hospital stays, and avoidable deaths in the NHS (Hodkinson et al., 2020). As healthcare systems become increasingly complex, ensuring accurate medication continuity across care transitions remains challenging. This report examines the systemic and organisational factors contributing to medication reconciliation failures, proposing evidence-based quality improvement approaches.</w:t>
      </w:r>
    </w:p>
    <w:p w14:paraId="72BB3244" w14:textId="42A606CD" w:rsidR="00251200" w:rsidRPr="00206A5F" w:rsidRDefault="00251200" w:rsidP="00B62219">
      <w:pPr>
        <w:pStyle w:val="Heading2"/>
      </w:pPr>
      <w:bookmarkStart w:id="1" w:name="_Toc215996636"/>
      <w:r w:rsidRPr="00206A5F">
        <w:rPr>
          <w:rFonts w:eastAsiaTheme="majorEastAsia"/>
        </w:rPr>
        <w:t>1.1 Background</w:t>
      </w:r>
      <w:bookmarkEnd w:id="1"/>
      <w:r w:rsidRPr="00206A5F">
        <w:rPr>
          <w:rFonts w:eastAsiaTheme="majorEastAsia"/>
        </w:rPr>
        <w:t xml:space="preserve"> </w:t>
      </w:r>
    </w:p>
    <w:p w14:paraId="7B63BF3B" w14:textId="1EF93CE2" w:rsidR="00251200" w:rsidRPr="00251200" w:rsidRDefault="00251200" w:rsidP="00324545">
      <w:pPr>
        <w:spacing w:line="360" w:lineRule="auto"/>
        <w:jc w:val="both"/>
        <w:rPr>
          <w:rFonts w:ascii="Arial" w:hAnsi="Arial" w:cs="Arial"/>
        </w:rPr>
      </w:pPr>
      <w:r w:rsidRPr="00251200">
        <w:rPr>
          <w:rFonts w:ascii="Arial" w:hAnsi="Arial" w:cs="Arial"/>
        </w:rPr>
        <w:t>Medication reconciliation refers to the structured process of ensuring that a patient’s medication list is accurate and complete when moving between care settings</w:t>
      </w:r>
      <w:r w:rsidR="00640756">
        <w:rPr>
          <w:rFonts w:ascii="Arial" w:hAnsi="Arial" w:cs="Arial"/>
        </w:rPr>
        <w:t xml:space="preserve"> (</w:t>
      </w:r>
      <w:r w:rsidR="00640756" w:rsidRPr="00640756">
        <w:rPr>
          <w:rFonts w:ascii="Arial" w:hAnsi="Arial" w:cs="Arial"/>
        </w:rPr>
        <w:t>Gionfriddo</w:t>
      </w:r>
      <w:r w:rsidR="00640756">
        <w:rPr>
          <w:rFonts w:ascii="Arial" w:hAnsi="Arial" w:cs="Arial"/>
        </w:rPr>
        <w:t xml:space="preserve"> et al, 2021)</w:t>
      </w:r>
      <w:r w:rsidRPr="00251200">
        <w:rPr>
          <w:rFonts w:ascii="Arial" w:hAnsi="Arial" w:cs="Arial"/>
        </w:rPr>
        <w:t>. This includes verifying names, doses, frequency, and purpose of medicines to avoid omission, duplication, or dosing errors (Sutherland et al., 2022). In complex healthcare environments, especially acute hospital settings, patients frequently present with multimorbidity and polypharmacy, increasing the risk of medication discrepancies</w:t>
      </w:r>
      <w:r w:rsidR="00D027CA">
        <w:rPr>
          <w:rFonts w:ascii="Arial" w:hAnsi="Arial" w:cs="Arial"/>
        </w:rPr>
        <w:t xml:space="preserve"> </w:t>
      </w:r>
      <w:r w:rsidR="00D027CA" w:rsidRPr="00251200">
        <w:rPr>
          <w:rFonts w:ascii="Arial" w:hAnsi="Arial" w:cs="Arial"/>
        </w:rPr>
        <w:t>(Hodkinson et al., 2020)</w:t>
      </w:r>
      <w:r w:rsidRPr="00251200">
        <w:rPr>
          <w:rFonts w:ascii="Arial" w:hAnsi="Arial" w:cs="Arial"/>
        </w:rPr>
        <w:t xml:space="preserve">. The World Health </w:t>
      </w:r>
      <w:r w:rsidR="00324545" w:rsidRPr="00206A5F">
        <w:rPr>
          <w:rFonts w:ascii="Arial" w:hAnsi="Arial" w:cs="Arial"/>
        </w:rPr>
        <w:t>Organisation</w:t>
      </w:r>
      <w:r w:rsidRPr="00251200">
        <w:rPr>
          <w:rFonts w:ascii="Arial" w:hAnsi="Arial" w:cs="Arial"/>
        </w:rPr>
        <w:t xml:space="preserve"> emphasises medication reconciliation as a global safety priority, recognising its role in preventing adverse drug events. Despite this, many NHS trusts continue to struggle with consistency and compliance in reconciliation practices (</w:t>
      </w:r>
      <w:r w:rsidR="004C3021" w:rsidRPr="00640756">
        <w:rPr>
          <w:rFonts w:ascii="Arial" w:hAnsi="Arial" w:cs="Arial"/>
        </w:rPr>
        <w:t>Gionfriddo</w:t>
      </w:r>
      <w:r w:rsidR="004C3021">
        <w:rPr>
          <w:rFonts w:ascii="Arial" w:hAnsi="Arial" w:cs="Arial"/>
        </w:rPr>
        <w:t xml:space="preserve"> et al, 2021</w:t>
      </w:r>
      <w:r w:rsidRPr="00251200">
        <w:rPr>
          <w:rFonts w:ascii="Arial" w:hAnsi="Arial" w:cs="Arial"/>
        </w:rPr>
        <w:t>).</w:t>
      </w:r>
    </w:p>
    <w:p w14:paraId="3CAC3577" w14:textId="6F079863" w:rsidR="00251200" w:rsidRPr="00206A5F" w:rsidRDefault="00251200" w:rsidP="00B62219">
      <w:pPr>
        <w:pStyle w:val="Heading2"/>
      </w:pPr>
      <w:bookmarkStart w:id="2" w:name="_Toc215996637"/>
      <w:r w:rsidRPr="00206A5F">
        <w:rPr>
          <w:rFonts w:eastAsiaTheme="majorEastAsia"/>
        </w:rPr>
        <w:t>1.2 Quality Care</w:t>
      </w:r>
      <w:bookmarkEnd w:id="2"/>
      <w:r w:rsidRPr="00206A5F">
        <w:rPr>
          <w:rFonts w:eastAsiaTheme="majorEastAsia"/>
        </w:rPr>
        <w:t xml:space="preserve"> </w:t>
      </w:r>
    </w:p>
    <w:p w14:paraId="56012324" w14:textId="11C81A8E" w:rsidR="00251200" w:rsidRPr="00251200" w:rsidRDefault="00251200" w:rsidP="00324545">
      <w:pPr>
        <w:spacing w:line="360" w:lineRule="auto"/>
        <w:jc w:val="both"/>
        <w:rPr>
          <w:rFonts w:ascii="Arial" w:hAnsi="Arial" w:cs="Arial"/>
        </w:rPr>
      </w:pPr>
      <w:r w:rsidRPr="00251200">
        <w:rPr>
          <w:rFonts w:ascii="Arial" w:hAnsi="Arial" w:cs="Arial"/>
        </w:rPr>
        <w:t>High-quality care within the NHS is defined by safety, effectiveness, and patient-centredness</w:t>
      </w:r>
      <w:r w:rsidR="0065528E">
        <w:rPr>
          <w:rFonts w:ascii="Arial" w:hAnsi="Arial" w:cs="Arial"/>
        </w:rPr>
        <w:t xml:space="preserve"> (</w:t>
      </w:r>
      <w:r w:rsidR="0065528E" w:rsidRPr="0065528E">
        <w:rPr>
          <w:rFonts w:ascii="Arial" w:hAnsi="Arial" w:cs="Arial"/>
        </w:rPr>
        <w:t>Ahmed</w:t>
      </w:r>
      <w:r w:rsidR="0065528E">
        <w:rPr>
          <w:rFonts w:ascii="Arial" w:hAnsi="Arial" w:cs="Arial"/>
        </w:rPr>
        <w:t xml:space="preserve"> et al, 2021)</w:t>
      </w:r>
      <w:r w:rsidRPr="00251200">
        <w:rPr>
          <w:rFonts w:ascii="Arial" w:hAnsi="Arial" w:cs="Arial"/>
        </w:rPr>
        <w:t>. Medication reconciliation is a core component of safe care because it ensures treatment accuracy, continuity, and clinical appropriateness during admission, transfer, and discharge (Karim, 2022). When reconciliation processes fail, the result is compromised safety, reduced trust, and poorer clinical outcomes. Therefore, improving medication reconciliation aligns directly with NHS quality governance and patient safety frameworks.</w:t>
      </w:r>
    </w:p>
    <w:p w14:paraId="04ADEE94" w14:textId="7092F665" w:rsidR="00251200" w:rsidRPr="00206A5F" w:rsidRDefault="00251200" w:rsidP="00B62219">
      <w:pPr>
        <w:pStyle w:val="Heading2"/>
      </w:pPr>
      <w:bookmarkStart w:id="3" w:name="_Toc215996638"/>
      <w:r w:rsidRPr="00206A5F">
        <w:rPr>
          <w:rFonts w:eastAsiaTheme="majorEastAsia"/>
        </w:rPr>
        <w:t>1.3 Overview of Medication Reconciliation Failure</w:t>
      </w:r>
      <w:bookmarkEnd w:id="3"/>
      <w:r w:rsidRPr="00206A5F">
        <w:rPr>
          <w:rFonts w:eastAsiaTheme="majorEastAsia"/>
        </w:rPr>
        <w:t xml:space="preserve"> </w:t>
      </w:r>
    </w:p>
    <w:p w14:paraId="4B59981A" w14:textId="3EAFA205" w:rsidR="00251200" w:rsidRPr="00251200" w:rsidRDefault="00251200" w:rsidP="00324545">
      <w:pPr>
        <w:spacing w:line="360" w:lineRule="auto"/>
        <w:jc w:val="both"/>
        <w:rPr>
          <w:rFonts w:ascii="Arial" w:hAnsi="Arial" w:cs="Arial"/>
        </w:rPr>
      </w:pPr>
      <w:r w:rsidRPr="00251200">
        <w:rPr>
          <w:rFonts w:ascii="Arial" w:hAnsi="Arial" w:cs="Arial"/>
        </w:rPr>
        <w:t xml:space="preserve">Medication reconciliation failure occurs when a patient's medication history is incomplete, inaccurate, or not verified during provider handovers. These failures typically emerge during high-risk transition points such as hospital admission or </w:t>
      </w:r>
      <w:r w:rsidRPr="00251200">
        <w:rPr>
          <w:rFonts w:ascii="Arial" w:hAnsi="Arial" w:cs="Arial"/>
        </w:rPr>
        <w:lastRenderedPageBreak/>
        <w:t>discharge, where information gaps are most likely (Ayre et al., 2023). Factors contributing to reconciliation failure include unclear responsibilities, staff shortages, inconsistent systems, and fragmented communication between primary and secondary care services. The case study of Ashford and St. Peter’s Hospitals demonstrated that most patients had unreconciled medication charts at discharge, illustrating the scale and seriousness of the issue (</w:t>
      </w:r>
      <w:r w:rsidR="00AD0095" w:rsidRPr="00206A5F">
        <w:rPr>
          <w:rFonts w:ascii="Arial" w:hAnsi="Arial" w:cs="Arial"/>
        </w:rPr>
        <w:t>Doolub</w:t>
      </w:r>
      <w:r w:rsidRPr="00251200">
        <w:rPr>
          <w:rFonts w:ascii="Arial" w:hAnsi="Arial" w:cs="Arial"/>
        </w:rPr>
        <w:t>, 2017).</w:t>
      </w:r>
    </w:p>
    <w:p w14:paraId="22C07BAD" w14:textId="77777777" w:rsidR="00324545" w:rsidRPr="00206A5F" w:rsidRDefault="00251200" w:rsidP="00B62219">
      <w:pPr>
        <w:pStyle w:val="Heading2"/>
      </w:pPr>
      <w:bookmarkStart w:id="4" w:name="_Toc215996639"/>
      <w:r w:rsidRPr="00206A5F">
        <w:rPr>
          <w:rFonts w:eastAsiaTheme="majorEastAsia"/>
        </w:rPr>
        <w:t>1.4 Prevalence and Statistical Evidence</w:t>
      </w:r>
      <w:bookmarkEnd w:id="4"/>
      <w:r w:rsidRPr="00206A5F">
        <w:rPr>
          <w:rFonts w:eastAsiaTheme="majorEastAsia"/>
        </w:rPr>
        <w:t xml:space="preserve"> </w:t>
      </w:r>
    </w:p>
    <w:p w14:paraId="21992E65" w14:textId="620E5AD8" w:rsidR="00251200" w:rsidRPr="00251200" w:rsidRDefault="00251200" w:rsidP="00324545">
      <w:pPr>
        <w:spacing w:line="360" w:lineRule="auto"/>
        <w:jc w:val="both"/>
        <w:rPr>
          <w:rFonts w:ascii="Arial" w:hAnsi="Arial" w:cs="Arial"/>
        </w:rPr>
      </w:pPr>
      <w:r w:rsidRPr="00251200">
        <w:rPr>
          <w:rFonts w:ascii="Arial" w:hAnsi="Arial" w:cs="Arial"/>
        </w:rPr>
        <w:t>Medication reconciliation errors are widely documented across UK hospitals and represent one of the leading causes of avoidable patient harm. NHS England estimates approximately 237 million medication errors occur annually, costing over £42 million, increasing hospital admissions, and contributing to thousands of preventable deaths (Sutherland et al., 2022). Research by Hodkinson et al. (2020) identifies acute care environments as the most vulnerable due to workload intensity, time pressure, and complex prescribing. The case study found very low reconciliation rates within 24 hours of admission, demonstrating the inconsistency of current practice (</w:t>
      </w:r>
      <w:r w:rsidR="00AD0095" w:rsidRPr="00206A5F">
        <w:rPr>
          <w:rFonts w:ascii="Arial" w:hAnsi="Arial" w:cs="Arial"/>
        </w:rPr>
        <w:t>Doolub</w:t>
      </w:r>
      <w:r w:rsidRPr="00251200">
        <w:rPr>
          <w:rFonts w:ascii="Arial" w:hAnsi="Arial" w:cs="Arial"/>
        </w:rPr>
        <w:t>, 2017). These statistics highlight the urgency for systemic improvement and reinforce medication reconciliation as a national patient safety priority.</w:t>
      </w:r>
    </w:p>
    <w:p w14:paraId="6B1263FA" w14:textId="77777777" w:rsidR="008C20FF" w:rsidRPr="00206A5F" w:rsidRDefault="00251200" w:rsidP="00B62219">
      <w:pPr>
        <w:pStyle w:val="Heading1"/>
      </w:pPr>
      <w:bookmarkStart w:id="5" w:name="_Toc215996640"/>
      <w:r w:rsidRPr="00206A5F">
        <w:t>2. Main Body</w:t>
      </w:r>
      <w:bookmarkEnd w:id="5"/>
    </w:p>
    <w:p w14:paraId="19C6CD0C" w14:textId="6880B3AA" w:rsidR="008C20FF" w:rsidRPr="00206A5F" w:rsidRDefault="008C20FF" w:rsidP="00B62219">
      <w:pPr>
        <w:pStyle w:val="Heading2"/>
      </w:pPr>
      <w:bookmarkStart w:id="6" w:name="_Toc215996641"/>
      <w:r w:rsidRPr="00206A5F">
        <w:rPr>
          <w:rFonts w:eastAsiaTheme="majorEastAsia"/>
        </w:rPr>
        <w:t>2.1 Rationale</w:t>
      </w:r>
      <w:bookmarkEnd w:id="6"/>
      <w:r w:rsidRPr="00206A5F">
        <w:rPr>
          <w:rFonts w:eastAsiaTheme="majorEastAsia"/>
        </w:rPr>
        <w:t xml:space="preserve"> </w:t>
      </w:r>
    </w:p>
    <w:p w14:paraId="4C9CB64B" w14:textId="7A4005AD" w:rsidR="008C20FF" w:rsidRPr="008C20FF" w:rsidRDefault="008C20FF" w:rsidP="00324545">
      <w:pPr>
        <w:spacing w:line="360" w:lineRule="auto"/>
        <w:jc w:val="both"/>
        <w:rPr>
          <w:rFonts w:ascii="Arial" w:hAnsi="Arial" w:cs="Arial"/>
        </w:rPr>
      </w:pPr>
      <w:r w:rsidRPr="008C20FF">
        <w:rPr>
          <w:rFonts w:ascii="Arial" w:hAnsi="Arial" w:cs="Arial"/>
        </w:rPr>
        <w:t>Medication safety, systems thinking, and quality improvement frameworks are central concepts in analysing failures in medication reconciliation. Medication safety is a core principle of healthcare quality, aiming to prevent avoidable harm linked to prescribing, documentation, and administration errors</w:t>
      </w:r>
      <w:r w:rsidR="0051080D">
        <w:rPr>
          <w:rFonts w:ascii="Arial" w:hAnsi="Arial" w:cs="Arial"/>
        </w:rPr>
        <w:t xml:space="preserve"> (</w:t>
      </w:r>
      <w:r w:rsidR="0051080D" w:rsidRPr="0051080D">
        <w:rPr>
          <w:rFonts w:ascii="Arial" w:hAnsi="Arial" w:cs="Arial"/>
        </w:rPr>
        <w:t>Shah</w:t>
      </w:r>
      <w:r w:rsidR="0051080D">
        <w:rPr>
          <w:rFonts w:ascii="Arial" w:hAnsi="Arial" w:cs="Arial"/>
        </w:rPr>
        <w:t xml:space="preserve"> et al, 2020)</w:t>
      </w:r>
      <w:r w:rsidRPr="008C20FF">
        <w:rPr>
          <w:rFonts w:ascii="Arial" w:hAnsi="Arial" w:cs="Arial"/>
        </w:rPr>
        <w:t>. Systems thinking underpins this analysis, recognising that errors are rarely the result of isolated individual actions but instead emerge from complex interactions between people, processes, technology, and organisational culture</w:t>
      </w:r>
      <w:r w:rsidR="00AC5470">
        <w:rPr>
          <w:rFonts w:ascii="Arial" w:hAnsi="Arial" w:cs="Arial"/>
        </w:rPr>
        <w:t xml:space="preserve"> (</w:t>
      </w:r>
      <w:r w:rsidR="00AC5470" w:rsidRPr="00AC5470">
        <w:rPr>
          <w:rFonts w:ascii="Arial" w:hAnsi="Arial" w:cs="Arial"/>
        </w:rPr>
        <w:t>Faria</w:t>
      </w:r>
      <w:r w:rsidR="00AC5470">
        <w:rPr>
          <w:rFonts w:ascii="Arial" w:hAnsi="Arial" w:cs="Arial"/>
        </w:rPr>
        <w:t xml:space="preserve"> et al, 2024)</w:t>
      </w:r>
      <w:r w:rsidRPr="008C20FF">
        <w:rPr>
          <w:rFonts w:ascii="Arial" w:hAnsi="Arial" w:cs="Arial"/>
        </w:rPr>
        <w:t>. Quality improvement methodologies provide structured tools to understand these system-level issues and design change</w:t>
      </w:r>
      <w:r w:rsidR="009906E8">
        <w:rPr>
          <w:rFonts w:ascii="Arial" w:hAnsi="Arial" w:cs="Arial"/>
        </w:rPr>
        <w:t xml:space="preserve"> (</w:t>
      </w:r>
      <w:proofErr w:type="spellStart"/>
      <w:r w:rsidR="009906E8" w:rsidRPr="009906E8">
        <w:rPr>
          <w:rFonts w:ascii="Arial" w:hAnsi="Arial" w:cs="Arial"/>
        </w:rPr>
        <w:t>Alqenae</w:t>
      </w:r>
      <w:proofErr w:type="spellEnd"/>
      <w:r w:rsidR="009906E8">
        <w:rPr>
          <w:rFonts w:ascii="Arial" w:hAnsi="Arial" w:cs="Arial"/>
        </w:rPr>
        <w:t>, 2022)</w:t>
      </w:r>
      <w:r w:rsidRPr="008C20FF">
        <w:rPr>
          <w:rFonts w:ascii="Arial" w:hAnsi="Arial" w:cs="Arial"/>
        </w:rPr>
        <w:t>. Together, these concepts offer a theoretical foundation for identifying root causes of medication reconciliation failures and guiding evidence-based interventions to enhance safety</w:t>
      </w:r>
      <w:r w:rsidR="00744776">
        <w:rPr>
          <w:rFonts w:ascii="Arial" w:hAnsi="Arial" w:cs="Arial"/>
        </w:rPr>
        <w:t xml:space="preserve"> (</w:t>
      </w:r>
      <w:proofErr w:type="spellStart"/>
      <w:r w:rsidR="00744776" w:rsidRPr="009906E8">
        <w:rPr>
          <w:rFonts w:ascii="Arial" w:hAnsi="Arial" w:cs="Arial"/>
        </w:rPr>
        <w:t>Alqenae</w:t>
      </w:r>
      <w:proofErr w:type="spellEnd"/>
      <w:r w:rsidR="00744776">
        <w:rPr>
          <w:rFonts w:ascii="Arial" w:hAnsi="Arial" w:cs="Arial"/>
        </w:rPr>
        <w:t>, 2022)</w:t>
      </w:r>
      <w:r w:rsidRPr="008C20FF">
        <w:rPr>
          <w:rFonts w:ascii="Arial" w:hAnsi="Arial" w:cs="Arial"/>
        </w:rPr>
        <w:t>.</w:t>
      </w:r>
    </w:p>
    <w:p w14:paraId="330A28B9" w14:textId="7E0E4B76" w:rsidR="008C20FF" w:rsidRPr="008C20FF" w:rsidRDefault="008C20FF" w:rsidP="00324545">
      <w:pPr>
        <w:spacing w:line="360" w:lineRule="auto"/>
        <w:jc w:val="both"/>
        <w:rPr>
          <w:rFonts w:ascii="Arial" w:hAnsi="Arial" w:cs="Arial"/>
        </w:rPr>
      </w:pPr>
      <w:r w:rsidRPr="008C20FF">
        <w:rPr>
          <w:rFonts w:ascii="Arial" w:hAnsi="Arial" w:cs="Arial"/>
        </w:rPr>
        <w:t xml:space="preserve">The rationale for selecting these concepts lies in their relevance to current healthcare challenges and their strong foundation in peer-reviewed literature. Medication </w:t>
      </w:r>
      <w:r w:rsidRPr="008C20FF">
        <w:rPr>
          <w:rFonts w:ascii="Arial" w:hAnsi="Arial" w:cs="Arial"/>
        </w:rPr>
        <w:lastRenderedPageBreak/>
        <w:t>reconciliation failures are well-documented contributors to adverse drug events, hospital readmissions, and increased healthcare costs, making medication safety a necessary focus</w:t>
      </w:r>
      <w:r w:rsidR="004B3F59">
        <w:rPr>
          <w:rFonts w:ascii="Arial" w:hAnsi="Arial" w:cs="Arial"/>
        </w:rPr>
        <w:t xml:space="preserve"> (</w:t>
      </w:r>
      <w:r w:rsidR="004B3F59" w:rsidRPr="0051080D">
        <w:rPr>
          <w:rFonts w:ascii="Arial" w:hAnsi="Arial" w:cs="Arial"/>
        </w:rPr>
        <w:t>Shah</w:t>
      </w:r>
      <w:r w:rsidR="004B3F59">
        <w:rPr>
          <w:rFonts w:ascii="Arial" w:hAnsi="Arial" w:cs="Arial"/>
        </w:rPr>
        <w:t xml:space="preserve"> et al, 2020).</w:t>
      </w:r>
      <w:r w:rsidRPr="008C20FF">
        <w:rPr>
          <w:rFonts w:ascii="Arial" w:hAnsi="Arial" w:cs="Arial"/>
        </w:rPr>
        <w:t xml:space="preserve"> Systems thinking supports holistic understanding rather than blaming individuals, aligning with the NHS Patient Safety Strategy and contemporary safety science</w:t>
      </w:r>
      <w:r w:rsidR="004B3F59">
        <w:rPr>
          <w:rFonts w:ascii="Arial" w:hAnsi="Arial" w:cs="Arial"/>
        </w:rPr>
        <w:t xml:space="preserve"> (</w:t>
      </w:r>
      <w:r w:rsidR="004B3F59" w:rsidRPr="00AC5470">
        <w:rPr>
          <w:rFonts w:ascii="Arial" w:hAnsi="Arial" w:cs="Arial"/>
        </w:rPr>
        <w:t>Faria</w:t>
      </w:r>
      <w:r w:rsidR="004B3F59">
        <w:rPr>
          <w:rFonts w:ascii="Arial" w:hAnsi="Arial" w:cs="Arial"/>
        </w:rPr>
        <w:t xml:space="preserve"> et al, 2024)</w:t>
      </w:r>
      <w:r w:rsidRPr="008C20FF">
        <w:rPr>
          <w:rFonts w:ascii="Arial" w:hAnsi="Arial" w:cs="Arial"/>
        </w:rPr>
        <w:t>. Quality improvement frameworks, such as the Fishbone Diagram, Donabedian Model, and SWOT analysis, were selected because they complement one another</w:t>
      </w:r>
      <w:r w:rsidR="00AD0095" w:rsidRPr="00206A5F">
        <w:rPr>
          <w:rFonts w:ascii="Arial" w:hAnsi="Arial" w:cs="Arial"/>
        </w:rPr>
        <w:t xml:space="preserve">, </w:t>
      </w:r>
      <w:r w:rsidRPr="008C20FF">
        <w:rPr>
          <w:rFonts w:ascii="Arial" w:hAnsi="Arial" w:cs="Arial"/>
        </w:rPr>
        <w:t>helping uncover causes, assess quality dimensions, and analyse organisational context</w:t>
      </w:r>
      <w:r w:rsidR="00AD0095" w:rsidRPr="00206A5F">
        <w:rPr>
          <w:rFonts w:ascii="Arial" w:hAnsi="Arial" w:cs="Arial"/>
        </w:rPr>
        <w:t xml:space="preserve">, </w:t>
      </w:r>
      <w:r w:rsidRPr="008C20FF">
        <w:rPr>
          <w:rFonts w:ascii="Arial" w:hAnsi="Arial" w:cs="Arial"/>
        </w:rPr>
        <w:t>ensuring a comprehensive and practical analysis.</w:t>
      </w:r>
    </w:p>
    <w:p w14:paraId="2F9AB718" w14:textId="53674A21" w:rsidR="00251200" w:rsidRPr="00206A5F" w:rsidRDefault="00251200" w:rsidP="00B62219">
      <w:pPr>
        <w:pStyle w:val="Heading2"/>
      </w:pPr>
      <w:bookmarkStart w:id="7" w:name="_Toc215996642"/>
      <w:r w:rsidRPr="00206A5F">
        <w:rPr>
          <w:rFonts w:eastAsiaTheme="majorEastAsia"/>
        </w:rPr>
        <w:t>2.</w:t>
      </w:r>
      <w:r w:rsidR="00B62219" w:rsidRPr="00206A5F">
        <w:rPr>
          <w:rFonts w:eastAsiaTheme="majorEastAsia"/>
        </w:rPr>
        <w:t>2</w:t>
      </w:r>
      <w:r w:rsidRPr="00206A5F">
        <w:rPr>
          <w:rFonts w:eastAsiaTheme="majorEastAsia"/>
        </w:rPr>
        <w:t xml:space="preserve"> Root Cause Analysis Using the Fishbone Diagram</w:t>
      </w:r>
      <w:bookmarkEnd w:id="7"/>
    </w:p>
    <w:p w14:paraId="61CDC7A3" w14:textId="20E4B546" w:rsidR="008C20FF" w:rsidRPr="00251200" w:rsidRDefault="008C20FF" w:rsidP="00324545">
      <w:pPr>
        <w:spacing w:line="360" w:lineRule="auto"/>
        <w:jc w:val="both"/>
        <w:rPr>
          <w:rFonts w:ascii="Arial" w:hAnsi="Arial" w:cs="Arial"/>
        </w:rPr>
      </w:pPr>
      <w:r w:rsidRPr="00206A5F">
        <w:rPr>
          <w:rFonts w:ascii="Arial" w:hAnsi="Arial" w:cs="Arial"/>
        </w:rPr>
        <w:t>Root Cause Analysis (RCA) is a structured quality improvement approach used to investigate underlying contributors to safety incidents rather than focusing solely on immediate or surface-level errors</w:t>
      </w:r>
      <w:r w:rsidR="00662C00">
        <w:rPr>
          <w:rFonts w:ascii="Arial" w:hAnsi="Arial" w:cs="Arial"/>
        </w:rPr>
        <w:t xml:space="preserve"> (</w:t>
      </w:r>
      <w:r w:rsidR="00662C00" w:rsidRPr="00662C00">
        <w:rPr>
          <w:rFonts w:ascii="Arial" w:hAnsi="Arial" w:cs="Arial"/>
        </w:rPr>
        <w:t>Sharma</w:t>
      </w:r>
      <w:r w:rsidR="00662C00">
        <w:rPr>
          <w:rFonts w:ascii="Arial" w:hAnsi="Arial" w:cs="Arial"/>
        </w:rPr>
        <w:t>, 2025)</w:t>
      </w:r>
      <w:r w:rsidRPr="00206A5F">
        <w:rPr>
          <w:rFonts w:ascii="Arial" w:hAnsi="Arial" w:cs="Arial"/>
        </w:rPr>
        <w:t>. RCA aims to identify the systemic, procedural, and human factors that interact to produce failure, enabling organisations to address causes rather than symptoms (Karim, 2022). This aligns with the principles of safety science, which emphasise learning from errors rather than assigning blame. Within healthcare, RCA is frequently applied to medication errors because they often arise from complex workflows involving multiple professionals, systems, and patient-specific variables</w:t>
      </w:r>
      <w:r w:rsidR="006073E1">
        <w:rPr>
          <w:rFonts w:ascii="Arial" w:hAnsi="Arial" w:cs="Arial"/>
        </w:rPr>
        <w:t xml:space="preserve"> </w:t>
      </w:r>
      <w:r w:rsidR="00146AD4" w:rsidRPr="00206A5F">
        <w:rPr>
          <w:rFonts w:ascii="Arial" w:hAnsi="Arial" w:cs="Arial"/>
        </w:rPr>
        <w:t>(</w:t>
      </w:r>
      <w:r w:rsidR="00146AD4" w:rsidRPr="004F4048">
        <w:rPr>
          <w:rFonts w:ascii="Arial" w:hAnsi="Arial" w:cs="Arial"/>
        </w:rPr>
        <w:t>Ismail</w:t>
      </w:r>
      <w:r w:rsidR="00146AD4">
        <w:rPr>
          <w:rFonts w:ascii="Arial" w:hAnsi="Arial" w:cs="Arial"/>
        </w:rPr>
        <w:t xml:space="preserve"> et al</w:t>
      </w:r>
      <w:r w:rsidR="00146AD4" w:rsidRPr="00206A5F">
        <w:rPr>
          <w:rFonts w:ascii="Arial" w:hAnsi="Arial" w:cs="Arial"/>
        </w:rPr>
        <w:t>, 202</w:t>
      </w:r>
      <w:r w:rsidR="00146AD4">
        <w:rPr>
          <w:rFonts w:ascii="Arial" w:hAnsi="Arial" w:cs="Arial"/>
        </w:rPr>
        <w:t>4</w:t>
      </w:r>
      <w:r w:rsidR="006073E1">
        <w:rPr>
          <w:rFonts w:ascii="Arial" w:hAnsi="Arial" w:cs="Arial"/>
        </w:rPr>
        <w:t>)</w:t>
      </w:r>
      <w:r w:rsidRPr="00206A5F">
        <w:rPr>
          <w:rFonts w:ascii="Arial" w:hAnsi="Arial" w:cs="Arial"/>
        </w:rPr>
        <w:t>. The Fishbone (Ishikawa) Diagram supports RCA by categorising potential contributors into themes, making it easier to analyse how multiple variables converge to create unsafe conditions</w:t>
      </w:r>
      <w:r w:rsidR="006073E1">
        <w:rPr>
          <w:rFonts w:ascii="Arial" w:hAnsi="Arial" w:cs="Arial"/>
        </w:rPr>
        <w:t xml:space="preserve"> </w:t>
      </w:r>
      <w:r w:rsidR="006073E1" w:rsidRPr="00206A5F">
        <w:rPr>
          <w:rFonts w:ascii="Arial" w:hAnsi="Arial" w:cs="Arial"/>
        </w:rPr>
        <w:t>(Karim, 2022)</w:t>
      </w:r>
      <w:r w:rsidRPr="00206A5F">
        <w:rPr>
          <w:rFonts w:ascii="Arial" w:hAnsi="Arial" w:cs="Arial"/>
        </w:rPr>
        <w:t>. Applying this model to medication reconciliation provides a structured means to examine the complexity of the process and identify opportunities for targeted improvements</w:t>
      </w:r>
      <w:r w:rsidR="000C304C">
        <w:rPr>
          <w:rFonts w:ascii="Arial" w:hAnsi="Arial" w:cs="Arial"/>
        </w:rPr>
        <w:t xml:space="preserve"> </w:t>
      </w:r>
      <w:r w:rsidR="000C304C" w:rsidRPr="00206A5F">
        <w:rPr>
          <w:rFonts w:ascii="Arial" w:hAnsi="Arial" w:cs="Arial"/>
        </w:rPr>
        <w:t>(</w:t>
      </w:r>
      <w:r w:rsidR="004F4048" w:rsidRPr="004F4048">
        <w:rPr>
          <w:rFonts w:ascii="Arial" w:hAnsi="Arial" w:cs="Arial"/>
        </w:rPr>
        <w:t>Ismail</w:t>
      </w:r>
      <w:r w:rsidR="004F4048">
        <w:rPr>
          <w:rFonts w:ascii="Arial" w:hAnsi="Arial" w:cs="Arial"/>
        </w:rPr>
        <w:t xml:space="preserve"> et al</w:t>
      </w:r>
      <w:r w:rsidR="000C304C" w:rsidRPr="00206A5F">
        <w:rPr>
          <w:rFonts w:ascii="Arial" w:hAnsi="Arial" w:cs="Arial"/>
        </w:rPr>
        <w:t>, 202</w:t>
      </w:r>
      <w:r w:rsidR="004F4048">
        <w:rPr>
          <w:rFonts w:ascii="Arial" w:hAnsi="Arial" w:cs="Arial"/>
        </w:rPr>
        <w:t>4</w:t>
      </w:r>
      <w:r w:rsidR="000C304C" w:rsidRPr="00206A5F">
        <w:rPr>
          <w:rFonts w:ascii="Arial" w:hAnsi="Arial" w:cs="Arial"/>
        </w:rPr>
        <w:t>)</w:t>
      </w:r>
      <w:r w:rsidRPr="00206A5F">
        <w:rPr>
          <w:rFonts w:ascii="Arial" w:hAnsi="Arial" w:cs="Arial"/>
        </w:rPr>
        <w:t>.</w:t>
      </w:r>
    </w:p>
    <w:p w14:paraId="5D6EEB3C" w14:textId="77777777" w:rsidR="00251200" w:rsidRPr="00251200" w:rsidRDefault="00251200" w:rsidP="00324545">
      <w:pPr>
        <w:spacing w:line="360" w:lineRule="auto"/>
        <w:jc w:val="both"/>
        <w:rPr>
          <w:rFonts w:ascii="Arial" w:hAnsi="Arial" w:cs="Arial"/>
        </w:rPr>
      </w:pPr>
      <w:r w:rsidRPr="00251200">
        <w:rPr>
          <w:rFonts w:ascii="Arial" w:hAnsi="Arial" w:cs="Arial"/>
        </w:rPr>
        <w:t>The Fishbone model highlights multiple interacting factors contributing to reconciliation failures.</w:t>
      </w:r>
    </w:p>
    <w:p w14:paraId="03433CA2" w14:textId="77777777" w:rsidR="00251200" w:rsidRPr="00251200" w:rsidRDefault="00251200" w:rsidP="00324545">
      <w:pPr>
        <w:spacing w:line="360" w:lineRule="auto"/>
        <w:jc w:val="both"/>
        <w:rPr>
          <w:rFonts w:ascii="Arial" w:hAnsi="Arial" w:cs="Arial"/>
        </w:rPr>
      </w:pPr>
      <w:r w:rsidRPr="00251200">
        <w:rPr>
          <w:rFonts w:ascii="Arial" w:hAnsi="Arial" w:cs="Arial"/>
          <w:b/>
          <w:bCs/>
        </w:rPr>
        <w:t>People:</w:t>
      </w:r>
      <w:r w:rsidRPr="00251200">
        <w:rPr>
          <w:rFonts w:ascii="Arial" w:hAnsi="Arial" w:cs="Arial"/>
        </w:rPr>
        <w:t xml:space="preserve"> Human factors such as workload pressure, inadequate medication safety training, communication barriers, and fatigue significantly increase error likelihood (Haxby and </w:t>
      </w:r>
      <w:proofErr w:type="spellStart"/>
      <w:r w:rsidRPr="00251200">
        <w:rPr>
          <w:rFonts w:ascii="Arial" w:hAnsi="Arial" w:cs="Arial"/>
        </w:rPr>
        <w:t>Shuldham</w:t>
      </w:r>
      <w:proofErr w:type="spellEnd"/>
      <w:r w:rsidRPr="00251200">
        <w:rPr>
          <w:rFonts w:ascii="Arial" w:hAnsi="Arial" w:cs="Arial"/>
        </w:rPr>
        <w:t>, 2018). Junior staff, who often complete medication reconciliation tasks, may lack supervision and confidence, especially during peak transitions of care.</w:t>
      </w:r>
    </w:p>
    <w:p w14:paraId="4579D28A" w14:textId="77777777" w:rsidR="00251200" w:rsidRPr="00251200" w:rsidRDefault="00251200" w:rsidP="00324545">
      <w:pPr>
        <w:spacing w:line="360" w:lineRule="auto"/>
        <w:jc w:val="both"/>
        <w:rPr>
          <w:rFonts w:ascii="Arial" w:hAnsi="Arial" w:cs="Arial"/>
        </w:rPr>
      </w:pPr>
      <w:r w:rsidRPr="00251200">
        <w:rPr>
          <w:rFonts w:ascii="Arial" w:hAnsi="Arial" w:cs="Arial"/>
          <w:b/>
          <w:bCs/>
        </w:rPr>
        <w:lastRenderedPageBreak/>
        <w:t>Process:</w:t>
      </w:r>
      <w:r w:rsidRPr="00251200">
        <w:rPr>
          <w:rFonts w:ascii="Arial" w:hAnsi="Arial" w:cs="Arial"/>
        </w:rPr>
        <w:t xml:space="preserve"> Poorly defined workflows and inconsistent reconciliation practices lead to omissions or duplication. Lack of standardisation means reconciliation varies between wards, time of day, or staffing conditions (Ayre et al., 2023).</w:t>
      </w:r>
    </w:p>
    <w:p w14:paraId="6D8EE11B" w14:textId="77777777" w:rsidR="00251200" w:rsidRPr="00251200" w:rsidRDefault="00251200" w:rsidP="00324545">
      <w:pPr>
        <w:spacing w:line="360" w:lineRule="auto"/>
        <w:jc w:val="both"/>
        <w:rPr>
          <w:rFonts w:ascii="Arial" w:hAnsi="Arial" w:cs="Arial"/>
        </w:rPr>
      </w:pPr>
      <w:r w:rsidRPr="00251200">
        <w:rPr>
          <w:rFonts w:ascii="Arial" w:hAnsi="Arial" w:cs="Arial"/>
          <w:b/>
          <w:bCs/>
        </w:rPr>
        <w:t>Technology:</w:t>
      </w:r>
      <w:r w:rsidRPr="00251200">
        <w:rPr>
          <w:rFonts w:ascii="Arial" w:hAnsi="Arial" w:cs="Arial"/>
        </w:rPr>
        <w:t xml:space="preserve"> Non-interoperable electronic systems prevent seamless data transfer between primary care, hospitals, and pharmacies. Poor interface design increases selection errors and makes discrepancies difficult to identify (</w:t>
      </w:r>
      <w:proofErr w:type="spellStart"/>
      <w:r w:rsidRPr="00251200">
        <w:rPr>
          <w:rFonts w:ascii="Arial" w:hAnsi="Arial" w:cs="Arial"/>
        </w:rPr>
        <w:t>Spinewine</w:t>
      </w:r>
      <w:proofErr w:type="spellEnd"/>
      <w:r w:rsidRPr="00251200">
        <w:rPr>
          <w:rFonts w:ascii="Arial" w:hAnsi="Arial" w:cs="Arial"/>
        </w:rPr>
        <w:t xml:space="preserve"> et al., 2021).</w:t>
      </w:r>
    </w:p>
    <w:p w14:paraId="1D5ECC03" w14:textId="77777777" w:rsidR="00251200" w:rsidRPr="00251200" w:rsidRDefault="00251200" w:rsidP="00324545">
      <w:pPr>
        <w:spacing w:line="360" w:lineRule="auto"/>
        <w:jc w:val="both"/>
        <w:rPr>
          <w:rFonts w:ascii="Arial" w:hAnsi="Arial" w:cs="Arial"/>
        </w:rPr>
      </w:pPr>
      <w:r w:rsidRPr="00251200">
        <w:rPr>
          <w:rFonts w:ascii="Arial" w:hAnsi="Arial" w:cs="Arial"/>
          <w:b/>
          <w:bCs/>
        </w:rPr>
        <w:t>Environment:</w:t>
      </w:r>
      <w:r w:rsidRPr="00251200">
        <w:rPr>
          <w:rFonts w:ascii="Arial" w:hAnsi="Arial" w:cs="Arial"/>
        </w:rPr>
        <w:t xml:space="preserve"> Acute care wards are busy, noisy environments with frequent interruptions, increasing cognitive load and reducing attention during medication tasks (Haxby and </w:t>
      </w:r>
      <w:proofErr w:type="spellStart"/>
      <w:r w:rsidRPr="00251200">
        <w:rPr>
          <w:rFonts w:ascii="Arial" w:hAnsi="Arial" w:cs="Arial"/>
        </w:rPr>
        <w:t>Shuldham</w:t>
      </w:r>
      <w:proofErr w:type="spellEnd"/>
      <w:r w:rsidRPr="00251200">
        <w:rPr>
          <w:rFonts w:ascii="Arial" w:hAnsi="Arial" w:cs="Arial"/>
        </w:rPr>
        <w:t>, 2018).</w:t>
      </w:r>
    </w:p>
    <w:p w14:paraId="58C544AA" w14:textId="77777777" w:rsidR="00251200" w:rsidRPr="00251200" w:rsidRDefault="00251200" w:rsidP="00324545">
      <w:pPr>
        <w:spacing w:line="360" w:lineRule="auto"/>
        <w:jc w:val="both"/>
        <w:rPr>
          <w:rFonts w:ascii="Arial" w:hAnsi="Arial" w:cs="Arial"/>
        </w:rPr>
      </w:pPr>
      <w:r w:rsidRPr="00251200">
        <w:rPr>
          <w:rFonts w:ascii="Arial" w:hAnsi="Arial" w:cs="Arial"/>
          <w:b/>
          <w:bCs/>
        </w:rPr>
        <w:t>Policy and Governance:</w:t>
      </w:r>
      <w:r w:rsidRPr="00251200">
        <w:rPr>
          <w:rFonts w:ascii="Arial" w:hAnsi="Arial" w:cs="Arial"/>
        </w:rPr>
        <w:t xml:space="preserve"> Limited enforcement of national safety standards, competing organisational priorities, and the dominance of productivity metrics over patient safety undermine medication safety practices (Jones et al., 2024).</w:t>
      </w:r>
    </w:p>
    <w:p w14:paraId="22E802BB" w14:textId="77777777" w:rsidR="00251200" w:rsidRPr="00251200" w:rsidRDefault="00251200" w:rsidP="00324545">
      <w:pPr>
        <w:spacing w:line="360" w:lineRule="auto"/>
        <w:jc w:val="both"/>
        <w:rPr>
          <w:rFonts w:ascii="Arial" w:hAnsi="Arial" w:cs="Arial"/>
        </w:rPr>
      </w:pPr>
      <w:r w:rsidRPr="00251200">
        <w:rPr>
          <w:rFonts w:ascii="Arial" w:hAnsi="Arial" w:cs="Arial"/>
          <w:b/>
          <w:bCs/>
        </w:rPr>
        <w:t>Patients:</w:t>
      </w:r>
      <w:r w:rsidRPr="00251200">
        <w:rPr>
          <w:rFonts w:ascii="Arial" w:hAnsi="Arial" w:cs="Arial"/>
        </w:rPr>
        <w:t xml:space="preserve"> Increasing polypharmacy, ageing populations, and communication barriers heighten complexity, especially during handovers (Ayre et al., 2023).</w:t>
      </w:r>
    </w:p>
    <w:p w14:paraId="33E4961C" w14:textId="539B3D52" w:rsidR="00251200" w:rsidRPr="00251200" w:rsidRDefault="00251200" w:rsidP="00324545">
      <w:pPr>
        <w:spacing w:line="360" w:lineRule="auto"/>
        <w:jc w:val="both"/>
        <w:rPr>
          <w:rFonts w:ascii="Arial" w:hAnsi="Arial" w:cs="Arial"/>
        </w:rPr>
      </w:pPr>
      <w:r w:rsidRPr="00251200">
        <w:rPr>
          <w:rFonts w:ascii="Arial" w:hAnsi="Arial" w:cs="Arial"/>
        </w:rPr>
        <w:t>The Fishbone analysis demonstrates that reconciliation failures stem from system design failures</w:t>
      </w:r>
      <w:r w:rsidR="00B62219" w:rsidRPr="00206A5F">
        <w:rPr>
          <w:rFonts w:ascii="Arial" w:hAnsi="Arial" w:cs="Arial"/>
        </w:rPr>
        <w:t>,</w:t>
      </w:r>
      <w:r w:rsidRPr="00251200">
        <w:rPr>
          <w:rFonts w:ascii="Arial" w:hAnsi="Arial" w:cs="Arial"/>
        </w:rPr>
        <w:t xml:space="preserve"> not individual negligence.</w:t>
      </w:r>
    </w:p>
    <w:p w14:paraId="635F8C68" w14:textId="07CE37B6" w:rsidR="00251200" w:rsidRPr="00206A5F" w:rsidRDefault="00251200" w:rsidP="00B62219">
      <w:pPr>
        <w:pStyle w:val="Heading2"/>
      </w:pPr>
      <w:bookmarkStart w:id="8" w:name="_Toc215996643"/>
      <w:r w:rsidRPr="00206A5F">
        <w:rPr>
          <w:rFonts w:eastAsiaTheme="majorEastAsia"/>
        </w:rPr>
        <w:t>2.</w:t>
      </w:r>
      <w:r w:rsidR="00B62219" w:rsidRPr="00206A5F">
        <w:t>3</w:t>
      </w:r>
      <w:r w:rsidRPr="00206A5F">
        <w:rPr>
          <w:rFonts w:eastAsiaTheme="majorEastAsia"/>
        </w:rPr>
        <w:t xml:space="preserve"> The Five Whys Approach</w:t>
      </w:r>
      <w:bookmarkEnd w:id="8"/>
    </w:p>
    <w:p w14:paraId="5718520A" w14:textId="7048707C" w:rsidR="008C20FF" w:rsidRPr="00251200" w:rsidRDefault="008C20FF" w:rsidP="00324545">
      <w:pPr>
        <w:spacing w:line="360" w:lineRule="auto"/>
        <w:jc w:val="both"/>
        <w:rPr>
          <w:rFonts w:ascii="Arial" w:hAnsi="Arial" w:cs="Arial"/>
        </w:rPr>
      </w:pPr>
      <w:r w:rsidRPr="00206A5F">
        <w:rPr>
          <w:rFonts w:ascii="Arial" w:hAnsi="Arial" w:cs="Arial"/>
        </w:rPr>
        <w:t>The Five Whys technique is a simple but powerful tool used within Root Cause Analysis to trace problems back to their underlying systemic causes rather than stopping at surface-level errors</w:t>
      </w:r>
      <w:r w:rsidR="00BC3482">
        <w:rPr>
          <w:rFonts w:ascii="Arial" w:hAnsi="Arial" w:cs="Arial"/>
        </w:rPr>
        <w:t xml:space="preserve"> (</w:t>
      </w:r>
      <w:r w:rsidR="00BC3482" w:rsidRPr="00BC3482">
        <w:rPr>
          <w:rFonts w:ascii="Arial" w:hAnsi="Arial" w:cs="Arial"/>
        </w:rPr>
        <w:t>Coy</w:t>
      </w:r>
      <w:r w:rsidR="00BC3482">
        <w:rPr>
          <w:rFonts w:ascii="Arial" w:hAnsi="Arial" w:cs="Arial"/>
        </w:rPr>
        <w:t>, 2024)</w:t>
      </w:r>
      <w:r w:rsidRPr="00206A5F">
        <w:rPr>
          <w:rFonts w:ascii="Arial" w:hAnsi="Arial" w:cs="Arial"/>
        </w:rPr>
        <w:t>. Developed by Toyota as part of Lean methodology, the approach encourages iterative questioning to reveal how organisational processes, culture, and structures contribute to safety failures (</w:t>
      </w:r>
      <w:r w:rsidR="00E05C3F" w:rsidRPr="00E05C3F">
        <w:rPr>
          <w:rFonts w:ascii="Arial" w:hAnsi="Arial" w:cs="Arial"/>
        </w:rPr>
        <w:t>Putra</w:t>
      </w:r>
      <w:r w:rsidR="00E05C3F">
        <w:rPr>
          <w:rFonts w:ascii="Arial" w:hAnsi="Arial" w:cs="Arial"/>
        </w:rPr>
        <w:t xml:space="preserve"> and </w:t>
      </w:r>
      <w:r w:rsidR="00E05C3F" w:rsidRPr="00E05C3F">
        <w:rPr>
          <w:rFonts w:ascii="Arial" w:hAnsi="Arial" w:cs="Arial"/>
        </w:rPr>
        <w:t>Yusof</w:t>
      </w:r>
      <w:r w:rsidR="00E05C3F">
        <w:rPr>
          <w:rFonts w:ascii="Arial" w:hAnsi="Arial" w:cs="Arial"/>
        </w:rPr>
        <w:t>, 2021</w:t>
      </w:r>
      <w:r w:rsidRPr="00206A5F">
        <w:rPr>
          <w:rFonts w:ascii="Arial" w:hAnsi="Arial" w:cs="Arial"/>
        </w:rPr>
        <w:t>). In healthcare, it is particularly valuable because medication-related errors often arise from complex workflows involving multiple transitions, professionals, and documentation systems</w:t>
      </w:r>
      <w:r w:rsidR="001948B0">
        <w:rPr>
          <w:rFonts w:ascii="Arial" w:hAnsi="Arial" w:cs="Arial"/>
        </w:rPr>
        <w:t xml:space="preserve"> (</w:t>
      </w:r>
      <w:r w:rsidR="001948B0" w:rsidRPr="00BC3482">
        <w:rPr>
          <w:rFonts w:ascii="Arial" w:hAnsi="Arial" w:cs="Arial"/>
        </w:rPr>
        <w:t>Coy</w:t>
      </w:r>
      <w:r w:rsidR="001948B0">
        <w:rPr>
          <w:rFonts w:ascii="Arial" w:hAnsi="Arial" w:cs="Arial"/>
        </w:rPr>
        <w:t>, 2024)</w:t>
      </w:r>
      <w:r w:rsidRPr="00206A5F">
        <w:rPr>
          <w:rFonts w:ascii="Arial" w:hAnsi="Arial" w:cs="Arial"/>
        </w:rPr>
        <w:t>. By asking “why” repeatedly, the technique moves the analysis beyond individual behaviour and towards identifying actionable system-level change opportunities</w:t>
      </w:r>
      <w:r w:rsidR="001948B0">
        <w:rPr>
          <w:rFonts w:ascii="Arial" w:hAnsi="Arial" w:cs="Arial"/>
        </w:rPr>
        <w:t xml:space="preserve"> </w:t>
      </w:r>
      <w:r w:rsidR="001948B0" w:rsidRPr="00206A5F">
        <w:rPr>
          <w:rFonts w:ascii="Arial" w:hAnsi="Arial" w:cs="Arial"/>
        </w:rPr>
        <w:t>(</w:t>
      </w:r>
      <w:r w:rsidR="001948B0" w:rsidRPr="00E05C3F">
        <w:rPr>
          <w:rFonts w:ascii="Arial" w:hAnsi="Arial" w:cs="Arial"/>
        </w:rPr>
        <w:t>Putra</w:t>
      </w:r>
      <w:r w:rsidR="001948B0">
        <w:rPr>
          <w:rFonts w:ascii="Arial" w:hAnsi="Arial" w:cs="Arial"/>
        </w:rPr>
        <w:t xml:space="preserve"> and </w:t>
      </w:r>
      <w:r w:rsidR="001948B0" w:rsidRPr="00E05C3F">
        <w:rPr>
          <w:rFonts w:ascii="Arial" w:hAnsi="Arial" w:cs="Arial"/>
        </w:rPr>
        <w:t>Yusof</w:t>
      </w:r>
      <w:r w:rsidR="001948B0">
        <w:rPr>
          <w:rFonts w:ascii="Arial" w:hAnsi="Arial" w:cs="Arial"/>
        </w:rPr>
        <w:t>, 2021</w:t>
      </w:r>
      <w:r w:rsidR="001948B0" w:rsidRPr="00206A5F">
        <w:rPr>
          <w:rFonts w:ascii="Arial" w:hAnsi="Arial" w:cs="Arial"/>
        </w:rPr>
        <w:t>)</w:t>
      </w:r>
      <w:r w:rsidRPr="00206A5F">
        <w:rPr>
          <w:rFonts w:ascii="Arial" w:hAnsi="Arial" w:cs="Arial"/>
        </w:rPr>
        <w:t>. This aligns with modern safety science, which recognises that healthcare errors are rarely the result of incompetence and more commonly arise from predictable weaknesses in processes, communication, and organisational design</w:t>
      </w:r>
      <w:r w:rsidR="001948B0">
        <w:rPr>
          <w:rFonts w:ascii="Arial" w:hAnsi="Arial" w:cs="Arial"/>
        </w:rPr>
        <w:t xml:space="preserve"> (</w:t>
      </w:r>
      <w:r w:rsidR="001948B0" w:rsidRPr="00BC3482">
        <w:rPr>
          <w:rFonts w:ascii="Arial" w:hAnsi="Arial" w:cs="Arial"/>
        </w:rPr>
        <w:t>Coy</w:t>
      </w:r>
      <w:r w:rsidR="001948B0">
        <w:rPr>
          <w:rFonts w:ascii="Arial" w:hAnsi="Arial" w:cs="Arial"/>
        </w:rPr>
        <w:t>, 2024)</w:t>
      </w:r>
      <w:r w:rsidRPr="00206A5F">
        <w:rPr>
          <w:rFonts w:ascii="Arial" w:hAnsi="Arial" w:cs="Arial"/>
        </w:rPr>
        <w:t xml:space="preserve">. Applying the Five Whys to the </w:t>
      </w:r>
      <w:r w:rsidRPr="00206A5F">
        <w:rPr>
          <w:rFonts w:ascii="Arial" w:hAnsi="Arial" w:cs="Arial"/>
        </w:rPr>
        <w:lastRenderedPageBreak/>
        <w:t>issue of medication reconciliation helps uncover how structural constraints influence frontline decision-making and patient outcomes.</w:t>
      </w:r>
    </w:p>
    <w:p w14:paraId="639A629F" w14:textId="77777777" w:rsidR="00251200" w:rsidRPr="00251200" w:rsidRDefault="00251200" w:rsidP="00324545">
      <w:pPr>
        <w:spacing w:line="360" w:lineRule="auto"/>
        <w:jc w:val="both"/>
        <w:rPr>
          <w:rFonts w:ascii="Arial" w:hAnsi="Arial" w:cs="Arial"/>
        </w:rPr>
      </w:pPr>
      <w:r w:rsidRPr="00251200">
        <w:rPr>
          <w:rFonts w:ascii="Arial" w:hAnsi="Arial" w:cs="Arial"/>
        </w:rPr>
        <w:t>Using the medication duplication example identified in the case hospital:</w:t>
      </w:r>
    </w:p>
    <w:p w14:paraId="34C65CBB" w14:textId="77777777" w:rsidR="00251200" w:rsidRPr="00251200" w:rsidRDefault="00251200" w:rsidP="00324545">
      <w:pPr>
        <w:numPr>
          <w:ilvl w:val="0"/>
          <w:numId w:val="2"/>
        </w:numPr>
        <w:spacing w:line="360" w:lineRule="auto"/>
        <w:jc w:val="both"/>
        <w:rPr>
          <w:rFonts w:ascii="Arial" w:hAnsi="Arial" w:cs="Arial"/>
        </w:rPr>
      </w:pPr>
      <w:r w:rsidRPr="00251200">
        <w:rPr>
          <w:rFonts w:ascii="Arial" w:hAnsi="Arial" w:cs="Arial"/>
          <w:b/>
          <w:bCs/>
        </w:rPr>
        <w:t>Why?</w:t>
      </w:r>
      <w:r w:rsidRPr="00251200">
        <w:rPr>
          <w:rFonts w:ascii="Arial" w:hAnsi="Arial" w:cs="Arial"/>
        </w:rPr>
        <w:t xml:space="preserve"> The wrong medication was prescribed.</w:t>
      </w:r>
    </w:p>
    <w:p w14:paraId="38E04C26" w14:textId="3F1B5634" w:rsidR="00251200" w:rsidRPr="00251200" w:rsidRDefault="00251200" w:rsidP="00324545">
      <w:pPr>
        <w:numPr>
          <w:ilvl w:val="0"/>
          <w:numId w:val="2"/>
        </w:numPr>
        <w:spacing w:line="360" w:lineRule="auto"/>
        <w:jc w:val="both"/>
        <w:rPr>
          <w:rFonts w:ascii="Arial" w:hAnsi="Arial" w:cs="Arial"/>
        </w:rPr>
      </w:pPr>
      <w:r w:rsidRPr="00251200">
        <w:rPr>
          <w:rFonts w:ascii="Arial" w:hAnsi="Arial" w:cs="Arial"/>
          <w:b/>
          <w:bCs/>
        </w:rPr>
        <w:t>Why?</w:t>
      </w:r>
      <w:r w:rsidRPr="00251200">
        <w:rPr>
          <w:rFonts w:ascii="Arial" w:hAnsi="Arial" w:cs="Arial"/>
        </w:rPr>
        <w:t xml:space="preserve"> The prescriber did not have </w:t>
      </w:r>
      <w:r w:rsidR="00B62219" w:rsidRPr="00206A5F">
        <w:rPr>
          <w:rFonts w:ascii="Arial" w:hAnsi="Arial" w:cs="Arial"/>
        </w:rPr>
        <w:t xml:space="preserve">an </w:t>
      </w:r>
      <w:r w:rsidRPr="00251200">
        <w:rPr>
          <w:rFonts w:ascii="Arial" w:hAnsi="Arial" w:cs="Arial"/>
        </w:rPr>
        <w:t>accurate medication history.</w:t>
      </w:r>
    </w:p>
    <w:p w14:paraId="0FD61BF5" w14:textId="77777777" w:rsidR="00251200" w:rsidRPr="00251200" w:rsidRDefault="00251200" w:rsidP="00324545">
      <w:pPr>
        <w:numPr>
          <w:ilvl w:val="0"/>
          <w:numId w:val="2"/>
        </w:numPr>
        <w:spacing w:line="360" w:lineRule="auto"/>
        <w:jc w:val="both"/>
        <w:rPr>
          <w:rFonts w:ascii="Arial" w:hAnsi="Arial" w:cs="Arial"/>
        </w:rPr>
      </w:pPr>
      <w:r w:rsidRPr="00251200">
        <w:rPr>
          <w:rFonts w:ascii="Arial" w:hAnsi="Arial" w:cs="Arial"/>
          <w:b/>
          <w:bCs/>
        </w:rPr>
        <w:t>Why?</w:t>
      </w:r>
      <w:r w:rsidRPr="00251200">
        <w:rPr>
          <w:rFonts w:ascii="Arial" w:hAnsi="Arial" w:cs="Arial"/>
        </w:rPr>
        <w:t xml:space="preserve"> The reconciliation process was incomplete at admission.</w:t>
      </w:r>
    </w:p>
    <w:p w14:paraId="23FB4ACA" w14:textId="7A18A06D" w:rsidR="00251200" w:rsidRPr="00251200" w:rsidRDefault="00251200" w:rsidP="00324545">
      <w:pPr>
        <w:numPr>
          <w:ilvl w:val="0"/>
          <w:numId w:val="2"/>
        </w:numPr>
        <w:spacing w:line="360" w:lineRule="auto"/>
        <w:jc w:val="both"/>
        <w:rPr>
          <w:rFonts w:ascii="Arial" w:hAnsi="Arial" w:cs="Arial"/>
        </w:rPr>
      </w:pPr>
      <w:r w:rsidRPr="00251200">
        <w:rPr>
          <w:rFonts w:ascii="Arial" w:hAnsi="Arial" w:cs="Arial"/>
          <w:b/>
          <w:bCs/>
        </w:rPr>
        <w:t>Why?</w:t>
      </w:r>
      <w:r w:rsidRPr="00251200">
        <w:rPr>
          <w:rFonts w:ascii="Arial" w:hAnsi="Arial" w:cs="Arial"/>
        </w:rPr>
        <w:t xml:space="preserve"> Staff lacked time and </w:t>
      </w:r>
      <w:r w:rsidR="008C20FF" w:rsidRPr="00206A5F">
        <w:rPr>
          <w:rFonts w:ascii="Arial" w:hAnsi="Arial" w:cs="Arial"/>
        </w:rPr>
        <w:t xml:space="preserve">a </w:t>
      </w:r>
      <w:r w:rsidRPr="00251200">
        <w:rPr>
          <w:rFonts w:ascii="Arial" w:hAnsi="Arial" w:cs="Arial"/>
        </w:rPr>
        <w:t>consistent workflow.</w:t>
      </w:r>
    </w:p>
    <w:p w14:paraId="7A70F77A" w14:textId="77777777" w:rsidR="00251200" w:rsidRPr="00251200" w:rsidRDefault="00251200" w:rsidP="00324545">
      <w:pPr>
        <w:numPr>
          <w:ilvl w:val="0"/>
          <w:numId w:val="2"/>
        </w:numPr>
        <w:spacing w:line="360" w:lineRule="auto"/>
        <w:jc w:val="both"/>
        <w:rPr>
          <w:rFonts w:ascii="Arial" w:hAnsi="Arial" w:cs="Arial"/>
        </w:rPr>
      </w:pPr>
      <w:r w:rsidRPr="00251200">
        <w:rPr>
          <w:rFonts w:ascii="Arial" w:hAnsi="Arial" w:cs="Arial"/>
          <w:b/>
          <w:bCs/>
        </w:rPr>
        <w:t>Why?</w:t>
      </w:r>
      <w:r w:rsidRPr="00251200">
        <w:rPr>
          <w:rFonts w:ascii="Arial" w:hAnsi="Arial" w:cs="Arial"/>
        </w:rPr>
        <w:t xml:space="preserve"> Organisational processes and staffing models were not designed to prioritise medication safety.</w:t>
      </w:r>
    </w:p>
    <w:p w14:paraId="5AD30A31" w14:textId="77777777" w:rsidR="00251200" w:rsidRPr="00251200" w:rsidRDefault="00251200" w:rsidP="00324545">
      <w:pPr>
        <w:spacing w:line="360" w:lineRule="auto"/>
        <w:jc w:val="both"/>
        <w:rPr>
          <w:rFonts w:ascii="Arial" w:hAnsi="Arial" w:cs="Arial"/>
        </w:rPr>
      </w:pPr>
      <w:r w:rsidRPr="00251200">
        <w:rPr>
          <w:rFonts w:ascii="Arial" w:hAnsi="Arial" w:cs="Arial"/>
        </w:rPr>
        <w:t>The Five Whys reveals organisational and structural deficiencies rather than individual competence issues.</w:t>
      </w:r>
    </w:p>
    <w:p w14:paraId="1FFA84E1" w14:textId="03D7DA6A" w:rsidR="00251200" w:rsidRPr="00206A5F" w:rsidRDefault="00251200" w:rsidP="00B62219">
      <w:pPr>
        <w:pStyle w:val="Heading2"/>
      </w:pPr>
      <w:bookmarkStart w:id="9" w:name="_Toc215996644"/>
      <w:r w:rsidRPr="00206A5F">
        <w:rPr>
          <w:rFonts w:eastAsiaTheme="majorEastAsia"/>
        </w:rPr>
        <w:t>2.</w:t>
      </w:r>
      <w:r w:rsidR="00B62219" w:rsidRPr="00206A5F">
        <w:rPr>
          <w:rFonts w:eastAsiaTheme="majorEastAsia"/>
        </w:rPr>
        <w:t>4</w:t>
      </w:r>
      <w:r w:rsidRPr="00206A5F">
        <w:rPr>
          <w:rFonts w:eastAsiaTheme="majorEastAsia"/>
        </w:rPr>
        <w:t xml:space="preserve"> Applying the Donabedian Model</w:t>
      </w:r>
      <w:bookmarkEnd w:id="9"/>
    </w:p>
    <w:p w14:paraId="68C87B63" w14:textId="002AF98F" w:rsidR="00251200" w:rsidRPr="00251200" w:rsidRDefault="00251200" w:rsidP="00324545">
      <w:pPr>
        <w:spacing w:line="360" w:lineRule="auto"/>
        <w:jc w:val="both"/>
        <w:rPr>
          <w:rFonts w:ascii="Arial" w:hAnsi="Arial" w:cs="Arial"/>
        </w:rPr>
      </w:pPr>
      <w:r w:rsidRPr="00251200">
        <w:rPr>
          <w:rFonts w:ascii="Arial" w:hAnsi="Arial" w:cs="Arial"/>
        </w:rPr>
        <w:t>The Donabedian Framework provides a structured lens for examining the quality of care by analysing the interrelationship between structure, process, and outcome. In the context of medication reconciliation within the NHS, structural factors such as insufficient staffing, outdated digital systems, and limited pharmacy involvement critically shape safety practices (Karim, 2022). Workforce shortages remain a recognised national issue, contributing to high workloads and limited time allocated to medication verification tasks (Jones et al., 2024). Furthermore, legacy IT infrastructures and non-integrated electronic prescribing systems restrict interoperability between primary, hospital, and pharmacy records, which increases the probability of incomplete or inaccurate medication histories (Naseralallah et al., 2023). These limitations reflect systemic weaknesses rather than isolated operational failures, demonstrating how inadequate infrastructure forms the foundation for downstream process weakness</w:t>
      </w:r>
      <w:r w:rsidR="00857233">
        <w:rPr>
          <w:rFonts w:ascii="Arial" w:hAnsi="Arial" w:cs="Arial"/>
        </w:rPr>
        <w:t xml:space="preserve"> </w:t>
      </w:r>
      <w:r w:rsidR="00857233" w:rsidRPr="00251200">
        <w:rPr>
          <w:rFonts w:ascii="Arial" w:hAnsi="Arial" w:cs="Arial"/>
        </w:rPr>
        <w:t>(Jones et al., 2024)</w:t>
      </w:r>
      <w:r w:rsidRPr="00251200">
        <w:rPr>
          <w:rFonts w:ascii="Arial" w:hAnsi="Arial" w:cs="Arial"/>
        </w:rPr>
        <w:t>.</w:t>
      </w:r>
    </w:p>
    <w:p w14:paraId="1DE770F3" w14:textId="1A60C193" w:rsidR="00251200" w:rsidRPr="00251200" w:rsidRDefault="00251200" w:rsidP="00324545">
      <w:pPr>
        <w:spacing w:line="360" w:lineRule="auto"/>
        <w:jc w:val="both"/>
        <w:rPr>
          <w:rFonts w:ascii="Arial" w:hAnsi="Arial" w:cs="Arial"/>
        </w:rPr>
      </w:pPr>
      <w:r w:rsidRPr="00251200">
        <w:rPr>
          <w:rFonts w:ascii="Arial" w:hAnsi="Arial" w:cs="Arial"/>
        </w:rPr>
        <w:t>These structural gaps contribute directly to process variability, poor communication, and inconsistent execution of medication reconciliation procedures (Karim, 2022). When reconciliation is not standardised, outcomes become dependent on individual staff capacity rather than established systems. This inconsistency contributes to prescribing errors, medication omissions, and duplication</w:t>
      </w:r>
      <w:r w:rsidR="00324545" w:rsidRPr="00206A5F">
        <w:rPr>
          <w:rFonts w:ascii="Arial" w:hAnsi="Arial" w:cs="Arial"/>
        </w:rPr>
        <w:t xml:space="preserve">, </w:t>
      </w:r>
      <w:r w:rsidRPr="00251200">
        <w:rPr>
          <w:rFonts w:ascii="Arial" w:hAnsi="Arial" w:cs="Arial"/>
        </w:rPr>
        <w:t xml:space="preserve">particularly during </w:t>
      </w:r>
      <w:r w:rsidRPr="00251200">
        <w:rPr>
          <w:rFonts w:ascii="Arial" w:hAnsi="Arial" w:cs="Arial"/>
        </w:rPr>
        <w:lastRenderedPageBreak/>
        <w:t>admission and discharge transitions, which are well-documented high-risk periods (Ayre et al., 2023). The consequence of these process failures is reflected in patient outcomes, such as avoidable adverse drug events, prolonged hospital stays, increased readmissions, and reduced patient trust in the healthcare system (Sutherland et al., 2022). Therefore, applying the Donabedian model reveals a clear causal chain</w:t>
      </w:r>
      <w:r w:rsidR="00B62219" w:rsidRPr="00206A5F">
        <w:rPr>
          <w:rFonts w:ascii="Arial" w:hAnsi="Arial" w:cs="Arial"/>
        </w:rPr>
        <w:t>;</w:t>
      </w:r>
      <w:r w:rsidR="00324545" w:rsidRPr="00206A5F">
        <w:rPr>
          <w:rFonts w:ascii="Arial" w:hAnsi="Arial" w:cs="Arial"/>
        </w:rPr>
        <w:t xml:space="preserve"> </w:t>
      </w:r>
      <w:r w:rsidRPr="00251200">
        <w:rPr>
          <w:rFonts w:ascii="Arial" w:hAnsi="Arial" w:cs="Arial"/>
        </w:rPr>
        <w:t>structural weaknesses undermine processes, resulting in poorer outcomes. Improving medication reconciliation requires strengthening these foundational elements to support reliability and consistency in practice</w:t>
      </w:r>
      <w:r w:rsidR="00A144F8">
        <w:rPr>
          <w:rFonts w:ascii="Arial" w:hAnsi="Arial" w:cs="Arial"/>
        </w:rPr>
        <w:t xml:space="preserve"> </w:t>
      </w:r>
      <w:r w:rsidR="00A144F8" w:rsidRPr="00251200">
        <w:rPr>
          <w:rFonts w:ascii="Arial" w:hAnsi="Arial" w:cs="Arial"/>
        </w:rPr>
        <w:t>(Jones et al., 2024)</w:t>
      </w:r>
      <w:r w:rsidRPr="00251200">
        <w:rPr>
          <w:rFonts w:ascii="Arial" w:hAnsi="Arial" w:cs="Arial"/>
        </w:rPr>
        <w:t>.</w:t>
      </w:r>
    </w:p>
    <w:p w14:paraId="52E4DBFD" w14:textId="7D6B1AA0" w:rsidR="00251200" w:rsidRPr="00206A5F" w:rsidRDefault="00251200" w:rsidP="00B62219">
      <w:pPr>
        <w:pStyle w:val="Heading2"/>
      </w:pPr>
      <w:bookmarkStart w:id="10" w:name="_Toc215996645"/>
      <w:r w:rsidRPr="00206A5F">
        <w:rPr>
          <w:rFonts w:eastAsiaTheme="majorEastAsia"/>
        </w:rPr>
        <w:t>2.</w:t>
      </w:r>
      <w:r w:rsidR="00B62219" w:rsidRPr="00206A5F">
        <w:t>5</w:t>
      </w:r>
      <w:r w:rsidRPr="00206A5F">
        <w:rPr>
          <w:rFonts w:eastAsiaTheme="majorEastAsia"/>
        </w:rPr>
        <w:t xml:space="preserve"> SWOT Analysis of the NHS Context</w:t>
      </w:r>
      <w:bookmarkEnd w:id="10"/>
    </w:p>
    <w:p w14:paraId="30D85E37" w14:textId="57579ABD" w:rsidR="00251200" w:rsidRPr="00251200" w:rsidRDefault="00251200" w:rsidP="00324545">
      <w:pPr>
        <w:spacing w:line="360" w:lineRule="auto"/>
        <w:jc w:val="both"/>
        <w:rPr>
          <w:rFonts w:ascii="Arial" w:hAnsi="Arial" w:cs="Arial"/>
        </w:rPr>
      </w:pPr>
      <w:r w:rsidRPr="00251200">
        <w:rPr>
          <w:rFonts w:ascii="Arial" w:hAnsi="Arial" w:cs="Arial"/>
        </w:rPr>
        <w:t>A SWOT analysis provides insight into internal capabilities and external influences shaping medication reconciliation practice within the NHS. Strengths include established clinical governance structures and national policy frameworks supporting medication safety, aligning with WHO initiatives to reduce harm through safer prescribing (</w:t>
      </w:r>
      <w:proofErr w:type="spellStart"/>
      <w:r w:rsidRPr="00251200">
        <w:rPr>
          <w:rFonts w:ascii="Arial" w:hAnsi="Arial" w:cs="Arial"/>
        </w:rPr>
        <w:t>Spinewine</w:t>
      </w:r>
      <w:proofErr w:type="spellEnd"/>
      <w:r w:rsidRPr="00251200">
        <w:rPr>
          <w:rFonts w:ascii="Arial" w:hAnsi="Arial" w:cs="Arial"/>
        </w:rPr>
        <w:t xml:space="preserve"> et al., 2021). The NHS is currently undergoing large-scale digital transformation, including the rollout of Electronic Prescribing and Medicines Administration (EPMA) and barcode scanning</w:t>
      </w:r>
      <w:r w:rsidR="00324545" w:rsidRPr="00206A5F">
        <w:rPr>
          <w:rFonts w:ascii="Arial" w:hAnsi="Arial" w:cs="Arial"/>
        </w:rPr>
        <w:t xml:space="preserve">, </w:t>
      </w:r>
      <w:r w:rsidRPr="00251200">
        <w:rPr>
          <w:rFonts w:ascii="Arial" w:hAnsi="Arial" w:cs="Arial"/>
        </w:rPr>
        <w:t>technologies shown to reduce prescribing errors and support real-time verification (Naseralallah et al., 2023). These strengths indicate a system with foundational support for improvement and safety culture development, reinforcing the potential for successful implementation of structured reconciliation interventions.</w:t>
      </w:r>
    </w:p>
    <w:p w14:paraId="77A32DA2" w14:textId="12B925C9" w:rsidR="00251200" w:rsidRPr="00206A5F" w:rsidRDefault="00251200" w:rsidP="00324545">
      <w:pPr>
        <w:spacing w:line="360" w:lineRule="auto"/>
        <w:jc w:val="both"/>
        <w:rPr>
          <w:rFonts w:ascii="Arial" w:hAnsi="Arial" w:cs="Arial"/>
        </w:rPr>
      </w:pPr>
      <w:r w:rsidRPr="00251200">
        <w:rPr>
          <w:rFonts w:ascii="Arial" w:hAnsi="Arial" w:cs="Arial"/>
        </w:rPr>
        <w:t>However, several weaknesses and external threats limit progress. Workforce shortages, staff burnout, fragmented digital systems, and variability in medication safety standards across Trusts remain key internal barriers (Jones et al., 2024). A culture of fear and blame also discourages error reporting, restricting learning and continuous improvement (Ayre et al., 2023). Externally, an ageing population, rising multimorbidity, increasing polypharmacy, and growing demand place significant pressure on medication systems (</w:t>
      </w:r>
      <w:proofErr w:type="spellStart"/>
      <w:r w:rsidRPr="00251200">
        <w:rPr>
          <w:rFonts w:ascii="Arial" w:hAnsi="Arial" w:cs="Arial"/>
        </w:rPr>
        <w:t>Alrashidi</w:t>
      </w:r>
      <w:proofErr w:type="spellEnd"/>
      <w:r w:rsidRPr="00251200">
        <w:rPr>
          <w:rFonts w:ascii="Arial" w:hAnsi="Arial" w:cs="Arial"/>
        </w:rPr>
        <w:t xml:space="preserve"> et al., 2024). Despite these challenges, opportunities exist through advancing digital tools such as AI-assisted reconciliation, improved interoperability across care sectors, and the potential for national standardisation of medication safety processes (</w:t>
      </w:r>
      <w:proofErr w:type="spellStart"/>
      <w:r w:rsidRPr="00251200">
        <w:rPr>
          <w:rFonts w:ascii="Arial" w:hAnsi="Arial" w:cs="Arial"/>
        </w:rPr>
        <w:t>Spinewine</w:t>
      </w:r>
      <w:proofErr w:type="spellEnd"/>
      <w:r w:rsidRPr="00251200">
        <w:rPr>
          <w:rFonts w:ascii="Arial" w:hAnsi="Arial" w:cs="Arial"/>
        </w:rPr>
        <w:t xml:space="preserve"> et al., 2021). The SWOT analysis</w:t>
      </w:r>
      <w:r w:rsidR="00324545" w:rsidRPr="00206A5F">
        <w:rPr>
          <w:rFonts w:ascii="Arial" w:hAnsi="Arial" w:cs="Arial"/>
        </w:rPr>
        <w:t>,</w:t>
      </w:r>
      <w:r w:rsidRPr="00251200">
        <w:rPr>
          <w:rFonts w:ascii="Arial" w:hAnsi="Arial" w:cs="Arial"/>
        </w:rPr>
        <w:t xml:space="preserve"> therefore</w:t>
      </w:r>
      <w:r w:rsidR="00324545" w:rsidRPr="00206A5F">
        <w:rPr>
          <w:rFonts w:ascii="Arial" w:hAnsi="Arial" w:cs="Arial"/>
        </w:rPr>
        <w:t>,</w:t>
      </w:r>
      <w:r w:rsidRPr="00251200">
        <w:rPr>
          <w:rFonts w:ascii="Arial" w:hAnsi="Arial" w:cs="Arial"/>
        </w:rPr>
        <w:t xml:space="preserve"> highlights a critical need for investment in technology, workforce </w:t>
      </w:r>
      <w:r w:rsidRPr="00251200">
        <w:rPr>
          <w:rFonts w:ascii="Arial" w:hAnsi="Arial" w:cs="Arial"/>
        </w:rPr>
        <w:lastRenderedPageBreak/>
        <w:t>development, and cultural change to improve medication reconciliation and strengthen patient safety across the NHS.</w:t>
      </w:r>
    </w:p>
    <w:p w14:paraId="12CB65EC" w14:textId="16B5E661" w:rsidR="00324545" w:rsidRPr="00206A5F" w:rsidRDefault="00B62219" w:rsidP="00B62219">
      <w:pPr>
        <w:pStyle w:val="Heading2"/>
      </w:pPr>
      <w:bookmarkStart w:id="11" w:name="_Toc215996646"/>
      <w:r w:rsidRPr="00206A5F">
        <w:t xml:space="preserve">2.6 </w:t>
      </w:r>
      <w:r w:rsidR="00324545" w:rsidRPr="00206A5F">
        <w:t>Application of the Six Sigma Model</w:t>
      </w:r>
      <w:bookmarkEnd w:id="11"/>
    </w:p>
    <w:p w14:paraId="4FF66075" w14:textId="77777777" w:rsidR="00C919E5" w:rsidRDefault="00324545" w:rsidP="00324545">
      <w:pPr>
        <w:spacing w:line="360" w:lineRule="auto"/>
        <w:jc w:val="both"/>
        <w:rPr>
          <w:rFonts w:ascii="Arial" w:hAnsi="Arial" w:cs="Arial"/>
        </w:rPr>
      </w:pPr>
      <w:r w:rsidRPr="00324545">
        <w:rPr>
          <w:rFonts w:ascii="Arial" w:hAnsi="Arial" w:cs="Arial"/>
        </w:rPr>
        <w:t>Six Sigma is a data-driven quality improvement methodology designed to reduce variability and prevent defects by improving the reliability and standardisation of processes</w:t>
      </w:r>
      <w:r w:rsidR="00B267A2" w:rsidRPr="008F430A">
        <w:rPr>
          <w:rFonts w:ascii="Arial" w:hAnsi="Arial" w:cs="Arial"/>
        </w:rPr>
        <w:t xml:space="preserve"> </w:t>
      </w:r>
      <w:r w:rsidR="00B267A2" w:rsidRPr="00324545">
        <w:rPr>
          <w:rFonts w:ascii="Arial" w:hAnsi="Arial" w:cs="Arial"/>
        </w:rPr>
        <w:t>(</w:t>
      </w:r>
      <w:proofErr w:type="spellStart"/>
      <w:r w:rsidRPr="00384E40">
        <w:rPr>
          <w:rFonts w:ascii="Arial" w:hAnsi="Arial" w:cs="Arial"/>
        </w:rPr>
        <w:t>Ashgar</w:t>
      </w:r>
      <w:proofErr w:type="spellEnd"/>
      <w:r w:rsidR="00B267A2" w:rsidRPr="008F430A">
        <w:rPr>
          <w:rFonts w:ascii="Arial" w:hAnsi="Arial" w:cs="Arial"/>
        </w:rPr>
        <w:t xml:space="preserve"> </w:t>
      </w:r>
      <w:r w:rsidR="00B267A2" w:rsidRPr="00324545">
        <w:rPr>
          <w:rFonts w:ascii="Arial" w:hAnsi="Arial" w:cs="Arial"/>
        </w:rPr>
        <w:t>et al., 20</w:t>
      </w:r>
      <w:r w:rsidR="00B267A2" w:rsidRPr="008F430A">
        <w:rPr>
          <w:rFonts w:ascii="Arial" w:hAnsi="Arial" w:cs="Arial"/>
        </w:rPr>
        <w:t>25</w:t>
      </w:r>
      <w:r w:rsidR="00B267A2" w:rsidRPr="00324545">
        <w:rPr>
          <w:rFonts w:ascii="Arial" w:hAnsi="Arial" w:cs="Arial"/>
        </w:rPr>
        <w:t>)</w:t>
      </w:r>
      <w:r w:rsidRPr="00324545">
        <w:rPr>
          <w:rFonts w:ascii="Arial" w:hAnsi="Arial" w:cs="Arial"/>
        </w:rPr>
        <w:t>. It is widely used in healthcare settings to enhance patient safety, streamline workflows, and reduce avoidable errors. The DMAIC framework</w:t>
      </w:r>
      <w:r w:rsidRPr="008F430A">
        <w:rPr>
          <w:rFonts w:ascii="Arial" w:hAnsi="Arial" w:cs="Arial"/>
        </w:rPr>
        <w:t xml:space="preserve">, </w:t>
      </w:r>
      <w:r w:rsidRPr="00324545">
        <w:rPr>
          <w:rFonts w:ascii="Arial" w:hAnsi="Arial" w:cs="Arial"/>
        </w:rPr>
        <w:t>Define, Measure, Analyse, Improve, and Control</w:t>
      </w:r>
      <w:r w:rsidRPr="008F430A">
        <w:rPr>
          <w:rFonts w:ascii="Arial" w:hAnsi="Arial" w:cs="Arial"/>
        </w:rPr>
        <w:t xml:space="preserve">, </w:t>
      </w:r>
      <w:r w:rsidRPr="00324545">
        <w:rPr>
          <w:rFonts w:ascii="Arial" w:hAnsi="Arial" w:cs="Arial"/>
        </w:rPr>
        <w:t>provides a structured approach to identifying the root causes of safety incidents and implementing sustainable solutions</w:t>
      </w:r>
      <w:r w:rsidR="008F430A">
        <w:rPr>
          <w:rFonts w:ascii="Arial" w:hAnsi="Arial" w:cs="Arial"/>
        </w:rPr>
        <w:t xml:space="preserve"> (</w:t>
      </w:r>
      <w:r w:rsidR="008F430A" w:rsidRPr="008F430A">
        <w:rPr>
          <w:rFonts w:ascii="Arial" w:hAnsi="Arial" w:cs="Arial"/>
        </w:rPr>
        <w:t>Zhao</w:t>
      </w:r>
      <w:r w:rsidR="008F430A">
        <w:rPr>
          <w:rFonts w:ascii="Arial" w:hAnsi="Arial" w:cs="Arial"/>
        </w:rPr>
        <w:t xml:space="preserve"> et al, 2025)</w:t>
      </w:r>
      <w:r w:rsidRPr="00324545">
        <w:rPr>
          <w:rFonts w:ascii="Arial" w:hAnsi="Arial" w:cs="Arial"/>
        </w:rPr>
        <w:t xml:space="preserve">. </w:t>
      </w:r>
    </w:p>
    <w:p w14:paraId="76DC3657" w14:textId="687D4E37" w:rsidR="00324545" w:rsidRPr="00324545" w:rsidRDefault="00324545" w:rsidP="00324545">
      <w:pPr>
        <w:spacing w:line="360" w:lineRule="auto"/>
        <w:jc w:val="both"/>
        <w:rPr>
          <w:rFonts w:ascii="Arial" w:hAnsi="Arial" w:cs="Arial"/>
        </w:rPr>
      </w:pPr>
      <w:r w:rsidRPr="00324545">
        <w:rPr>
          <w:rFonts w:ascii="Arial" w:hAnsi="Arial" w:cs="Arial"/>
        </w:rPr>
        <w:t>Applying Six Sigma to medication reconciliation supports the shift from reactive problem-solving to proactive system redesign, aligning with evidence-based improvement approaches endorsed in high-performing healthcare systems (</w:t>
      </w:r>
      <w:r w:rsidR="00D06708" w:rsidRPr="008F430A">
        <w:rPr>
          <w:rFonts w:ascii="Arial" w:hAnsi="Arial" w:cs="Arial"/>
        </w:rPr>
        <w:t>Sallam, 2024</w:t>
      </w:r>
      <w:r w:rsidRPr="00324545">
        <w:rPr>
          <w:rFonts w:ascii="Arial" w:hAnsi="Arial" w:cs="Arial"/>
        </w:rPr>
        <w:t>). This model therefore offers a rigorous mechanism for addressing duplication, omission, and inaccurate medication histories, which remain common sources of preventable harm during transitions of care</w:t>
      </w:r>
      <w:r w:rsidR="00E00438">
        <w:rPr>
          <w:rFonts w:ascii="Arial" w:hAnsi="Arial" w:cs="Arial"/>
        </w:rPr>
        <w:t xml:space="preserve"> </w:t>
      </w:r>
      <w:r w:rsidR="00E00438" w:rsidRPr="00324545">
        <w:rPr>
          <w:rFonts w:ascii="Arial" w:hAnsi="Arial" w:cs="Arial"/>
        </w:rPr>
        <w:t>(</w:t>
      </w:r>
      <w:proofErr w:type="spellStart"/>
      <w:r w:rsidRPr="00384E40">
        <w:rPr>
          <w:rFonts w:ascii="Arial" w:hAnsi="Arial" w:cs="Arial"/>
        </w:rPr>
        <w:t>Ashgar</w:t>
      </w:r>
      <w:proofErr w:type="spellEnd"/>
      <w:r w:rsidR="00E00438" w:rsidRPr="008F430A">
        <w:rPr>
          <w:rFonts w:ascii="Arial" w:hAnsi="Arial" w:cs="Arial"/>
        </w:rPr>
        <w:t xml:space="preserve"> </w:t>
      </w:r>
      <w:r w:rsidR="00E00438" w:rsidRPr="00324545">
        <w:rPr>
          <w:rFonts w:ascii="Arial" w:hAnsi="Arial" w:cs="Arial"/>
        </w:rPr>
        <w:t>et al., 20</w:t>
      </w:r>
      <w:r w:rsidR="00E00438" w:rsidRPr="008F430A">
        <w:rPr>
          <w:rFonts w:ascii="Arial" w:hAnsi="Arial" w:cs="Arial"/>
        </w:rPr>
        <w:t>25</w:t>
      </w:r>
      <w:r w:rsidR="00E00438" w:rsidRPr="00324545">
        <w:rPr>
          <w:rFonts w:ascii="Arial" w:hAnsi="Arial" w:cs="Arial"/>
        </w:rPr>
        <w:t>)</w:t>
      </w:r>
      <w:r w:rsidRPr="00324545">
        <w:rPr>
          <w:rFonts w:ascii="Arial" w:hAnsi="Arial" w:cs="Arial"/>
        </w:rPr>
        <w:t>.</w:t>
      </w:r>
    </w:p>
    <w:p w14:paraId="791D9D77" w14:textId="396706DE" w:rsidR="00324545" w:rsidRPr="00324545" w:rsidRDefault="00324545" w:rsidP="00324545">
      <w:pPr>
        <w:spacing w:line="360" w:lineRule="auto"/>
        <w:jc w:val="both"/>
        <w:rPr>
          <w:rFonts w:ascii="Arial" w:hAnsi="Arial" w:cs="Arial"/>
        </w:rPr>
      </w:pPr>
      <w:r w:rsidRPr="00324545">
        <w:rPr>
          <w:rFonts w:ascii="Arial" w:hAnsi="Arial" w:cs="Arial"/>
          <w:b/>
          <w:bCs/>
        </w:rPr>
        <w:t>Define:</w:t>
      </w:r>
      <w:r w:rsidRPr="008F430A">
        <w:rPr>
          <w:rFonts w:ascii="Arial" w:hAnsi="Arial" w:cs="Arial"/>
        </w:rPr>
        <w:t xml:space="preserve"> </w:t>
      </w:r>
      <w:r w:rsidRPr="00324545">
        <w:rPr>
          <w:rFonts w:ascii="Arial" w:hAnsi="Arial" w:cs="Arial"/>
        </w:rPr>
        <w:t>The problem is clearly defined as medication reconciliation failures leading to prescribing duplication, omissions, and variability in practice. Stakeholders, process boundaries, and expected outcomes are identified</w:t>
      </w:r>
      <w:r w:rsidR="00C919E5">
        <w:rPr>
          <w:rFonts w:ascii="Arial" w:hAnsi="Arial" w:cs="Arial"/>
        </w:rPr>
        <w:t xml:space="preserve"> (</w:t>
      </w:r>
      <w:r w:rsidR="00C919E5" w:rsidRPr="008F430A">
        <w:rPr>
          <w:rFonts w:ascii="Arial" w:hAnsi="Arial" w:cs="Arial"/>
        </w:rPr>
        <w:t>Zhao</w:t>
      </w:r>
      <w:r w:rsidR="00C919E5">
        <w:rPr>
          <w:rFonts w:ascii="Arial" w:hAnsi="Arial" w:cs="Arial"/>
        </w:rPr>
        <w:t xml:space="preserve"> et al, 2025)</w:t>
      </w:r>
      <w:r w:rsidRPr="00324545">
        <w:rPr>
          <w:rFonts w:ascii="Arial" w:hAnsi="Arial" w:cs="Arial"/>
        </w:rPr>
        <w:t>.</w:t>
      </w:r>
    </w:p>
    <w:p w14:paraId="002ED3CC" w14:textId="194270F2" w:rsidR="00324545" w:rsidRPr="00324545" w:rsidRDefault="00324545" w:rsidP="00324545">
      <w:pPr>
        <w:spacing w:line="360" w:lineRule="auto"/>
        <w:jc w:val="both"/>
        <w:rPr>
          <w:rFonts w:ascii="Arial" w:hAnsi="Arial" w:cs="Arial"/>
        </w:rPr>
      </w:pPr>
      <w:r w:rsidRPr="00324545">
        <w:rPr>
          <w:rFonts w:ascii="Arial" w:hAnsi="Arial" w:cs="Arial"/>
          <w:b/>
          <w:bCs/>
        </w:rPr>
        <w:t>Measure:</w:t>
      </w:r>
      <w:r w:rsidRPr="008F430A">
        <w:rPr>
          <w:rFonts w:ascii="Arial" w:hAnsi="Arial" w:cs="Arial"/>
        </w:rPr>
        <w:t xml:space="preserve"> </w:t>
      </w:r>
      <w:r w:rsidRPr="00324545">
        <w:rPr>
          <w:rFonts w:ascii="Arial" w:hAnsi="Arial" w:cs="Arial"/>
        </w:rPr>
        <w:t>Data on error frequency, near misses, documentation completeness, and time spent completing reconciliation are collected to establish a baseline (</w:t>
      </w:r>
      <w:proofErr w:type="spellStart"/>
      <w:r w:rsidRPr="00384E40">
        <w:rPr>
          <w:rFonts w:ascii="Arial" w:hAnsi="Arial" w:cs="Arial"/>
        </w:rPr>
        <w:t>Ashgar</w:t>
      </w:r>
      <w:proofErr w:type="spellEnd"/>
      <w:r w:rsidR="00AD0095" w:rsidRPr="008F430A">
        <w:rPr>
          <w:rFonts w:ascii="Arial" w:hAnsi="Arial" w:cs="Arial"/>
        </w:rPr>
        <w:t xml:space="preserve"> </w:t>
      </w:r>
      <w:r w:rsidRPr="00324545">
        <w:rPr>
          <w:rFonts w:ascii="Arial" w:hAnsi="Arial" w:cs="Arial"/>
        </w:rPr>
        <w:t>et al., 20</w:t>
      </w:r>
      <w:r w:rsidR="00AD0095" w:rsidRPr="008F430A">
        <w:rPr>
          <w:rFonts w:ascii="Arial" w:hAnsi="Arial" w:cs="Arial"/>
        </w:rPr>
        <w:t>25</w:t>
      </w:r>
      <w:r w:rsidRPr="00324545">
        <w:rPr>
          <w:rFonts w:ascii="Arial" w:hAnsi="Arial" w:cs="Arial"/>
        </w:rPr>
        <w:t>).</w:t>
      </w:r>
    </w:p>
    <w:p w14:paraId="1F7FEC70" w14:textId="45517805" w:rsidR="00324545" w:rsidRPr="00324545" w:rsidRDefault="00324545" w:rsidP="00324545">
      <w:pPr>
        <w:spacing w:line="360" w:lineRule="auto"/>
        <w:jc w:val="both"/>
        <w:rPr>
          <w:rFonts w:ascii="Arial" w:hAnsi="Arial" w:cs="Arial"/>
        </w:rPr>
      </w:pPr>
      <w:r w:rsidRPr="00324545">
        <w:rPr>
          <w:rFonts w:ascii="Arial" w:hAnsi="Arial" w:cs="Arial"/>
          <w:b/>
          <w:bCs/>
        </w:rPr>
        <w:t>Analyse:</w:t>
      </w:r>
      <w:r w:rsidRPr="008F430A">
        <w:rPr>
          <w:rFonts w:ascii="Arial" w:hAnsi="Arial" w:cs="Arial"/>
        </w:rPr>
        <w:t xml:space="preserve"> </w:t>
      </w:r>
      <w:r w:rsidRPr="00324545">
        <w:rPr>
          <w:rFonts w:ascii="Arial" w:hAnsi="Arial" w:cs="Arial"/>
        </w:rPr>
        <w:t>The data are examined using tools such as variation mapping and statistical analysis to determine contributing factors</w:t>
      </w:r>
      <w:r w:rsidRPr="008F430A">
        <w:rPr>
          <w:rFonts w:ascii="Arial" w:hAnsi="Arial" w:cs="Arial"/>
        </w:rPr>
        <w:t>,</w:t>
      </w:r>
      <w:r w:rsidRPr="00324545">
        <w:rPr>
          <w:rFonts w:ascii="Arial" w:hAnsi="Arial" w:cs="Arial"/>
        </w:rPr>
        <w:t xml:space="preserve"> including staffing variation, workflow inconsistencies, and technological limitations</w:t>
      </w:r>
      <w:r w:rsidR="00C919E5">
        <w:rPr>
          <w:rFonts w:ascii="Arial" w:hAnsi="Arial" w:cs="Arial"/>
        </w:rPr>
        <w:t xml:space="preserve"> </w:t>
      </w:r>
      <w:r w:rsidR="00C919E5" w:rsidRPr="00324545">
        <w:rPr>
          <w:rFonts w:ascii="Arial" w:hAnsi="Arial" w:cs="Arial"/>
        </w:rPr>
        <w:t>(</w:t>
      </w:r>
      <w:r w:rsidR="00C919E5" w:rsidRPr="008F430A">
        <w:rPr>
          <w:rFonts w:ascii="Arial" w:hAnsi="Arial" w:cs="Arial"/>
        </w:rPr>
        <w:t>Sallam, 2024</w:t>
      </w:r>
      <w:r w:rsidR="00C919E5" w:rsidRPr="00324545">
        <w:rPr>
          <w:rFonts w:ascii="Arial" w:hAnsi="Arial" w:cs="Arial"/>
        </w:rPr>
        <w:t>)</w:t>
      </w:r>
      <w:r w:rsidRPr="00324545">
        <w:rPr>
          <w:rFonts w:ascii="Arial" w:hAnsi="Arial" w:cs="Arial"/>
        </w:rPr>
        <w:t>.</w:t>
      </w:r>
    </w:p>
    <w:p w14:paraId="099E486E" w14:textId="5D77E84A" w:rsidR="00324545" w:rsidRPr="00324545" w:rsidRDefault="00324545" w:rsidP="00324545">
      <w:pPr>
        <w:spacing w:line="360" w:lineRule="auto"/>
        <w:jc w:val="both"/>
        <w:rPr>
          <w:rFonts w:ascii="Arial" w:hAnsi="Arial" w:cs="Arial"/>
        </w:rPr>
      </w:pPr>
      <w:r w:rsidRPr="00324545">
        <w:rPr>
          <w:rFonts w:ascii="Arial" w:hAnsi="Arial" w:cs="Arial"/>
          <w:b/>
          <w:bCs/>
        </w:rPr>
        <w:t>Improve:</w:t>
      </w:r>
      <w:r w:rsidRPr="008F430A">
        <w:rPr>
          <w:rFonts w:ascii="Arial" w:hAnsi="Arial" w:cs="Arial"/>
        </w:rPr>
        <w:t xml:space="preserve"> </w:t>
      </w:r>
      <w:r w:rsidRPr="00324545">
        <w:rPr>
          <w:rFonts w:ascii="Arial" w:hAnsi="Arial" w:cs="Arial"/>
        </w:rPr>
        <w:t>Targeted interventions</w:t>
      </w:r>
      <w:r w:rsidR="00B267A2" w:rsidRPr="008F430A">
        <w:rPr>
          <w:rFonts w:ascii="Arial" w:hAnsi="Arial" w:cs="Arial"/>
        </w:rPr>
        <w:t xml:space="preserve">, </w:t>
      </w:r>
      <w:r w:rsidRPr="00324545">
        <w:rPr>
          <w:rFonts w:ascii="Arial" w:hAnsi="Arial" w:cs="Arial"/>
        </w:rPr>
        <w:t>such as standardised workflows, checklists, system interoperability improvements, and enhanced training</w:t>
      </w:r>
      <w:r w:rsidR="00B267A2" w:rsidRPr="008F430A">
        <w:rPr>
          <w:rFonts w:ascii="Arial" w:hAnsi="Arial" w:cs="Arial"/>
        </w:rPr>
        <w:t xml:space="preserve">, </w:t>
      </w:r>
      <w:r w:rsidRPr="00324545">
        <w:rPr>
          <w:rFonts w:ascii="Arial" w:hAnsi="Arial" w:cs="Arial"/>
        </w:rPr>
        <w:t>are implemented to reduce error probability</w:t>
      </w:r>
      <w:r w:rsidR="00B267A2" w:rsidRPr="008F430A">
        <w:rPr>
          <w:rFonts w:ascii="Arial" w:hAnsi="Arial" w:cs="Arial"/>
        </w:rPr>
        <w:t xml:space="preserve"> </w:t>
      </w:r>
      <w:r w:rsidR="00B267A2" w:rsidRPr="00324545">
        <w:rPr>
          <w:rFonts w:ascii="Arial" w:hAnsi="Arial" w:cs="Arial"/>
        </w:rPr>
        <w:t>(</w:t>
      </w:r>
      <w:proofErr w:type="spellStart"/>
      <w:r w:rsidRPr="00384E40">
        <w:rPr>
          <w:rFonts w:ascii="Arial" w:hAnsi="Arial" w:cs="Arial"/>
        </w:rPr>
        <w:t>Ashgar</w:t>
      </w:r>
      <w:proofErr w:type="spellEnd"/>
      <w:r w:rsidR="00B267A2" w:rsidRPr="008F430A">
        <w:rPr>
          <w:rFonts w:ascii="Arial" w:hAnsi="Arial" w:cs="Arial"/>
        </w:rPr>
        <w:t xml:space="preserve"> </w:t>
      </w:r>
      <w:r w:rsidR="00B267A2" w:rsidRPr="00324545">
        <w:rPr>
          <w:rFonts w:ascii="Arial" w:hAnsi="Arial" w:cs="Arial"/>
        </w:rPr>
        <w:t>et al., 20</w:t>
      </w:r>
      <w:r w:rsidR="00B267A2" w:rsidRPr="008F430A">
        <w:rPr>
          <w:rFonts w:ascii="Arial" w:hAnsi="Arial" w:cs="Arial"/>
        </w:rPr>
        <w:t>25</w:t>
      </w:r>
      <w:r w:rsidR="00B267A2" w:rsidRPr="00324545">
        <w:rPr>
          <w:rFonts w:ascii="Arial" w:hAnsi="Arial" w:cs="Arial"/>
        </w:rPr>
        <w:t>)</w:t>
      </w:r>
      <w:r w:rsidRPr="00324545">
        <w:rPr>
          <w:rFonts w:ascii="Arial" w:hAnsi="Arial" w:cs="Arial"/>
        </w:rPr>
        <w:t>.</w:t>
      </w:r>
    </w:p>
    <w:p w14:paraId="184D4741" w14:textId="0E3F0D00" w:rsidR="00324545" w:rsidRPr="00324545" w:rsidRDefault="00324545" w:rsidP="00324545">
      <w:pPr>
        <w:spacing w:line="360" w:lineRule="auto"/>
        <w:jc w:val="both"/>
        <w:rPr>
          <w:rFonts w:ascii="Arial" w:hAnsi="Arial" w:cs="Arial"/>
        </w:rPr>
      </w:pPr>
      <w:r w:rsidRPr="00324545">
        <w:rPr>
          <w:rFonts w:ascii="Arial" w:hAnsi="Arial" w:cs="Arial"/>
          <w:b/>
          <w:bCs/>
        </w:rPr>
        <w:t>Control:</w:t>
      </w:r>
      <w:r w:rsidRPr="008F430A">
        <w:rPr>
          <w:rFonts w:ascii="Arial" w:hAnsi="Arial" w:cs="Arial"/>
        </w:rPr>
        <w:t xml:space="preserve"> </w:t>
      </w:r>
      <w:r w:rsidRPr="00324545">
        <w:rPr>
          <w:rFonts w:ascii="Arial" w:hAnsi="Arial" w:cs="Arial"/>
        </w:rPr>
        <w:t xml:space="preserve">Ongoing auditing, performance dashboards, and continuous training ensure that improvements are </w:t>
      </w:r>
      <w:proofErr w:type="gramStart"/>
      <w:r w:rsidRPr="00324545">
        <w:rPr>
          <w:rFonts w:ascii="Arial" w:hAnsi="Arial" w:cs="Arial"/>
        </w:rPr>
        <w:t>sustained</w:t>
      </w:r>
      <w:proofErr w:type="gramEnd"/>
      <w:r w:rsidRPr="00324545">
        <w:rPr>
          <w:rFonts w:ascii="Arial" w:hAnsi="Arial" w:cs="Arial"/>
        </w:rPr>
        <w:t xml:space="preserve"> and variation does not re-emerge</w:t>
      </w:r>
      <w:r w:rsidR="00C919E5">
        <w:rPr>
          <w:rFonts w:ascii="Arial" w:hAnsi="Arial" w:cs="Arial"/>
        </w:rPr>
        <w:t xml:space="preserve"> </w:t>
      </w:r>
      <w:r w:rsidR="00C919E5" w:rsidRPr="00324545">
        <w:rPr>
          <w:rFonts w:ascii="Arial" w:hAnsi="Arial" w:cs="Arial"/>
        </w:rPr>
        <w:t>(</w:t>
      </w:r>
      <w:r w:rsidR="00C919E5" w:rsidRPr="008F430A">
        <w:rPr>
          <w:rFonts w:ascii="Arial" w:hAnsi="Arial" w:cs="Arial"/>
        </w:rPr>
        <w:t>Sallam, 2024</w:t>
      </w:r>
      <w:r w:rsidR="00C919E5" w:rsidRPr="00324545">
        <w:rPr>
          <w:rFonts w:ascii="Arial" w:hAnsi="Arial" w:cs="Arial"/>
        </w:rPr>
        <w:t>)</w:t>
      </w:r>
      <w:r w:rsidRPr="00324545">
        <w:rPr>
          <w:rFonts w:ascii="Arial" w:hAnsi="Arial" w:cs="Arial"/>
        </w:rPr>
        <w:t>.</w:t>
      </w:r>
    </w:p>
    <w:p w14:paraId="3CAF9BC2" w14:textId="2E1C4B33" w:rsidR="00324545" w:rsidRPr="008F430A" w:rsidRDefault="00324545" w:rsidP="00324545">
      <w:pPr>
        <w:spacing w:line="360" w:lineRule="auto"/>
        <w:jc w:val="both"/>
        <w:rPr>
          <w:rFonts w:ascii="Arial" w:hAnsi="Arial" w:cs="Arial"/>
        </w:rPr>
      </w:pPr>
      <w:r w:rsidRPr="00324545">
        <w:rPr>
          <w:rFonts w:ascii="Arial" w:hAnsi="Arial" w:cs="Arial"/>
        </w:rPr>
        <w:lastRenderedPageBreak/>
        <w:t>By applying Six Sigma, the organisation moves toward high reliability, reduced risk, and consistent delivery of safe medication practices, addressing variability at both operational and strategic levels.</w:t>
      </w:r>
    </w:p>
    <w:p w14:paraId="5398EF3E" w14:textId="6AD1AA1D" w:rsidR="00324545" w:rsidRPr="000503AB" w:rsidRDefault="00324545" w:rsidP="00B62219">
      <w:pPr>
        <w:pStyle w:val="Heading1"/>
        <w:rPr>
          <w:rFonts w:cs="Arial"/>
        </w:rPr>
      </w:pPr>
      <w:bookmarkStart w:id="12" w:name="_Toc215996647"/>
      <w:r w:rsidRPr="00206A5F">
        <w:t>3</w:t>
      </w:r>
      <w:r w:rsidRPr="000503AB">
        <w:rPr>
          <w:rFonts w:cs="Arial"/>
        </w:rPr>
        <w:t>. Recommendations</w:t>
      </w:r>
      <w:bookmarkEnd w:id="12"/>
      <w:r w:rsidRPr="000503AB">
        <w:rPr>
          <w:rFonts w:cs="Arial"/>
        </w:rPr>
        <w:t xml:space="preserve"> </w:t>
      </w:r>
    </w:p>
    <w:p w14:paraId="16CE0A6D" w14:textId="31B557DA" w:rsidR="00324545" w:rsidRPr="00324545" w:rsidRDefault="00324545" w:rsidP="00324545">
      <w:pPr>
        <w:spacing w:line="360" w:lineRule="auto"/>
        <w:jc w:val="both"/>
        <w:rPr>
          <w:rFonts w:ascii="Arial" w:hAnsi="Arial" w:cs="Arial"/>
        </w:rPr>
      </w:pPr>
      <w:r w:rsidRPr="00324545">
        <w:rPr>
          <w:rFonts w:ascii="Arial" w:hAnsi="Arial" w:cs="Arial"/>
        </w:rPr>
        <w:t>Improving medication reconciliation requires a coordinated, system-level strategy informed by quality improvement frameworks. The analysis using the Fishbone Diagram, Donabedian Model, Six Sigma and Five Whys confirms that the issue arises from structural weakness, inconsistent processes, staffing limitations, and fragmented technology rather than individual clinical error (Ayre et al., 2023</w:t>
      </w:r>
      <w:r w:rsidR="00CD3BA0" w:rsidRPr="000503AB">
        <w:rPr>
          <w:rFonts w:ascii="Arial" w:hAnsi="Arial" w:cs="Arial"/>
        </w:rPr>
        <w:t>)</w:t>
      </w:r>
      <w:r w:rsidR="004960C1" w:rsidRPr="000503AB">
        <w:rPr>
          <w:rFonts w:ascii="Arial" w:hAnsi="Arial" w:cs="Arial"/>
        </w:rPr>
        <w:t>.</w:t>
      </w:r>
      <w:r w:rsidRPr="00324545">
        <w:rPr>
          <w:rFonts w:ascii="Arial" w:hAnsi="Arial" w:cs="Arial"/>
        </w:rPr>
        <w:t xml:space="preserve"> Therefore, the recommendations proposed aim to standardise practice, optimise workforce capacity, enhance digital interoperability and strengthen organisational culture to ensure long-term safety and improvement.</w:t>
      </w:r>
    </w:p>
    <w:p w14:paraId="7267D0C5" w14:textId="460EB11A" w:rsidR="00324545" w:rsidRPr="00324545" w:rsidRDefault="00324545" w:rsidP="00324545">
      <w:pPr>
        <w:spacing w:line="360" w:lineRule="auto"/>
        <w:jc w:val="both"/>
        <w:rPr>
          <w:rFonts w:ascii="Arial" w:hAnsi="Arial" w:cs="Arial"/>
          <w:b/>
          <w:bCs/>
        </w:rPr>
      </w:pPr>
      <w:r w:rsidRPr="00324545">
        <w:rPr>
          <w:rFonts w:ascii="Arial" w:hAnsi="Arial" w:cs="Arial"/>
          <w:b/>
          <w:bCs/>
        </w:rPr>
        <w:t>Standardised Medication Reconciliation Process and Checklist</w:t>
      </w:r>
      <w:r w:rsidRPr="000503AB">
        <w:rPr>
          <w:rFonts w:ascii="Arial" w:hAnsi="Arial" w:cs="Arial"/>
          <w:b/>
          <w:bCs/>
        </w:rPr>
        <w:t xml:space="preserve">: </w:t>
      </w:r>
      <w:r w:rsidRPr="00324545">
        <w:rPr>
          <w:rFonts w:ascii="Arial" w:hAnsi="Arial" w:cs="Arial"/>
        </w:rPr>
        <w:t>A consistent and mandatory medication reconciliation workflow should be introduced at admission, transfer and discharge to reduce variability and prevent omission or duplication errors. Incorporating a standardised checklist and clear role allocation</w:t>
      </w:r>
      <w:r w:rsidRPr="000503AB">
        <w:rPr>
          <w:rFonts w:ascii="Arial" w:hAnsi="Arial" w:cs="Arial"/>
        </w:rPr>
        <w:t xml:space="preserve">, </w:t>
      </w:r>
      <w:r w:rsidRPr="00324545">
        <w:rPr>
          <w:rFonts w:ascii="Arial" w:hAnsi="Arial" w:cs="Arial"/>
        </w:rPr>
        <w:t>such as pharmacist-led verification</w:t>
      </w:r>
      <w:r w:rsidRPr="000503AB">
        <w:rPr>
          <w:rFonts w:ascii="Arial" w:hAnsi="Arial" w:cs="Arial"/>
        </w:rPr>
        <w:t xml:space="preserve">, </w:t>
      </w:r>
      <w:r w:rsidRPr="00324545">
        <w:rPr>
          <w:rFonts w:ascii="Arial" w:hAnsi="Arial" w:cs="Arial"/>
        </w:rPr>
        <w:t>will improve accuracy and accountability (</w:t>
      </w:r>
      <w:proofErr w:type="spellStart"/>
      <w:r w:rsidRPr="00324545">
        <w:rPr>
          <w:rFonts w:ascii="Arial" w:hAnsi="Arial" w:cs="Arial"/>
        </w:rPr>
        <w:t>Spinewine</w:t>
      </w:r>
      <w:proofErr w:type="spellEnd"/>
      <w:r w:rsidRPr="00324545">
        <w:rPr>
          <w:rFonts w:ascii="Arial" w:hAnsi="Arial" w:cs="Arial"/>
        </w:rPr>
        <w:t xml:space="preserve"> et al., 2021). Applying PDSA cycles will allow </w:t>
      </w:r>
      <w:proofErr w:type="gramStart"/>
      <w:r w:rsidRPr="00324545">
        <w:rPr>
          <w:rFonts w:ascii="Arial" w:hAnsi="Arial" w:cs="Arial"/>
        </w:rPr>
        <w:t>small controlled</w:t>
      </w:r>
      <w:proofErr w:type="gramEnd"/>
      <w:r w:rsidRPr="00324545">
        <w:rPr>
          <w:rFonts w:ascii="Arial" w:hAnsi="Arial" w:cs="Arial"/>
        </w:rPr>
        <w:t xml:space="preserve"> pilots, feedback collection, and iterative testing before organisation-wide implementation, ensuring the process is workable and sustainable (</w:t>
      </w:r>
      <w:proofErr w:type="spellStart"/>
      <w:r w:rsidRPr="00384E40">
        <w:rPr>
          <w:rFonts w:ascii="Arial" w:hAnsi="Arial" w:cs="Arial"/>
        </w:rPr>
        <w:t>Ashgar</w:t>
      </w:r>
      <w:proofErr w:type="spellEnd"/>
      <w:r w:rsidR="00206A5F" w:rsidRPr="000503AB">
        <w:rPr>
          <w:rFonts w:ascii="Arial" w:hAnsi="Arial" w:cs="Arial"/>
        </w:rPr>
        <w:t xml:space="preserve"> </w:t>
      </w:r>
      <w:r w:rsidR="00206A5F" w:rsidRPr="00324545">
        <w:rPr>
          <w:rFonts w:ascii="Arial" w:hAnsi="Arial" w:cs="Arial"/>
        </w:rPr>
        <w:t>et al., 20</w:t>
      </w:r>
      <w:r w:rsidR="00206A5F" w:rsidRPr="000503AB">
        <w:rPr>
          <w:rFonts w:ascii="Arial" w:hAnsi="Arial" w:cs="Arial"/>
        </w:rPr>
        <w:t>25</w:t>
      </w:r>
      <w:r w:rsidRPr="00324545">
        <w:rPr>
          <w:rFonts w:ascii="Arial" w:hAnsi="Arial" w:cs="Arial"/>
        </w:rPr>
        <w:t>).</w:t>
      </w:r>
    </w:p>
    <w:p w14:paraId="04B8F716" w14:textId="3CACFBE0" w:rsidR="00324545" w:rsidRPr="00324545" w:rsidRDefault="00324545" w:rsidP="00324545">
      <w:pPr>
        <w:spacing w:line="360" w:lineRule="auto"/>
        <w:jc w:val="both"/>
        <w:rPr>
          <w:rFonts w:ascii="Arial" w:hAnsi="Arial" w:cs="Arial"/>
          <w:b/>
          <w:bCs/>
        </w:rPr>
      </w:pPr>
      <w:r w:rsidRPr="00324545">
        <w:rPr>
          <w:rFonts w:ascii="Arial" w:hAnsi="Arial" w:cs="Arial"/>
          <w:b/>
          <w:bCs/>
        </w:rPr>
        <w:t>Strengthening Workforce Capability and Optimised Role Allocation</w:t>
      </w:r>
      <w:r w:rsidRPr="000503AB">
        <w:rPr>
          <w:rFonts w:ascii="Arial" w:hAnsi="Arial" w:cs="Arial"/>
          <w:b/>
          <w:bCs/>
        </w:rPr>
        <w:t xml:space="preserve">: </w:t>
      </w:r>
      <w:r w:rsidRPr="00324545">
        <w:rPr>
          <w:rFonts w:ascii="Arial" w:hAnsi="Arial" w:cs="Arial"/>
        </w:rPr>
        <w:t>Improving staff competence and confidence is essential to reducing discrepancies and variability. Introducing mandatory annual medication safety training and structured supervision for junior clinicians supports safe decision-making and reduces anxiety associated with reconciliation tasks (Ayre et al., 2023). Using Lean methodology to redesign tasks</w:t>
      </w:r>
      <w:r w:rsidRPr="000503AB">
        <w:rPr>
          <w:rFonts w:ascii="Arial" w:hAnsi="Arial" w:cs="Arial"/>
        </w:rPr>
        <w:t xml:space="preserve">, </w:t>
      </w:r>
      <w:r w:rsidRPr="00324545">
        <w:rPr>
          <w:rFonts w:ascii="Arial" w:hAnsi="Arial" w:cs="Arial"/>
        </w:rPr>
        <w:t>such as delegating administrative reconciliation steps to pharmacy technicians</w:t>
      </w:r>
      <w:r w:rsidRPr="000503AB">
        <w:rPr>
          <w:rFonts w:ascii="Arial" w:hAnsi="Arial" w:cs="Arial"/>
        </w:rPr>
        <w:t xml:space="preserve">, </w:t>
      </w:r>
      <w:r w:rsidRPr="00324545">
        <w:rPr>
          <w:rFonts w:ascii="Arial" w:hAnsi="Arial" w:cs="Arial"/>
        </w:rPr>
        <w:t>ensures clinical time is prioritised for higher-risk decisions while reducing duplication and inefficiencies (</w:t>
      </w:r>
      <w:proofErr w:type="spellStart"/>
      <w:r w:rsidRPr="00384E40">
        <w:rPr>
          <w:rFonts w:ascii="Arial" w:hAnsi="Arial" w:cs="Arial"/>
        </w:rPr>
        <w:t>Ashgar</w:t>
      </w:r>
      <w:proofErr w:type="spellEnd"/>
      <w:r w:rsidR="00206A5F" w:rsidRPr="000503AB">
        <w:rPr>
          <w:rFonts w:ascii="Arial" w:hAnsi="Arial" w:cs="Arial"/>
        </w:rPr>
        <w:t xml:space="preserve"> </w:t>
      </w:r>
      <w:r w:rsidR="00206A5F" w:rsidRPr="00324545">
        <w:rPr>
          <w:rFonts w:ascii="Arial" w:hAnsi="Arial" w:cs="Arial"/>
        </w:rPr>
        <w:t>et al., 20</w:t>
      </w:r>
      <w:r w:rsidR="00206A5F" w:rsidRPr="000503AB">
        <w:rPr>
          <w:rFonts w:ascii="Arial" w:hAnsi="Arial" w:cs="Arial"/>
        </w:rPr>
        <w:t>25</w:t>
      </w:r>
      <w:r w:rsidRPr="00324545">
        <w:rPr>
          <w:rFonts w:ascii="Arial" w:hAnsi="Arial" w:cs="Arial"/>
        </w:rPr>
        <w:t>).</w:t>
      </w:r>
    </w:p>
    <w:p w14:paraId="7D80FCD5" w14:textId="4DA11BCA" w:rsidR="00324545" w:rsidRPr="00324545" w:rsidRDefault="00324545" w:rsidP="00324545">
      <w:pPr>
        <w:spacing w:line="360" w:lineRule="auto"/>
        <w:jc w:val="both"/>
        <w:rPr>
          <w:rFonts w:ascii="Arial" w:hAnsi="Arial" w:cs="Arial"/>
          <w:b/>
          <w:bCs/>
        </w:rPr>
      </w:pPr>
      <w:r w:rsidRPr="00324545">
        <w:rPr>
          <w:rFonts w:ascii="Arial" w:hAnsi="Arial" w:cs="Arial"/>
          <w:b/>
          <w:bCs/>
        </w:rPr>
        <w:t>IT Interoperability and Digital Safety Tools</w:t>
      </w:r>
      <w:r w:rsidRPr="000503AB">
        <w:rPr>
          <w:rFonts w:ascii="Arial" w:hAnsi="Arial" w:cs="Arial"/>
          <w:b/>
          <w:bCs/>
        </w:rPr>
        <w:t xml:space="preserve">: </w:t>
      </w:r>
      <w:r w:rsidRPr="00324545">
        <w:rPr>
          <w:rFonts w:ascii="Arial" w:hAnsi="Arial" w:cs="Arial"/>
        </w:rPr>
        <w:t xml:space="preserve">Strengthening digital systems will significantly reduce transcription errors and support timely reconciliation. Interoperable electronic prescribing and medicine administration systems linked with primary care records ensure up-to-date information is available across healthcare transitions </w:t>
      </w:r>
      <w:r w:rsidRPr="00324545">
        <w:rPr>
          <w:rFonts w:ascii="Arial" w:hAnsi="Arial" w:cs="Arial"/>
        </w:rPr>
        <w:lastRenderedPageBreak/>
        <w:t>(</w:t>
      </w:r>
      <w:proofErr w:type="spellStart"/>
      <w:r w:rsidRPr="00324545">
        <w:rPr>
          <w:rFonts w:ascii="Arial" w:hAnsi="Arial" w:cs="Arial"/>
        </w:rPr>
        <w:t>Spinewine</w:t>
      </w:r>
      <w:proofErr w:type="spellEnd"/>
      <w:r w:rsidRPr="00324545">
        <w:rPr>
          <w:rFonts w:ascii="Arial" w:hAnsi="Arial" w:cs="Arial"/>
        </w:rPr>
        <w:t xml:space="preserve"> et al., 2021). The addition of barcode verification and automated clinical safety alerts provides real-time protection against duplication, inaccuracies, allergies, and interactions, aligning with the Control phase of Six Sigma to minimise variation and maintain improvements over time</w:t>
      </w:r>
      <w:r w:rsidR="004960C1" w:rsidRPr="000503AB">
        <w:rPr>
          <w:rFonts w:ascii="Arial" w:hAnsi="Arial" w:cs="Arial"/>
        </w:rPr>
        <w:t xml:space="preserve"> (</w:t>
      </w:r>
      <w:r w:rsidR="004960C1" w:rsidRPr="00324545">
        <w:rPr>
          <w:rFonts w:ascii="Arial" w:hAnsi="Arial" w:cs="Arial"/>
        </w:rPr>
        <w:t xml:space="preserve">Haxby and </w:t>
      </w:r>
      <w:proofErr w:type="spellStart"/>
      <w:r w:rsidR="004960C1" w:rsidRPr="00324545">
        <w:rPr>
          <w:rFonts w:ascii="Arial" w:hAnsi="Arial" w:cs="Arial"/>
        </w:rPr>
        <w:t>Shuldham</w:t>
      </w:r>
      <w:proofErr w:type="spellEnd"/>
      <w:r w:rsidR="004960C1" w:rsidRPr="00324545">
        <w:rPr>
          <w:rFonts w:ascii="Arial" w:hAnsi="Arial" w:cs="Arial"/>
        </w:rPr>
        <w:t>, 2018)</w:t>
      </w:r>
      <w:r w:rsidRPr="00324545">
        <w:rPr>
          <w:rFonts w:ascii="Arial" w:hAnsi="Arial" w:cs="Arial"/>
        </w:rPr>
        <w:t>.</w:t>
      </w:r>
    </w:p>
    <w:p w14:paraId="1E921393" w14:textId="1757413E" w:rsidR="00324545" w:rsidRPr="00324545" w:rsidRDefault="00324545" w:rsidP="00324545">
      <w:pPr>
        <w:spacing w:line="360" w:lineRule="auto"/>
        <w:jc w:val="both"/>
        <w:rPr>
          <w:rFonts w:ascii="Arial" w:hAnsi="Arial" w:cs="Arial"/>
          <w:b/>
          <w:bCs/>
        </w:rPr>
      </w:pPr>
      <w:r w:rsidRPr="00324545">
        <w:rPr>
          <w:rFonts w:ascii="Arial" w:hAnsi="Arial" w:cs="Arial"/>
          <w:b/>
          <w:bCs/>
        </w:rPr>
        <w:t>Embedding a Safety Culture and Learning System</w:t>
      </w:r>
      <w:r w:rsidRPr="000503AB">
        <w:rPr>
          <w:rFonts w:ascii="Arial" w:hAnsi="Arial" w:cs="Arial"/>
          <w:b/>
          <w:bCs/>
        </w:rPr>
        <w:t xml:space="preserve">: </w:t>
      </w:r>
      <w:r w:rsidRPr="00324545">
        <w:rPr>
          <w:rFonts w:ascii="Arial" w:hAnsi="Arial" w:cs="Arial"/>
        </w:rPr>
        <w:t>A cultural shift is necessary to support medication safety as a shared organisational priority rather than an individual responsibility. Developing a non-punitive reporting culture encourages honest disclosure of near misses and errors, which helps generate learning rather than fear (Jones et al., 2024). Adopting transformational leadership principles and integrating regular safety huddles and debriefs helps establish psychological safety where staff feel supported to raise concerns and contribute to improvement (</w:t>
      </w:r>
      <w:proofErr w:type="spellStart"/>
      <w:r w:rsidRPr="00324545">
        <w:rPr>
          <w:rFonts w:ascii="Arial" w:hAnsi="Arial" w:cs="Arial"/>
        </w:rPr>
        <w:t>Vaismoradi</w:t>
      </w:r>
      <w:proofErr w:type="spellEnd"/>
      <w:r w:rsidRPr="00324545">
        <w:rPr>
          <w:rFonts w:ascii="Arial" w:hAnsi="Arial" w:cs="Arial"/>
        </w:rPr>
        <w:t xml:space="preserve"> et al., 2016).</w:t>
      </w:r>
    </w:p>
    <w:p w14:paraId="71A3DAC9" w14:textId="2279F8F2" w:rsidR="00324545" w:rsidRPr="00324545" w:rsidRDefault="00324545" w:rsidP="00324545">
      <w:pPr>
        <w:spacing w:line="360" w:lineRule="auto"/>
        <w:jc w:val="both"/>
        <w:rPr>
          <w:rFonts w:ascii="Arial" w:hAnsi="Arial" w:cs="Arial"/>
          <w:b/>
          <w:bCs/>
        </w:rPr>
      </w:pPr>
      <w:r w:rsidRPr="00324545">
        <w:rPr>
          <w:rFonts w:ascii="Arial" w:hAnsi="Arial" w:cs="Arial"/>
          <w:b/>
          <w:bCs/>
        </w:rPr>
        <w:t>Continuous Audit and Quality Governance</w:t>
      </w:r>
      <w:r w:rsidRPr="000503AB">
        <w:rPr>
          <w:rFonts w:ascii="Arial" w:hAnsi="Arial" w:cs="Arial"/>
          <w:b/>
          <w:bCs/>
        </w:rPr>
        <w:t xml:space="preserve">: </w:t>
      </w:r>
      <w:r w:rsidRPr="00324545">
        <w:rPr>
          <w:rFonts w:ascii="Arial" w:hAnsi="Arial" w:cs="Arial"/>
        </w:rPr>
        <w:t xml:space="preserve">Monitoring outcomes and compliance is essential for long-term improvement and oversight. Applying the PDCA cycle at </w:t>
      </w:r>
      <w:r w:rsidRPr="000503AB">
        <w:rPr>
          <w:rFonts w:ascii="Arial" w:hAnsi="Arial" w:cs="Arial"/>
        </w:rPr>
        <w:t xml:space="preserve">the governance level ensures structured monitoring of outcome measures, such as accuracy rates, the </w:t>
      </w:r>
      <w:r w:rsidRPr="00324545">
        <w:rPr>
          <w:rFonts w:ascii="Arial" w:hAnsi="Arial" w:cs="Arial"/>
        </w:rPr>
        <w:t>timeliness of reconciliation, and reported medication incidents</w:t>
      </w:r>
      <w:r w:rsidR="000056B7">
        <w:rPr>
          <w:rFonts w:ascii="Arial" w:hAnsi="Arial" w:cs="Arial"/>
        </w:rPr>
        <w:t xml:space="preserve"> (</w:t>
      </w:r>
      <w:proofErr w:type="spellStart"/>
      <w:r w:rsidR="000056B7" w:rsidRPr="000056B7">
        <w:rPr>
          <w:rFonts w:ascii="Arial" w:hAnsi="Arial" w:cs="Arial"/>
        </w:rPr>
        <w:t>Stolldorf</w:t>
      </w:r>
      <w:proofErr w:type="spellEnd"/>
      <w:r w:rsidR="000056B7">
        <w:rPr>
          <w:rFonts w:ascii="Arial" w:hAnsi="Arial" w:cs="Arial"/>
        </w:rPr>
        <w:t xml:space="preserve"> et al, 2021)</w:t>
      </w:r>
      <w:r w:rsidRPr="00324545">
        <w:rPr>
          <w:rFonts w:ascii="Arial" w:hAnsi="Arial" w:cs="Arial"/>
        </w:rPr>
        <w:t>. Regular performance reviews supported by live dashboards will improve transparency, accountability and responsiveness to emerging risks, reducing the likelihood of repeated preventable errors</w:t>
      </w:r>
      <w:r w:rsidR="000503AB">
        <w:rPr>
          <w:rFonts w:ascii="Arial" w:hAnsi="Arial" w:cs="Arial"/>
        </w:rPr>
        <w:t xml:space="preserve"> (</w:t>
      </w:r>
      <w:proofErr w:type="spellStart"/>
      <w:r w:rsidR="000503AB" w:rsidRPr="000503AB">
        <w:rPr>
          <w:rFonts w:ascii="Arial" w:hAnsi="Arial" w:cs="Arial"/>
        </w:rPr>
        <w:t>Beuscart</w:t>
      </w:r>
      <w:proofErr w:type="spellEnd"/>
      <w:r w:rsidR="000503AB">
        <w:rPr>
          <w:rFonts w:ascii="Arial" w:hAnsi="Arial" w:cs="Arial"/>
        </w:rPr>
        <w:t xml:space="preserve"> et al, 2021)</w:t>
      </w:r>
      <w:r w:rsidRPr="00324545">
        <w:rPr>
          <w:rFonts w:ascii="Arial" w:hAnsi="Arial" w:cs="Arial"/>
        </w:rPr>
        <w:t>.</w:t>
      </w:r>
    </w:p>
    <w:p w14:paraId="4E56F6D2" w14:textId="6A7FF852" w:rsidR="00324545" w:rsidRPr="00324545" w:rsidRDefault="00324545" w:rsidP="00324545">
      <w:pPr>
        <w:spacing w:line="360" w:lineRule="auto"/>
        <w:jc w:val="both"/>
        <w:rPr>
          <w:rFonts w:ascii="Arial" w:hAnsi="Arial" w:cs="Arial"/>
          <w:b/>
          <w:bCs/>
        </w:rPr>
      </w:pPr>
      <w:r w:rsidRPr="00324545">
        <w:rPr>
          <w:rFonts w:ascii="Arial" w:hAnsi="Arial" w:cs="Arial"/>
          <w:b/>
          <w:bCs/>
        </w:rPr>
        <w:t>Patient-Centred and Equity-Focused Engagement</w:t>
      </w:r>
      <w:r w:rsidRPr="000503AB">
        <w:rPr>
          <w:rFonts w:ascii="Arial" w:hAnsi="Arial" w:cs="Arial"/>
          <w:b/>
          <w:bCs/>
        </w:rPr>
        <w:t xml:space="preserve">: </w:t>
      </w:r>
      <w:r w:rsidRPr="00324545">
        <w:rPr>
          <w:rFonts w:ascii="Arial" w:hAnsi="Arial" w:cs="Arial"/>
        </w:rPr>
        <w:t>Involving patients and carers in medication processes is necessary to improve safety and reduce inequalities. Introducing digital patient-held medication records and providing accessible medication information, including translated formats, empowers individuals to verify their medicines and contribute to shared decision-making (</w:t>
      </w:r>
      <w:proofErr w:type="spellStart"/>
      <w:r w:rsidRPr="00324545">
        <w:rPr>
          <w:rFonts w:ascii="Arial" w:hAnsi="Arial" w:cs="Arial"/>
        </w:rPr>
        <w:t>Alrashidi</w:t>
      </w:r>
      <w:proofErr w:type="spellEnd"/>
      <w:r w:rsidRPr="00324545">
        <w:rPr>
          <w:rFonts w:ascii="Arial" w:hAnsi="Arial" w:cs="Arial"/>
        </w:rPr>
        <w:t xml:space="preserve"> et al., 2024). Including carers</w:t>
      </w:r>
      <w:r w:rsidRPr="000503AB">
        <w:rPr>
          <w:rFonts w:ascii="Arial" w:hAnsi="Arial" w:cs="Arial"/>
        </w:rPr>
        <w:t xml:space="preserve">, </w:t>
      </w:r>
      <w:r w:rsidRPr="00324545">
        <w:rPr>
          <w:rFonts w:ascii="Arial" w:hAnsi="Arial" w:cs="Arial"/>
        </w:rPr>
        <w:t>particularly for patients with complex multimorbidity or reduced capacity</w:t>
      </w:r>
      <w:r w:rsidRPr="000503AB">
        <w:rPr>
          <w:rFonts w:ascii="Arial" w:hAnsi="Arial" w:cs="Arial"/>
        </w:rPr>
        <w:t xml:space="preserve">, </w:t>
      </w:r>
      <w:r w:rsidRPr="00324545">
        <w:rPr>
          <w:rFonts w:ascii="Arial" w:hAnsi="Arial" w:cs="Arial"/>
        </w:rPr>
        <w:t>strengthens continuity across transitions of care and reduces avoidable discrepancies</w:t>
      </w:r>
      <w:r w:rsidR="00CE2E6C">
        <w:rPr>
          <w:rFonts w:ascii="Arial" w:hAnsi="Arial" w:cs="Arial"/>
        </w:rPr>
        <w:t xml:space="preserve"> (</w:t>
      </w:r>
      <w:r w:rsidR="00CE2E6C" w:rsidRPr="00CE2E6C">
        <w:rPr>
          <w:rFonts w:ascii="Arial" w:hAnsi="Arial" w:cs="Arial"/>
        </w:rPr>
        <w:t>Rojas-Ocaña</w:t>
      </w:r>
      <w:r w:rsidR="00CE2E6C">
        <w:rPr>
          <w:rFonts w:ascii="Arial" w:hAnsi="Arial" w:cs="Arial"/>
        </w:rPr>
        <w:t xml:space="preserve"> et al, 2023)</w:t>
      </w:r>
      <w:r w:rsidRPr="00324545">
        <w:rPr>
          <w:rFonts w:ascii="Arial" w:hAnsi="Arial" w:cs="Arial"/>
        </w:rPr>
        <w:t>.</w:t>
      </w:r>
    </w:p>
    <w:p w14:paraId="7947B392" w14:textId="77777777" w:rsidR="00324545" w:rsidRPr="00324545" w:rsidRDefault="00324545" w:rsidP="00324545">
      <w:pPr>
        <w:spacing w:line="360" w:lineRule="auto"/>
        <w:jc w:val="both"/>
        <w:rPr>
          <w:rFonts w:ascii="Arial" w:hAnsi="Arial" w:cs="Arial"/>
          <w:b/>
          <w:bCs/>
        </w:rPr>
      </w:pPr>
      <w:r w:rsidRPr="00324545">
        <w:rPr>
          <w:rFonts w:ascii="Arial" w:hAnsi="Arial" w:cs="Arial"/>
          <w:b/>
          <w:bCs/>
        </w:rPr>
        <w:t>Expected Impact</w:t>
      </w:r>
    </w:p>
    <w:p w14:paraId="4EC0EDB6" w14:textId="22BFF46C" w:rsidR="00324545" w:rsidRPr="00324545" w:rsidRDefault="00324545" w:rsidP="00324545">
      <w:pPr>
        <w:spacing w:line="360" w:lineRule="auto"/>
        <w:jc w:val="both"/>
        <w:rPr>
          <w:rFonts w:ascii="Arial" w:hAnsi="Arial" w:cs="Arial"/>
        </w:rPr>
      </w:pPr>
      <w:r w:rsidRPr="00324545">
        <w:rPr>
          <w:rFonts w:ascii="Arial" w:hAnsi="Arial" w:cs="Arial"/>
        </w:rPr>
        <w:t>Collectively, these recommendations address the key structural, procedural and cultural gaps identified through the analysis. Implementing them is expected to reduce medication discrepancies, preventable harm and associated readmissions while improving workflow efficiency and reducing operational waste</w:t>
      </w:r>
      <w:r w:rsidR="008536A7">
        <w:rPr>
          <w:rFonts w:ascii="Arial" w:hAnsi="Arial" w:cs="Arial"/>
        </w:rPr>
        <w:t xml:space="preserve"> (</w:t>
      </w:r>
      <w:r w:rsidR="008536A7" w:rsidRPr="008536A7">
        <w:rPr>
          <w:rFonts w:ascii="Arial" w:hAnsi="Arial" w:cs="Arial"/>
        </w:rPr>
        <w:t>Breuker</w:t>
      </w:r>
      <w:r w:rsidR="008536A7">
        <w:rPr>
          <w:rFonts w:ascii="Arial" w:hAnsi="Arial" w:cs="Arial"/>
        </w:rPr>
        <w:t xml:space="preserve"> et al, 2021)</w:t>
      </w:r>
      <w:r w:rsidRPr="00324545">
        <w:rPr>
          <w:rFonts w:ascii="Arial" w:hAnsi="Arial" w:cs="Arial"/>
        </w:rPr>
        <w:t xml:space="preserve">. In </w:t>
      </w:r>
      <w:r w:rsidRPr="00324545">
        <w:rPr>
          <w:rFonts w:ascii="Arial" w:hAnsi="Arial" w:cs="Arial"/>
        </w:rPr>
        <w:lastRenderedPageBreak/>
        <w:t xml:space="preserve">the </w:t>
      </w:r>
      <w:r w:rsidRPr="000503AB">
        <w:rPr>
          <w:rFonts w:ascii="Arial" w:hAnsi="Arial" w:cs="Arial"/>
        </w:rPr>
        <w:t>long term, these changes will enhance trust, promote professional confidence, and ensure safe, equitable,</w:t>
      </w:r>
      <w:r w:rsidRPr="00324545">
        <w:rPr>
          <w:rFonts w:ascii="Arial" w:hAnsi="Arial" w:cs="Arial"/>
        </w:rPr>
        <w:t xml:space="preserve"> and consistent medication reconciliation across NHS services</w:t>
      </w:r>
      <w:r w:rsidR="00487B6F">
        <w:rPr>
          <w:rFonts w:ascii="Arial" w:hAnsi="Arial" w:cs="Arial"/>
        </w:rPr>
        <w:t xml:space="preserve"> (</w:t>
      </w:r>
      <w:r w:rsidR="00487B6F" w:rsidRPr="00487B6F">
        <w:rPr>
          <w:rFonts w:ascii="Arial" w:hAnsi="Arial" w:cs="Arial"/>
        </w:rPr>
        <w:t>Ceschi</w:t>
      </w:r>
      <w:r w:rsidR="00487B6F">
        <w:rPr>
          <w:rFonts w:ascii="Arial" w:hAnsi="Arial" w:cs="Arial"/>
        </w:rPr>
        <w:t xml:space="preserve"> et al, 2021)</w:t>
      </w:r>
      <w:r w:rsidRPr="00324545">
        <w:rPr>
          <w:rFonts w:ascii="Arial" w:hAnsi="Arial" w:cs="Arial"/>
        </w:rPr>
        <w:t>. By embedding digital integration, workforce capacity, continuous learning and standardised processes, the organisation can progress toward a high-reliability model of patient safety</w:t>
      </w:r>
      <w:r w:rsidR="00457F33">
        <w:rPr>
          <w:rFonts w:ascii="Arial" w:hAnsi="Arial" w:cs="Arial"/>
        </w:rPr>
        <w:t xml:space="preserve"> (</w:t>
      </w:r>
      <w:r w:rsidR="00457F33" w:rsidRPr="008536A7">
        <w:rPr>
          <w:rFonts w:ascii="Arial" w:hAnsi="Arial" w:cs="Arial"/>
        </w:rPr>
        <w:t>Breuker</w:t>
      </w:r>
      <w:r w:rsidR="00457F33">
        <w:rPr>
          <w:rFonts w:ascii="Arial" w:hAnsi="Arial" w:cs="Arial"/>
        </w:rPr>
        <w:t xml:space="preserve"> et al, 2021)</w:t>
      </w:r>
      <w:r w:rsidRPr="00324545">
        <w:rPr>
          <w:rFonts w:ascii="Arial" w:hAnsi="Arial" w:cs="Arial"/>
        </w:rPr>
        <w:t>.</w:t>
      </w:r>
    </w:p>
    <w:p w14:paraId="7F6B83F4" w14:textId="095EE405" w:rsidR="00324545" w:rsidRPr="000503AB" w:rsidRDefault="00324545" w:rsidP="00B62219">
      <w:pPr>
        <w:pStyle w:val="Heading1"/>
        <w:rPr>
          <w:rFonts w:cs="Arial"/>
        </w:rPr>
      </w:pPr>
      <w:bookmarkStart w:id="13" w:name="_Toc215996648"/>
      <w:r w:rsidRPr="000503AB">
        <w:rPr>
          <w:rFonts w:cs="Arial"/>
        </w:rPr>
        <w:t>4. Conclusion</w:t>
      </w:r>
      <w:bookmarkEnd w:id="13"/>
      <w:r w:rsidRPr="000503AB">
        <w:rPr>
          <w:rFonts w:cs="Arial"/>
        </w:rPr>
        <w:t xml:space="preserve"> </w:t>
      </w:r>
    </w:p>
    <w:p w14:paraId="5AB2290A" w14:textId="77777777" w:rsidR="00324545" w:rsidRPr="00324545" w:rsidRDefault="00324545" w:rsidP="00324545">
      <w:pPr>
        <w:spacing w:line="360" w:lineRule="auto"/>
        <w:jc w:val="both"/>
        <w:rPr>
          <w:rFonts w:ascii="Arial" w:hAnsi="Arial" w:cs="Arial"/>
        </w:rPr>
      </w:pPr>
      <w:r w:rsidRPr="00324545">
        <w:rPr>
          <w:rFonts w:ascii="Arial" w:hAnsi="Arial" w:cs="Arial"/>
        </w:rPr>
        <w:t>Improving medication reconciliation in hospital settings requires a coordinated and system-focused approach that addresses gaps in processes, workforce capability, technology, and organisational culture. The analysis showed that errors occur not because of individual clinician shortcomings but due to fragmented systems, variable workflows, limited digital connectivity, and inconsistent training. Using structured improvement approaches such as Lean, Six Sigma, the Donabedian Framework, and iterative testing models like PDSA and PDCA supports the development of safe, efficient, and standardised practices. Introducing a clear and consistent medication reconciliation pathway, supported by defined accountability and pharmacy-led verification, ensures medication histories are complete and reliable throughout patient care transitions. Strengthening staff competency through education, supervision, and improved role clarity also contributes to reducing variation and improving safety outcomes.</w:t>
      </w:r>
    </w:p>
    <w:p w14:paraId="5404458D" w14:textId="4D6D07C5" w:rsidR="006C45DE" w:rsidRPr="00206A5F" w:rsidRDefault="00324545" w:rsidP="00324545">
      <w:pPr>
        <w:spacing w:line="360" w:lineRule="auto"/>
        <w:jc w:val="both"/>
        <w:rPr>
          <w:rFonts w:ascii="Arial" w:hAnsi="Arial" w:cs="Arial"/>
        </w:rPr>
      </w:pPr>
      <w:r w:rsidRPr="00324545">
        <w:rPr>
          <w:rFonts w:ascii="Arial" w:hAnsi="Arial" w:cs="Arial"/>
        </w:rPr>
        <w:t>Sustaining improvement requires more than procedural redesign—it requires fostering an open and supportive safety culture where learning replaces blame. Encouraging staff to report errors without fear, sharing learning across wards, and involving leadership in visible safety advocacy helps build a culture where medication safety is prioritised daily. Continuous monitoring, real-time reporting, and strong governance frameworks ensure improvements remain effective, measurable, and adaptable to emerging risks or service pressures. Involving patients and carers also enhances accuracy, ownership, and accessibility, particularly for those with complex medication needs or communication barriers. Collectively, these strategies support the long-term goal of creating a high-reliability healthcare environment where medication reconciliation is consistently accurate, patient-centred, and embedded into routine practice. With sustained leadership support, ongoing evaluation, and commitment to continuous improvement, the recommendations offer a practical and achievable pathway to reducing medication errors and improving overall patient safety.</w:t>
      </w:r>
    </w:p>
    <w:p w14:paraId="231F8FD0" w14:textId="6A61CA91" w:rsidR="00B62219" w:rsidRPr="00206A5F" w:rsidRDefault="00B62219" w:rsidP="00B62219">
      <w:pPr>
        <w:pStyle w:val="Heading1"/>
      </w:pPr>
      <w:bookmarkStart w:id="14" w:name="_Toc215996649"/>
      <w:r w:rsidRPr="00206A5F">
        <w:lastRenderedPageBreak/>
        <w:t>References</w:t>
      </w:r>
      <w:bookmarkEnd w:id="14"/>
    </w:p>
    <w:p w14:paraId="3906D3D1" w14:textId="462F6024" w:rsidR="00091364" w:rsidRDefault="00091364" w:rsidP="00324545">
      <w:pPr>
        <w:spacing w:line="360" w:lineRule="auto"/>
        <w:jc w:val="both"/>
        <w:rPr>
          <w:rFonts w:ascii="Arial" w:hAnsi="Arial" w:cs="Arial"/>
        </w:rPr>
      </w:pPr>
      <w:r w:rsidRPr="00091364">
        <w:rPr>
          <w:rFonts w:ascii="Arial" w:hAnsi="Arial" w:cs="Arial"/>
        </w:rPr>
        <w:t xml:space="preserve">Ahmed, K., Hashim, S., </w:t>
      </w:r>
      <w:proofErr w:type="spellStart"/>
      <w:r w:rsidRPr="00091364">
        <w:rPr>
          <w:rFonts w:ascii="Arial" w:hAnsi="Arial" w:cs="Arial"/>
        </w:rPr>
        <w:t>Khankhara</w:t>
      </w:r>
      <w:proofErr w:type="spellEnd"/>
      <w:r w:rsidRPr="00091364">
        <w:rPr>
          <w:rFonts w:ascii="Arial" w:hAnsi="Arial" w:cs="Arial"/>
        </w:rPr>
        <w:t xml:space="preserve">, M., Said, I., </w:t>
      </w:r>
      <w:proofErr w:type="spellStart"/>
      <w:r w:rsidRPr="00091364">
        <w:rPr>
          <w:rFonts w:ascii="Arial" w:hAnsi="Arial" w:cs="Arial"/>
        </w:rPr>
        <w:t>Shandakumar</w:t>
      </w:r>
      <w:proofErr w:type="spellEnd"/>
      <w:r w:rsidRPr="00091364">
        <w:rPr>
          <w:rFonts w:ascii="Arial" w:hAnsi="Arial" w:cs="Arial"/>
        </w:rPr>
        <w:t xml:space="preserve">, A.T., Zaman, S. and Veiga, A., </w:t>
      </w:r>
      <w:r w:rsidR="006C45DE">
        <w:rPr>
          <w:rFonts w:ascii="Arial" w:hAnsi="Arial" w:cs="Arial"/>
        </w:rPr>
        <w:t>(</w:t>
      </w:r>
      <w:r w:rsidRPr="00091364">
        <w:rPr>
          <w:rFonts w:ascii="Arial" w:hAnsi="Arial" w:cs="Arial"/>
        </w:rPr>
        <w:t>2021</w:t>
      </w:r>
      <w:r w:rsidR="006C45DE">
        <w:rPr>
          <w:rFonts w:ascii="Arial" w:hAnsi="Arial" w:cs="Arial"/>
        </w:rPr>
        <w:t>)</w:t>
      </w:r>
      <w:r w:rsidRPr="00091364">
        <w:rPr>
          <w:rFonts w:ascii="Arial" w:hAnsi="Arial" w:cs="Arial"/>
        </w:rPr>
        <w:t>. What drives general practitioners in the UK to improve the quality of care? A systematic literature review. </w:t>
      </w:r>
      <w:r w:rsidRPr="00091364">
        <w:rPr>
          <w:rFonts w:ascii="Arial" w:hAnsi="Arial" w:cs="Arial"/>
          <w:i/>
          <w:iCs/>
        </w:rPr>
        <w:t>BMJ Open Quality</w:t>
      </w:r>
      <w:r w:rsidRPr="00091364">
        <w:rPr>
          <w:rFonts w:ascii="Arial" w:hAnsi="Arial" w:cs="Arial"/>
        </w:rPr>
        <w:t>, </w:t>
      </w:r>
      <w:r w:rsidRPr="00091364">
        <w:rPr>
          <w:rFonts w:ascii="Arial" w:hAnsi="Arial" w:cs="Arial"/>
          <w:i/>
          <w:iCs/>
        </w:rPr>
        <w:t>10</w:t>
      </w:r>
      <w:r w:rsidRPr="00091364">
        <w:rPr>
          <w:rFonts w:ascii="Arial" w:hAnsi="Arial" w:cs="Arial"/>
        </w:rPr>
        <w:t>(1), p.e001127.</w:t>
      </w:r>
      <w:r>
        <w:rPr>
          <w:rFonts w:ascii="Arial" w:hAnsi="Arial" w:cs="Arial"/>
        </w:rPr>
        <w:t xml:space="preserve"> </w:t>
      </w:r>
      <w:hyperlink r:id="rId8" w:history="1">
        <w:r w:rsidRPr="00997DA1">
          <w:rPr>
            <w:rStyle w:val="Hyperlink"/>
            <w:rFonts w:ascii="Arial" w:hAnsi="Arial" w:cs="Arial"/>
          </w:rPr>
          <w:t>https://bmjopenquality.bmj.com/content/10/1/e001127.abstract</w:t>
        </w:r>
      </w:hyperlink>
    </w:p>
    <w:p w14:paraId="085FA245" w14:textId="5C925DF8" w:rsidR="00324545" w:rsidRDefault="009906E8" w:rsidP="00324545">
      <w:pPr>
        <w:spacing w:line="360" w:lineRule="auto"/>
        <w:jc w:val="both"/>
        <w:rPr>
          <w:rFonts w:ascii="Arial" w:hAnsi="Arial" w:cs="Arial"/>
        </w:rPr>
      </w:pPr>
      <w:proofErr w:type="spellStart"/>
      <w:r w:rsidRPr="009906E8">
        <w:rPr>
          <w:rFonts w:ascii="Arial" w:hAnsi="Arial" w:cs="Arial"/>
        </w:rPr>
        <w:t>Alqenae</w:t>
      </w:r>
      <w:proofErr w:type="spellEnd"/>
      <w:r w:rsidRPr="009906E8">
        <w:rPr>
          <w:rFonts w:ascii="Arial" w:hAnsi="Arial" w:cs="Arial"/>
        </w:rPr>
        <w:t xml:space="preserve">, F.A., </w:t>
      </w:r>
      <w:r w:rsidR="006C45DE">
        <w:rPr>
          <w:rFonts w:ascii="Arial" w:hAnsi="Arial" w:cs="Arial"/>
        </w:rPr>
        <w:t>(</w:t>
      </w:r>
      <w:r w:rsidRPr="009906E8">
        <w:rPr>
          <w:rFonts w:ascii="Arial" w:hAnsi="Arial" w:cs="Arial"/>
        </w:rPr>
        <w:t>2022</w:t>
      </w:r>
      <w:r w:rsidR="006C45DE">
        <w:rPr>
          <w:rFonts w:ascii="Arial" w:hAnsi="Arial" w:cs="Arial"/>
        </w:rPr>
        <w:t>)</w:t>
      </w:r>
      <w:r w:rsidRPr="009906E8">
        <w:rPr>
          <w:rFonts w:ascii="Arial" w:hAnsi="Arial" w:cs="Arial"/>
        </w:rPr>
        <w:t>. </w:t>
      </w:r>
      <w:r w:rsidRPr="009906E8">
        <w:rPr>
          <w:rFonts w:ascii="Arial" w:hAnsi="Arial" w:cs="Arial"/>
          <w:i/>
          <w:iCs/>
        </w:rPr>
        <w:t>Medication safety following hospital discharge: understanding epidemiology, aetiology, and the impact of an improvement intervention</w:t>
      </w:r>
      <w:r w:rsidRPr="009906E8">
        <w:rPr>
          <w:rFonts w:ascii="Arial" w:hAnsi="Arial" w:cs="Arial"/>
        </w:rPr>
        <w:t>. The University of Manchester (United Kingdom).</w:t>
      </w:r>
      <w:r>
        <w:rPr>
          <w:rFonts w:ascii="Arial" w:hAnsi="Arial" w:cs="Arial"/>
        </w:rPr>
        <w:t xml:space="preserve"> </w:t>
      </w:r>
      <w:hyperlink r:id="rId9" w:history="1">
        <w:r w:rsidRPr="00997DA1">
          <w:rPr>
            <w:rStyle w:val="Hyperlink"/>
            <w:rFonts w:ascii="Arial" w:hAnsi="Arial" w:cs="Arial"/>
          </w:rPr>
          <w:t>https://search.proquest.com/openview/6afc1a1a8d02d76cbdeb0a959b1a70b0/1?pq-origsite=gscholar&amp;cbl=2026366&amp;diss=y</w:t>
        </w:r>
      </w:hyperlink>
    </w:p>
    <w:p w14:paraId="6071855E" w14:textId="77777777" w:rsidR="008A2C12" w:rsidRPr="00384E40" w:rsidRDefault="00000000" w:rsidP="00206A5F">
      <w:pPr>
        <w:spacing w:line="360" w:lineRule="auto"/>
        <w:jc w:val="both"/>
        <w:rPr>
          <w:rFonts w:ascii="Arial" w:hAnsi="Arial" w:cs="Arial"/>
        </w:rPr>
      </w:pPr>
      <w:bookmarkStart w:id="15" w:name="_Hlk215994600"/>
      <w:proofErr w:type="spellStart"/>
      <w:r w:rsidRPr="00384E40">
        <w:rPr>
          <w:rFonts w:ascii="Arial" w:hAnsi="Arial" w:cs="Arial"/>
        </w:rPr>
        <w:t>Ashgar</w:t>
      </w:r>
      <w:bookmarkEnd w:id="15"/>
      <w:proofErr w:type="spellEnd"/>
      <w:r w:rsidRPr="00384E40">
        <w:rPr>
          <w:rFonts w:ascii="Arial" w:hAnsi="Arial" w:cs="Arial"/>
        </w:rPr>
        <w:t xml:space="preserve">, D.A., Alotaibi, N.M., Al-Shahrani, S.M., Sarah, A., </w:t>
      </w:r>
      <w:proofErr w:type="spellStart"/>
      <w:r w:rsidRPr="00384E40">
        <w:rPr>
          <w:rFonts w:ascii="Arial" w:hAnsi="Arial" w:cs="Arial"/>
        </w:rPr>
        <w:t>Almulhim</w:t>
      </w:r>
      <w:proofErr w:type="spellEnd"/>
      <w:r w:rsidRPr="00384E40">
        <w:rPr>
          <w:rFonts w:ascii="Arial" w:hAnsi="Arial" w:cs="Arial"/>
        </w:rPr>
        <w:t>, A.S., Alsayed, A., Nourah, A., Ameera, A., Alghamdi, Y.A. and Duaa, A., (2025). Effectiveness of Six Sigma in Managing Medical Errors in the Electronic Drug Administration Record (EDAR) System. </w:t>
      </w:r>
      <w:r w:rsidRPr="00384E40">
        <w:rPr>
          <w:rFonts w:ascii="Arial" w:hAnsi="Arial" w:cs="Arial"/>
          <w:i/>
          <w:iCs/>
        </w:rPr>
        <w:t>Cureus</w:t>
      </w:r>
      <w:r w:rsidRPr="00384E40">
        <w:rPr>
          <w:rFonts w:ascii="Arial" w:hAnsi="Arial" w:cs="Arial"/>
        </w:rPr>
        <w:t>, </w:t>
      </w:r>
      <w:r w:rsidRPr="00384E40">
        <w:rPr>
          <w:rFonts w:ascii="Arial" w:hAnsi="Arial" w:cs="Arial"/>
          <w:i/>
          <w:iCs/>
        </w:rPr>
        <w:t>17</w:t>
      </w:r>
      <w:r w:rsidRPr="00384E40">
        <w:rPr>
          <w:rFonts w:ascii="Arial" w:hAnsi="Arial" w:cs="Arial"/>
        </w:rPr>
        <w:t xml:space="preserve">(5). </w:t>
      </w:r>
      <w:hyperlink r:id="rId10" w:history="1">
        <w:r w:rsidRPr="00384E40">
          <w:rPr>
            <w:rStyle w:val="Hyperlink"/>
            <w:rFonts w:ascii="Arial" w:hAnsi="Arial" w:cs="Arial"/>
          </w:rPr>
          <w:t>https://assets.cureus.com/uploads/original_article/pdf/317386/20250527-823573-txlcnn.pdf</w:t>
        </w:r>
      </w:hyperlink>
    </w:p>
    <w:p w14:paraId="7E165A76" w14:textId="77777777" w:rsidR="008A2C12" w:rsidRPr="00384E40" w:rsidRDefault="00000000" w:rsidP="00206A5F">
      <w:pPr>
        <w:spacing w:line="360" w:lineRule="auto"/>
        <w:jc w:val="both"/>
        <w:rPr>
          <w:rFonts w:ascii="Arial" w:hAnsi="Arial" w:cs="Arial"/>
        </w:rPr>
      </w:pPr>
      <w:proofErr w:type="spellStart"/>
      <w:r w:rsidRPr="00384E40">
        <w:rPr>
          <w:rFonts w:ascii="Arial" w:hAnsi="Arial" w:cs="Arial"/>
        </w:rPr>
        <w:t>Alrashidi</w:t>
      </w:r>
      <w:proofErr w:type="spellEnd"/>
      <w:r w:rsidRPr="00384E40">
        <w:rPr>
          <w:rFonts w:ascii="Arial" w:hAnsi="Arial" w:cs="Arial"/>
        </w:rPr>
        <w:t xml:space="preserve">, M.A.G., </w:t>
      </w:r>
      <w:proofErr w:type="spellStart"/>
      <w:r w:rsidRPr="00384E40">
        <w:rPr>
          <w:rFonts w:ascii="Arial" w:hAnsi="Arial" w:cs="Arial"/>
        </w:rPr>
        <w:t>Alrashidi</w:t>
      </w:r>
      <w:proofErr w:type="spellEnd"/>
      <w:r w:rsidRPr="00384E40">
        <w:rPr>
          <w:rFonts w:ascii="Arial" w:hAnsi="Arial" w:cs="Arial"/>
        </w:rPr>
        <w:t xml:space="preserve">, A.E.M., </w:t>
      </w:r>
      <w:proofErr w:type="spellStart"/>
      <w:r w:rsidRPr="00384E40">
        <w:rPr>
          <w:rFonts w:ascii="Arial" w:hAnsi="Arial" w:cs="Arial"/>
        </w:rPr>
        <w:t>Alrashidi</w:t>
      </w:r>
      <w:proofErr w:type="spellEnd"/>
      <w:r w:rsidRPr="00384E40">
        <w:rPr>
          <w:rFonts w:ascii="Arial" w:hAnsi="Arial" w:cs="Arial"/>
        </w:rPr>
        <w:t xml:space="preserve">, M.H.S., </w:t>
      </w:r>
      <w:proofErr w:type="spellStart"/>
      <w:r w:rsidRPr="00384E40">
        <w:rPr>
          <w:rFonts w:ascii="Arial" w:hAnsi="Arial" w:cs="Arial"/>
        </w:rPr>
        <w:t>Alrashidi</w:t>
      </w:r>
      <w:proofErr w:type="spellEnd"/>
      <w:r w:rsidRPr="00384E40">
        <w:rPr>
          <w:rFonts w:ascii="Arial" w:hAnsi="Arial" w:cs="Arial"/>
        </w:rPr>
        <w:t xml:space="preserve">, J.M.K., </w:t>
      </w:r>
      <w:proofErr w:type="spellStart"/>
      <w:r w:rsidRPr="00384E40">
        <w:rPr>
          <w:rFonts w:ascii="Arial" w:hAnsi="Arial" w:cs="Arial"/>
        </w:rPr>
        <w:t>Alrashidi</w:t>
      </w:r>
      <w:proofErr w:type="spellEnd"/>
      <w:r w:rsidRPr="00384E40">
        <w:rPr>
          <w:rFonts w:ascii="Arial" w:hAnsi="Arial" w:cs="Arial"/>
        </w:rPr>
        <w:t xml:space="preserve">, K.N.F., </w:t>
      </w:r>
      <w:proofErr w:type="spellStart"/>
      <w:r w:rsidRPr="00384E40">
        <w:rPr>
          <w:rFonts w:ascii="Arial" w:hAnsi="Arial" w:cs="Arial"/>
        </w:rPr>
        <w:t>Alrashidi</w:t>
      </w:r>
      <w:proofErr w:type="spellEnd"/>
      <w:r w:rsidRPr="00384E40">
        <w:rPr>
          <w:rFonts w:ascii="Arial" w:hAnsi="Arial" w:cs="Arial"/>
        </w:rPr>
        <w:t>, A.J.M., Alshammari, H.A.S., Alshammari, M.K.M. and Alrashidi, S.F.F., (2024). Improving Patient Safety: The Role of Nursing in Preventing Medical Errors. </w:t>
      </w:r>
      <w:r w:rsidRPr="00384E40">
        <w:rPr>
          <w:rFonts w:ascii="Arial" w:hAnsi="Arial" w:cs="Arial"/>
          <w:i/>
          <w:iCs/>
        </w:rPr>
        <w:t>Journal of International Crisis and Risk Communication Research</w:t>
      </w:r>
      <w:r w:rsidRPr="00384E40">
        <w:rPr>
          <w:rFonts w:ascii="Arial" w:hAnsi="Arial" w:cs="Arial"/>
        </w:rPr>
        <w:t>, </w:t>
      </w:r>
      <w:r w:rsidRPr="00384E40">
        <w:rPr>
          <w:rFonts w:ascii="Arial" w:hAnsi="Arial" w:cs="Arial"/>
          <w:i/>
          <w:iCs/>
        </w:rPr>
        <w:t>7</w:t>
      </w:r>
      <w:r w:rsidRPr="00384E40">
        <w:rPr>
          <w:rFonts w:ascii="Arial" w:hAnsi="Arial" w:cs="Arial"/>
        </w:rPr>
        <w:t xml:space="preserve">(S8), p.2878. </w:t>
      </w:r>
      <w:hyperlink r:id="rId11" w:history="1">
        <w:r w:rsidRPr="00384E40">
          <w:rPr>
            <w:rStyle w:val="Hyperlink"/>
            <w:rFonts w:ascii="Arial" w:hAnsi="Arial" w:cs="Arial"/>
          </w:rPr>
          <w:t>https://search.proquest.com/openview/5eb9cfa5fd9c057c689b356f89f52022/1?pq-origsite=gscholar&amp;cbl=6480378</w:t>
        </w:r>
      </w:hyperlink>
    </w:p>
    <w:p w14:paraId="3A994F9D" w14:textId="77777777" w:rsidR="008A2C12" w:rsidRDefault="00000000" w:rsidP="00206A5F">
      <w:pPr>
        <w:spacing w:line="360" w:lineRule="auto"/>
        <w:jc w:val="both"/>
        <w:rPr>
          <w:rFonts w:ascii="Arial" w:hAnsi="Arial" w:cs="Arial"/>
        </w:rPr>
      </w:pPr>
      <w:r w:rsidRPr="00384E40">
        <w:rPr>
          <w:rFonts w:ascii="Arial" w:hAnsi="Arial" w:cs="Arial"/>
        </w:rPr>
        <w:t xml:space="preserve">Ayre, M.J., Lewis, P.J., Phipps, D.L. and Keers, R.N., (2023). </w:t>
      </w:r>
      <w:proofErr w:type="spellStart"/>
      <w:r w:rsidRPr="00384E40">
        <w:rPr>
          <w:rFonts w:ascii="Arial" w:hAnsi="Arial" w:cs="Arial"/>
        </w:rPr>
        <w:t>unDerstandIng</w:t>
      </w:r>
      <w:proofErr w:type="spellEnd"/>
      <w:r w:rsidRPr="00384E40">
        <w:rPr>
          <w:rFonts w:ascii="Arial" w:hAnsi="Arial" w:cs="Arial"/>
        </w:rPr>
        <w:t xml:space="preserve"> the </w:t>
      </w:r>
      <w:proofErr w:type="spellStart"/>
      <w:r w:rsidRPr="00384E40">
        <w:rPr>
          <w:rFonts w:ascii="Arial" w:hAnsi="Arial" w:cs="Arial"/>
        </w:rPr>
        <w:t>cauSes</w:t>
      </w:r>
      <w:proofErr w:type="spellEnd"/>
      <w:r w:rsidRPr="00384E40">
        <w:rPr>
          <w:rFonts w:ascii="Arial" w:hAnsi="Arial" w:cs="Arial"/>
        </w:rPr>
        <w:t xml:space="preserve"> of </w:t>
      </w:r>
      <w:proofErr w:type="spellStart"/>
      <w:r w:rsidRPr="00384E40">
        <w:rPr>
          <w:rFonts w:ascii="Arial" w:hAnsi="Arial" w:cs="Arial"/>
        </w:rPr>
        <w:t>mediCation</w:t>
      </w:r>
      <w:proofErr w:type="spellEnd"/>
      <w:r w:rsidRPr="00384E40">
        <w:rPr>
          <w:rFonts w:ascii="Arial" w:hAnsi="Arial" w:cs="Arial"/>
        </w:rPr>
        <w:t xml:space="preserve"> </w:t>
      </w:r>
      <w:proofErr w:type="spellStart"/>
      <w:r w:rsidRPr="00384E40">
        <w:rPr>
          <w:rFonts w:ascii="Arial" w:hAnsi="Arial" w:cs="Arial"/>
        </w:rPr>
        <w:t>errOrs</w:t>
      </w:r>
      <w:proofErr w:type="spellEnd"/>
      <w:r w:rsidRPr="00384E40">
        <w:rPr>
          <w:rFonts w:ascii="Arial" w:hAnsi="Arial" w:cs="Arial"/>
        </w:rPr>
        <w:t xml:space="preserve"> and </w:t>
      </w:r>
      <w:proofErr w:type="spellStart"/>
      <w:r w:rsidRPr="00384E40">
        <w:rPr>
          <w:rFonts w:ascii="Arial" w:hAnsi="Arial" w:cs="Arial"/>
        </w:rPr>
        <w:t>adVerse</w:t>
      </w:r>
      <w:proofErr w:type="spellEnd"/>
      <w:r w:rsidRPr="00384E40">
        <w:rPr>
          <w:rFonts w:ascii="Arial" w:hAnsi="Arial" w:cs="Arial"/>
        </w:rPr>
        <w:t xml:space="preserve"> drug </w:t>
      </w:r>
      <w:proofErr w:type="spellStart"/>
      <w:r w:rsidRPr="00384E40">
        <w:rPr>
          <w:rFonts w:ascii="Arial" w:hAnsi="Arial" w:cs="Arial"/>
        </w:rPr>
        <w:t>evEnts</w:t>
      </w:r>
      <w:proofErr w:type="spellEnd"/>
      <w:r w:rsidRPr="00384E40">
        <w:rPr>
          <w:rFonts w:ascii="Arial" w:hAnsi="Arial" w:cs="Arial"/>
        </w:rPr>
        <w:t xml:space="preserve"> for patients with mental illness in community </w:t>
      </w:r>
      <w:proofErr w:type="spellStart"/>
      <w:r w:rsidRPr="00384E40">
        <w:rPr>
          <w:rFonts w:ascii="Arial" w:hAnsi="Arial" w:cs="Arial"/>
        </w:rPr>
        <w:t>caRe</w:t>
      </w:r>
      <w:proofErr w:type="spellEnd"/>
      <w:r w:rsidRPr="00384E40">
        <w:rPr>
          <w:rFonts w:ascii="Arial" w:hAnsi="Arial" w:cs="Arial"/>
        </w:rPr>
        <w:t xml:space="preserve"> (DISCOVER): a qualitative study. </w:t>
      </w:r>
      <w:r w:rsidRPr="00384E40">
        <w:rPr>
          <w:rFonts w:ascii="Arial" w:hAnsi="Arial" w:cs="Arial"/>
          <w:i/>
          <w:iCs/>
        </w:rPr>
        <w:t>Frontiers in Psychiatry</w:t>
      </w:r>
      <w:r w:rsidRPr="00384E40">
        <w:rPr>
          <w:rFonts w:ascii="Arial" w:hAnsi="Arial" w:cs="Arial"/>
        </w:rPr>
        <w:t>, </w:t>
      </w:r>
      <w:r w:rsidRPr="00384E40">
        <w:rPr>
          <w:rFonts w:ascii="Arial" w:hAnsi="Arial" w:cs="Arial"/>
          <w:i/>
          <w:iCs/>
        </w:rPr>
        <w:t>14</w:t>
      </w:r>
      <w:r w:rsidRPr="00384E40">
        <w:rPr>
          <w:rFonts w:ascii="Arial" w:hAnsi="Arial" w:cs="Arial"/>
        </w:rPr>
        <w:t xml:space="preserve">, p.1241445. </w:t>
      </w:r>
      <w:hyperlink r:id="rId12" w:history="1">
        <w:r w:rsidRPr="00384E40">
          <w:rPr>
            <w:rStyle w:val="Hyperlink"/>
            <w:rFonts w:ascii="Arial" w:hAnsi="Arial" w:cs="Arial"/>
          </w:rPr>
          <w:t>https://www.frontiersin.org/journals/psychiatry/articles/10.3389/fpsyt.2023.1241445/full</w:t>
        </w:r>
      </w:hyperlink>
    </w:p>
    <w:p w14:paraId="477361F1" w14:textId="0E07C8F5" w:rsidR="002640C1" w:rsidRDefault="002640C1" w:rsidP="00206A5F">
      <w:pPr>
        <w:spacing w:line="360" w:lineRule="auto"/>
        <w:jc w:val="both"/>
        <w:rPr>
          <w:rFonts w:ascii="Arial" w:hAnsi="Arial" w:cs="Arial"/>
        </w:rPr>
      </w:pPr>
      <w:proofErr w:type="spellStart"/>
      <w:r w:rsidRPr="002640C1">
        <w:rPr>
          <w:rFonts w:ascii="Arial" w:hAnsi="Arial" w:cs="Arial"/>
        </w:rPr>
        <w:t>Beuscart</w:t>
      </w:r>
      <w:proofErr w:type="spellEnd"/>
      <w:r w:rsidRPr="002640C1">
        <w:rPr>
          <w:rFonts w:ascii="Arial" w:hAnsi="Arial" w:cs="Arial"/>
        </w:rPr>
        <w:t xml:space="preserve">, J.B., Pelayo, S., Robert, L., </w:t>
      </w:r>
      <w:proofErr w:type="spellStart"/>
      <w:r w:rsidRPr="002640C1">
        <w:rPr>
          <w:rFonts w:ascii="Arial" w:hAnsi="Arial" w:cs="Arial"/>
        </w:rPr>
        <w:t>Thevelin</w:t>
      </w:r>
      <w:proofErr w:type="spellEnd"/>
      <w:r w:rsidRPr="002640C1">
        <w:rPr>
          <w:rFonts w:ascii="Arial" w:hAnsi="Arial" w:cs="Arial"/>
        </w:rPr>
        <w:t xml:space="preserve">, S., Marien, S. and </w:t>
      </w:r>
      <w:proofErr w:type="spellStart"/>
      <w:r w:rsidRPr="002640C1">
        <w:rPr>
          <w:rFonts w:ascii="Arial" w:hAnsi="Arial" w:cs="Arial"/>
        </w:rPr>
        <w:t>Dalleur</w:t>
      </w:r>
      <w:proofErr w:type="spellEnd"/>
      <w:r w:rsidRPr="002640C1">
        <w:rPr>
          <w:rFonts w:ascii="Arial" w:hAnsi="Arial" w:cs="Arial"/>
        </w:rPr>
        <w:t xml:space="preserve">, O., </w:t>
      </w:r>
      <w:r w:rsidR="006C45DE">
        <w:rPr>
          <w:rFonts w:ascii="Arial" w:hAnsi="Arial" w:cs="Arial"/>
        </w:rPr>
        <w:t>(</w:t>
      </w:r>
      <w:r w:rsidRPr="002640C1">
        <w:rPr>
          <w:rFonts w:ascii="Arial" w:hAnsi="Arial" w:cs="Arial"/>
        </w:rPr>
        <w:t>2021</w:t>
      </w:r>
      <w:r w:rsidR="006C45DE">
        <w:rPr>
          <w:rFonts w:ascii="Arial" w:hAnsi="Arial" w:cs="Arial"/>
        </w:rPr>
        <w:t>)</w:t>
      </w:r>
      <w:r w:rsidRPr="002640C1">
        <w:rPr>
          <w:rFonts w:ascii="Arial" w:hAnsi="Arial" w:cs="Arial"/>
        </w:rPr>
        <w:t>. Medication review and reconciliation in older adults. </w:t>
      </w:r>
      <w:r w:rsidRPr="002640C1">
        <w:rPr>
          <w:rFonts w:ascii="Arial" w:hAnsi="Arial" w:cs="Arial"/>
          <w:i/>
          <w:iCs/>
        </w:rPr>
        <w:t xml:space="preserve">European geriatric </w:t>
      </w:r>
      <w:r w:rsidRPr="002640C1">
        <w:rPr>
          <w:rFonts w:ascii="Arial" w:hAnsi="Arial" w:cs="Arial"/>
          <w:i/>
          <w:iCs/>
        </w:rPr>
        <w:lastRenderedPageBreak/>
        <w:t>medicine</w:t>
      </w:r>
      <w:r w:rsidRPr="002640C1">
        <w:rPr>
          <w:rFonts w:ascii="Arial" w:hAnsi="Arial" w:cs="Arial"/>
        </w:rPr>
        <w:t>, </w:t>
      </w:r>
      <w:r w:rsidRPr="002640C1">
        <w:rPr>
          <w:rFonts w:ascii="Arial" w:hAnsi="Arial" w:cs="Arial"/>
          <w:i/>
          <w:iCs/>
        </w:rPr>
        <w:t>12</w:t>
      </w:r>
      <w:r w:rsidRPr="002640C1">
        <w:rPr>
          <w:rFonts w:ascii="Arial" w:hAnsi="Arial" w:cs="Arial"/>
        </w:rPr>
        <w:t>(3), pp.499-507.</w:t>
      </w:r>
      <w:r w:rsidR="005D27A1">
        <w:rPr>
          <w:rFonts w:ascii="Arial" w:hAnsi="Arial" w:cs="Arial"/>
        </w:rPr>
        <w:t xml:space="preserve"> </w:t>
      </w:r>
      <w:hyperlink r:id="rId13" w:history="1">
        <w:r w:rsidR="005D27A1" w:rsidRPr="00997DA1">
          <w:rPr>
            <w:rStyle w:val="Hyperlink"/>
            <w:rFonts w:ascii="Arial" w:hAnsi="Arial" w:cs="Arial"/>
          </w:rPr>
          <w:t>https://link.springer.com/article/10.1007/s41999-021-00449-9</w:t>
        </w:r>
      </w:hyperlink>
    </w:p>
    <w:p w14:paraId="217CBDEC" w14:textId="4F89A836" w:rsidR="00487B6F" w:rsidRDefault="00487B6F" w:rsidP="00206A5F">
      <w:pPr>
        <w:spacing w:line="360" w:lineRule="auto"/>
        <w:jc w:val="both"/>
        <w:rPr>
          <w:rFonts w:ascii="Arial" w:hAnsi="Arial" w:cs="Arial"/>
        </w:rPr>
      </w:pPr>
      <w:r w:rsidRPr="00487B6F">
        <w:rPr>
          <w:rFonts w:ascii="Arial" w:hAnsi="Arial" w:cs="Arial"/>
        </w:rPr>
        <w:t xml:space="preserve">Breuker, C., Macioce, V., Mura, T., </w:t>
      </w:r>
      <w:proofErr w:type="spellStart"/>
      <w:r w:rsidRPr="00487B6F">
        <w:rPr>
          <w:rFonts w:ascii="Arial" w:hAnsi="Arial" w:cs="Arial"/>
        </w:rPr>
        <w:t>Castet</w:t>
      </w:r>
      <w:proofErr w:type="spellEnd"/>
      <w:r w:rsidRPr="00487B6F">
        <w:rPr>
          <w:rFonts w:ascii="Arial" w:hAnsi="Arial" w:cs="Arial"/>
        </w:rPr>
        <w:t xml:space="preserve">-Nicolas, A., </w:t>
      </w:r>
      <w:proofErr w:type="spellStart"/>
      <w:r w:rsidRPr="00487B6F">
        <w:rPr>
          <w:rFonts w:ascii="Arial" w:hAnsi="Arial" w:cs="Arial"/>
        </w:rPr>
        <w:t>Audurier</w:t>
      </w:r>
      <w:proofErr w:type="spellEnd"/>
      <w:r w:rsidRPr="00487B6F">
        <w:rPr>
          <w:rFonts w:ascii="Arial" w:hAnsi="Arial" w:cs="Arial"/>
        </w:rPr>
        <w:t xml:space="preserve">, Y., Boegner, C., Jalabert, A., </w:t>
      </w:r>
      <w:proofErr w:type="spellStart"/>
      <w:r w:rsidRPr="00487B6F">
        <w:rPr>
          <w:rFonts w:ascii="Arial" w:hAnsi="Arial" w:cs="Arial"/>
        </w:rPr>
        <w:t>Villiet</w:t>
      </w:r>
      <w:proofErr w:type="spellEnd"/>
      <w:r w:rsidRPr="00487B6F">
        <w:rPr>
          <w:rFonts w:ascii="Arial" w:hAnsi="Arial" w:cs="Arial"/>
        </w:rPr>
        <w:t xml:space="preserve">, M., Avignon, A. and Sultan, A., </w:t>
      </w:r>
      <w:r w:rsidR="006C45DE">
        <w:rPr>
          <w:rFonts w:ascii="Arial" w:hAnsi="Arial" w:cs="Arial"/>
        </w:rPr>
        <w:t>(</w:t>
      </w:r>
      <w:r w:rsidRPr="00487B6F">
        <w:rPr>
          <w:rFonts w:ascii="Arial" w:hAnsi="Arial" w:cs="Arial"/>
        </w:rPr>
        <w:t>2021</w:t>
      </w:r>
      <w:r w:rsidR="006C45DE">
        <w:rPr>
          <w:rFonts w:ascii="Arial" w:hAnsi="Arial" w:cs="Arial"/>
        </w:rPr>
        <w:t>)</w:t>
      </w:r>
      <w:r w:rsidRPr="00487B6F">
        <w:rPr>
          <w:rFonts w:ascii="Arial" w:hAnsi="Arial" w:cs="Arial"/>
        </w:rPr>
        <w:t>. Medication errors at hospital admission and discharge: risk factors and impact of medication reconciliation process to improve healthcare. </w:t>
      </w:r>
      <w:r w:rsidRPr="00487B6F">
        <w:rPr>
          <w:rFonts w:ascii="Arial" w:hAnsi="Arial" w:cs="Arial"/>
          <w:i/>
          <w:iCs/>
        </w:rPr>
        <w:t>Journal of Patient Safety</w:t>
      </w:r>
      <w:r w:rsidRPr="00487B6F">
        <w:rPr>
          <w:rFonts w:ascii="Arial" w:hAnsi="Arial" w:cs="Arial"/>
        </w:rPr>
        <w:t>, </w:t>
      </w:r>
      <w:r w:rsidRPr="00487B6F">
        <w:rPr>
          <w:rFonts w:ascii="Arial" w:hAnsi="Arial" w:cs="Arial"/>
          <w:i/>
          <w:iCs/>
        </w:rPr>
        <w:t>17</w:t>
      </w:r>
      <w:r w:rsidRPr="00487B6F">
        <w:rPr>
          <w:rFonts w:ascii="Arial" w:hAnsi="Arial" w:cs="Arial"/>
        </w:rPr>
        <w:t xml:space="preserve">(7), </w:t>
      </w:r>
      <w:proofErr w:type="gramStart"/>
      <w:r w:rsidRPr="00487B6F">
        <w:rPr>
          <w:rFonts w:ascii="Arial" w:hAnsi="Arial" w:cs="Arial"/>
        </w:rPr>
        <w:t>pp.e</w:t>
      </w:r>
      <w:proofErr w:type="gramEnd"/>
      <w:r w:rsidRPr="00487B6F">
        <w:rPr>
          <w:rFonts w:ascii="Arial" w:hAnsi="Arial" w:cs="Arial"/>
        </w:rPr>
        <w:t>645-e652.</w:t>
      </w:r>
      <w:r>
        <w:rPr>
          <w:rFonts w:ascii="Arial" w:hAnsi="Arial" w:cs="Arial"/>
        </w:rPr>
        <w:t xml:space="preserve"> </w:t>
      </w:r>
      <w:hyperlink r:id="rId14" w:history="1">
        <w:r w:rsidRPr="00997DA1">
          <w:rPr>
            <w:rStyle w:val="Hyperlink"/>
            <w:rFonts w:ascii="Arial" w:hAnsi="Arial" w:cs="Arial"/>
          </w:rPr>
          <w:t>https://journals.lww.com/journalpatientsafety/fulltext/2021/10000/Medication_Errors_at_Hospital_Admission_and.17.aspx</w:t>
        </w:r>
      </w:hyperlink>
    </w:p>
    <w:p w14:paraId="419AED32" w14:textId="7D3A6588" w:rsidR="00487B6F" w:rsidRDefault="00487B6F" w:rsidP="00206A5F">
      <w:pPr>
        <w:spacing w:line="360" w:lineRule="auto"/>
        <w:jc w:val="both"/>
        <w:rPr>
          <w:rFonts w:ascii="Arial" w:hAnsi="Arial" w:cs="Arial"/>
        </w:rPr>
      </w:pPr>
      <w:r w:rsidRPr="007F0F2E">
        <w:rPr>
          <w:rFonts w:ascii="Arial" w:hAnsi="Arial" w:cs="Arial"/>
          <w:lang w:val="it-IT"/>
        </w:rPr>
        <w:t xml:space="preserve">Ceschi, A., Noseda, R., Pironi, M., Lazzeri, N., Eberhardt-Gianella, O., Imelli, S., Ghidossi, S., Bruni, S., Pagnamenta, A. and Ferrari, P., </w:t>
      </w:r>
      <w:r w:rsidR="006C45DE" w:rsidRPr="007F0F2E">
        <w:rPr>
          <w:rFonts w:ascii="Arial" w:hAnsi="Arial" w:cs="Arial"/>
          <w:lang w:val="it-IT"/>
        </w:rPr>
        <w:t>(</w:t>
      </w:r>
      <w:r w:rsidRPr="007F0F2E">
        <w:rPr>
          <w:rFonts w:ascii="Arial" w:hAnsi="Arial" w:cs="Arial"/>
          <w:lang w:val="it-IT"/>
        </w:rPr>
        <w:t>2021</w:t>
      </w:r>
      <w:r w:rsidR="006C45DE" w:rsidRPr="007F0F2E">
        <w:rPr>
          <w:rFonts w:ascii="Arial" w:hAnsi="Arial" w:cs="Arial"/>
          <w:lang w:val="it-IT"/>
        </w:rPr>
        <w:t>)</w:t>
      </w:r>
      <w:r w:rsidRPr="007F0F2E">
        <w:rPr>
          <w:rFonts w:ascii="Arial" w:hAnsi="Arial" w:cs="Arial"/>
          <w:lang w:val="it-IT"/>
        </w:rPr>
        <w:t xml:space="preserve">. </w:t>
      </w:r>
      <w:r w:rsidRPr="00487B6F">
        <w:rPr>
          <w:rFonts w:ascii="Arial" w:hAnsi="Arial" w:cs="Arial"/>
        </w:rPr>
        <w:t>Effect of medication reconciliation at hospital admission on 30-day returns to hospital: a randomized clinical trial. </w:t>
      </w:r>
      <w:r w:rsidRPr="00487B6F">
        <w:rPr>
          <w:rFonts w:ascii="Arial" w:hAnsi="Arial" w:cs="Arial"/>
          <w:i/>
          <w:iCs/>
        </w:rPr>
        <w:t>JAMA network open</w:t>
      </w:r>
      <w:r w:rsidRPr="00487B6F">
        <w:rPr>
          <w:rFonts w:ascii="Arial" w:hAnsi="Arial" w:cs="Arial"/>
        </w:rPr>
        <w:t>, </w:t>
      </w:r>
      <w:r w:rsidRPr="00487B6F">
        <w:rPr>
          <w:rFonts w:ascii="Arial" w:hAnsi="Arial" w:cs="Arial"/>
          <w:i/>
          <w:iCs/>
        </w:rPr>
        <w:t>4</w:t>
      </w:r>
      <w:r w:rsidRPr="00487B6F">
        <w:rPr>
          <w:rFonts w:ascii="Arial" w:hAnsi="Arial" w:cs="Arial"/>
        </w:rPr>
        <w:t xml:space="preserve">(9), </w:t>
      </w:r>
      <w:proofErr w:type="gramStart"/>
      <w:r w:rsidRPr="00487B6F">
        <w:rPr>
          <w:rFonts w:ascii="Arial" w:hAnsi="Arial" w:cs="Arial"/>
        </w:rPr>
        <w:t>pp.e</w:t>
      </w:r>
      <w:proofErr w:type="gramEnd"/>
      <w:r w:rsidRPr="00487B6F">
        <w:rPr>
          <w:rFonts w:ascii="Arial" w:hAnsi="Arial" w:cs="Arial"/>
        </w:rPr>
        <w:t>2124672-e2124672.</w:t>
      </w:r>
      <w:r>
        <w:rPr>
          <w:rFonts w:ascii="Arial" w:hAnsi="Arial" w:cs="Arial"/>
        </w:rPr>
        <w:t xml:space="preserve"> </w:t>
      </w:r>
      <w:hyperlink r:id="rId15" w:history="1">
        <w:r w:rsidRPr="00997DA1">
          <w:rPr>
            <w:rStyle w:val="Hyperlink"/>
            <w:rFonts w:ascii="Arial" w:hAnsi="Arial" w:cs="Arial"/>
          </w:rPr>
          <w:t>https://jamanetwork.com/journals/jamanetworkopen/article-abstract/2784184</w:t>
        </w:r>
      </w:hyperlink>
    </w:p>
    <w:p w14:paraId="009AA8FB" w14:textId="319F6441" w:rsidR="008A2C12" w:rsidRDefault="00DB6BCE" w:rsidP="00206A5F">
      <w:pPr>
        <w:spacing w:line="360" w:lineRule="auto"/>
        <w:jc w:val="both"/>
        <w:rPr>
          <w:rFonts w:ascii="Arial" w:hAnsi="Arial" w:cs="Arial"/>
        </w:rPr>
      </w:pPr>
      <w:r w:rsidRPr="00DB6BCE">
        <w:rPr>
          <w:rFonts w:ascii="Arial" w:hAnsi="Arial" w:cs="Arial"/>
        </w:rPr>
        <w:t xml:space="preserve">Coy, A., </w:t>
      </w:r>
      <w:r w:rsidR="006C45DE">
        <w:rPr>
          <w:rFonts w:ascii="Arial" w:hAnsi="Arial" w:cs="Arial"/>
        </w:rPr>
        <w:t>(</w:t>
      </w:r>
      <w:r w:rsidRPr="00DB6BCE">
        <w:rPr>
          <w:rFonts w:ascii="Arial" w:hAnsi="Arial" w:cs="Arial"/>
        </w:rPr>
        <w:t>2024</w:t>
      </w:r>
      <w:r w:rsidR="006C45DE">
        <w:rPr>
          <w:rFonts w:ascii="Arial" w:hAnsi="Arial" w:cs="Arial"/>
        </w:rPr>
        <w:t>)</w:t>
      </w:r>
      <w:r w:rsidRPr="00DB6BCE">
        <w:rPr>
          <w:rFonts w:ascii="Arial" w:hAnsi="Arial" w:cs="Arial"/>
        </w:rPr>
        <w:t>. </w:t>
      </w:r>
      <w:r w:rsidRPr="00DB6BCE">
        <w:rPr>
          <w:rFonts w:ascii="Arial" w:hAnsi="Arial" w:cs="Arial"/>
          <w:i/>
          <w:iCs/>
        </w:rPr>
        <w:t>Medication Reconciliation Strategies to Improve Medication Safety</w:t>
      </w:r>
      <w:r w:rsidRPr="00DB6BCE">
        <w:rPr>
          <w:rFonts w:ascii="Arial" w:hAnsi="Arial" w:cs="Arial"/>
        </w:rPr>
        <w:t> (Doctoral dissertation, University of Missouri--Kansas City).</w:t>
      </w:r>
      <w:r>
        <w:rPr>
          <w:rFonts w:ascii="Arial" w:hAnsi="Arial" w:cs="Arial"/>
        </w:rPr>
        <w:t xml:space="preserve"> </w:t>
      </w:r>
      <w:hyperlink r:id="rId16" w:history="1">
        <w:r w:rsidRPr="00997DA1">
          <w:rPr>
            <w:rStyle w:val="Hyperlink"/>
            <w:rFonts w:ascii="Arial" w:hAnsi="Arial" w:cs="Arial"/>
          </w:rPr>
          <w:t>https://mospace.umsystem.edu/xmlui/handle/10355/100171</w:t>
        </w:r>
      </w:hyperlink>
    </w:p>
    <w:p w14:paraId="4AABBB22" w14:textId="076F6417" w:rsidR="004E45C2" w:rsidRDefault="004E45C2" w:rsidP="00206A5F">
      <w:pPr>
        <w:spacing w:line="360" w:lineRule="auto"/>
        <w:jc w:val="both"/>
        <w:rPr>
          <w:rFonts w:ascii="Arial" w:hAnsi="Arial" w:cs="Arial"/>
        </w:rPr>
      </w:pPr>
      <w:r w:rsidRPr="004E45C2">
        <w:rPr>
          <w:rFonts w:ascii="Arial" w:hAnsi="Arial" w:cs="Arial"/>
        </w:rPr>
        <w:t xml:space="preserve">de </w:t>
      </w:r>
      <w:proofErr w:type="spellStart"/>
      <w:r w:rsidRPr="004E45C2">
        <w:rPr>
          <w:rFonts w:ascii="Arial" w:hAnsi="Arial" w:cs="Arial"/>
        </w:rPr>
        <w:t>Bienassis</w:t>
      </w:r>
      <w:proofErr w:type="spellEnd"/>
      <w:r w:rsidRPr="004E45C2">
        <w:rPr>
          <w:rFonts w:ascii="Arial" w:hAnsi="Arial" w:cs="Arial"/>
        </w:rPr>
        <w:t xml:space="preserve">, K., Esmail, L., </w:t>
      </w:r>
      <w:proofErr w:type="spellStart"/>
      <w:r w:rsidRPr="004E45C2">
        <w:rPr>
          <w:rFonts w:ascii="Arial" w:hAnsi="Arial" w:cs="Arial"/>
        </w:rPr>
        <w:t>Lopert</w:t>
      </w:r>
      <w:proofErr w:type="spellEnd"/>
      <w:r w:rsidRPr="004E45C2">
        <w:rPr>
          <w:rFonts w:ascii="Arial" w:hAnsi="Arial" w:cs="Arial"/>
        </w:rPr>
        <w:t xml:space="preserve">, R. and </w:t>
      </w:r>
      <w:proofErr w:type="spellStart"/>
      <w:r w:rsidRPr="004E45C2">
        <w:rPr>
          <w:rFonts w:ascii="Arial" w:hAnsi="Arial" w:cs="Arial"/>
        </w:rPr>
        <w:t>Klazinga</w:t>
      </w:r>
      <w:proofErr w:type="spellEnd"/>
      <w:r w:rsidRPr="004E45C2">
        <w:rPr>
          <w:rFonts w:ascii="Arial" w:hAnsi="Arial" w:cs="Arial"/>
        </w:rPr>
        <w:t xml:space="preserve">, N., </w:t>
      </w:r>
      <w:r w:rsidR="006C45DE">
        <w:rPr>
          <w:rFonts w:ascii="Arial" w:hAnsi="Arial" w:cs="Arial"/>
        </w:rPr>
        <w:t>(</w:t>
      </w:r>
      <w:r w:rsidRPr="004E45C2">
        <w:rPr>
          <w:rFonts w:ascii="Arial" w:hAnsi="Arial" w:cs="Arial"/>
        </w:rPr>
        <w:t>2022</w:t>
      </w:r>
      <w:r w:rsidR="006C45DE">
        <w:rPr>
          <w:rFonts w:ascii="Arial" w:hAnsi="Arial" w:cs="Arial"/>
        </w:rPr>
        <w:t>)</w:t>
      </w:r>
      <w:r w:rsidRPr="004E45C2">
        <w:rPr>
          <w:rFonts w:ascii="Arial" w:hAnsi="Arial" w:cs="Arial"/>
        </w:rPr>
        <w:t>. The economics of medication safety: Improving medication safety through collective, real-time learning. </w:t>
      </w:r>
      <w:r w:rsidRPr="004E45C2">
        <w:rPr>
          <w:rFonts w:ascii="Arial" w:hAnsi="Arial" w:cs="Arial"/>
          <w:i/>
          <w:iCs/>
        </w:rPr>
        <w:t>OECD Health Working Papers</w:t>
      </w:r>
      <w:r w:rsidRPr="004E45C2">
        <w:rPr>
          <w:rFonts w:ascii="Arial" w:hAnsi="Arial" w:cs="Arial"/>
        </w:rPr>
        <w:t>, (147), pp.0_1-85.</w:t>
      </w:r>
      <w:r>
        <w:rPr>
          <w:rFonts w:ascii="Arial" w:hAnsi="Arial" w:cs="Arial"/>
        </w:rPr>
        <w:t xml:space="preserve"> </w:t>
      </w:r>
      <w:hyperlink r:id="rId17" w:history="1">
        <w:r w:rsidRPr="00997DA1">
          <w:rPr>
            <w:rStyle w:val="Hyperlink"/>
            <w:rFonts w:ascii="Arial" w:hAnsi="Arial" w:cs="Arial"/>
          </w:rPr>
          <w:t>https://search.proquest.com/openview/fe613adc62e2fa11c357abfc32da3d7d/1?pq-origsite=gscholar&amp;cbl=54484</w:t>
        </w:r>
      </w:hyperlink>
    </w:p>
    <w:p w14:paraId="7D496D38" w14:textId="0456179E" w:rsidR="008A2C12" w:rsidRDefault="00000000" w:rsidP="00206A5F">
      <w:pPr>
        <w:spacing w:line="360" w:lineRule="auto"/>
        <w:jc w:val="both"/>
        <w:rPr>
          <w:rFonts w:ascii="Arial" w:hAnsi="Arial" w:cs="Arial"/>
        </w:rPr>
      </w:pPr>
      <w:r w:rsidRPr="00384E40">
        <w:rPr>
          <w:rFonts w:ascii="Arial" w:hAnsi="Arial" w:cs="Arial"/>
        </w:rPr>
        <w:t xml:space="preserve">Doolub, R., </w:t>
      </w:r>
      <w:r w:rsidR="006C45DE">
        <w:rPr>
          <w:rFonts w:ascii="Arial" w:hAnsi="Arial" w:cs="Arial"/>
        </w:rPr>
        <w:t>(</w:t>
      </w:r>
      <w:r w:rsidRPr="00384E40">
        <w:rPr>
          <w:rFonts w:ascii="Arial" w:hAnsi="Arial" w:cs="Arial"/>
        </w:rPr>
        <w:t>2017</w:t>
      </w:r>
      <w:r w:rsidR="006C45DE">
        <w:rPr>
          <w:rFonts w:ascii="Arial" w:hAnsi="Arial" w:cs="Arial"/>
        </w:rPr>
        <w:t>)</w:t>
      </w:r>
      <w:r w:rsidRPr="00384E40">
        <w:rPr>
          <w:rFonts w:ascii="Arial" w:hAnsi="Arial" w:cs="Arial"/>
        </w:rPr>
        <w:t>. Improving medicines reconciliation rates at Ashford and St. peter's hospitals NHS Foundation trust. </w:t>
      </w:r>
      <w:r w:rsidRPr="00384E40">
        <w:rPr>
          <w:rFonts w:ascii="Arial" w:hAnsi="Arial" w:cs="Arial"/>
          <w:i/>
          <w:iCs/>
        </w:rPr>
        <w:t>BMJ Open Quality</w:t>
      </w:r>
      <w:r w:rsidRPr="00384E40">
        <w:rPr>
          <w:rFonts w:ascii="Arial" w:hAnsi="Arial" w:cs="Arial"/>
        </w:rPr>
        <w:t>, </w:t>
      </w:r>
      <w:r w:rsidRPr="00384E40">
        <w:rPr>
          <w:rFonts w:ascii="Arial" w:hAnsi="Arial" w:cs="Arial"/>
          <w:i/>
          <w:iCs/>
        </w:rPr>
        <w:t>6</w:t>
      </w:r>
      <w:r w:rsidRPr="00384E40">
        <w:rPr>
          <w:rFonts w:ascii="Arial" w:hAnsi="Arial" w:cs="Arial"/>
        </w:rPr>
        <w:t xml:space="preserve">(1), p.e000064. </w:t>
      </w:r>
      <w:hyperlink r:id="rId18" w:history="1">
        <w:r w:rsidRPr="00384E40">
          <w:rPr>
            <w:rStyle w:val="Hyperlink"/>
            <w:rFonts w:ascii="Arial" w:hAnsi="Arial" w:cs="Arial"/>
          </w:rPr>
          <w:t>https://bmjopenquality.bmj.com/content/6/1/e000064.abstract</w:t>
        </w:r>
      </w:hyperlink>
    </w:p>
    <w:p w14:paraId="6D9BFF02" w14:textId="18D3CE2B" w:rsidR="008A2C12" w:rsidRDefault="00AC5470" w:rsidP="00206A5F">
      <w:pPr>
        <w:spacing w:line="360" w:lineRule="auto"/>
        <w:jc w:val="both"/>
        <w:rPr>
          <w:rFonts w:ascii="Arial" w:hAnsi="Arial" w:cs="Arial"/>
        </w:rPr>
      </w:pPr>
      <w:r w:rsidRPr="00AC5470">
        <w:rPr>
          <w:rFonts w:ascii="Arial" w:hAnsi="Arial" w:cs="Arial"/>
        </w:rPr>
        <w:t xml:space="preserve">Faria, R., Barbieri, M., Light, K. and </w:t>
      </w:r>
      <w:proofErr w:type="spellStart"/>
      <w:r w:rsidRPr="00AC5470">
        <w:rPr>
          <w:rFonts w:ascii="Arial" w:hAnsi="Arial" w:cs="Arial"/>
        </w:rPr>
        <w:t>Sculpher</w:t>
      </w:r>
      <w:proofErr w:type="spellEnd"/>
      <w:r w:rsidRPr="00AC5470">
        <w:rPr>
          <w:rFonts w:ascii="Arial" w:hAnsi="Arial" w:cs="Arial"/>
        </w:rPr>
        <w:t xml:space="preserve">, M., </w:t>
      </w:r>
      <w:r w:rsidR="006C45DE">
        <w:rPr>
          <w:rFonts w:ascii="Arial" w:hAnsi="Arial" w:cs="Arial"/>
        </w:rPr>
        <w:t>(</w:t>
      </w:r>
      <w:r w:rsidRPr="00AC5470">
        <w:rPr>
          <w:rFonts w:ascii="Arial" w:hAnsi="Arial" w:cs="Arial"/>
        </w:rPr>
        <w:t>2024</w:t>
      </w:r>
      <w:r w:rsidR="006C45DE">
        <w:rPr>
          <w:rFonts w:ascii="Arial" w:hAnsi="Arial" w:cs="Arial"/>
        </w:rPr>
        <w:t>)</w:t>
      </w:r>
      <w:r w:rsidRPr="00AC5470">
        <w:rPr>
          <w:rFonts w:ascii="Arial" w:hAnsi="Arial" w:cs="Arial"/>
        </w:rPr>
        <w:t>. Economics of medicines optimisation.</w:t>
      </w:r>
      <w:r>
        <w:rPr>
          <w:rFonts w:ascii="Arial" w:hAnsi="Arial" w:cs="Arial"/>
        </w:rPr>
        <w:t xml:space="preserve"> </w:t>
      </w:r>
      <w:hyperlink r:id="rId19" w:history="1">
        <w:r w:rsidRPr="00997DA1">
          <w:rPr>
            <w:rStyle w:val="Hyperlink"/>
            <w:rFonts w:ascii="Arial" w:hAnsi="Arial" w:cs="Arial"/>
          </w:rPr>
          <w:t>https://orda.shef.ac.uk/articles/report/Economics_of_medicines_optimisation/25012931/1</w:t>
        </w:r>
      </w:hyperlink>
    </w:p>
    <w:p w14:paraId="1E0E5B02" w14:textId="58CE9547" w:rsidR="000941E5" w:rsidRDefault="000941E5" w:rsidP="00206A5F">
      <w:pPr>
        <w:spacing w:line="360" w:lineRule="auto"/>
        <w:jc w:val="both"/>
        <w:rPr>
          <w:rFonts w:ascii="Arial" w:hAnsi="Arial" w:cs="Arial"/>
        </w:rPr>
      </w:pPr>
      <w:r w:rsidRPr="000941E5">
        <w:rPr>
          <w:rFonts w:ascii="Arial" w:hAnsi="Arial" w:cs="Arial"/>
        </w:rPr>
        <w:t xml:space="preserve">Gionfriddo, M.R., Duboski, V., </w:t>
      </w:r>
      <w:proofErr w:type="spellStart"/>
      <w:r w:rsidRPr="000941E5">
        <w:rPr>
          <w:rFonts w:ascii="Arial" w:hAnsi="Arial" w:cs="Arial"/>
        </w:rPr>
        <w:t>Middernacht</w:t>
      </w:r>
      <w:proofErr w:type="spellEnd"/>
      <w:r w:rsidRPr="000941E5">
        <w:rPr>
          <w:rFonts w:ascii="Arial" w:hAnsi="Arial" w:cs="Arial"/>
        </w:rPr>
        <w:t xml:space="preserve">, A., Kern, M.S., Graham, J. and Wright, E.A., </w:t>
      </w:r>
      <w:r w:rsidR="006C45DE">
        <w:rPr>
          <w:rFonts w:ascii="Arial" w:hAnsi="Arial" w:cs="Arial"/>
        </w:rPr>
        <w:t>(</w:t>
      </w:r>
      <w:r w:rsidRPr="000941E5">
        <w:rPr>
          <w:rFonts w:ascii="Arial" w:hAnsi="Arial" w:cs="Arial"/>
        </w:rPr>
        <w:t>2021</w:t>
      </w:r>
      <w:r w:rsidR="006C45DE">
        <w:rPr>
          <w:rFonts w:ascii="Arial" w:hAnsi="Arial" w:cs="Arial"/>
        </w:rPr>
        <w:t>)</w:t>
      </w:r>
      <w:r w:rsidRPr="000941E5">
        <w:rPr>
          <w:rFonts w:ascii="Arial" w:hAnsi="Arial" w:cs="Arial"/>
        </w:rPr>
        <w:t xml:space="preserve">. A mixed methods evaluation of medication reconciliation in the primary </w:t>
      </w:r>
      <w:r w:rsidRPr="000941E5">
        <w:rPr>
          <w:rFonts w:ascii="Arial" w:hAnsi="Arial" w:cs="Arial"/>
        </w:rPr>
        <w:lastRenderedPageBreak/>
        <w:t>care setting. </w:t>
      </w:r>
      <w:proofErr w:type="spellStart"/>
      <w:r w:rsidRPr="000941E5">
        <w:rPr>
          <w:rFonts w:ascii="Arial" w:hAnsi="Arial" w:cs="Arial"/>
          <w:i/>
          <w:iCs/>
        </w:rPr>
        <w:t>PLoS</w:t>
      </w:r>
      <w:proofErr w:type="spellEnd"/>
      <w:r w:rsidRPr="000941E5">
        <w:rPr>
          <w:rFonts w:ascii="Arial" w:hAnsi="Arial" w:cs="Arial"/>
          <w:i/>
          <w:iCs/>
        </w:rPr>
        <w:t xml:space="preserve"> One</w:t>
      </w:r>
      <w:r w:rsidRPr="000941E5">
        <w:rPr>
          <w:rFonts w:ascii="Arial" w:hAnsi="Arial" w:cs="Arial"/>
        </w:rPr>
        <w:t>, </w:t>
      </w:r>
      <w:r w:rsidRPr="000941E5">
        <w:rPr>
          <w:rFonts w:ascii="Arial" w:hAnsi="Arial" w:cs="Arial"/>
          <w:i/>
          <w:iCs/>
        </w:rPr>
        <w:t>16</w:t>
      </w:r>
      <w:r w:rsidRPr="000941E5">
        <w:rPr>
          <w:rFonts w:ascii="Arial" w:hAnsi="Arial" w:cs="Arial"/>
        </w:rPr>
        <w:t>(12), p.e0260882.</w:t>
      </w:r>
      <w:r>
        <w:rPr>
          <w:rFonts w:ascii="Arial" w:hAnsi="Arial" w:cs="Arial"/>
        </w:rPr>
        <w:t xml:space="preserve"> </w:t>
      </w:r>
      <w:hyperlink r:id="rId20" w:history="1">
        <w:r w:rsidRPr="00997DA1">
          <w:rPr>
            <w:rStyle w:val="Hyperlink"/>
            <w:rFonts w:ascii="Arial" w:hAnsi="Arial" w:cs="Arial"/>
          </w:rPr>
          <w:t>https://journals.plos.org/plosone/article?id=10.1371/journal.pone.0260882</w:t>
        </w:r>
      </w:hyperlink>
    </w:p>
    <w:p w14:paraId="04F0057E" w14:textId="77777777" w:rsidR="008A2C12" w:rsidRPr="00384E40" w:rsidRDefault="00000000" w:rsidP="00206A5F">
      <w:pPr>
        <w:spacing w:line="360" w:lineRule="auto"/>
        <w:jc w:val="both"/>
        <w:rPr>
          <w:rFonts w:ascii="Arial" w:hAnsi="Arial" w:cs="Arial"/>
        </w:rPr>
      </w:pPr>
      <w:r w:rsidRPr="00384E40">
        <w:rPr>
          <w:rFonts w:ascii="Arial" w:hAnsi="Arial" w:cs="Arial"/>
        </w:rPr>
        <w:t xml:space="preserve">Haxby, E. and </w:t>
      </w:r>
      <w:proofErr w:type="spellStart"/>
      <w:r w:rsidRPr="00384E40">
        <w:rPr>
          <w:rFonts w:ascii="Arial" w:hAnsi="Arial" w:cs="Arial"/>
        </w:rPr>
        <w:t>Shuldham</w:t>
      </w:r>
      <w:proofErr w:type="spellEnd"/>
      <w:r w:rsidRPr="00384E40">
        <w:rPr>
          <w:rFonts w:ascii="Arial" w:hAnsi="Arial" w:cs="Arial"/>
        </w:rPr>
        <w:t>, C., (2018). How to undertake a root cause analysis investigation to improve patient safety. </w:t>
      </w:r>
      <w:r w:rsidRPr="00384E40">
        <w:rPr>
          <w:rFonts w:ascii="Arial" w:hAnsi="Arial" w:cs="Arial"/>
          <w:i/>
          <w:iCs/>
        </w:rPr>
        <w:t>Nurs Stand</w:t>
      </w:r>
      <w:r w:rsidRPr="00384E40">
        <w:rPr>
          <w:rFonts w:ascii="Arial" w:hAnsi="Arial" w:cs="Arial"/>
        </w:rPr>
        <w:t>, </w:t>
      </w:r>
      <w:r w:rsidRPr="00384E40">
        <w:rPr>
          <w:rFonts w:ascii="Arial" w:hAnsi="Arial" w:cs="Arial"/>
          <w:i/>
          <w:iCs/>
        </w:rPr>
        <w:t>32</w:t>
      </w:r>
      <w:r w:rsidRPr="00384E40">
        <w:rPr>
          <w:rFonts w:ascii="Arial" w:hAnsi="Arial" w:cs="Arial"/>
        </w:rPr>
        <w:t xml:space="preserve">(20), pp.41-46. </w:t>
      </w:r>
      <w:hyperlink r:id="rId21" w:history="1">
        <w:r w:rsidRPr="00384E40">
          <w:rPr>
            <w:rStyle w:val="Hyperlink"/>
            <w:rFonts w:ascii="Arial" w:hAnsi="Arial" w:cs="Arial"/>
          </w:rPr>
          <w:t>https://journals.rcni.com/doi/aop-pdf/10.7748/ns.2018.e10859</w:t>
        </w:r>
      </w:hyperlink>
    </w:p>
    <w:p w14:paraId="070F67E7" w14:textId="77777777" w:rsidR="008A2C12" w:rsidRPr="00384E40" w:rsidRDefault="00000000" w:rsidP="00206A5F">
      <w:pPr>
        <w:spacing w:line="360" w:lineRule="auto"/>
        <w:jc w:val="both"/>
        <w:rPr>
          <w:rFonts w:ascii="Arial" w:hAnsi="Arial" w:cs="Arial"/>
        </w:rPr>
      </w:pPr>
      <w:r w:rsidRPr="00384E40">
        <w:rPr>
          <w:rFonts w:ascii="Arial" w:hAnsi="Arial" w:cs="Arial"/>
        </w:rPr>
        <w:t xml:space="preserve">Hodkinson, A., Tyler, N., Ashcroft, D.M., Keers, R.N., Khan, K., Phipps, D., </w:t>
      </w:r>
      <w:proofErr w:type="spellStart"/>
      <w:r w:rsidRPr="00384E40">
        <w:rPr>
          <w:rFonts w:ascii="Arial" w:hAnsi="Arial" w:cs="Arial"/>
        </w:rPr>
        <w:t>Abuzour</w:t>
      </w:r>
      <w:proofErr w:type="spellEnd"/>
      <w:r w:rsidRPr="00384E40">
        <w:rPr>
          <w:rFonts w:ascii="Arial" w:hAnsi="Arial" w:cs="Arial"/>
        </w:rPr>
        <w:t xml:space="preserve">, A., Bower, P., Avery, A., Campbell, S. and </w:t>
      </w:r>
      <w:proofErr w:type="spellStart"/>
      <w:r w:rsidRPr="00384E40">
        <w:rPr>
          <w:rFonts w:ascii="Arial" w:hAnsi="Arial" w:cs="Arial"/>
        </w:rPr>
        <w:t>Panagioti</w:t>
      </w:r>
      <w:proofErr w:type="spellEnd"/>
      <w:r w:rsidRPr="00384E40">
        <w:rPr>
          <w:rFonts w:ascii="Arial" w:hAnsi="Arial" w:cs="Arial"/>
        </w:rPr>
        <w:t>, M., (2020). Preventable medication harm across health care settings: a systematic review and meta-analysis. </w:t>
      </w:r>
      <w:r w:rsidRPr="00384E40">
        <w:rPr>
          <w:rFonts w:ascii="Arial" w:hAnsi="Arial" w:cs="Arial"/>
          <w:i/>
          <w:iCs/>
        </w:rPr>
        <w:t>BMC medicine</w:t>
      </w:r>
      <w:r w:rsidRPr="00384E40">
        <w:rPr>
          <w:rFonts w:ascii="Arial" w:hAnsi="Arial" w:cs="Arial"/>
        </w:rPr>
        <w:t>, </w:t>
      </w:r>
      <w:r w:rsidRPr="00384E40">
        <w:rPr>
          <w:rFonts w:ascii="Arial" w:hAnsi="Arial" w:cs="Arial"/>
          <w:i/>
          <w:iCs/>
        </w:rPr>
        <w:t>18</w:t>
      </w:r>
      <w:r w:rsidRPr="00384E40">
        <w:rPr>
          <w:rFonts w:ascii="Arial" w:hAnsi="Arial" w:cs="Arial"/>
        </w:rPr>
        <w:t xml:space="preserve">(1), p.313. </w:t>
      </w:r>
      <w:hyperlink r:id="rId22" w:history="1">
        <w:r w:rsidRPr="00384E40">
          <w:rPr>
            <w:rStyle w:val="Hyperlink"/>
            <w:rFonts w:ascii="Arial" w:hAnsi="Arial" w:cs="Arial"/>
          </w:rPr>
          <w:t>https://link.springer.com/article/10.1186/s12916-020-01774-9</w:t>
        </w:r>
      </w:hyperlink>
    </w:p>
    <w:p w14:paraId="1541B1F0" w14:textId="5A160B83" w:rsidR="000F440A" w:rsidRDefault="000F440A" w:rsidP="00206A5F">
      <w:pPr>
        <w:spacing w:line="360" w:lineRule="auto"/>
        <w:jc w:val="both"/>
        <w:rPr>
          <w:rFonts w:ascii="Arial" w:hAnsi="Arial" w:cs="Arial"/>
        </w:rPr>
      </w:pPr>
      <w:r w:rsidRPr="000F440A">
        <w:rPr>
          <w:rFonts w:ascii="Arial" w:hAnsi="Arial" w:cs="Arial"/>
        </w:rPr>
        <w:t xml:space="preserve">Ismail, A.M., Yaqoob, J.M., </w:t>
      </w:r>
      <w:proofErr w:type="spellStart"/>
      <w:r w:rsidRPr="000F440A">
        <w:rPr>
          <w:rFonts w:ascii="Arial" w:hAnsi="Arial" w:cs="Arial"/>
        </w:rPr>
        <w:t>Kasasbeh</w:t>
      </w:r>
      <w:proofErr w:type="spellEnd"/>
      <w:r w:rsidRPr="000F440A">
        <w:rPr>
          <w:rFonts w:ascii="Arial" w:hAnsi="Arial" w:cs="Arial"/>
        </w:rPr>
        <w:t xml:space="preserve">, K.M. and Shaban, M.F., </w:t>
      </w:r>
      <w:r w:rsidR="006C45DE">
        <w:rPr>
          <w:rFonts w:ascii="Arial" w:hAnsi="Arial" w:cs="Arial"/>
        </w:rPr>
        <w:t>(</w:t>
      </w:r>
      <w:r w:rsidRPr="000F440A">
        <w:rPr>
          <w:rFonts w:ascii="Arial" w:hAnsi="Arial" w:cs="Arial"/>
        </w:rPr>
        <w:t>2024</w:t>
      </w:r>
      <w:r w:rsidR="006C45DE">
        <w:rPr>
          <w:rFonts w:ascii="Arial" w:hAnsi="Arial" w:cs="Arial"/>
        </w:rPr>
        <w:t>)</w:t>
      </w:r>
      <w:r w:rsidRPr="000F440A">
        <w:rPr>
          <w:rFonts w:ascii="Arial" w:hAnsi="Arial" w:cs="Arial"/>
        </w:rPr>
        <w:t>. Ten Quality Improvement. </w:t>
      </w:r>
      <w:r w:rsidRPr="000F440A">
        <w:rPr>
          <w:rFonts w:ascii="Arial" w:hAnsi="Arial" w:cs="Arial"/>
          <w:i/>
          <w:iCs/>
        </w:rPr>
        <w:t>Contemporary Topics in Patient Safety-Volume 3: Volume 3</w:t>
      </w:r>
      <w:r w:rsidRPr="000F440A">
        <w:rPr>
          <w:rFonts w:ascii="Arial" w:hAnsi="Arial" w:cs="Arial"/>
        </w:rPr>
        <w:t>, p.95.</w:t>
      </w:r>
      <w:r>
        <w:rPr>
          <w:rFonts w:ascii="Arial" w:hAnsi="Arial" w:cs="Arial"/>
        </w:rPr>
        <w:t xml:space="preserve"> </w:t>
      </w:r>
      <w:hyperlink r:id="rId23" w:history="1">
        <w:r w:rsidRPr="00997DA1">
          <w:rPr>
            <w:rStyle w:val="Hyperlink"/>
            <w:rFonts w:ascii="Arial" w:hAnsi="Arial" w:cs="Arial"/>
          </w:rPr>
          <w:t>https://books.google.com/books?hl=en&amp;lr=&amp;id=TvwkEQAAQBAJ&amp;oi=fnd&amp;pg=PA95&amp;dq=rational+Medication+Reconciliation+Failure+in+the+UK+NHS+Root+Cause+Analysis+(RCA)&amp;ots=eW99k960ff&amp;sig=5umk-dJToF4o2AWs1XxGcTclEIg</w:t>
        </w:r>
      </w:hyperlink>
    </w:p>
    <w:p w14:paraId="7511B413" w14:textId="3E5D1D81" w:rsidR="008A2C12" w:rsidRPr="00384E40" w:rsidRDefault="00000000" w:rsidP="00206A5F">
      <w:pPr>
        <w:spacing w:line="360" w:lineRule="auto"/>
        <w:jc w:val="both"/>
        <w:rPr>
          <w:rFonts w:ascii="Arial" w:hAnsi="Arial" w:cs="Arial"/>
        </w:rPr>
      </w:pPr>
      <w:r w:rsidRPr="00384E40">
        <w:rPr>
          <w:rFonts w:ascii="Arial" w:hAnsi="Arial" w:cs="Arial"/>
        </w:rPr>
        <w:t xml:space="preserve">Jones, M.D., Liu, S., Powell, F., Samsor, A., Ting, F.C.R., </w:t>
      </w:r>
      <w:proofErr w:type="spellStart"/>
      <w:r w:rsidRPr="00384E40">
        <w:rPr>
          <w:rFonts w:ascii="Arial" w:hAnsi="Arial" w:cs="Arial"/>
        </w:rPr>
        <w:t>Veliotis</w:t>
      </w:r>
      <w:proofErr w:type="spellEnd"/>
      <w:r w:rsidRPr="00384E40">
        <w:rPr>
          <w:rFonts w:ascii="Arial" w:hAnsi="Arial" w:cs="Arial"/>
        </w:rPr>
        <w:t>, N., Wong, Y.M., Franklin, B.D. and Garfield, S., (2024). Exploring the role of guidelines in contributing to medication errors: a descriptive analysis of national patient safety incident data. </w:t>
      </w:r>
      <w:r w:rsidRPr="00384E40">
        <w:rPr>
          <w:rFonts w:ascii="Arial" w:hAnsi="Arial" w:cs="Arial"/>
          <w:i/>
          <w:iCs/>
        </w:rPr>
        <w:t>Drug Safety</w:t>
      </w:r>
      <w:r w:rsidRPr="00384E40">
        <w:rPr>
          <w:rFonts w:ascii="Arial" w:hAnsi="Arial" w:cs="Arial"/>
        </w:rPr>
        <w:t>, </w:t>
      </w:r>
      <w:r w:rsidRPr="00384E40">
        <w:rPr>
          <w:rFonts w:ascii="Arial" w:hAnsi="Arial" w:cs="Arial"/>
          <w:i/>
          <w:iCs/>
        </w:rPr>
        <w:t>47</w:t>
      </w:r>
      <w:r w:rsidRPr="00384E40">
        <w:rPr>
          <w:rFonts w:ascii="Arial" w:hAnsi="Arial" w:cs="Arial"/>
        </w:rPr>
        <w:t xml:space="preserve">(4), pp.389-400. </w:t>
      </w:r>
      <w:hyperlink r:id="rId24" w:history="1">
        <w:r w:rsidRPr="00384E40">
          <w:rPr>
            <w:rStyle w:val="Hyperlink"/>
            <w:rFonts w:ascii="Arial" w:hAnsi="Arial" w:cs="Arial"/>
          </w:rPr>
          <w:t>https://link.springer.com/article/10.1007/s40264-024-01396-7</w:t>
        </w:r>
      </w:hyperlink>
    </w:p>
    <w:p w14:paraId="43362EB8" w14:textId="77777777" w:rsidR="008A2C12" w:rsidRPr="00384E40" w:rsidRDefault="00000000" w:rsidP="00206A5F">
      <w:pPr>
        <w:spacing w:line="360" w:lineRule="auto"/>
        <w:jc w:val="both"/>
        <w:rPr>
          <w:rFonts w:ascii="Arial" w:hAnsi="Arial" w:cs="Arial"/>
        </w:rPr>
      </w:pPr>
      <w:r w:rsidRPr="00384E40">
        <w:rPr>
          <w:rFonts w:ascii="Arial" w:hAnsi="Arial" w:cs="Arial"/>
        </w:rPr>
        <w:t>Naseralallah, L., Stewart, D., Price, M. and Paudyal, V., (2023). Prevalence, contributing factors, and interventions to reduce medication errors in outpatient and ambulatory settings: a systematic review. </w:t>
      </w:r>
      <w:r w:rsidRPr="00384E40">
        <w:rPr>
          <w:rFonts w:ascii="Arial" w:hAnsi="Arial" w:cs="Arial"/>
          <w:i/>
          <w:iCs/>
        </w:rPr>
        <w:t>International Journal of Clinical Pharmacy</w:t>
      </w:r>
      <w:r w:rsidRPr="00384E40">
        <w:rPr>
          <w:rFonts w:ascii="Arial" w:hAnsi="Arial" w:cs="Arial"/>
        </w:rPr>
        <w:t>, </w:t>
      </w:r>
      <w:r w:rsidRPr="00384E40">
        <w:rPr>
          <w:rFonts w:ascii="Arial" w:hAnsi="Arial" w:cs="Arial"/>
          <w:i/>
          <w:iCs/>
        </w:rPr>
        <w:t>45</w:t>
      </w:r>
      <w:r w:rsidRPr="00384E40">
        <w:rPr>
          <w:rFonts w:ascii="Arial" w:hAnsi="Arial" w:cs="Arial"/>
        </w:rPr>
        <w:t xml:space="preserve">(6), pp.1359-1377. </w:t>
      </w:r>
      <w:hyperlink r:id="rId25" w:history="1">
        <w:r w:rsidRPr="00384E40">
          <w:rPr>
            <w:rStyle w:val="Hyperlink"/>
            <w:rFonts w:ascii="Arial" w:hAnsi="Arial" w:cs="Arial"/>
          </w:rPr>
          <w:t>https://link.springer.com/article/10.1007/s11096-023-01626-5</w:t>
        </w:r>
      </w:hyperlink>
    </w:p>
    <w:p w14:paraId="10AB1F64" w14:textId="77777777" w:rsidR="008A2C12" w:rsidRDefault="00000000" w:rsidP="00206A5F">
      <w:pPr>
        <w:spacing w:line="360" w:lineRule="auto"/>
        <w:jc w:val="both"/>
        <w:rPr>
          <w:rFonts w:ascii="Arial" w:hAnsi="Arial" w:cs="Arial"/>
        </w:rPr>
      </w:pPr>
      <w:r w:rsidRPr="00384E40">
        <w:rPr>
          <w:rFonts w:ascii="Arial" w:hAnsi="Arial" w:cs="Arial"/>
        </w:rPr>
        <w:t xml:space="preserve">Karim, T., (2022). Medication Errors: Causes, Theories and Interventions. </w:t>
      </w:r>
      <w:hyperlink r:id="rId26" w:history="1">
        <w:r w:rsidRPr="00384E40">
          <w:rPr>
            <w:rStyle w:val="Hyperlink"/>
            <w:rFonts w:ascii="Arial" w:hAnsi="Arial" w:cs="Arial"/>
          </w:rPr>
          <w:t>https://ecommons.roseman.edu/fnp/6/</w:t>
        </w:r>
      </w:hyperlink>
    </w:p>
    <w:p w14:paraId="24784CF1" w14:textId="7FBBF291" w:rsidR="00DB6BCE" w:rsidRDefault="00DB6BCE" w:rsidP="00206A5F">
      <w:pPr>
        <w:spacing w:line="360" w:lineRule="auto"/>
        <w:jc w:val="both"/>
        <w:rPr>
          <w:rFonts w:ascii="Arial" w:hAnsi="Arial" w:cs="Arial"/>
        </w:rPr>
      </w:pPr>
      <w:r w:rsidRPr="00DB6BCE">
        <w:rPr>
          <w:rFonts w:ascii="Arial" w:hAnsi="Arial" w:cs="Arial"/>
        </w:rPr>
        <w:t xml:space="preserve">Putra, Y. and Yusof, M.M., </w:t>
      </w:r>
      <w:r w:rsidR="006C45DE">
        <w:rPr>
          <w:rFonts w:ascii="Arial" w:hAnsi="Arial" w:cs="Arial"/>
        </w:rPr>
        <w:t>(</w:t>
      </w:r>
      <w:r w:rsidRPr="00DB6BCE">
        <w:rPr>
          <w:rFonts w:ascii="Arial" w:hAnsi="Arial" w:cs="Arial"/>
        </w:rPr>
        <w:t>2021</w:t>
      </w:r>
      <w:r w:rsidR="006C45DE">
        <w:rPr>
          <w:rFonts w:ascii="Arial" w:hAnsi="Arial" w:cs="Arial"/>
        </w:rPr>
        <w:t>)</w:t>
      </w:r>
      <w:r w:rsidRPr="00DB6BCE">
        <w:rPr>
          <w:rFonts w:ascii="Arial" w:hAnsi="Arial" w:cs="Arial"/>
        </w:rPr>
        <w:t>. A lean approach to evaluating prescribing errors in medication reconciliation. In </w:t>
      </w:r>
      <w:r w:rsidRPr="00DB6BCE">
        <w:rPr>
          <w:rFonts w:ascii="Arial" w:hAnsi="Arial" w:cs="Arial"/>
          <w:i/>
          <w:iCs/>
        </w:rPr>
        <w:t>Public Health and Informatics</w:t>
      </w:r>
      <w:r w:rsidRPr="00DB6BCE">
        <w:rPr>
          <w:rFonts w:ascii="Arial" w:hAnsi="Arial" w:cs="Arial"/>
        </w:rPr>
        <w:t> (pp. 814-815). IOS Press.</w:t>
      </w:r>
      <w:r>
        <w:rPr>
          <w:rFonts w:ascii="Arial" w:hAnsi="Arial" w:cs="Arial"/>
        </w:rPr>
        <w:t xml:space="preserve"> </w:t>
      </w:r>
      <w:hyperlink r:id="rId27" w:history="1">
        <w:r w:rsidRPr="00997DA1">
          <w:rPr>
            <w:rStyle w:val="Hyperlink"/>
            <w:rFonts w:ascii="Arial" w:hAnsi="Arial" w:cs="Arial"/>
          </w:rPr>
          <w:t>https://www.researchgate.net/profile/Maryati-Yusof-2/publication/351924655_A_Lean_Approach_to_Evaluating_Prescribing_Errors_in_</w:t>
        </w:r>
        <w:r w:rsidRPr="00997DA1">
          <w:rPr>
            <w:rStyle w:val="Hyperlink"/>
            <w:rFonts w:ascii="Arial" w:hAnsi="Arial" w:cs="Arial"/>
          </w:rPr>
          <w:lastRenderedPageBreak/>
          <w:t>Medication_Reconciliation/links/60b21fc992851cd0d9817ace/A-Lean-Approach-to-Evaluating-Prescribing-Errors-in-Medication-Reconciliation.pdf</w:t>
        </w:r>
      </w:hyperlink>
    </w:p>
    <w:p w14:paraId="77B5FEAF" w14:textId="00D34E2D" w:rsidR="00CE2E6C" w:rsidRDefault="00CE2E6C" w:rsidP="00206A5F">
      <w:pPr>
        <w:spacing w:line="360" w:lineRule="auto"/>
        <w:jc w:val="both"/>
        <w:rPr>
          <w:rFonts w:ascii="Arial" w:hAnsi="Arial" w:cs="Arial"/>
        </w:rPr>
      </w:pPr>
      <w:r w:rsidRPr="00CE2E6C">
        <w:rPr>
          <w:rFonts w:ascii="Arial" w:hAnsi="Arial" w:cs="Arial"/>
        </w:rPr>
        <w:t xml:space="preserve">Rojas-Ocaña, M.J., Teresa-Morales, C., Ramos-Pichardo, J.D. and Araujo-Hernández, M., </w:t>
      </w:r>
      <w:r w:rsidR="006C45DE">
        <w:rPr>
          <w:rFonts w:ascii="Arial" w:hAnsi="Arial" w:cs="Arial"/>
        </w:rPr>
        <w:t>(</w:t>
      </w:r>
      <w:r w:rsidRPr="00CE2E6C">
        <w:rPr>
          <w:rFonts w:ascii="Arial" w:hAnsi="Arial" w:cs="Arial"/>
        </w:rPr>
        <w:t>2023</w:t>
      </w:r>
      <w:r w:rsidR="006C45DE">
        <w:rPr>
          <w:rFonts w:ascii="Arial" w:hAnsi="Arial" w:cs="Arial"/>
        </w:rPr>
        <w:t>)</w:t>
      </w:r>
      <w:r w:rsidRPr="00CE2E6C">
        <w:rPr>
          <w:rFonts w:ascii="Arial" w:hAnsi="Arial" w:cs="Arial"/>
        </w:rPr>
        <w:t>, May. Barriers and facilitators of communication in the medication reconciliation process during hospital discharge: Primary healthcare professionals’ perspectives. In </w:t>
      </w:r>
      <w:r w:rsidRPr="00CE2E6C">
        <w:rPr>
          <w:rFonts w:ascii="Arial" w:hAnsi="Arial" w:cs="Arial"/>
          <w:i/>
          <w:iCs/>
        </w:rPr>
        <w:t>Healthcare</w:t>
      </w:r>
      <w:r w:rsidRPr="00CE2E6C">
        <w:rPr>
          <w:rFonts w:ascii="Arial" w:hAnsi="Arial" w:cs="Arial"/>
        </w:rPr>
        <w:t> (Vol. 11, No. 10, p. 1495). MDPI.</w:t>
      </w:r>
      <w:r>
        <w:rPr>
          <w:rFonts w:ascii="Arial" w:hAnsi="Arial" w:cs="Arial"/>
        </w:rPr>
        <w:t xml:space="preserve"> </w:t>
      </w:r>
      <w:hyperlink r:id="rId28" w:history="1">
        <w:r w:rsidRPr="00997DA1">
          <w:rPr>
            <w:rStyle w:val="Hyperlink"/>
            <w:rFonts w:ascii="Arial" w:hAnsi="Arial" w:cs="Arial"/>
          </w:rPr>
          <w:t>https://www.mdpi.com/2227-9032/11/10/1495</w:t>
        </w:r>
      </w:hyperlink>
    </w:p>
    <w:p w14:paraId="5DC75121" w14:textId="1CDEB521" w:rsidR="008F430A" w:rsidRDefault="008F430A" w:rsidP="00206A5F">
      <w:pPr>
        <w:spacing w:line="360" w:lineRule="auto"/>
        <w:jc w:val="both"/>
        <w:rPr>
          <w:rFonts w:ascii="Arial" w:hAnsi="Arial" w:cs="Arial"/>
        </w:rPr>
      </w:pPr>
      <w:r w:rsidRPr="008F430A">
        <w:rPr>
          <w:rFonts w:ascii="Arial" w:hAnsi="Arial" w:cs="Arial"/>
        </w:rPr>
        <w:t xml:space="preserve">Sallam, M., </w:t>
      </w:r>
      <w:r w:rsidR="006C45DE">
        <w:rPr>
          <w:rFonts w:ascii="Arial" w:hAnsi="Arial" w:cs="Arial"/>
        </w:rPr>
        <w:t>(</w:t>
      </w:r>
      <w:r w:rsidRPr="008F430A">
        <w:rPr>
          <w:rFonts w:ascii="Arial" w:hAnsi="Arial" w:cs="Arial"/>
        </w:rPr>
        <w:t>2024</w:t>
      </w:r>
      <w:r w:rsidR="006C45DE">
        <w:rPr>
          <w:rFonts w:ascii="Arial" w:hAnsi="Arial" w:cs="Arial"/>
        </w:rPr>
        <w:t>)</w:t>
      </w:r>
      <w:r w:rsidRPr="008F430A">
        <w:rPr>
          <w:rFonts w:ascii="Arial" w:hAnsi="Arial" w:cs="Arial"/>
        </w:rPr>
        <w:t>. Enhancing hospital pharmacy operations through Lean and Six Sigma strategies: A systematic review. </w:t>
      </w:r>
      <w:r w:rsidRPr="008F430A">
        <w:rPr>
          <w:rFonts w:ascii="Arial" w:hAnsi="Arial" w:cs="Arial"/>
          <w:i/>
          <w:iCs/>
        </w:rPr>
        <w:t>Cureus</w:t>
      </w:r>
      <w:r w:rsidRPr="008F430A">
        <w:rPr>
          <w:rFonts w:ascii="Arial" w:hAnsi="Arial" w:cs="Arial"/>
        </w:rPr>
        <w:t>, </w:t>
      </w:r>
      <w:r w:rsidRPr="008F430A">
        <w:rPr>
          <w:rFonts w:ascii="Arial" w:hAnsi="Arial" w:cs="Arial"/>
          <w:i/>
          <w:iCs/>
        </w:rPr>
        <w:t>16</w:t>
      </w:r>
      <w:r w:rsidRPr="008F430A">
        <w:rPr>
          <w:rFonts w:ascii="Arial" w:hAnsi="Arial" w:cs="Arial"/>
        </w:rPr>
        <w:t>(3).</w:t>
      </w:r>
      <w:r>
        <w:rPr>
          <w:rFonts w:ascii="Arial" w:hAnsi="Arial" w:cs="Arial"/>
        </w:rPr>
        <w:t xml:space="preserve"> </w:t>
      </w:r>
      <w:hyperlink r:id="rId29" w:history="1">
        <w:r w:rsidRPr="00997DA1">
          <w:rPr>
            <w:rStyle w:val="Hyperlink"/>
            <w:rFonts w:ascii="Arial" w:hAnsi="Arial" w:cs="Arial"/>
          </w:rPr>
          <w:t>https://www.cureus.com/articles/239208-enhancing-hospital-pharmacy-operations-through-lean-and-six-sigma-strategies-a-systematic-review.pdf</w:t>
        </w:r>
      </w:hyperlink>
    </w:p>
    <w:p w14:paraId="79AA364B" w14:textId="4EF7277B" w:rsidR="008A2C12" w:rsidRDefault="00AC5470" w:rsidP="00206A5F">
      <w:pPr>
        <w:spacing w:line="360" w:lineRule="auto"/>
        <w:jc w:val="both"/>
        <w:rPr>
          <w:rFonts w:ascii="Arial" w:hAnsi="Arial" w:cs="Arial"/>
        </w:rPr>
      </w:pPr>
      <w:r w:rsidRPr="00AC5470">
        <w:rPr>
          <w:rFonts w:ascii="Arial" w:hAnsi="Arial" w:cs="Arial"/>
        </w:rPr>
        <w:t xml:space="preserve">Shah, C., Hough, J. and Jani, Y., </w:t>
      </w:r>
      <w:r w:rsidR="00B73DAC">
        <w:rPr>
          <w:rFonts w:ascii="Arial" w:hAnsi="Arial" w:cs="Arial"/>
        </w:rPr>
        <w:t>(</w:t>
      </w:r>
      <w:r w:rsidRPr="00AC5470">
        <w:rPr>
          <w:rFonts w:ascii="Arial" w:hAnsi="Arial" w:cs="Arial"/>
        </w:rPr>
        <w:t>2020</w:t>
      </w:r>
      <w:r w:rsidR="00B73DAC">
        <w:rPr>
          <w:rFonts w:ascii="Arial" w:hAnsi="Arial" w:cs="Arial"/>
        </w:rPr>
        <w:t>)</w:t>
      </w:r>
      <w:r w:rsidRPr="00AC5470">
        <w:rPr>
          <w:rFonts w:ascii="Arial" w:hAnsi="Arial" w:cs="Arial"/>
        </w:rPr>
        <w:t>. Medicines reconciliation in primary care: a study evaluating the quality of medication-related information provided on discharge from secondary care. </w:t>
      </w:r>
      <w:r w:rsidRPr="00AC5470">
        <w:rPr>
          <w:rFonts w:ascii="Arial" w:hAnsi="Arial" w:cs="Arial"/>
          <w:i/>
          <w:iCs/>
        </w:rPr>
        <w:t>European Journal of Hospital Pharmacy</w:t>
      </w:r>
      <w:r w:rsidRPr="00AC5470">
        <w:rPr>
          <w:rFonts w:ascii="Arial" w:hAnsi="Arial" w:cs="Arial"/>
        </w:rPr>
        <w:t>, </w:t>
      </w:r>
      <w:r w:rsidRPr="00AC5470">
        <w:rPr>
          <w:rFonts w:ascii="Arial" w:hAnsi="Arial" w:cs="Arial"/>
          <w:i/>
          <w:iCs/>
        </w:rPr>
        <w:t>27</w:t>
      </w:r>
      <w:r w:rsidRPr="00AC5470">
        <w:rPr>
          <w:rFonts w:ascii="Arial" w:hAnsi="Arial" w:cs="Arial"/>
        </w:rPr>
        <w:t>(3), pp.137-142.</w:t>
      </w:r>
      <w:r>
        <w:rPr>
          <w:rFonts w:ascii="Arial" w:hAnsi="Arial" w:cs="Arial"/>
        </w:rPr>
        <w:t xml:space="preserve"> </w:t>
      </w:r>
      <w:hyperlink r:id="rId30" w:history="1">
        <w:r w:rsidRPr="00997DA1">
          <w:rPr>
            <w:rStyle w:val="Hyperlink"/>
            <w:rFonts w:ascii="Arial" w:hAnsi="Arial" w:cs="Arial"/>
          </w:rPr>
          <w:t>https://ejhp.bmj.com/content/27/3/137.abstract</w:t>
        </w:r>
      </w:hyperlink>
    </w:p>
    <w:p w14:paraId="791541C1" w14:textId="2E4847D9" w:rsidR="006073E1" w:rsidRDefault="006073E1" w:rsidP="00206A5F">
      <w:pPr>
        <w:spacing w:line="360" w:lineRule="auto"/>
        <w:jc w:val="both"/>
        <w:rPr>
          <w:rFonts w:ascii="Arial" w:hAnsi="Arial" w:cs="Arial"/>
        </w:rPr>
      </w:pPr>
      <w:r w:rsidRPr="006073E1">
        <w:rPr>
          <w:rFonts w:ascii="Arial" w:hAnsi="Arial" w:cs="Arial"/>
        </w:rPr>
        <w:t xml:space="preserve">Sharma, S., </w:t>
      </w:r>
      <w:r w:rsidR="00B73DAC">
        <w:rPr>
          <w:rFonts w:ascii="Arial" w:hAnsi="Arial" w:cs="Arial"/>
        </w:rPr>
        <w:t>(</w:t>
      </w:r>
      <w:r w:rsidRPr="006073E1">
        <w:rPr>
          <w:rFonts w:ascii="Arial" w:hAnsi="Arial" w:cs="Arial"/>
        </w:rPr>
        <w:t>2025</w:t>
      </w:r>
      <w:r w:rsidR="00B73DAC">
        <w:rPr>
          <w:rFonts w:ascii="Arial" w:hAnsi="Arial" w:cs="Arial"/>
        </w:rPr>
        <w:t>)</w:t>
      </w:r>
      <w:r w:rsidRPr="006073E1">
        <w:rPr>
          <w:rFonts w:ascii="Arial" w:hAnsi="Arial" w:cs="Arial"/>
        </w:rPr>
        <w:t>. Tools and Techniques in Quality Management and Quality Management Models. In </w:t>
      </w:r>
      <w:r w:rsidRPr="006073E1">
        <w:rPr>
          <w:rFonts w:ascii="Arial" w:hAnsi="Arial" w:cs="Arial"/>
          <w:i/>
          <w:iCs/>
        </w:rPr>
        <w:t>Quality Demystified: A Comprehensive Guide to Quality Improvement, Patient Safety, and Clinical Audit in Healthcare</w:t>
      </w:r>
      <w:r w:rsidRPr="006073E1">
        <w:rPr>
          <w:rFonts w:ascii="Arial" w:hAnsi="Arial" w:cs="Arial"/>
        </w:rPr>
        <w:t> (pp. 123-206). Singapore: Springer Nature Singapore.</w:t>
      </w:r>
      <w:r>
        <w:rPr>
          <w:rFonts w:ascii="Arial" w:hAnsi="Arial" w:cs="Arial"/>
        </w:rPr>
        <w:t xml:space="preserve"> </w:t>
      </w:r>
      <w:hyperlink r:id="rId31" w:history="1">
        <w:r w:rsidRPr="00997DA1">
          <w:rPr>
            <w:rStyle w:val="Hyperlink"/>
            <w:rFonts w:ascii="Arial" w:hAnsi="Arial" w:cs="Arial"/>
          </w:rPr>
          <w:t>https://link.springer.com/chapter/10.1007/978-981-95-0339-1_11</w:t>
        </w:r>
      </w:hyperlink>
    </w:p>
    <w:p w14:paraId="0F975237" w14:textId="7E4684F6" w:rsidR="00CE2E6C" w:rsidRDefault="00CE2E6C" w:rsidP="00206A5F">
      <w:pPr>
        <w:spacing w:line="360" w:lineRule="auto"/>
        <w:jc w:val="both"/>
        <w:rPr>
          <w:rFonts w:ascii="Arial" w:hAnsi="Arial" w:cs="Arial"/>
        </w:rPr>
      </w:pPr>
      <w:proofErr w:type="spellStart"/>
      <w:r w:rsidRPr="00CE2E6C">
        <w:rPr>
          <w:rFonts w:ascii="Arial" w:hAnsi="Arial" w:cs="Arial"/>
        </w:rPr>
        <w:t>Stolldorf</w:t>
      </w:r>
      <w:proofErr w:type="spellEnd"/>
      <w:r w:rsidRPr="00CE2E6C">
        <w:rPr>
          <w:rFonts w:ascii="Arial" w:hAnsi="Arial" w:cs="Arial"/>
        </w:rPr>
        <w:t xml:space="preserve">, D.P., Ridner, S.H., Vogus, T.J., Roumie, C.L., Schnipper, J.L., Dietrich, M.S., Schlundt, D.G. and Kripalani, S., </w:t>
      </w:r>
      <w:r w:rsidR="00191EAA">
        <w:rPr>
          <w:rFonts w:ascii="Arial" w:hAnsi="Arial" w:cs="Arial"/>
        </w:rPr>
        <w:t>(</w:t>
      </w:r>
      <w:r w:rsidRPr="00CE2E6C">
        <w:rPr>
          <w:rFonts w:ascii="Arial" w:hAnsi="Arial" w:cs="Arial"/>
        </w:rPr>
        <w:t>2021</w:t>
      </w:r>
      <w:r w:rsidR="00191EAA">
        <w:rPr>
          <w:rFonts w:ascii="Arial" w:hAnsi="Arial" w:cs="Arial"/>
        </w:rPr>
        <w:t>)</w:t>
      </w:r>
      <w:r w:rsidRPr="00CE2E6C">
        <w:rPr>
          <w:rFonts w:ascii="Arial" w:hAnsi="Arial" w:cs="Arial"/>
        </w:rPr>
        <w:t>. Implementation strategies in the context of medication reconciliation: a qualitative study. </w:t>
      </w:r>
      <w:r w:rsidRPr="00CE2E6C">
        <w:rPr>
          <w:rFonts w:ascii="Arial" w:hAnsi="Arial" w:cs="Arial"/>
          <w:i/>
          <w:iCs/>
        </w:rPr>
        <w:t>Implementation Science Communications</w:t>
      </w:r>
      <w:r w:rsidRPr="00CE2E6C">
        <w:rPr>
          <w:rFonts w:ascii="Arial" w:hAnsi="Arial" w:cs="Arial"/>
        </w:rPr>
        <w:t>, </w:t>
      </w:r>
      <w:r w:rsidRPr="00CE2E6C">
        <w:rPr>
          <w:rFonts w:ascii="Arial" w:hAnsi="Arial" w:cs="Arial"/>
          <w:i/>
          <w:iCs/>
        </w:rPr>
        <w:t>2</w:t>
      </w:r>
      <w:r w:rsidRPr="00CE2E6C">
        <w:rPr>
          <w:rFonts w:ascii="Arial" w:hAnsi="Arial" w:cs="Arial"/>
        </w:rPr>
        <w:t>(1), p.63.</w:t>
      </w:r>
      <w:r>
        <w:rPr>
          <w:rFonts w:ascii="Arial" w:hAnsi="Arial" w:cs="Arial"/>
        </w:rPr>
        <w:t xml:space="preserve"> </w:t>
      </w:r>
      <w:hyperlink r:id="rId32" w:history="1">
        <w:r w:rsidRPr="00997DA1">
          <w:rPr>
            <w:rStyle w:val="Hyperlink"/>
            <w:rFonts w:ascii="Arial" w:hAnsi="Arial" w:cs="Arial"/>
          </w:rPr>
          <w:t>https://link.springer.com/article/10.1186/s43058-021-00162-5</w:t>
        </w:r>
      </w:hyperlink>
    </w:p>
    <w:p w14:paraId="15BCD819" w14:textId="0D5EF986" w:rsidR="008A2C12" w:rsidRPr="00384E40" w:rsidRDefault="00000000" w:rsidP="00206A5F">
      <w:pPr>
        <w:spacing w:line="360" w:lineRule="auto"/>
        <w:jc w:val="both"/>
        <w:rPr>
          <w:rFonts w:ascii="Arial" w:hAnsi="Arial" w:cs="Arial"/>
        </w:rPr>
      </w:pPr>
      <w:r w:rsidRPr="00384E40">
        <w:rPr>
          <w:rFonts w:ascii="Arial" w:hAnsi="Arial" w:cs="Arial"/>
        </w:rPr>
        <w:t>Sutherland, A., Gerrard, W.S., Patel, A., Randall, M. and Weston, E., (2022). The impact of drug error reduction software on preventing harmful adverse drug events in England: a retrospective database study. </w:t>
      </w:r>
      <w:r w:rsidRPr="00384E40">
        <w:rPr>
          <w:rFonts w:ascii="Arial" w:hAnsi="Arial" w:cs="Arial"/>
          <w:i/>
          <w:iCs/>
        </w:rPr>
        <w:t>BMJ Open Quality</w:t>
      </w:r>
      <w:r w:rsidRPr="00384E40">
        <w:rPr>
          <w:rFonts w:ascii="Arial" w:hAnsi="Arial" w:cs="Arial"/>
        </w:rPr>
        <w:t>, </w:t>
      </w:r>
      <w:r w:rsidRPr="00384E40">
        <w:rPr>
          <w:rFonts w:ascii="Arial" w:hAnsi="Arial" w:cs="Arial"/>
          <w:i/>
          <w:iCs/>
        </w:rPr>
        <w:t>11</w:t>
      </w:r>
      <w:r w:rsidRPr="00384E40">
        <w:rPr>
          <w:rFonts w:ascii="Arial" w:hAnsi="Arial" w:cs="Arial"/>
        </w:rPr>
        <w:t xml:space="preserve">(3). </w:t>
      </w:r>
      <w:hyperlink r:id="rId33" w:history="1">
        <w:r w:rsidRPr="00384E40">
          <w:rPr>
            <w:rStyle w:val="Hyperlink"/>
            <w:rFonts w:ascii="Arial" w:hAnsi="Arial" w:cs="Arial"/>
          </w:rPr>
          <w:t>https://bmjopenquality.bmj.com/content/11/3/e001708</w:t>
        </w:r>
      </w:hyperlink>
    </w:p>
    <w:p w14:paraId="08BB0456" w14:textId="77777777" w:rsidR="008A2C12" w:rsidRPr="00384E40" w:rsidRDefault="00000000" w:rsidP="00206A5F">
      <w:pPr>
        <w:spacing w:line="360" w:lineRule="auto"/>
        <w:jc w:val="both"/>
        <w:rPr>
          <w:rFonts w:ascii="Arial" w:hAnsi="Arial" w:cs="Arial"/>
        </w:rPr>
      </w:pPr>
      <w:r w:rsidRPr="00384E40">
        <w:rPr>
          <w:rFonts w:ascii="Arial" w:hAnsi="Arial" w:cs="Arial"/>
        </w:rPr>
        <w:t xml:space="preserve">Sutherland, A., Jones, M.D., Howlett, M., Arenas-Lopez, S., Patel, A. and Franklin, B.D., (2022). Developing strategic recommendations for implementing smart pumps </w:t>
      </w:r>
      <w:r w:rsidRPr="00384E40">
        <w:rPr>
          <w:rFonts w:ascii="Arial" w:hAnsi="Arial" w:cs="Arial"/>
        </w:rPr>
        <w:lastRenderedPageBreak/>
        <w:t>in advanced healthcare systems to improve intravenous medication safety. </w:t>
      </w:r>
      <w:r w:rsidRPr="00384E40">
        <w:rPr>
          <w:rFonts w:ascii="Arial" w:hAnsi="Arial" w:cs="Arial"/>
          <w:i/>
          <w:iCs/>
        </w:rPr>
        <w:t>Drug Safety</w:t>
      </w:r>
      <w:r w:rsidRPr="00384E40">
        <w:rPr>
          <w:rFonts w:ascii="Arial" w:hAnsi="Arial" w:cs="Arial"/>
        </w:rPr>
        <w:t>, </w:t>
      </w:r>
      <w:r w:rsidRPr="00384E40">
        <w:rPr>
          <w:rFonts w:ascii="Arial" w:hAnsi="Arial" w:cs="Arial"/>
          <w:i/>
          <w:iCs/>
        </w:rPr>
        <w:t>45</w:t>
      </w:r>
      <w:r w:rsidRPr="00384E40">
        <w:rPr>
          <w:rFonts w:ascii="Arial" w:hAnsi="Arial" w:cs="Arial"/>
        </w:rPr>
        <w:t xml:space="preserve">(8), pp.881-889. </w:t>
      </w:r>
      <w:hyperlink r:id="rId34" w:history="1">
        <w:r w:rsidRPr="00384E40">
          <w:rPr>
            <w:rStyle w:val="Hyperlink"/>
            <w:rFonts w:ascii="Arial" w:hAnsi="Arial" w:cs="Arial"/>
          </w:rPr>
          <w:t>https://link.springer.com/article/10.1007/s40264-022-01203-1</w:t>
        </w:r>
      </w:hyperlink>
    </w:p>
    <w:p w14:paraId="09A21523" w14:textId="77777777" w:rsidR="008A2C12" w:rsidRPr="00384E40" w:rsidRDefault="00000000" w:rsidP="00206A5F">
      <w:pPr>
        <w:spacing w:line="360" w:lineRule="auto"/>
        <w:jc w:val="both"/>
        <w:rPr>
          <w:rFonts w:ascii="Arial" w:hAnsi="Arial" w:cs="Arial"/>
        </w:rPr>
      </w:pPr>
      <w:proofErr w:type="spellStart"/>
      <w:r w:rsidRPr="00384E40">
        <w:rPr>
          <w:rFonts w:ascii="Arial" w:hAnsi="Arial" w:cs="Arial"/>
        </w:rPr>
        <w:t>Spinewine</w:t>
      </w:r>
      <w:proofErr w:type="spellEnd"/>
      <w:r w:rsidRPr="00384E40">
        <w:rPr>
          <w:rFonts w:ascii="Arial" w:hAnsi="Arial" w:cs="Arial"/>
        </w:rPr>
        <w:t>, A., Evrard, P. and Hughes, C., (2021). Interventions to optimize medication use in nursing homes: a narrative review. </w:t>
      </w:r>
      <w:r w:rsidRPr="00384E40">
        <w:rPr>
          <w:rFonts w:ascii="Arial" w:hAnsi="Arial" w:cs="Arial"/>
          <w:i/>
          <w:iCs/>
        </w:rPr>
        <w:t>European Geriatric Medicine</w:t>
      </w:r>
      <w:r w:rsidRPr="00384E40">
        <w:rPr>
          <w:rFonts w:ascii="Arial" w:hAnsi="Arial" w:cs="Arial"/>
        </w:rPr>
        <w:t>, </w:t>
      </w:r>
      <w:r w:rsidRPr="00384E40">
        <w:rPr>
          <w:rFonts w:ascii="Arial" w:hAnsi="Arial" w:cs="Arial"/>
          <w:i/>
          <w:iCs/>
        </w:rPr>
        <w:t>12</w:t>
      </w:r>
      <w:r w:rsidRPr="00384E40">
        <w:rPr>
          <w:rFonts w:ascii="Arial" w:hAnsi="Arial" w:cs="Arial"/>
        </w:rPr>
        <w:t xml:space="preserve">(3), pp.551-567. </w:t>
      </w:r>
      <w:hyperlink r:id="rId35" w:history="1">
        <w:r w:rsidRPr="00384E40">
          <w:rPr>
            <w:rStyle w:val="Hyperlink"/>
            <w:rFonts w:ascii="Arial" w:hAnsi="Arial" w:cs="Arial"/>
          </w:rPr>
          <w:t>https://link.springer.com/article/10.1007/s41999-021-00477-5</w:t>
        </w:r>
      </w:hyperlink>
    </w:p>
    <w:p w14:paraId="7F7C4E24" w14:textId="77777777" w:rsidR="008A2C12" w:rsidRDefault="00000000" w:rsidP="00206A5F">
      <w:pPr>
        <w:spacing w:line="360" w:lineRule="auto"/>
        <w:jc w:val="both"/>
        <w:rPr>
          <w:rFonts w:ascii="Arial" w:hAnsi="Arial" w:cs="Arial"/>
        </w:rPr>
      </w:pPr>
      <w:proofErr w:type="spellStart"/>
      <w:r w:rsidRPr="00384E40">
        <w:rPr>
          <w:rFonts w:ascii="Arial" w:hAnsi="Arial" w:cs="Arial"/>
        </w:rPr>
        <w:t>Vaismoradi</w:t>
      </w:r>
      <w:proofErr w:type="spellEnd"/>
      <w:r w:rsidRPr="00384E40">
        <w:rPr>
          <w:rFonts w:ascii="Arial" w:hAnsi="Arial" w:cs="Arial"/>
        </w:rPr>
        <w:t>, M., Griffiths, P., Turunen, H. and Jordan, S., (2016). Transformational leadership in nursing and medication safety education: a discussion paper. </w:t>
      </w:r>
      <w:r w:rsidRPr="00384E40">
        <w:rPr>
          <w:rFonts w:ascii="Arial" w:hAnsi="Arial" w:cs="Arial"/>
          <w:i/>
          <w:iCs/>
        </w:rPr>
        <w:t>Journal of nursing management</w:t>
      </w:r>
      <w:r w:rsidRPr="00384E40">
        <w:rPr>
          <w:rFonts w:ascii="Arial" w:hAnsi="Arial" w:cs="Arial"/>
        </w:rPr>
        <w:t>, </w:t>
      </w:r>
      <w:r w:rsidRPr="00384E40">
        <w:rPr>
          <w:rFonts w:ascii="Arial" w:hAnsi="Arial" w:cs="Arial"/>
          <w:i/>
          <w:iCs/>
        </w:rPr>
        <w:t>24</w:t>
      </w:r>
      <w:r w:rsidRPr="00384E40">
        <w:rPr>
          <w:rFonts w:ascii="Arial" w:hAnsi="Arial" w:cs="Arial"/>
        </w:rPr>
        <w:t xml:space="preserve">(7), pp.970-980. </w:t>
      </w:r>
      <w:hyperlink r:id="rId36" w:history="1">
        <w:r w:rsidRPr="00384E40">
          <w:rPr>
            <w:rStyle w:val="Hyperlink"/>
            <w:rFonts w:ascii="Arial" w:hAnsi="Arial" w:cs="Arial"/>
          </w:rPr>
          <w:t>https://onlinelibrary.wiley.com/doi/abs/10.1111/jonm.12387</w:t>
        </w:r>
      </w:hyperlink>
    </w:p>
    <w:p w14:paraId="516309C1" w14:textId="74BE25DF" w:rsidR="008A2C12" w:rsidRDefault="008F430A" w:rsidP="00206A5F">
      <w:pPr>
        <w:spacing w:line="360" w:lineRule="auto"/>
        <w:jc w:val="both"/>
        <w:rPr>
          <w:rFonts w:ascii="Arial" w:hAnsi="Arial" w:cs="Arial"/>
        </w:rPr>
      </w:pPr>
      <w:r w:rsidRPr="008F430A">
        <w:rPr>
          <w:rFonts w:ascii="Arial" w:hAnsi="Arial" w:cs="Arial"/>
        </w:rPr>
        <w:t xml:space="preserve">Zhao, D., Wang, J., Sun, M., Wu, T. and Peng, Y., </w:t>
      </w:r>
      <w:r w:rsidR="006C50AC">
        <w:rPr>
          <w:rFonts w:ascii="Arial" w:hAnsi="Arial" w:cs="Arial"/>
        </w:rPr>
        <w:t>(</w:t>
      </w:r>
      <w:r w:rsidRPr="008F430A">
        <w:rPr>
          <w:rFonts w:ascii="Arial" w:hAnsi="Arial" w:cs="Arial"/>
        </w:rPr>
        <w:t>2025</w:t>
      </w:r>
      <w:r w:rsidR="006C50AC">
        <w:rPr>
          <w:rFonts w:ascii="Arial" w:hAnsi="Arial" w:cs="Arial"/>
        </w:rPr>
        <w:t>)</w:t>
      </w:r>
      <w:r w:rsidRPr="008F430A">
        <w:rPr>
          <w:rFonts w:ascii="Arial" w:hAnsi="Arial" w:cs="Arial"/>
        </w:rPr>
        <w:t>. Implementing Six Sigma management to shorten the time of taking medicine from intelligent medicine cabinet in inpatient ward. </w:t>
      </w:r>
      <w:r w:rsidRPr="008F430A">
        <w:rPr>
          <w:rFonts w:ascii="Arial" w:hAnsi="Arial" w:cs="Arial"/>
          <w:i/>
          <w:iCs/>
        </w:rPr>
        <w:t>Exploratory Research in Clinical and Social Pharmacy</w:t>
      </w:r>
      <w:r w:rsidRPr="008F430A">
        <w:rPr>
          <w:rFonts w:ascii="Arial" w:hAnsi="Arial" w:cs="Arial"/>
        </w:rPr>
        <w:t>, </w:t>
      </w:r>
      <w:r w:rsidRPr="008F430A">
        <w:rPr>
          <w:rFonts w:ascii="Arial" w:hAnsi="Arial" w:cs="Arial"/>
          <w:i/>
          <w:iCs/>
        </w:rPr>
        <w:t>19</w:t>
      </w:r>
      <w:r w:rsidRPr="008F430A">
        <w:rPr>
          <w:rFonts w:ascii="Arial" w:hAnsi="Arial" w:cs="Arial"/>
        </w:rPr>
        <w:t>, p.100631.</w:t>
      </w:r>
      <w:r>
        <w:rPr>
          <w:rFonts w:ascii="Arial" w:hAnsi="Arial" w:cs="Arial"/>
        </w:rPr>
        <w:t xml:space="preserve"> </w:t>
      </w:r>
      <w:hyperlink r:id="rId37" w:history="1">
        <w:r w:rsidRPr="00997DA1">
          <w:rPr>
            <w:rStyle w:val="Hyperlink"/>
            <w:rFonts w:ascii="Arial" w:hAnsi="Arial" w:cs="Arial"/>
          </w:rPr>
          <w:t>https://www.sciencedirect.com/science/article/pii/S2667276625000721</w:t>
        </w:r>
      </w:hyperlink>
    </w:p>
    <w:p w14:paraId="6A430E73" w14:textId="77777777" w:rsidR="008A2C12" w:rsidRPr="00384E40" w:rsidRDefault="008A2C12" w:rsidP="00206A5F">
      <w:pPr>
        <w:spacing w:line="360" w:lineRule="auto"/>
        <w:jc w:val="both"/>
        <w:rPr>
          <w:rFonts w:ascii="Arial" w:hAnsi="Arial" w:cs="Arial"/>
        </w:rPr>
      </w:pPr>
    </w:p>
    <w:p w14:paraId="5ECEBD60" w14:textId="77777777" w:rsidR="00206A5F" w:rsidRPr="00206A5F" w:rsidRDefault="00206A5F" w:rsidP="00206A5F">
      <w:pPr>
        <w:spacing w:line="360" w:lineRule="auto"/>
        <w:jc w:val="both"/>
        <w:rPr>
          <w:rFonts w:ascii="Arial" w:hAnsi="Arial" w:cs="Arial"/>
        </w:rPr>
      </w:pPr>
    </w:p>
    <w:p w14:paraId="69078476" w14:textId="77777777" w:rsidR="00206A5F" w:rsidRPr="00251200" w:rsidRDefault="00206A5F" w:rsidP="00206A5F">
      <w:pPr>
        <w:spacing w:line="360" w:lineRule="auto"/>
        <w:jc w:val="both"/>
        <w:rPr>
          <w:rFonts w:ascii="Arial" w:hAnsi="Arial" w:cs="Arial"/>
        </w:rPr>
      </w:pPr>
    </w:p>
    <w:p w14:paraId="4A1A8EE5" w14:textId="42AAC33A" w:rsidR="00251200" w:rsidRPr="00251200" w:rsidRDefault="00251200" w:rsidP="00324545">
      <w:pPr>
        <w:spacing w:line="360" w:lineRule="auto"/>
        <w:jc w:val="both"/>
        <w:rPr>
          <w:rFonts w:ascii="Arial" w:hAnsi="Arial" w:cs="Arial"/>
        </w:rPr>
      </w:pPr>
    </w:p>
    <w:p w14:paraId="77E8C885" w14:textId="77777777" w:rsidR="00251200" w:rsidRPr="00251200" w:rsidRDefault="00251200" w:rsidP="00324545">
      <w:pPr>
        <w:spacing w:line="360" w:lineRule="auto"/>
        <w:jc w:val="both"/>
        <w:rPr>
          <w:rFonts w:ascii="Arial" w:hAnsi="Arial" w:cs="Arial"/>
          <w:vanish/>
        </w:rPr>
      </w:pPr>
      <w:r w:rsidRPr="00251200">
        <w:rPr>
          <w:rFonts w:ascii="Arial" w:hAnsi="Arial" w:cs="Arial"/>
          <w:vanish/>
        </w:rPr>
        <w:t>Top of Form</w:t>
      </w:r>
    </w:p>
    <w:p w14:paraId="386194A5" w14:textId="77777777" w:rsidR="00251200" w:rsidRPr="00251200" w:rsidRDefault="00251200" w:rsidP="00324545">
      <w:pPr>
        <w:spacing w:line="360" w:lineRule="auto"/>
        <w:jc w:val="both"/>
        <w:rPr>
          <w:rFonts w:ascii="Arial" w:hAnsi="Arial" w:cs="Arial"/>
          <w:vanish/>
        </w:rPr>
      </w:pPr>
      <w:r w:rsidRPr="00251200">
        <w:rPr>
          <w:rFonts w:ascii="Arial" w:hAnsi="Arial" w:cs="Arial"/>
          <w:vanish/>
        </w:rPr>
        <w:t>Bottom of Form</w:t>
      </w:r>
    </w:p>
    <w:p w14:paraId="4B5F112A" w14:textId="77777777" w:rsidR="000232B3" w:rsidRPr="00324545" w:rsidRDefault="000232B3" w:rsidP="00324545">
      <w:pPr>
        <w:spacing w:line="360" w:lineRule="auto"/>
        <w:jc w:val="both"/>
        <w:rPr>
          <w:rFonts w:ascii="Arial" w:hAnsi="Arial" w:cs="Arial"/>
        </w:rPr>
      </w:pPr>
    </w:p>
    <w:sectPr w:rsidR="000232B3" w:rsidRPr="00324545" w:rsidSect="006C45DE">
      <w:footerReference w:type="default" r:id="rId3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39AD0" w14:textId="77777777" w:rsidR="001324D1" w:rsidRDefault="001324D1" w:rsidP="006C45DE">
      <w:pPr>
        <w:spacing w:after="0" w:line="240" w:lineRule="auto"/>
      </w:pPr>
      <w:r>
        <w:separator/>
      </w:r>
    </w:p>
  </w:endnote>
  <w:endnote w:type="continuationSeparator" w:id="0">
    <w:p w14:paraId="738DC62D" w14:textId="77777777" w:rsidR="001324D1" w:rsidRDefault="001324D1" w:rsidP="006C45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3615238"/>
      <w:docPartObj>
        <w:docPartGallery w:val="Page Numbers (Bottom of Page)"/>
        <w:docPartUnique/>
      </w:docPartObj>
    </w:sdtPr>
    <w:sdtContent>
      <w:p w14:paraId="52ADE280" w14:textId="770891CA" w:rsidR="006C45DE" w:rsidRDefault="006C45DE">
        <w:pPr>
          <w:pStyle w:val="Footer"/>
          <w:jc w:val="right"/>
        </w:pPr>
        <w:r>
          <w:fldChar w:fldCharType="begin"/>
        </w:r>
        <w:r>
          <w:instrText>PAGE   \* MERGEFORMAT</w:instrText>
        </w:r>
        <w:r>
          <w:fldChar w:fldCharType="separate"/>
        </w:r>
        <w:r>
          <w:t>2</w:t>
        </w:r>
        <w:r>
          <w:fldChar w:fldCharType="end"/>
        </w:r>
      </w:p>
    </w:sdtContent>
  </w:sdt>
  <w:p w14:paraId="265AA2D7" w14:textId="77777777" w:rsidR="006C45DE" w:rsidRDefault="006C45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8D519" w14:textId="77777777" w:rsidR="001324D1" w:rsidRDefault="001324D1" w:rsidP="006C45DE">
      <w:pPr>
        <w:spacing w:after="0" w:line="240" w:lineRule="auto"/>
      </w:pPr>
      <w:r>
        <w:separator/>
      </w:r>
    </w:p>
  </w:footnote>
  <w:footnote w:type="continuationSeparator" w:id="0">
    <w:p w14:paraId="14786301" w14:textId="77777777" w:rsidR="001324D1" w:rsidRDefault="001324D1" w:rsidP="006C45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D91776"/>
    <w:multiLevelType w:val="multilevel"/>
    <w:tmpl w:val="9FBC7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013627E"/>
    <w:multiLevelType w:val="multilevel"/>
    <w:tmpl w:val="AA8C5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5A93262"/>
    <w:multiLevelType w:val="hybridMultilevel"/>
    <w:tmpl w:val="1254A5FA"/>
    <w:lvl w:ilvl="0" w:tplc="F4502E28">
      <w:start w:val="1"/>
      <w:numFmt w:val="bullet"/>
      <w:lvlText w:val=""/>
      <w:lvlJc w:val="left"/>
      <w:pPr>
        <w:tabs>
          <w:tab w:val="num" w:pos="720"/>
        </w:tabs>
        <w:ind w:left="720" w:hanging="360"/>
      </w:pPr>
      <w:rPr>
        <w:rFonts w:ascii="Wingdings 3" w:hAnsi="Wingdings 3" w:hint="default"/>
      </w:rPr>
    </w:lvl>
    <w:lvl w:ilvl="1" w:tplc="2BD05244" w:tentative="1">
      <w:start w:val="1"/>
      <w:numFmt w:val="bullet"/>
      <w:lvlText w:val=""/>
      <w:lvlJc w:val="left"/>
      <w:pPr>
        <w:tabs>
          <w:tab w:val="num" w:pos="1440"/>
        </w:tabs>
        <w:ind w:left="1440" w:hanging="360"/>
      </w:pPr>
      <w:rPr>
        <w:rFonts w:ascii="Wingdings 3" w:hAnsi="Wingdings 3" w:hint="default"/>
      </w:rPr>
    </w:lvl>
    <w:lvl w:ilvl="2" w:tplc="6E0AEC1C" w:tentative="1">
      <w:start w:val="1"/>
      <w:numFmt w:val="bullet"/>
      <w:lvlText w:val=""/>
      <w:lvlJc w:val="left"/>
      <w:pPr>
        <w:tabs>
          <w:tab w:val="num" w:pos="2160"/>
        </w:tabs>
        <w:ind w:left="2160" w:hanging="360"/>
      </w:pPr>
      <w:rPr>
        <w:rFonts w:ascii="Wingdings 3" w:hAnsi="Wingdings 3" w:hint="default"/>
      </w:rPr>
    </w:lvl>
    <w:lvl w:ilvl="3" w:tplc="9C340080" w:tentative="1">
      <w:start w:val="1"/>
      <w:numFmt w:val="bullet"/>
      <w:lvlText w:val=""/>
      <w:lvlJc w:val="left"/>
      <w:pPr>
        <w:tabs>
          <w:tab w:val="num" w:pos="2880"/>
        </w:tabs>
        <w:ind w:left="2880" w:hanging="360"/>
      </w:pPr>
      <w:rPr>
        <w:rFonts w:ascii="Wingdings 3" w:hAnsi="Wingdings 3" w:hint="default"/>
      </w:rPr>
    </w:lvl>
    <w:lvl w:ilvl="4" w:tplc="8976D982" w:tentative="1">
      <w:start w:val="1"/>
      <w:numFmt w:val="bullet"/>
      <w:lvlText w:val=""/>
      <w:lvlJc w:val="left"/>
      <w:pPr>
        <w:tabs>
          <w:tab w:val="num" w:pos="3600"/>
        </w:tabs>
        <w:ind w:left="3600" w:hanging="360"/>
      </w:pPr>
      <w:rPr>
        <w:rFonts w:ascii="Wingdings 3" w:hAnsi="Wingdings 3" w:hint="default"/>
      </w:rPr>
    </w:lvl>
    <w:lvl w:ilvl="5" w:tplc="CD189FB4" w:tentative="1">
      <w:start w:val="1"/>
      <w:numFmt w:val="bullet"/>
      <w:lvlText w:val=""/>
      <w:lvlJc w:val="left"/>
      <w:pPr>
        <w:tabs>
          <w:tab w:val="num" w:pos="4320"/>
        </w:tabs>
        <w:ind w:left="4320" w:hanging="360"/>
      </w:pPr>
      <w:rPr>
        <w:rFonts w:ascii="Wingdings 3" w:hAnsi="Wingdings 3" w:hint="default"/>
      </w:rPr>
    </w:lvl>
    <w:lvl w:ilvl="6" w:tplc="3B022C26" w:tentative="1">
      <w:start w:val="1"/>
      <w:numFmt w:val="bullet"/>
      <w:lvlText w:val=""/>
      <w:lvlJc w:val="left"/>
      <w:pPr>
        <w:tabs>
          <w:tab w:val="num" w:pos="5040"/>
        </w:tabs>
        <w:ind w:left="5040" w:hanging="360"/>
      </w:pPr>
      <w:rPr>
        <w:rFonts w:ascii="Wingdings 3" w:hAnsi="Wingdings 3" w:hint="default"/>
      </w:rPr>
    </w:lvl>
    <w:lvl w:ilvl="7" w:tplc="1C78AD1E" w:tentative="1">
      <w:start w:val="1"/>
      <w:numFmt w:val="bullet"/>
      <w:lvlText w:val=""/>
      <w:lvlJc w:val="left"/>
      <w:pPr>
        <w:tabs>
          <w:tab w:val="num" w:pos="5760"/>
        </w:tabs>
        <w:ind w:left="5760" w:hanging="360"/>
      </w:pPr>
      <w:rPr>
        <w:rFonts w:ascii="Wingdings 3" w:hAnsi="Wingdings 3" w:hint="default"/>
      </w:rPr>
    </w:lvl>
    <w:lvl w:ilvl="8" w:tplc="00B20E0E" w:tentative="1">
      <w:start w:val="1"/>
      <w:numFmt w:val="bullet"/>
      <w:lvlText w:val=""/>
      <w:lvlJc w:val="left"/>
      <w:pPr>
        <w:tabs>
          <w:tab w:val="num" w:pos="6480"/>
        </w:tabs>
        <w:ind w:left="6480" w:hanging="360"/>
      </w:pPr>
      <w:rPr>
        <w:rFonts w:ascii="Wingdings 3" w:hAnsi="Wingdings 3" w:hint="default"/>
      </w:rPr>
    </w:lvl>
  </w:abstractNum>
  <w:num w:numId="1" w16cid:durableId="637686078">
    <w:abstractNumId w:val="1"/>
  </w:num>
  <w:num w:numId="2" w16cid:durableId="2000227709">
    <w:abstractNumId w:val="0"/>
  </w:num>
  <w:num w:numId="3" w16cid:durableId="14452258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537"/>
    <w:rsid w:val="000056B7"/>
    <w:rsid w:val="000232B3"/>
    <w:rsid w:val="000503AB"/>
    <w:rsid w:val="00091364"/>
    <w:rsid w:val="000941E5"/>
    <w:rsid w:val="000C304C"/>
    <w:rsid w:val="000F440A"/>
    <w:rsid w:val="0011158A"/>
    <w:rsid w:val="001324D1"/>
    <w:rsid w:val="00146AD4"/>
    <w:rsid w:val="00191EAA"/>
    <w:rsid w:val="001948B0"/>
    <w:rsid w:val="00206A5F"/>
    <w:rsid w:val="00225537"/>
    <w:rsid w:val="00251200"/>
    <w:rsid w:val="002640C1"/>
    <w:rsid w:val="002F3466"/>
    <w:rsid w:val="00310E2A"/>
    <w:rsid w:val="00324545"/>
    <w:rsid w:val="0040603E"/>
    <w:rsid w:val="00423133"/>
    <w:rsid w:val="00457F33"/>
    <w:rsid w:val="00487B6F"/>
    <w:rsid w:val="004960C1"/>
    <w:rsid w:val="004B3F59"/>
    <w:rsid w:val="004C3021"/>
    <w:rsid w:val="004E45C2"/>
    <w:rsid w:val="004F4048"/>
    <w:rsid w:val="0051080D"/>
    <w:rsid w:val="005D27A1"/>
    <w:rsid w:val="006073E1"/>
    <w:rsid w:val="00640756"/>
    <w:rsid w:val="0065528E"/>
    <w:rsid w:val="00662C00"/>
    <w:rsid w:val="00666DA7"/>
    <w:rsid w:val="006B1D9B"/>
    <w:rsid w:val="006C45DE"/>
    <w:rsid w:val="006C50AC"/>
    <w:rsid w:val="00744776"/>
    <w:rsid w:val="00775A4B"/>
    <w:rsid w:val="007A4E04"/>
    <w:rsid w:val="007F0F2E"/>
    <w:rsid w:val="00806EE1"/>
    <w:rsid w:val="008536A7"/>
    <w:rsid w:val="00857233"/>
    <w:rsid w:val="008A2C12"/>
    <w:rsid w:val="008C20FF"/>
    <w:rsid w:val="008D47EB"/>
    <w:rsid w:val="008F430A"/>
    <w:rsid w:val="00903671"/>
    <w:rsid w:val="0093658E"/>
    <w:rsid w:val="00977085"/>
    <w:rsid w:val="009906E8"/>
    <w:rsid w:val="009C2C1D"/>
    <w:rsid w:val="00A144F8"/>
    <w:rsid w:val="00A85B59"/>
    <w:rsid w:val="00AC5470"/>
    <w:rsid w:val="00AD0095"/>
    <w:rsid w:val="00B10C22"/>
    <w:rsid w:val="00B267A2"/>
    <w:rsid w:val="00B62219"/>
    <w:rsid w:val="00B73DAC"/>
    <w:rsid w:val="00BC3482"/>
    <w:rsid w:val="00C43DDA"/>
    <w:rsid w:val="00C82724"/>
    <w:rsid w:val="00C919E5"/>
    <w:rsid w:val="00CD3BA0"/>
    <w:rsid w:val="00CE2E6C"/>
    <w:rsid w:val="00D027CA"/>
    <w:rsid w:val="00D06708"/>
    <w:rsid w:val="00DB6BCE"/>
    <w:rsid w:val="00E00438"/>
    <w:rsid w:val="00E05C3F"/>
    <w:rsid w:val="00E34877"/>
    <w:rsid w:val="00EC5A7A"/>
    <w:rsid w:val="00ED7BE7"/>
    <w:rsid w:val="00FB65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E592A"/>
  <w15:chartTrackingRefBased/>
  <w15:docId w15:val="{B87A84F9-9B59-4711-9DF1-BCC6F975F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3658E"/>
    <w:pPr>
      <w:keepNext/>
      <w:keepLines/>
      <w:spacing w:before="240" w:after="0" w:line="259" w:lineRule="auto"/>
      <w:outlineLvl w:val="0"/>
    </w:pPr>
    <w:rPr>
      <w:rFonts w:ascii="Arial" w:eastAsiaTheme="majorEastAsia" w:hAnsi="Arial" w:cstheme="majorBidi"/>
      <w:b/>
      <w:color w:val="000000" w:themeColor="text1"/>
      <w:kern w:val="0"/>
      <w:sz w:val="28"/>
      <w:szCs w:val="32"/>
      <w:lang w:eastAsia="en-GB"/>
      <w14:ligatures w14:val="none"/>
    </w:rPr>
  </w:style>
  <w:style w:type="paragraph" w:styleId="Heading2">
    <w:name w:val="heading 2"/>
    <w:next w:val="Normal"/>
    <w:link w:val="Heading2Char"/>
    <w:autoRedefine/>
    <w:uiPriority w:val="9"/>
    <w:unhideWhenUsed/>
    <w:qFormat/>
    <w:rsid w:val="009C2C1D"/>
    <w:pPr>
      <w:keepNext/>
      <w:keepLines/>
      <w:spacing w:after="152" w:line="265" w:lineRule="auto"/>
      <w:ind w:left="10" w:right="2" w:hanging="10"/>
      <w:outlineLvl w:val="1"/>
    </w:pPr>
    <w:rPr>
      <w:rFonts w:ascii="Arial" w:eastAsia="Times New Roman" w:hAnsi="Arial" w:cs="Times New Roman"/>
      <w:b/>
      <w:color w:val="000000"/>
    </w:rPr>
  </w:style>
  <w:style w:type="paragraph" w:styleId="Heading3">
    <w:name w:val="heading 3"/>
    <w:basedOn w:val="Normal"/>
    <w:next w:val="Normal"/>
    <w:link w:val="Heading3Char"/>
    <w:uiPriority w:val="9"/>
    <w:semiHidden/>
    <w:unhideWhenUsed/>
    <w:qFormat/>
    <w:rsid w:val="002255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55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55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55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55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55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55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58E"/>
    <w:rPr>
      <w:rFonts w:ascii="Arial" w:eastAsiaTheme="majorEastAsia" w:hAnsi="Arial" w:cstheme="majorBidi"/>
      <w:b/>
      <w:color w:val="000000" w:themeColor="text1"/>
      <w:kern w:val="0"/>
      <w:sz w:val="28"/>
      <w:szCs w:val="32"/>
      <w:lang w:eastAsia="en-GB"/>
      <w14:ligatures w14:val="none"/>
    </w:rPr>
  </w:style>
  <w:style w:type="character" w:customStyle="1" w:styleId="Heading2Char">
    <w:name w:val="Heading 2 Char"/>
    <w:basedOn w:val="DefaultParagraphFont"/>
    <w:link w:val="Heading2"/>
    <w:uiPriority w:val="9"/>
    <w:rsid w:val="009C2C1D"/>
    <w:rPr>
      <w:rFonts w:ascii="Arial" w:eastAsia="Times New Roman" w:hAnsi="Arial" w:cs="Times New Roman"/>
      <w:b/>
      <w:color w:val="000000"/>
    </w:rPr>
  </w:style>
  <w:style w:type="character" w:customStyle="1" w:styleId="Heading3Char">
    <w:name w:val="Heading 3 Char"/>
    <w:basedOn w:val="DefaultParagraphFont"/>
    <w:link w:val="Heading3"/>
    <w:uiPriority w:val="9"/>
    <w:semiHidden/>
    <w:rsid w:val="002255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55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55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55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55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55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5537"/>
    <w:rPr>
      <w:rFonts w:eastAsiaTheme="majorEastAsia" w:cstheme="majorBidi"/>
      <w:color w:val="272727" w:themeColor="text1" w:themeTint="D8"/>
    </w:rPr>
  </w:style>
  <w:style w:type="paragraph" w:styleId="Title">
    <w:name w:val="Title"/>
    <w:basedOn w:val="Normal"/>
    <w:next w:val="Normal"/>
    <w:link w:val="TitleChar"/>
    <w:uiPriority w:val="10"/>
    <w:qFormat/>
    <w:rsid w:val="002255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55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55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55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5537"/>
    <w:pPr>
      <w:spacing w:before="160"/>
      <w:jc w:val="center"/>
    </w:pPr>
    <w:rPr>
      <w:i/>
      <w:iCs/>
      <w:color w:val="404040" w:themeColor="text1" w:themeTint="BF"/>
    </w:rPr>
  </w:style>
  <w:style w:type="character" w:customStyle="1" w:styleId="QuoteChar">
    <w:name w:val="Quote Char"/>
    <w:basedOn w:val="DefaultParagraphFont"/>
    <w:link w:val="Quote"/>
    <w:uiPriority w:val="29"/>
    <w:rsid w:val="00225537"/>
    <w:rPr>
      <w:i/>
      <w:iCs/>
      <w:color w:val="404040" w:themeColor="text1" w:themeTint="BF"/>
    </w:rPr>
  </w:style>
  <w:style w:type="paragraph" w:styleId="ListParagraph">
    <w:name w:val="List Paragraph"/>
    <w:basedOn w:val="Normal"/>
    <w:uiPriority w:val="34"/>
    <w:qFormat/>
    <w:rsid w:val="00225537"/>
    <w:pPr>
      <w:ind w:left="720"/>
      <w:contextualSpacing/>
    </w:pPr>
  </w:style>
  <w:style w:type="character" w:styleId="IntenseEmphasis">
    <w:name w:val="Intense Emphasis"/>
    <w:basedOn w:val="DefaultParagraphFont"/>
    <w:uiPriority w:val="21"/>
    <w:qFormat/>
    <w:rsid w:val="00225537"/>
    <w:rPr>
      <w:i/>
      <w:iCs/>
      <w:color w:val="0F4761" w:themeColor="accent1" w:themeShade="BF"/>
    </w:rPr>
  </w:style>
  <w:style w:type="paragraph" w:styleId="IntenseQuote">
    <w:name w:val="Intense Quote"/>
    <w:basedOn w:val="Normal"/>
    <w:next w:val="Normal"/>
    <w:link w:val="IntenseQuoteChar"/>
    <w:uiPriority w:val="30"/>
    <w:qFormat/>
    <w:rsid w:val="002255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5537"/>
    <w:rPr>
      <w:i/>
      <w:iCs/>
      <w:color w:val="0F4761" w:themeColor="accent1" w:themeShade="BF"/>
    </w:rPr>
  </w:style>
  <w:style w:type="character" w:styleId="IntenseReference">
    <w:name w:val="Intense Reference"/>
    <w:basedOn w:val="DefaultParagraphFont"/>
    <w:uiPriority w:val="32"/>
    <w:qFormat/>
    <w:rsid w:val="00225537"/>
    <w:rPr>
      <w:b/>
      <w:bCs/>
      <w:smallCaps/>
      <w:color w:val="0F4761" w:themeColor="accent1" w:themeShade="BF"/>
      <w:spacing w:val="5"/>
    </w:rPr>
  </w:style>
  <w:style w:type="character" w:styleId="Hyperlink">
    <w:name w:val="Hyperlink"/>
    <w:basedOn w:val="DefaultParagraphFont"/>
    <w:uiPriority w:val="99"/>
    <w:unhideWhenUsed/>
    <w:rsid w:val="00206A5F"/>
    <w:rPr>
      <w:color w:val="467886" w:themeColor="hyperlink"/>
      <w:u w:val="single"/>
    </w:rPr>
  </w:style>
  <w:style w:type="character" w:styleId="UnresolvedMention">
    <w:name w:val="Unresolved Mention"/>
    <w:basedOn w:val="DefaultParagraphFont"/>
    <w:uiPriority w:val="99"/>
    <w:semiHidden/>
    <w:unhideWhenUsed/>
    <w:rsid w:val="00AC5470"/>
    <w:rPr>
      <w:color w:val="605E5C"/>
      <w:shd w:val="clear" w:color="auto" w:fill="E1DFDD"/>
    </w:rPr>
  </w:style>
  <w:style w:type="paragraph" w:styleId="TOCHeading">
    <w:name w:val="TOC Heading"/>
    <w:basedOn w:val="Heading1"/>
    <w:next w:val="Normal"/>
    <w:uiPriority w:val="39"/>
    <w:unhideWhenUsed/>
    <w:qFormat/>
    <w:rsid w:val="006C45DE"/>
    <w:pPr>
      <w:outlineLvl w:val="9"/>
    </w:pPr>
    <w:rPr>
      <w:rFonts w:asciiTheme="majorHAnsi" w:hAnsiTheme="majorHAnsi"/>
      <w:b w:val="0"/>
      <w:color w:val="0F4761" w:themeColor="accent1" w:themeShade="BF"/>
      <w:sz w:val="32"/>
    </w:rPr>
  </w:style>
  <w:style w:type="paragraph" w:styleId="TOC1">
    <w:name w:val="toc 1"/>
    <w:basedOn w:val="Normal"/>
    <w:next w:val="Normal"/>
    <w:autoRedefine/>
    <w:uiPriority w:val="39"/>
    <w:unhideWhenUsed/>
    <w:rsid w:val="006C45DE"/>
    <w:pPr>
      <w:spacing w:after="100"/>
    </w:pPr>
  </w:style>
  <w:style w:type="paragraph" w:styleId="TOC2">
    <w:name w:val="toc 2"/>
    <w:basedOn w:val="Normal"/>
    <w:next w:val="Normal"/>
    <w:autoRedefine/>
    <w:uiPriority w:val="39"/>
    <w:unhideWhenUsed/>
    <w:rsid w:val="006C45DE"/>
    <w:pPr>
      <w:spacing w:after="100"/>
      <w:ind w:left="240"/>
    </w:pPr>
  </w:style>
  <w:style w:type="paragraph" w:styleId="Header">
    <w:name w:val="header"/>
    <w:basedOn w:val="Normal"/>
    <w:link w:val="HeaderChar"/>
    <w:uiPriority w:val="99"/>
    <w:unhideWhenUsed/>
    <w:rsid w:val="006C45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45DE"/>
  </w:style>
  <w:style w:type="paragraph" w:styleId="Footer">
    <w:name w:val="footer"/>
    <w:basedOn w:val="Normal"/>
    <w:link w:val="FooterChar"/>
    <w:uiPriority w:val="99"/>
    <w:unhideWhenUsed/>
    <w:rsid w:val="006C45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45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article/10.1007/s41999-021-00449-9" TargetMode="External"/><Relationship Id="rId18" Type="http://schemas.openxmlformats.org/officeDocument/2006/relationships/hyperlink" Target="https://bmjopenquality.bmj.com/content/6/1/e000064.abstract" TargetMode="External"/><Relationship Id="rId26" Type="http://schemas.openxmlformats.org/officeDocument/2006/relationships/hyperlink" Target="https://ecommons.roseman.edu/fnp/6/" TargetMode="External"/><Relationship Id="rId39" Type="http://schemas.openxmlformats.org/officeDocument/2006/relationships/fontTable" Target="fontTable.xml"/><Relationship Id="rId21" Type="http://schemas.openxmlformats.org/officeDocument/2006/relationships/hyperlink" Target="https://journals.rcni.com/doi/aop-pdf/10.7748/ns.2018.e10859" TargetMode="External"/><Relationship Id="rId34" Type="http://schemas.openxmlformats.org/officeDocument/2006/relationships/hyperlink" Target="https://link.springer.com/article/10.1007/s40264-022-01203-1" TargetMode="External"/><Relationship Id="rId7" Type="http://schemas.openxmlformats.org/officeDocument/2006/relationships/image" Target="media/image1.png"/><Relationship Id="rId12" Type="http://schemas.openxmlformats.org/officeDocument/2006/relationships/hyperlink" Target="https://www.frontiersin.org/journals/psychiatry/articles/10.3389/fpsyt.2023.1241445/full" TargetMode="External"/><Relationship Id="rId17" Type="http://schemas.openxmlformats.org/officeDocument/2006/relationships/hyperlink" Target="https://search.proquest.com/openview/fe613adc62e2fa11c357abfc32da3d7d/1?pq-origsite=gscholar&amp;cbl=54484" TargetMode="External"/><Relationship Id="rId25" Type="http://schemas.openxmlformats.org/officeDocument/2006/relationships/hyperlink" Target="https://link.springer.com/article/10.1007/s11096-023-01626-5" TargetMode="External"/><Relationship Id="rId33" Type="http://schemas.openxmlformats.org/officeDocument/2006/relationships/hyperlink" Target="https://bmjopenquality.bmj.com/content/11/3/e001708"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mospace.umsystem.edu/xmlui/handle/10355/100171" TargetMode="External"/><Relationship Id="rId20" Type="http://schemas.openxmlformats.org/officeDocument/2006/relationships/hyperlink" Target="https://journals.plos.org/plosone/article?id=10.1371/journal.pone.0260882" TargetMode="External"/><Relationship Id="rId29" Type="http://schemas.openxmlformats.org/officeDocument/2006/relationships/hyperlink" Target="https://www.cureus.com/articles/239208-enhancing-hospital-pharmacy-operations-through-lean-and-six-sigma-strategies-a-systematic-review.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arch.proquest.com/openview/5eb9cfa5fd9c057c689b356f89f52022/1?pq-origsite=gscholar&amp;cbl=6480378" TargetMode="External"/><Relationship Id="rId24" Type="http://schemas.openxmlformats.org/officeDocument/2006/relationships/hyperlink" Target="https://link.springer.com/article/10.1007/s40264-024-01396-7" TargetMode="External"/><Relationship Id="rId32" Type="http://schemas.openxmlformats.org/officeDocument/2006/relationships/hyperlink" Target="https://link.springer.com/article/10.1186/s43058-021-00162-5" TargetMode="External"/><Relationship Id="rId37" Type="http://schemas.openxmlformats.org/officeDocument/2006/relationships/hyperlink" Target="https://www.sciencedirect.com/science/article/pii/S2667276625000721"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jamanetwork.com/journals/jamanetworkopen/article-abstract/2784184" TargetMode="External"/><Relationship Id="rId23" Type="http://schemas.openxmlformats.org/officeDocument/2006/relationships/hyperlink" Target="https://books.google.com/books?hl=en&amp;lr=&amp;id=TvwkEQAAQBAJ&amp;oi=fnd&amp;pg=PA95&amp;dq=rational+Medication+Reconciliation+Failure+in+the+UK+NHS+Root+Cause+Analysis+(RCA)&amp;ots=eW99k960ff&amp;sig=5umk-dJToF4o2AWs1XxGcTclEIg" TargetMode="External"/><Relationship Id="rId28" Type="http://schemas.openxmlformats.org/officeDocument/2006/relationships/hyperlink" Target="https://www.mdpi.com/2227-9032/11/10/1495" TargetMode="External"/><Relationship Id="rId36" Type="http://schemas.openxmlformats.org/officeDocument/2006/relationships/hyperlink" Target="https://onlinelibrary.wiley.com/doi/abs/10.1111/jonm.12387" TargetMode="External"/><Relationship Id="rId10" Type="http://schemas.openxmlformats.org/officeDocument/2006/relationships/hyperlink" Target="https://assets.cureus.com/uploads/original_article/pdf/317386/20250527-823573-txlcnn.pdf" TargetMode="External"/><Relationship Id="rId19" Type="http://schemas.openxmlformats.org/officeDocument/2006/relationships/hyperlink" Target="https://orda.shef.ac.uk/articles/report/Economics_of_medicines_optimisation/25012931/1" TargetMode="External"/><Relationship Id="rId31" Type="http://schemas.openxmlformats.org/officeDocument/2006/relationships/hyperlink" Target="https://link.springer.com/chapter/10.1007/978-981-95-0339-1_11" TargetMode="External"/><Relationship Id="rId4" Type="http://schemas.openxmlformats.org/officeDocument/2006/relationships/webSettings" Target="webSettings.xml"/><Relationship Id="rId9" Type="http://schemas.openxmlformats.org/officeDocument/2006/relationships/hyperlink" Target="https://search.proquest.com/openview/6afc1a1a8d02d76cbdeb0a959b1a70b0/1?pq-origsite=gscholar&amp;cbl=2026366&amp;diss=y" TargetMode="External"/><Relationship Id="rId14" Type="http://schemas.openxmlformats.org/officeDocument/2006/relationships/hyperlink" Target="https://journals.lww.com/journalpatientsafety/fulltext/2021/10000/Medication_Errors_at_Hospital_Admission_and.17.aspx" TargetMode="External"/><Relationship Id="rId22" Type="http://schemas.openxmlformats.org/officeDocument/2006/relationships/hyperlink" Target="https://link.springer.com/article/10.1186/s12916-020-01774-9" TargetMode="External"/><Relationship Id="rId27" Type="http://schemas.openxmlformats.org/officeDocument/2006/relationships/hyperlink" Target="https://www.researchgate.net/profile/Maryati-Yusof-2/publication/351924655_A_Lean_Approach_to_Evaluating_Prescribing_Errors_in_Medication_Reconciliation/links/60b21fc992851cd0d9817ace/A-Lean-Approach-to-Evaluating-Prescribing-Errors-in-Medication-Reconciliation.pdf" TargetMode="External"/><Relationship Id="rId30" Type="http://schemas.openxmlformats.org/officeDocument/2006/relationships/hyperlink" Target="https://ejhp.bmj.com/content/27/3/137.abstract" TargetMode="External"/><Relationship Id="rId35" Type="http://schemas.openxmlformats.org/officeDocument/2006/relationships/hyperlink" Target="https://link.springer.com/article/10.1007/s41999-021-00477-5" TargetMode="External"/><Relationship Id="rId8" Type="http://schemas.openxmlformats.org/officeDocument/2006/relationships/hyperlink" Target="https://bmjopenquality.bmj.com/content/10/1/e001127.abstract"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5602</Words>
  <Characters>31936</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GAZALA SHAHJADA</dc:creator>
  <cp:keywords/>
  <dc:description/>
  <cp:lastModifiedBy>Krina Patel</cp:lastModifiedBy>
  <cp:revision>2</cp:revision>
  <dcterms:created xsi:type="dcterms:W3CDTF">2025-12-08T20:14:00Z</dcterms:created>
  <dcterms:modified xsi:type="dcterms:W3CDTF">2025-12-08T20:14:00Z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91231563-8d35-4941-a6c3-5b9f4e12071d</vt:lpwstr>
  </property>
</Properties>
</file>