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38D08" w14:textId="77777777" w:rsidR="00131DF8" w:rsidRDefault="00131DF8"/>
    <w:p w14:paraId="08CA613D" w14:textId="38A64272" w:rsidR="0000021E" w:rsidRDefault="00264FFC">
      <w:pPr>
        <w:rPr>
          <w:rFonts w:ascii="Times New Roman" w:hAnsi="Times New Roman" w:cs="Times New Roman"/>
          <w:sz w:val="28"/>
          <w:szCs w:val="28"/>
        </w:rPr>
      </w:pPr>
      <w:r w:rsidRPr="006D3411">
        <w:rPr>
          <w:rFonts w:ascii="Times New Roman" w:hAnsi="Times New Roman" w:cs="Times New Roman"/>
          <w:sz w:val="28"/>
          <w:szCs w:val="28"/>
        </w:rPr>
        <w:t xml:space="preserve">Critically evaluate the arguments for and against raising the MACR (minimum age of criminal responsibility) in England and Wales. </w:t>
      </w:r>
      <w:bookmarkStart w:id="0" w:name="_Hlk119515257"/>
    </w:p>
    <w:p w14:paraId="5D4FDE64" w14:textId="77777777" w:rsidR="004E7592" w:rsidRPr="006D3411" w:rsidRDefault="004E7592">
      <w:pPr>
        <w:rPr>
          <w:rFonts w:ascii="Times New Roman" w:hAnsi="Times New Roman" w:cs="Times New Roman"/>
          <w:sz w:val="28"/>
          <w:szCs w:val="28"/>
        </w:rPr>
      </w:pPr>
    </w:p>
    <w:p w14:paraId="2106AF7E" w14:textId="5D2CE882" w:rsidR="006E44DE" w:rsidRPr="006D3411" w:rsidRDefault="009926FD"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The minimum age of criminal responsibility (MACR) in England and Wales has remained unchanged since the age of criminal responsibility was increased from 8 to 10 years old</w:t>
      </w:r>
      <w:r w:rsidR="00DE467E" w:rsidRPr="006D3411">
        <w:rPr>
          <w:rFonts w:ascii="Times New Roman" w:hAnsi="Times New Roman" w:cs="Times New Roman"/>
          <w:sz w:val="24"/>
          <w:szCs w:val="24"/>
        </w:rPr>
        <w:t xml:space="preserve"> (</w:t>
      </w:r>
      <w:r w:rsidR="0000021E" w:rsidRPr="006D3411">
        <w:rPr>
          <w:rFonts w:ascii="Times New Roman" w:hAnsi="Times New Roman" w:cs="Times New Roman"/>
          <w:sz w:val="24"/>
          <w:szCs w:val="24"/>
        </w:rPr>
        <w:t xml:space="preserve">The Children and Young Persons Act 1963). </w:t>
      </w:r>
      <w:r w:rsidR="006E44DE" w:rsidRPr="006D3411">
        <w:rPr>
          <w:rFonts w:ascii="Times New Roman" w:hAnsi="Times New Roman" w:cs="Times New Roman"/>
          <w:sz w:val="24"/>
          <w:szCs w:val="24"/>
        </w:rPr>
        <w:t>Since the in</w:t>
      </w:r>
      <w:r w:rsidR="009D3ED5" w:rsidRPr="006D3411">
        <w:rPr>
          <w:rFonts w:ascii="Times New Roman" w:hAnsi="Times New Roman" w:cs="Times New Roman"/>
          <w:sz w:val="24"/>
          <w:szCs w:val="24"/>
        </w:rPr>
        <w:t>crease from 8 to 10 years old</w:t>
      </w:r>
      <w:r w:rsidR="006E44DE" w:rsidRPr="006D3411">
        <w:rPr>
          <w:rFonts w:ascii="Times New Roman" w:hAnsi="Times New Roman" w:cs="Times New Roman"/>
          <w:sz w:val="24"/>
          <w:szCs w:val="24"/>
        </w:rPr>
        <w:t xml:space="preserve">, </w:t>
      </w:r>
      <w:r w:rsidR="008A2232" w:rsidRPr="006D3411">
        <w:rPr>
          <w:rFonts w:ascii="Times New Roman" w:hAnsi="Times New Roman" w:cs="Times New Roman"/>
          <w:sz w:val="24"/>
          <w:szCs w:val="24"/>
        </w:rPr>
        <w:t>there has been debate as to whether the MACR should be raised further. Some believe that MACR is too low and should be raised, whilst others believe that the MACR is at an optimum point and should not be raised further.</w:t>
      </w:r>
      <w:r w:rsidR="00DE467E" w:rsidRPr="006D3411">
        <w:rPr>
          <w:rFonts w:ascii="Times New Roman" w:hAnsi="Times New Roman" w:cs="Times New Roman"/>
          <w:sz w:val="24"/>
          <w:szCs w:val="24"/>
        </w:rPr>
        <w:t xml:space="preserve"> </w:t>
      </w:r>
      <w:r w:rsidR="00F54317" w:rsidRPr="006D3411">
        <w:rPr>
          <w:rFonts w:ascii="Times New Roman" w:hAnsi="Times New Roman" w:cs="Times New Roman"/>
          <w:sz w:val="24"/>
          <w:szCs w:val="24"/>
        </w:rPr>
        <w:t xml:space="preserve">The MACR is a complex topic to evaluate, but due to the impact that incarceration has on adolescents and that </w:t>
      </w:r>
      <w:r w:rsidR="003A15A6">
        <w:rPr>
          <w:rFonts w:ascii="Times New Roman" w:hAnsi="Times New Roman" w:cs="Times New Roman"/>
          <w:sz w:val="24"/>
          <w:szCs w:val="24"/>
        </w:rPr>
        <w:t>the</w:t>
      </w:r>
      <w:r w:rsidR="00F54317" w:rsidRPr="006D3411">
        <w:rPr>
          <w:rFonts w:ascii="Times New Roman" w:hAnsi="Times New Roman" w:cs="Times New Roman"/>
          <w:sz w:val="24"/>
          <w:szCs w:val="24"/>
        </w:rPr>
        <w:t xml:space="preserve"> brains </w:t>
      </w:r>
      <w:r w:rsidR="003A15A6">
        <w:rPr>
          <w:rFonts w:ascii="Times New Roman" w:hAnsi="Times New Roman" w:cs="Times New Roman"/>
          <w:sz w:val="24"/>
          <w:szCs w:val="24"/>
        </w:rPr>
        <w:t xml:space="preserve">of adolescents </w:t>
      </w:r>
      <w:r w:rsidR="00801A8A">
        <w:rPr>
          <w:rFonts w:ascii="Times New Roman" w:hAnsi="Times New Roman" w:cs="Times New Roman"/>
          <w:sz w:val="24"/>
          <w:szCs w:val="24"/>
        </w:rPr>
        <w:t xml:space="preserve">are </w:t>
      </w:r>
      <w:r w:rsidR="00F54317" w:rsidRPr="006D3411">
        <w:rPr>
          <w:rFonts w:ascii="Times New Roman" w:hAnsi="Times New Roman" w:cs="Times New Roman"/>
          <w:sz w:val="24"/>
          <w:szCs w:val="24"/>
        </w:rPr>
        <w:t xml:space="preserve">not fully developed, which could lead to an impairment in judgement, I believe that the MACR should be raised. </w:t>
      </w:r>
      <w:r w:rsidRPr="006D3411">
        <w:rPr>
          <w:rFonts w:ascii="Times New Roman" w:hAnsi="Times New Roman" w:cs="Times New Roman"/>
          <w:sz w:val="24"/>
          <w:szCs w:val="24"/>
        </w:rPr>
        <w:t xml:space="preserve">This </w:t>
      </w:r>
      <w:r w:rsidR="006E44DE" w:rsidRPr="006D3411">
        <w:rPr>
          <w:rFonts w:ascii="Times New Roman" w:hAnsi="Times New Roman" w:cs="Times New Roman"/>
          <w:sz w:val="24"/>
          <w:szCs w:val="24"/>
        </w:rPr>
        <w:t>essay will look to critically analyse the arguments for and against raising the MACR in England and Wales and evaluate whether the MACR should or should not be raised.</w:t>
      </w:r>
    </w:p>
    <w:bookmarkEnd w:id="0"/>
    <w:p w14:paraId="0CF0CC6E" w14:textId="591688DC" w:rsidR="00993780" w:rsidRPr="006D3411" w:rsidRDefault="00271CF4"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The idea that the MACR should be raised in England and Wales is formed based on the notion of </w:t>
      </w:r>
      <w:proofErr w:type="spellStart"/>
      <w:r w:rsidRPr="006D3411">
        <w:rPr>
          <w:rFonts w:ascii="Times New Roman" w:hAnsi="Times New Roman" w:cs="Times New Roman"/>
          <w:sz w:val="24"/>
          <w:szCs w:val="24"/>
        </w:rPr>
        <w:t>Doli</w:t>
      </w:r>
      <w:proofErr w:type="spellEnd"/>
      <w:r w:rsidRPr="006D3411">
        <w:rPr>
          <w:rFonts w:ascii="Times New Roman" w:hAnsi="Times New Roman" w:cs="Times New Roman"/>
          <w:sz w:val="24"/>
          <w:szCs w:val="24"/>
        </w:rPr>
        <w:t xml:space="preserve"> Incapax which is the principle that a child is not able to form the criminal intent needed to commit a crime</w:t>
      </w:r>
      <w:r w:rsidR="00A77D0F" w:rsidRPr="006D3411">
        <w:rPr>
          <w:rFonts w:ascii="Times New Roman" w:hAnsi="Times New Roman" w:cs="Times New Roman"/>
          <w:sz w:val="24"/>
          <w:szCs w:val="24"/>
        </w:rPr>
        <w:t xml:space="preserve">. </w:t>
      </w:r>
      <w:r w:rsidRPr="006D3411">
        <w:rPr>
          <w:rFonts w:ascii="Times New Roman" w:hAnsi="Times New Roman" w:cs="Times New Roman"/>
          <w:sz w:val="24"/>
          <w:szCs w:val="24"/>
        </w:rPr>
        <w:t xml:space="preserve">The notion of </w:t>
      </w:r>
      <w:proofErr w:type="spellStart"/>
      <w:r w:rsidRPr="006D3411">
        <w:rPr>
          <w:rFonts w:ascii="Times New Roman" w:hAnsi="Times New Roman" w:cs="Times New Roman"/>
          <w:sz w:val="24"/>
          <w:szCs w:val="24"/>
        </w:rPr>
        <w:t>Doli</w:t>
      </w:r>
      <w:proofErr w:type="spellEnd"/>
      <w:r w:rsidRPr="006D3411">
        <w:rPr>
          <w:rFonts w:ascii="Times New Roman" w:hAnsi="Times New Roman" w:cs="Times New Roman"/>
          <w:sz w:val="24"/>
          <w:szCs w:val="24"/>
        </w:rPr>
        <w:t xml:space="preserve"> Incapax was active in the UK until 1998 when </w:t>
      </w:r>
      <w:r w:rsidR="00496851" w:rsidRPr="00496851">
        <w:rPr>
          <w:rFonts w:ascii="Times New Roman" w:hAnsi="Times New Roman" w:cs="Times New Roman"/>
          <w:sz w:val="24"/>
          <w:szCs w:val="24"/>
        </w:rPr>
        <w:t xml:space="preserve">it was abolished, and children as young as 10 were held accountable for crimes </w:t>
      </w:r>
      <w:r w:rsidRPr="006D3411">
        <w:rPr>
          <w:rFonts w:ascii="Times New Roman" w:hAnsi="Times New Roman" w:cs="Times New Roman"/>
          <w:sz w:val="24"/>
          <w:szCs w:val="24"/>
        </w:rPr>
        <w:t xml:space="preserve">they had committed. The abolishment of </w:t>
      </w:r>
      <w:proofErr w:type="spellStart"/>
      <w:r w:rsidRPr="006D3411">
        <w:rPr>
          <w:rFonts w:ascii="Times New Roman" w:hAnsi="Times New Roman" w:cs="Times New Roman"/>
          <w:sz w:val="24"/>
          <w:szCs w:val="24"/>
        </w:rPr>
        <w:t>doli</w:t>
      </w:r>
      <w:proofErr w:type="spellEnd"/>
      <w:r w:rsidRPr="006D3411">
        <w:rPr>
          <w:rFonts w:ascii="Times New Roman" w:hAnsi="Times New Roman" w:cs="Times New Roman"/>
          <w:sz w:val="24"/>
          <w:szCs w:val="24"/>
        </w:rPr>
        <w:t xml:space="preserve"> incapax in the UK has been seen by some as to have been unjustifiable due to the wrongfulness of punishing children who do not understand how their actions are wrong (Gibson, 2019). </w:t>
      </w:r>
      <w:r w:rsidR="00CD0885" w:rsidRPr="006D3411">
        <w:rPr>
          <w:rFonts w:ascii="Times New Roman" w:hAnsi="Times New Roman" w:cs="Times New Roman"/>
          <w:sz w:val="24"/>
          <w:szCs w:val="24"/>
        </w:rPr>
        <w:t>The decision to raise the MACR in England and Wales can be explained by the criminological theory of “Left Realism”. This theory favours rehabilitation rather than harsh punishments and believes that crime is caused by a range of factors such as socioeconomic factors (</w:t>
      </w:r>
      <w:proofErr w:type="spellStart"/>
      <w:r w:rsidR="00CD0885" w:rsidRPr="006D3411">
        <w:rPr>
          <w:rFonts w:ascii="Times New Roman" w:hAnsi="Times New Roman" w:cs="Times New Roman"/>
          <w:sz w:val="24"/>
          <w:szCs w:val="24"/>
        </w:rPr>
        <w:t>DeKeseredy</w:t>
      </w:r>
      <w:proofErr w:type="spellEnd"/>
      <w:r w:rsidR="00CD0885" w:rsidRPr="006D3411">
        <w:rPr>
          <w:rFonts w:ascii="Times New Roman" w:hAnsi="Times New Roman" w:cs="Times New Roman"/>
          <w:sz w:val="24"/>
          <w:szCs w:val="24"/>
        </w:rPr>
        <w:t xml:space="preserve">, 2010). </w:t>
      </w:r>
      <w:r w:rsidRPr="006D3411">
        <w:rPr>
          <w:rFonts w:ascii="Times New Roman" w:hAnsi="Times New Roman" w:cs="Times New Roman"/>
          <w:sz w:val="24"/>
          <w:szCs w:val="24"/>
        </w:rPr>
        <w:t xml:space="preserve">However, it has been argued that </w:t>
      </w:r>
      <w:proofErr w:type="spellStart"/>
      <w:r w:rsidRPr="006D3411">
        <w:rPr>
          <w:rFonts w:ascii="Times New Roman" w:hAnsi="Times New Roman" w:cs="Times New Roman"/>
          <w:sz w:val="24"/>
          <w:szCs w:val="24"/>
        </w:rPr>
        <w:t>doli</w:t>
      </w:r>
      <w:proofErr w:type="spellEnd"/>
      <w:r w:rsidRPr="006D3411">
        <w:rPr>
          <w:rFonts w:ascii="Times New Roman" w:hAnsi="Times New Roman" w:cs="Times New Roman"/>
          <w:sz w:val="24"/>
          <w:szCs w:val="24"/>
        </w:rPr>
        <w:t xml:space="preserve"> incapax is archaic in nature in the regard that it </w:t>
      </w:r>
      <w:r w:rsidR="00E5212C" w:rsidRPr="006D3411">
        <w:rPr>
          <w:rFonts w:ascii="Times New Roman" w:hAnsi="Times New Roman" w:cs="Times New Roman"/>
          <w:sz w:val="24"/>
          <w:szCs w:val="24"/>
        </w:rPr>
        <w:t xml:space="preserve">assumes that </w:t>
      </w:r>
      <w:r w:rsidRPr="006D3411">
        <w:rPr>
          <w:rFonts w:ascii="Times New Roman" w:hAnsi="Times New Roman" w:cs="Times New Roman"/>
          <w:sz w:val="24"/>
          <w:szCs w:val="24"/>
        </w:rPr>
        <w:t>children under 14 do not know right from wrong (</w:t>
      </w:r>
      <w:proofErr w:type="spellStart"/>
      <w:r w:rsidRPr="006D3411">
        <w:rPr>
          <w:rFonts w:ascii="Times New Roman" w:hAnsi="Times New Roman" w:cs="Times New Roman"/>
          <w:sz w:val="24"/>
          <w:szCs w:val="24"/>
        </w:rPr>
        <w:t>Bandalli</w:t>
      </w:r>
      <w:proofErr w:type="spellEnd"/>
      <w:r w:rsidRPr="006D3411">
        <w:rPr>
          <w:rFonts w:ascii="Times New Roman" w:hAnsi="Times New Roman" w:cs="Times New Roman"/>
          <w:sz w:val="24"/>
          <w:szCs w:val="24"/>
        </w:rPr>
        <w:t xml:space="preserve">, 1998). Moreover, </w:t>
      </w:r>
      <w:r w:rsidR="00577A76" w:rsidRPr="006D3411">
        <w:rPr>
          <w:rFonts w:ascii="Times New Roman" w:hAnsi="Times New Roman" w:cs="Times New Roman"/>
          <w:sz w:val="24"/>
          <w:szCs w:val="24"/>
        </w:rPr>
        <w:t xml:space="preserve">there has been a consensus among some that the notion of </w:t>
      </w:r>
      <w:proofErr w:type="spellStart"/>
      <w:r w:rsidR="00577A76" w:rsidRPr="006D3411">
        <w:rPr>
          <w:rFonts w:ascii="Times New Roman" w:hAnsi="Times New Roman" w:cs="Times New Roman"/>
          <w:sz w:val="24"/>
          <w:szCs w:val="24"/>
        </w:rPr>
        <w:t>doli</w:t>
      </w:r>
      <w:proofErr w:type="spellEnd"/>
      <w:r w:rsidR="00577A76" w:rsidRPr="006D3411">
        <w:rPr>
          <w:rFonts w:ascii="Times New Roman" w:hAnsi="Times New Roman" w:cs="Times New Roman"/>
          <w:sz w:val="24"/>
          <w:szCs w:val="24"/>
        </w:rPr>
        <w:t xml:space="preserve"> incapax has generally been inconsistent in its effectiveness and has failed </w:t>
      </w:r>
      <w:r w:rsidR="00496851">
        <w:rPr>
          <w:rFonts w:ascii="Times New Roman" w:hAnsi="Times New Roman" w:cs="Times New Roman"/>
          <w:sz w:val="24"/>
          <w:szCs w:val="24"/>
        </w:rPr>
        <w:t>to protect the nation’s youth</w:t>
      </w:r>
      <w:r w:rsidRPr="006D3411">
        <w:rPr>
          <w:rFonts w:ascii="Times New Roman" w:hAnsi="Times New Roman" w:cs="Times New Roman"/>
          <w:sz w:val="24"/>
          <w:szCs w:val="24"/>
        </w:rPr>
        <w:t xml:space="preserve"> (OOGYCP, 2021). </w:t>
      </w:r>
      <w:r w:rsidR="00577A76" w:rsidRPr="006D3411">
        <w:rPr>
          <w:rFonts w:ascii="Times New Roman" w:hAnsi="Times New Roman" w:cs="Times New Roman"/>
          <w:sz w:val="24"/>
          <w:szCs w:val="24"/>
        </w:rPr>
        <w:t xml:space="preserve">Furthermore, the notion of </w:t>
      </w:r>
      <w:proofErr w:type="spellStart"/>
      <w:r w:rsidR="00577A76" w:rsidRPr="006D3411">
        <w:rPr>
          <w:rFonts w:ascii="Times New Roman" w:hAnsi="Times New Roman" w:cs="Times New Roman"/>
          <w:sz w:val="24"/>
          <w:szCs w:val="24"/>
        </w:rPr>
        <w:t>doli</w:t>
      </w:r>
      <w:proofErr w:type="spellEnd"/>
      <w:r w:rsidR="00577A76" w:rsidRPr="006D3411">
        <w:rPr>
          <w:rFonts w:ascii="Times New Roman" w:hAnsi="Times New Roman" w:cs="Times New Roman"/>
          <w:sz w:val="24"/>
          <w:szCs w:val="24"/>
        </w:rPr>
        <w:t xml:space="preserve"> incapax was seen as unnecessary and unneeded by the UK government</w:t>
      </w:r>
      <w:r w:rsidR="00E5212C" w:rsidRPr="006D3411">
        <w:rPr>
          <w:rFonts w:ascii="Times New Roman" w:hAnsi="Times New Roman" w:cs="Times New Roman"/>
          <w:sz w:val="24"/>
          <w:szCs w:val="24"/>
        </w:rPr>
        <w:t>, which is why they abolished the notion.</w:t>
      </w:r>
      <w:r w:rsidR="00577A76" w:rsidRPr="006D3411">
        <w:rPr>
          <w:rFonts w:ascii="Times New Roman" w:hAnsi="Times New Roman" w:cs="Times New Roman"/>
          <w:sz w:val="24"/>
          <w:szCs w:val="24"/>
        </w:rPr>
        <w:t xml:space="preserve"> </w:t>
      </w:r>
      <w:r w:rsidRPr="006D3411">
        <w:rPr>
          <w:rFonts w:ascii="Times New Roman" w:hAnsi="Times New Roman" w:cs="Times New Roman"/>
          <w:sz w:val="24"/>
          <w:szCs w:val="24"/>
        </w:rPr>
        <w:t>(</w:t>
      </w:r>
      <w:proofErr w:type="spellStart"/>
      <w:r w:rsidRPr="006D3411">
        <w:rPr>
          <w:rFonts w:ascii="Times New Roman" w:hAnsi="Times New Roman" w:cs="Times New Roman"/>
          <w:sz w:val="24"/>
          <w:szCs w:val="24"/>
        </w:rPr>
        <w:t>Papamichael</w:t>
      </w:r>
      <w:proofErr w:type="spellEnd"/>
      <w:r w:rsidRPr="006D3411">
        <w:rPr>
          <w:rFonts w:ascii="Times New Roman" w:hAnsi="Times New Roman" w:cs="Times New Roman"/>
          <w:sz w:val="24"/>
          <w:szCs w:val="24"/>
        </w:rPr>
        <w:t xml:space="preserve">, 2019). </w:t>
      </w:r>
    </w:p>
    <w:p w14:paraId="1422F26D" w14:textId="77777777" w:rsidR="00286A20" w:rsidRDefault="00D22D76"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lastRenderedPageBreak/>
        <w:t>The argument has been made that if the MACR is raised in England and Wales, then it can spread a sense of lawlessness among the youth of the nation. Increasing the MACR could be seen to encourage criminal behaviour, due to the lack of punishment that young people would receive. However, it can be argued that the crime rate amongst the youth of our nation is already increasing, so increasing the MACR is likely to have no effect on that figure (</w:t>
      </w:r>
      <w:proofErr w:type="spellStart"/>
      <w:r w:rsidRPr="006D3411">
        <w:rPr>
          <w:rFonts w:ascii="Times New Roman" w:hAnsi="Times New Roman" w:cs="Times New Roman"/>
          <w:sz w:val="24"/>
          <w:szCs w:val="24"/>
        </w:rPr>
        <w:t>Bhuller</w:t>
      </w:r>
      <w:proofErr w:type="spellEnd"/>
      <w:r w:rsidRPr="006D3411">
        <w:rPr>
          <w:rFonts w:ascii="Times New Roman" w:hAnsi="Times New Roman" w:cs="Times New Roman"/>
          <w:sz w:val="24"/>
          <w:szCs w:val="24"/>
        </w:rPr>
        <w:t xml:space="preserve">, 2018). Furthermore, the increase in the MACR could also see an increase in gang-related crimes taking place. The percentage of youth-related gang crimes has already seen an uptake, and an increased MACR could only incentivise individuals to commit more crimes (Commission on young lives, 2021). </w:t>
      </w:r>
    </w:p>
    <w:p w14:paraId="275C25EE" w14:textId="4CE1F93A" w:rsidR="00286A20" w:rsidRDefault="00D22D76"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The idea that the MACR should not be raised also draws on the conclusion that young offenders who commit very serious crimes might be protected under an increased MACR. For example, John Venables and Robert Thompson, who murdered Jamie Bulger when they were 10 years old, might have been protected under an increased MACR (Green, 2007). Moreover, In Norway where the MACR is 15 years old, 2 boys aged 5 and 6, beat to death a 5-year-old girl and were only ordered to meet regularly with child protection services and to have counselling until they were 18 years old, which some have stated is a lack of punishment and only incentivises such violent behaviour (Green, 2007; James &amp; MacDougall, 2010). However, with the case in Norway, there is no evidence to suggest that reoffending has taken place, whereas Venables has reoffended, which may suggest that the approach taken in Norway was more effective</w:t>
      </w:r>
      <w:r w:rsidR="00577A76" w:rsidRPr="006D3411">
        <w:rPr>
          <w:rFonts w:ascii="Times New Roman" w:hAnsi="Times New Roman" w:cs="Times New Roman"/>
          <w:sz w:val="24"/>
          <w:szCs w:val="24"/>
        </w:rPr>
        <w:t xml:space="preserve">. </w:t>
      </w:r>
    </w:p>
    <w:p w14:paraId="78CDD481" w14:textId="58E19775" w:rsidR="00993780" w:rsidRDefault="00286A20" w:rsidP="006D3411">
      <w:pPr>
        <w:spacing w:line="360" w:lineRule="auto"/>
        <w:rPr>
          <w:rFonts w:ascii="Times New Roman" w:hAnsi="Times New Roman" w:cs="Times New Roman"/>
          <w:sz w:val="24"/>
          <w:szCs w:val="24"/>
        </w:rPr>
      </w:pPr>
      <w:r>
        <w:rPr>
          <w:rFonts w:ascii="Times New Roman" w:hAnsi="Times New Roman" w:cs="Times New Roman"/>
          <w:sz w:val="24"/>
          <w:szCs w:val="24"/>
        </w:rPr>
        <w:t>T</w:t>
      </w:r>
      <w:r w:rsidR="00D22D76" w:rsidRPr="006D3411">
        <w:rPr>
          <w:rFonts w:ascii="Times New Roman" w:hAnsi="Times New Roman" w:cs="Times New Roman"/>
          <w:sz w:val="24"/>
          <w:szCs w:val="24"/>
        </w:rPr>
        <w:t xml:space="preserve">he argument that the MACR should not be raised can </w:t>
      </w:r>
      <w:r w:rsidR="00993780">
        <w:rPr>
          <w:rFonts w:ascii="Times New Roman" w:hAnsi="Times New Roman" w:cs="Times New Roman"/>
          <w:sz w:val="24"/>
          <w:szCs w:val="24"/>
        </w:rPr>
        <w:t xml:space="preserve">also </w:t>
      </w:r>
      <w:r w:rsidR="00D22D76" w:rsidRPr="006D3411">
        <w:rPr>
          <w:rFonts w:ascii="Times New Roman" w:hAnsi="Times New Roman" w:cs="Times New Roman"/>
          <w:sz w:val="24"/>
          <w:szCs w:val="24"/>
        </w:rPr>
        <w:t xml:space="preserve">be supported by </w:t>
      </w:r>
      <w:r w:rsidR="00993780">
        <w:rPr>
          <w:rFonts w:ascii="Times New Roman" w:hAnsi="Times New Roman" w:cs="Times New Roman"/>
          <w:sz w:val="24"/>
          <w:szCs w:val="24"/>
        </w:rPr>
        <w:t xml:space="preserve">several different criminological theories. One such theory that would favour not raising the MACR would be the theory of deterrence. Deterrence theory states that </w:t>
      </w:r>
      <w:r w:rsidR="00993780" w:rsidRPr="006D3411">
        <w:rPr>
          <w:rFonts w:ascii="Times New Roman" w:hAnsi="Times New Roman" w:cs="Times New Roman"/>
          <w:sz w:val="24"/>
          <w:szCs w:val="24"/>
        </w:rPr>
        <w:t>the harsh punishments that a person can receive can deter others (</w:t>
      </w:r>
      <w:proofErr w:type="spellStart"/>
      <w:r w:rsidR="00993780" w:rsidRPr="006D3411">
        <w:rPr>
          <w:rFonts w:ascii="Times New Roman" w:hAnsi="Times New Roman" w:cs="Times New Roman"/>
          <w:sz w:val="24"/>
          <w:szCs w:val="24"/>
        </w:rPr>
        <w:t>Abramovaite</w:t>
      </w:r>
      <w:proofErr w:type="spellEnd"/>
      <w:r w:rsidR="00993780" w:rsidRPr="006D3411">
        <w:rPr>
          <w:rFonts w:ascii="Times New Roman" w:hAnsi="Times New Roman" w:cs="Times New Roman"/>
          <w:sz w:val="24"/>
          <w:szCs w:val="24"/>
        </w:rPr>
        <w:t>, 2022)</w:t>
      </w:r>
      <w:r w:rsidR="00993780">
        <w:rPr>
          <w:rFonts w:ascii="Times New Roman" w:hAnsi="Times New Roman" w:cs="Times New Roman"/>
          <w:sz w:val="24"/>
          <w:szCs w:val="24"/>
        </w:rPr>
        <w:t>.</w:t>
      </w:r>
      <w:r w:rsidR="00993780" w:rsidRPr="006D3411">
        <w:rPr>
          <w:rFonts w:ascii="Times New Roman" w:hAnsi="Times New Roman" w:cs="Times New Roman"/>
          <w:sz w:val="24"/>
          <w:szCs w:val="24"/>
        </w:rPr>
        <w:t xml:space="preserve"> On the other hand, it could be argued that in juvenile crimes, some individuals may be too young to have heard of other crimes and the punishments handed out which would not act as a deterrence.</w:t>
      </w:r>
      <w:r w:rsidR="00993780">
        <w:rPr>
          <w:rFonts w:ascii="Times New Roman" w:hAnsi="Times New Roman" w:cs="Times New Roman"/>
          <w:sz w:val="24"/>
          <w:szCs w:val="24"/>
        </w:rPr>
        <w:t xml:space="preserve"> Another such theory which would support not raising the MACR would be the theory of right realism. Right realism favours taking a hard stance on crime, promotes harsh punishments for criminal behaviour and states </w:t>
      </w:r>
      <w:r w:rsidR="00993780" w:rsidRPr="00993780">
        <w:rPr>
          <w:rFonts w:ascii="Times New Roman" w:hAnsi="Times New Roman" w:cs="Times New Roman"/>
          <w:sz w:val="24"/>
          <w:szCs w:val="24"/>
        </w:rPr>
        <w:t xml:space="preserve">that people should be held accountable for their actions (University of Glasgow, 2016). </w:t>
      </w:r>
      <w:r w:rsidR="00993780">
        <w:rPr>
          <w:rFonts w:ascii="Times New Roman" w:hAnsi="Times New Roman" w:cs="Times New Roman"/>
          <w:sz w:val="24"/>
          <w:szCs w:val="24"/>
        </w:rPr>
        <w:t>However, young people might see the harsh punishments handed to them as unjustified</w:t>
      </w:r>
      <w:r w:rsidR="00496851" w:rsidRPr="00496851">
        <w:rPr>
          <w:rFonts w:ascii="Times New Roman" w:hAnsi="Times New Roman" w:cs="Times New Roman"/>
          <w:sz w:val="24"/>
          <w:szCs w:val="24"/>
        </w:rPr>
        <w:t>, which could see them viewing the criminal justice system negatively and pushing</w:t>
      </w:r>
      <w:r w:rsidR="00993780">
        <w:rPr>
          <w:rFonts w:ascii="Times New Roman" w:hAnsi="Times New Roman" w:cs="Times New Roman"/>
          <w:sz w:val="24"/>
          <w:szCs w:val="24"/>
        </w:rPr>
        <w:t xml:space="preserve"> them further into crime. Moreover, the broken windows theory could also be used to justify not raising the MACR. </w:t>
      </w:r>
      <w:r w:rsidR="00993780" w:rsidRPr="00993780">
        <w:rPr>
          <w:rFonts w:ascii="Times New Roman" w:hAnsi="Times New Roman" w:cs="Times New Roman"/>
          <w:sz w:val="24"/>
          <w:szCs w:val="24"/>
        </w:rPr>
        <w:t xml:space="preserve">Broken windows theory states that small levels of crime can build up </w:t>
      </w:r>
      <w:r w:rsidR="00993780" w:rsidRPr="00993780">
        <w:rPr>
          <w:rFonts w:ascii="Times New Roman" w:hAnsi="Times New Roman" w:cs="Times New Roman"/>
          <w:sz w:val="24"/>
          <w:szCs w:val="24"/>
        </w:rPr>
        <w:lastRenderedPageBreak/>
        <w:t>and lead to a sense of lawlessness and lead to more serious crimes being committed (Ruhl, 2021). Due to this, increasing the MACR could incentivise criminal behaviour and lead to a rise in petty crime and more serious crimes due to the lack of</w:t>
      </w:r>
      <w:r w:rsidR="00993780">
        <w:rPr>
          <w:rFonts w:ascii="Times New Roman" w:hAnsi="Times New Roman" w:cs="Times New Roman"/>
          <w:sz w:val="24"/>
          <w:szCs w:val="24"/>
        </w:rPr>
        <w:t xml:space="preserve"> punishment. </w:t>
      </w:r>
    </w:p>
    <w:p w14:paraId="512E91F2" w14:textId="6695E9B7" w:rsidR="00E67453" w:rsidRDefault="00D22D76"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However, others have stated that by criminalising young people, you only work to solidify their label as a criminal. Those that have been convicted of crimes in youth, and have been around other young offenders, are more likely to commit further crimes (</w:t>
      </w:r>
      <w:proofErr w:type="spellStart"/>
      <w:r w:rsidRPr="006D3411">
        <w:rPr>
          <w:rFonts w:ascii="Times New Roman" w:hAnsi="Times New Roman" w:cs="Times New Roman"/>
          <w:sz w:val="24"/>
          <w:szCs w:val="24"/>
        </w:rPr>
        <w:t>Brame</w:t>
      </w:r>
      <w:proofErr w:type="spellEnd"/>
      <w:r w:rsidRPr="006D3411">
        <w:rPr>
          <w:rFonts w:ascii="Times New Roman" w:hAnsi="Times New Roman" w:cs="Times New Roman"/>
          <w:sz w:val="24"/>
          <w:szCs w:val="24"/>
        </w:rPr>
        <w:t xml:space="preserve"> et al., 2018). </w:t>
      </w:r>
      <w:r w:rsidR="00E67453">
        <w:rPr>
          <w:rFonts w:ascii="Times New Roman" w:hAnsi="Times New Roman" w:cs="Times New Roman"/>
          <w:sz w:val="24"/>
          <w:szCs w:val="24"/>
        </w:rPr>
        <w:t xml:space="preserve">Furthermore, the argument to raise the MACR can also be justified by several different criminological theories. One such theory which would support an increased MACR would be the theory of left realism. Left realism </w:t>
      </w:r>
      <w:r w:rsidR="00E67453" w:rsidRPr="006D3411">
        <w:rPr>
          <w:rFonts w:ascii="Times New Roman" w:hAnsi="Times New Roman" w:cs="Times New Roman"/>
          <w:sz w:val="24"/>
          <w:szCs w:val="24"/>
        </w:rPr>
        <w:t>supports tackling the root causes of crime and promotes rehabilitation rather than harsh punishment (</w:t>
      </w:r>
      <w:proofErr w:type="spellStart"/>
      <w:r w:rsidR="00E67453" w:rsidRPr="006D3411">
        <w:rPr>
          <w:rFonts w:ascii="Times New Roman" w:hAnsi="Times New Roman" w:cs="Times New Roman"/>
          <w:sz w:val="24"/>
          <w:szCs w:val="24"/>
        </w:rPr>
        <w:t>DeKeseredy</w:t>
      </w:r>
      <w:proofErr w:type="spellEnd"/>
      <w:r w:rsidR="00E67453" w:rsidRPr="006D3411">
        <w:rPr>
          <w:rFonts w:ascii="Times New Roman" w:hAnsi="Times New Roman" w:cs="Times New Roman"/>
          <w:sz w:val="24"/>
          <w:szCs w:val="24"/>
        </w:rPr>
        <w:t>, 2010).</w:t>
      </w:r>
      <w:r w:rsidR="00E67453">
        <w:rPr>
          <w:rFonts w:ascii="Times New Roman" w:hAnsi="Times New Roman" w:cs="Times New Roman"/>
          <w:sz w:val="24"/>
          <w:szCs w:val="24"/>
        </w:rPr>
        <w:t xml:space="preserve"> However, </w:t>
      </w:r>
      <w:r w:rsidR="00E67453" w:rsidRPr="006D3411">
        <w:rPr>
          <w:rFonts w:ascii="Times New Roman" w:hAnsi="Times New Roman" w:cs="Times New Roman"/>
          <w:sz w:val="24"/>
          <w:szCs w:val="24"/>
        </w:rPr>
        <w:t>it could be argued though that promoting a lenient stance on crime will only incentivise criminal behaviour amongst others.</w:t>
      </w:r>
      <w:r w:rsidR="00E67453">
        <w:rPr>
          <w:rFonts w:ascii="Times New Roman" w:hAnsi="Times New Roman" w:cs="Times New Roman"/>
          <w:sz w:val="24"/>
          <w:szCs w:val="24"/>
        </w:rPr>
        <w:t xml:space="preserve"> </w:t>
      </w:r>
      <w:r w:rsidR="00E67453" w:rsidRPr="006D3411">
        <w:rPr>
          <w:rFonts w:ascii="Times New Roman" w:hAnsi="Times New Roman" w:cs="Times New Roman"/>
          <w:sz w:val="24"/>
          <w:szCs w:val="24"/>
        </w:rPr>
        <w:t xml:space="preserve">However, a compromise could be made with the criminological theory of retributive justice, which promotes harsher punishment on more serious crimes and a more lenient punishment on crimes that are not deemed as serious (Stanford </w:t>
      </w:r>
      <w:proofErr w:type="spellStart"/>
      <w:r w:rsidR="00E67453" w:rsidRPr="006D3411">
        <w:rPr>
          <w:rFonts w:ascii="Times New Roman" w:hAnsi="Times New Roman" w:cs="Times New Roman"/>
          <w:sz w:val="24"/>
          <w:szCs w:val="24"/>
        </w:rPr>
        <w:t>Encyclopedia</w:t>
      </w:r>
      <w:proofErr w:type="spellEnd"/>
      <w:r w:rsidR="00E67453" w:rsidRPr="006D3411">
        <w:rPr>
          <w:rFonts w:ascii="Times New Roman" w:hAnsi="Times New Roman" w:cs="Times New Roman"/>
          <w:sz w:val="24"/>
          <w:szCs w:val="24"/>
        </w:rPr>
        <w:t xml:space="preserve"> of Philosophy, 2014).</w:t>
      </w:r>
    </w:p>
    <w:p w14:paraId="514E99C7" w14:textId="409C76D4" w:rsidR="00E67453" w:rsidRPr="006D3411" w:rsidRDefault="009B2587"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The MACR in England and Wales has </w:t>
      </w:r>
      <w:r w:rsidR="00E67453">
        <w:rPr>
          <w:rFonts w:ascii="Times New Roman" w:hAnsi="Times New Roman" w:cs="Times New Roman"/>
          <w:sz w:val="24"/>
          <w:szCs w:val="24"/>
        </w:rPr>
        <w:t xml:space="preserve">also </w:t>
      </w:r>
      <w:r w:rsidRPr="006D3411">
        <w:rPr>
          <w:rFonts w:ascii="Times New Roman" w:hAnsi="Times New Roman" w:cs="Times New Roman"/>
          <w:sz w:val="24"/>
          <w:szCs w:val="24"/>
        </w:rPr>
        <w:t xml:space="preserve">been described as unacceptably low when compared with the rest of the world (Bateman, 2012). The MACR in Europe varies by country, but most countries will generally have a MACR of about 12-14 years old. Furthermore, countries around the world typically have a MACR higher than England and Wales with ages ranging from 12 to even 18 years old. Moreover, there have also been calls from the United Nations for England and Wales to increase the MACR, with the United Nations stating that the current MACR in England and Wales is “inconsistent with accepted international standards” (Equality and human rights commission, 2019). However, children have generally been exploited by gangs to commit crimes on their behalf, with that likely to become more common with an increased MACR due to the lack of punishment that children would receive (Children’s Commission, 2019). Moreover, the rate of homicides </w:t>
      </w:r>
      <w:r w:rsidR="00286A20">
        <w:rPr>
          <w:rFonts w:ascii="Times New Roman" w:hAnsi="Times New Roman" w:cs="Times New Roman"/>
          <w:sz w:val="24"/>
          <w:szCs w:val="24"/>
        </w:rPr>
        <w:t>committed by</w:t>
      </w:r>
      <w:r w:rsidRPr="006D3411">
        <w:rPr>
          <w:rFonts w:ascii="Times New Roman" w:hAnsi="Times New Roman" w:cs="Times New Roman"/>
          <w:sz w:val="24"/>
          <w:szCs w:val="24"/>
        </w:rPr>
        <w:t xml:space="preserve"> under </w:t>
      </w:r>
      <w:r w:rsidR="00286A20">
        <w:rPr>
          <w:rFonts w:ascii="Times New Roman" w:hAnsi="Times New Roman" w:cs="Times New Roman"/>
          <w:sz w:val="24"/>
          <w:szCs w:val="24"/>
        </w:rPr>
        <w:t xml:space="preserve">20-year-olds </w:t>
      </w:r>
      <w:r w:rsidRPr="006D3411">
        <w:rPr>
          <w:rFonts w:ascii="Times New Roman" w:hAnsi="Times New Roman" w:cs="Times New Roman"/>
          <w:sz w:val="24"/>
          <w:szCs w:val="24"/>
        </w:rPr>
        <w:t>in Brazil, where the MACR is 18, has risen by 346% between 1980 and 2010 (Murray et al., 2013). Although, it could be argued that the rate of homicides is high in Brazil due to the socioeconomic climate being different to that of places such as the UK.</w:t>
      </w:r>
    </w:p>
    <w:p w14:paraId="108FC0AE" w14:textId="483EFC10" w:rsidR="00181988" w:rsidRPr="006D3411" w:rsidRDefault="0061139B"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The neurological development of adolescents is also often debated when the debate of raising the MACR arises. The brain does not fully develop until around the age of 25, with different </w:t>
      </w:r>
      <w:r w:rsidRPr="006D3411">
        <w:rPr>
          <w:rFonts w:ascii="Times New Roman" w:hAnsi="Times New Roman" w:cs="Times New Roman"/>
          <w:sz w:val="24"/>
          <w:szCs w:val="24"/>
        </w:rPr>
        <w:lastRenderedPageBreak/>
        <w:t>people being found to have faster rates of development than others (Sharma et al., 2013). Studies have also shown that the sex of a person can influence brain development, with female brains showing earlier brain development than male brains (</w:t>
      </w:r>
      <w:proofErr w:type="spellStart"/>
      <w:r w:rsidRPr="006D3411">
        <w:rPr>
          <w:rFonts w:ascii="Times New Roman" w:hAnsi="Times New Roman" w:cs="Times New Roman"/>
          <w:sz w:val="24"/>
          <w:szCs w:val="24"/>
        </w:rPr>
        <w:t>Lenroot</w:t>
      </w:r>
      <w:proofErr w:type="spellEnd"/>
      <w:r w:rsidRPr="006D3411">
        <w:rPr>
          <w:rFonts w:ascii="Times New Roman" w:hAnsi="Times New Roman" w:cs="Times New Roman"/>
          <w:sz w:val="24"/>
          <w:szCs w:val="24"/>
        </w:rPr>
        <w:t xml:space="preserve"> &amp; </w:t>
      </w:r>
      <w:proofErr w:type="spellStart"/>
      <w:r w:rsidRPr="006D3411">
        <w:rPr>
          <w:rFonts w:ascii="Times New Roman" w:hAnsi="Times New Roman" w:cs="Times New Roman"/>
          <w:sz w:val="24"/>
          <w:szCs w:val="24"/>
        </w:rPr>
        <w:t>Giedd</w:t>
      </w:r>
      <w:proofErr w:type="spellEnd"/>
      <w:r w:rsidRPr="006D3411">
        <w:rPr>
          <w:rFonts w:ascii="Times New Roman" w:hAnsi="Times New Roman" w:cs="Times New Roman"/>
          <w:sz w:val="24"/>
          <w:szCs w:val="24"/>
        </w:rPr>
        <w:t>, 2010). Furthermore, the part of the brain that develops fully last is the prefrontal cortex which is responsible for a person’s thoughts, actions, and emotions (</w:t>
      </w:r>
      <w:proofErr w:type="spellStart"/>
      <w:r w:rsidRPr="006D3411">
        <w:rPr>
          <w:rFonts w:ascii="Times New Roman" w:hAnsi="Times New Roman" w:cs="Times New Roman"/>
          <w:sz w:val="24"/>
          <w:szCs w:val="24"/>
        </w:rPr>
        <w:t>Arnsten</w:t>
      </w:r>
      <w:proofErr w:type="spellEnd"/>
      <w:r w:rsidRPr="006D3411">
        <w:rPr>
          <w:rFonts w:ascii="Times New Roman" w:hAnsi="Times New Roman" w:cs="Times New Roman"/>
          <w:sz w:val="24"/>
          <w:szCs w:val="24"/>
        </w:rPr>
        <w:t>, 2009). The pre-frontal cortex being underdeveloped in adolescents could therefore lead to bad decision-making and riskier choices being made (</w:t>
      </w:r>
      <w:proofErr w:type="spellStart"/>
      <w:r w:rsidRPr="006D3411">
        <w:rPr>
          <w:rFonts w:ascii="Times New Roman" w:hAnsi="Times New Roman" w:cs="Times New Roman"/>
          <w:sz w:val="24"/>
          <w:szCs w:val="24"/>
        </w:rPr>
        <w:t>Arnsten</w:t>
      </w:r>
      <w:proofErr w:type="spellEnd"/>
      <w:r w:rsidRPr="006D3411">
        <w:rPr>
          <w:rFonts w:ascii="Times New Roman" w:hAnsi="Times New Roman" w:cs="Times New Roman"/>
          <w:sz w:val="24"/>
          <w:szCs w:val="24"/>
        </w:rPr>
        <w:t xml:space="preserve"> et al., 2012,). Due to the prefrontal cortex not being fully developed in adolescents, this would indicate that the MACR should be raised due to adolescents not fully understanding the consequences of their actions and not being able to fully control their actions and impulses. However, as stated, the prefrontal cortex does not fully develop until around the age of 25, which would not be an acceptable age for the MACR. However, the nature of the development of the pre-frontal cortex is still useful context when looking at whether the MACR should be raised from its current state to around the age of 14. It has also been argued that many adolescents can avoid criminal actions and understand the consequences of their actions, which would contradict the argument that the MACR should be raised due to the brain not being fully developed</w:t>
      </w:r>
      <w:r w:rsidR="00131DF8" w:rsidRPr="006D3411">
        <w:rPr>
          <w:rFonts w:ascii="Times New Roman" w:hAnsi="Times New Roman" w:cs="Times New Roman"/>
          <w:sz w:val="24"/>
          <w:szCs w:val="24"/>
        </w:rPr>
        <w:t xml:space="preserve"> (</w:t>
      </w:r>
      <w:proofErr w:type="spellStart"/>
      <w:r w:rsidR="00131DF8" w:rsidRPr="006D3411">
        <w:rPr>
          <w:rFonts w:ascii="Times New Roman" w:hAnsi="Times New Roman" w:cs="Times New Roman"/>
          <w:sz w:val="24"/>
          <w:szCs w:val="24"/>
        </w:rPr>
        <w:t>Samenow</w:t>
      </w:r>
      <w:proofErr w:type="spellEnd"/>
      <w:r w:rsidR="00131DF8" w:rsidRPr="006D3411">
        <w:rPr>
          <w:rFonts w:ascii="Times New Roman" w:hAnsi="Times New Roman" w:cs="Times New Roman"/>
          <w:sz w:val="24"/>
          <w:szCs w:val="24"/>
        </w:rPr>
        <w:t>, 2013)</w:t>
      </w:r>
      <w:r w:rsidRPr="006D3411">
        <w:rPr>
          <w:rFonts w:ascii="Times New Roman" w:hAnsi="Times New Roman" w:cs="Times New Roman"/>
          <w:sz w:val="24"/>
          <w:szCs w:val="24"/>
        </w:rPr>
        <w:t>. Furthermore, it has been found that a lot of adolescents have a greater ability to be rational than previously thought, with many showing a greater sense of rationality and better decision-making than some adults (Kwak et al., 2015).</w:t>
      </w:r>
    </w:p>
    <w:p w14:paraId="0576C8F3" w14:textId="2C5715EC" w:rsidR="00A10FC1" w:rsidRPr="006D3411" w:rsidRDefault="00A10FC1"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There have also been ethical concerns regarding how much young people understand the processes of being in the criminal justice system regarding being arrested and charged with crimes. </w:t>
      </w:r>
      <w:r w:rsidR="005B378D">
        <w:rPr>
          <w:rFonts w:ascii="Times New Roman" w:hAnsi="Times New Roman" w:cs="Times New Roman"/>
          <w:sz w:val="24"/>
          <w:szCs w:val="24"/>
        </w:rPr>
        <w:t>A study was conducted in which a group of young people were assessed on their knowledge and understanding of the criminal justice system. The study found that the young people that were interviewed had a low knowledge and understanding of the criminal justice system (</w:t>
      </w:r>
      <w:r w:rsidRPr="006D3411">
        <w:rPr>
          <w:rFonts w:ascii="Times New Roman" w:hAnsi="Times New Roman" w:cs="Times New Roman"/>
          <w:sz w:val="24"/>
          <w:szCs w:val="24"/>
        </w:rPr>
        <w:t>Bevan, 2016</w:t>
      </w:r>
      <w:r w:rsidR="005B378D">
        <w:rPr>
          <w:rFonts w:ascii="Times New Roman" w:hAnsi="Times New Roman" w:cs="Times New Roman"/>
          <w:sz w:val="24"/>
          <w:szCs w:val="24"/>
        </w:rPr>
        <w:t>)</w:t>
      </w:r>
      <w:r w:rsidRPr="006D3411">
        <w:rPr>
          <w:rFonts w:ascii="Times New Roman" w:hAnsi="Times New Roman" w:cs="Times New Roman"/>
          <w:sz w:val="24"/>
          <w:szCs w:val="24"/>
        </w:rPr>
        <w:t xml:space="preserve">. Furthermore, due to a lack of knowledge by some young people of the criminal justice system, it is possible that in some instances that a young person could be coerced by law enforcement into admitting to a crime, even if they didn’t do it, due to a lack of knowledge of the criminal justice system and a feeling of intimidation caused by a combination of police officers and unfamiliar surroundings (Redlich &amp; </w:t>
      </w:r>
      <w:proofErr w:type="spellStart"/>
      <w:r w:rsidRPr="006D3411">
        <w:rPr>
          <w:rFonts w:ascii="Times New Roman" w:hAnsi="Times New Roman" w:cs="Times New Roman"/>
          <w:sz w:val="24"/>
          <w:szCs w:val="24"/>
        </w:rPr>
        <w:t>Kassim</w:t>
      </w:r>
      <w:proofErr w:type="spellEnd"/>
      <w:r w:rsidRPr="006D3411">
        <w:rPr>
          <w:rFonts w:ascii="Times New Roman" w:hAnsi="Times New Roman" w:cs="Times New Roman"/>
          <w:sz w:val="24"/>
          <w:szCs w:val="24"/>
        </w:rPr>
        <w:t xml:space="preserve">, 2009). However, Police officers in the US and UK commonly wear body cameras, which would show that an arrest is lawful. Furthermore, during police interviews, the whole interview will be recorded which ensures that no coercion or intimidation of suspects takes place. Moreover, in the UK, a child will be allowed an appropriate adult to sit in with them during interviews </w:t>
      </w:r>
      <w:r w:rsidRPr="006D3411">
        <w:rPr>
          <w:rFonts w:ascii="Times New Roman" w:hAnsi="Times New Roman" w:cs="Times New Roman"/>
          <w:sz w:val="24"/>
          <w:szCs w:val="24"/>
        </w:rPr>
        <w:lastRenderedPageBreak/>
        <w:t>who will ensure that they are treated fairly during the interview. Similarly, there have also been ethical concerns surrounding how much young offenders understand the criminal justice system regarding the courts. In a trial, A child may find the process, or the terminology used by officials confusing and as such, their right to a fair trial may be hindered. However, in the UK, there are specialist courts that deal exclusively with crimes that are committed by adolescents. Youth courts in the UK are designed to be less formal than traditional courts and are also designed specifically to be easier to understand for children (UK Government, 2012).</w:t>
      </w:r>
    </w:p>
    <w:p w14:paraId="49B17B3E" w14:textId="09B2E2CB" w:rsidR="00900470" w:rsidRDefault="00483988" w:rsidP="006D3411">
      <w:pPr>
        <w:spacing w:line="360" w:lineRule="auto"/>
        <w:rPr>
          <w:rFonts w:ascii="Times New Roman" w:hAnsi="Times New Roman" w:cs="Times New Roman"/>
          <w:sz w:val="24"/>
          <w:szCs w:val="24"/>
        </w:rPr>
      </w:pPr>
      <w:bookmarkStart w:id="1" w:name="_Hlk119153526"/>
      <w:r w:rsidRPr="006D3411">
        <w:rPr>
          <w:rFonts w:ascii="Times New Roman" w:hAnsi="Times New Roman" w:cs="Times New Roman"/>
          <w:sz w:val="24"/>
          <w:szCs w:val="24"/>
        </w:rPr>
        <w:t xml:space="preserve">Incarcerating young offenders has also been found to have major detrimental impacts and can impact them for the rest of their lives. Being incarcerated in youth has been linked to having lifelong mental health conditions in adulthood (Barnert et al., 2017). Furthermore, it has been observed that adolescents that have been incarcerated are </w:t>
      </w:r>
      <w:r w:rsidR="006D3411" w:rsidRPr="006D3411">
        <w:rPr>
          <w:rFonts w:ascii="Times New Roman" w:hAnsi="Times New Roman" w:cs="Times New Roman"/>
          <w:sz w:val="24"/>
          <w:szCs w:val="24"/>
        </w:rPr>
        <w:t>two to three</w:t>
      </w:r>
      <w:r w:rsidRPr="006D3411">
        <w:rPr>
          <w:rFonts w:ascii="Times New Roman" w:hAnsi="Times New Roman" w:cs="Times New Roman"/>
          <w:sz w:val="24"/>
          <w:szCs w:val="24"/>
        </w:rPr>
        <w:t xml:space="preserve"> times more likely to commit suicide than </w:t>
      </w:r>
      <w:r w:rsidR="00F323E8" w:rsidRPr="006D3411">
        <w:rPr>
          <w:rFonts w:ascii="Times New Roman" w:hAnsi="Times New Roman" w:cs="Times New Roman"/>
          <w:sz w:val="24"/>
          <w:szCs w:val="24"/>
        </w:rPr>
        <w:t>adolescents</w:t>
      </w:r>
      <w:r w:rsidRPr="006D3411">
        <w:rPr>
          <w:rFonts w:ascii="Times New Roman" w:hAnsi="Times New Roman" w:cs="Times New Roman"/>
          <w:sz w:val="24"/>
          <w:szCs w:val="24"/>
        </w:rPr>
        <w:t xml:space="preserve"> in the general population (</w:t>
      </w:r>
      <w:r w:rsidR="00F323E8" w:rsidRPr="006D3411">
        <w:rPr>
          <w:rFonts w:ascii="Times New Roman" w:hAnsi="Times New Roman" w:cs="Times New Roman"/>
          <w:sz w:val="24"/>
          <w:szCs w:val="24"/>
        </w:rPr>
        <w:t xml:space="preserve">Abram, 2008). </w:t>
      </w:r>
      <w:r w:rsidRPr="006D3411">
        <w:rPr>
          <w:rFonts w:ascii="Times New Roman" w:hAnsi="Times New Roman" w:cs="Times New Roman"/>
          <w:sz w:val="24"/>
          <w:szCs w:val="24"/>
        </w:rPr>
        <w:t>Moreover, you</w:t>
      </w:r>
      <w:r w:rsidR="006D3411">
        <w:rPr>
          <w:rFonts w:ascii="Times New Roman" w:hAnsi="Times New Roman" w:cs="Times New Roman"/>
          <w:sz w:val="24"/>
          <w:szCs w:val="24"/>
        </w:rPr>
        <w:t xml:space="preserve">ng people </w:t>
      </w:r>
      <w:r w:rsidRPr="006D3411">
        <w:rPr>
          <w:rFonts w:ascii="Times New Roman" w:hAnsi="Times New Roman" w:cs="Times New Roman"/>
          <w:sz w:val="24"/>
          <w:szCs w:val="24"/>
        </w:rPr>
        <w:t>that have been incarcerated are much more likely to reoffend in later life and end up incarcerated again</w:t>
      </w:r>
      <w:r w:rsidR="00F323E8" w:rsidRPr="006D3411">
        <w:rPr>
          <w:rFonts w:ascii="Times New Roman" w:hAnsi="Times New Roman" w:cs="Times New Roman"/>
          <w:sz w:val="24"/>
          <w:szCs w:val="24"/>
        </w:rPr>
        <w:t xml:space="preserve"> (</w:t>
      </w:r>
      <w:proofErr w:type="spellStart"/>
      <w:r w:rsidR="00F323E8" w:rsidRPr="006D3411">
        <w:rPr>
          <w:rFonts w:ascii="Times New Roman" w:hAnsi="Times New Roman" w:cs="Times New Roman"/>
          <w:sz w:val="24"/>
          <w:szCs w:val="24"/>
        </w:rPr>
        <w:t>Brame</w:t>
      </w:r>
      <w:proofErr w:type="spellEnd"/>
      <w:r w:rsidR="00F323E8" w:rsidRPr="006D3411">
        <w:rPr>
          <w:rFonts w:ascii="Times New Roman" w:hAnsi="Times New Roman" w:cs="Times New Roman"/>
          <w:sz w:val="24"/>
          <w:szCs w:val="24"/>
        </w:rPr>
        <w:t xml:space="preserve"> et</w:t>
      </w:r>
      <w:r w:rsidR="005B378D">
        <w:rPr>
          <w:rFonts w:ascii="Times New Roman" w:hAnsi="Times New Roman" w:cs="Times New Roman"/>
          <w:sz w:val="24"/>
          <w:szCs w:val="24"/>
        </w:rPr>
        <w:t xml:space="preserve"> al</w:t>
      </w:r>
      <w:r w:rsidR="00F323E8" w:rsidRPr="006D3411">
        <w:rPr>
          <w:rFonts w:ascii="Times New Roman" w:hAnsi="Times New Roman" w:cs="Times New Roman"/>
          <w:sz w:val="24"/>
          <w:szCs w:val="24"/>
        </w:rPr>
        <w:t xml:space="preserve">., 2018). </w:t>
      </w:r>
      <w:r w:rsidRPr="006D3411">
        <w:rPr>
          <w:rFonts w:ascii="Times New Roman" w:hAnsi="Times New Roman" w:cs="Times New Roman"/>
          <w:sz w:val="24"/>
          <w:szCs w:val="24"/>
        </w:rPr>
        <w:t>However, unless serious crimes have been committed, then other steps such as referral orders and youth rehabilitation orders are likely to be taken place before a</w:t>
      </w:r>
      <w:r w:rsidR="00F323E8" w:rsidRPr="006D3411">
        <w:rPr>
          <w:rFonts w:ascii="Times New Roman" w:hAnsi="Times New Roman" w:cs="Times New Roman"/>
          <w:sz w:val="24"/>
          <w:szCs w:val="24"/>
        </w:rPr>
        <w:t xml:space="preserve"> sentencing order is imposed.</w:t>
      </w:r>
      <w:r w:rsidR="00900470">
        <w:rPr>
          <w:rFonts w:ascii="Times New Roman" w:hAnsi="Times New Roman" w:cs="Times New Roman"/>
          <w:sz w:val="24"/>
          <w:szCs w:val="24"/>
        </w:rPr>
        <w:t xml:space="preserve"> </w:t>
      </w:r>
    </w:p>
    <w:p w14:paraId="3A88B107" w14:textId="1F884450" w:rsidR="00900470" w:rsidRDefault="00A77D0F"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There is also evidence to suggest that incarcerating young people is not entirely effective. </w:t>
      </w:r>
      <w:r w:rsidR="00483988" w:rsidRPr="006D3411">
        <w:rPr>
          <w:rFonts w:ascii="Times New Roman" w:hAnsi="Times New Roman" w:cs="Times New Roman"/>
          <w:sz w:val="24"/>
          <w:szCs w:val="24"/>
        </w:rPr>
        <w:t>John Venables, who notoriously murdered James Bulger along with Robert Thompson, has reoffended since he was released from prison for the murder of James Bulger</w:t>
      </w:r>
      <w:r w:rsidRPr="006D3411">
        <w:rPr>
          <w:rFonts w:ascii="Times New Roman" w:hAnsi="Times New Roman" w:cs="Times New Roman"/>
          <w:sz w:val="24"/>
          <w:szCs w:val="24"/>
        </w:rPr>
        <w:t>, but</w:t>
      </w:r>
      <w:r w:rsidR="00483988" w:rsidRPr="006D3411">
        <w:rPr>
          <w:rFonts w:ascii="Times New Roman" w:hAnsi="Times New Roman" w:cs="Times New Roman"/>
          <w:sz w:val="24"/>
          <w:szCs w:val="24"/>
        </w:rPr>
        <w:t xml:space="preserve"> </w:t>
      </w:r>
      <w:r w:rsidRPr="006D3411">
        <w:rPr>
          <w:rFonts w:ascii="Times New Roman" w:hAnsi="Times New Roman" w:cs="Times New Roman"/>
          <w:sz w:val="24"/>
          <w:szCs w:val="24"/>
        </w:rPr>
        <w:t>there is no evidence to suggest that</w:t>
      </w:r>
      <w:r w:rsidR="00483988" w:rsidRPr="006D3411">
        <w:rPr>
          <w:rFonts w:ascii="Times New Roman" w:hAnsi="Times New Roman" w:cs="Times New Roman"/>
          <w:sz w:val="24"/>
          <w:szCs w:val="24"/>
        </w:rPr>
        <w:t xml:space="preserve"> Robert Thompson has</w:t>
      </w:r>
      <w:r w:rsidRPr="006D3411">
        <w:rPr>
          <w:rFonts w:ascii="Times New Roman" w:hAnsi="Times New Roman" w:cs="Times New Roman"/>
          <w:sz w:val="24"/>
          <w:szCs w:val="24"/>
        </w:rPr>
        <w:t xml:space="preserve"> </w:t>
      </w:r>
      <w:r w:rsidR="00483988" w:rsidRPr="006D3411">
        <w:rPr>
          <w:rFonts w:ascii="Times New Roman" w:hAnsi="Times New Roman" w:cs="Times New Roman"/>
          <w:sz w:val="24"/>
          <w:szCs w:val="24"/>
        </w:rPr>
        <w:t xml:space="preserve">reoffended. This would indicate that incarceration is not completely effective </w:t>
      </w:r>
      <w:r w:rsidRPr="006D3411">
        <w:rPr>
          <w:rFonts w:ascii="Times New Roman" w:hAnsi="Times New Roman" w:cs="Times New Roman"/>
          <w:sz w:val="24"/>
          <w:szCs w:val="24"/>
        </w:rPr>
        <w:t>in</w:t>
      </w:r>
      <w:r w:rsidR="00483988" w:rsidRPr="006D3411">
        <w:rPr>
          <w:rFonts w:ascii="Times New Roman" w:hAnsi="Times New Roman" w:cs="Times New Roman"/>
          <w:sz w:val="24"/>
          <w:szCs w:val="24"/>
        </w:rPr>
        <w:t xml:space="preserve"> rehabilitation, e</w:t>
      </w:r>
      <w:r w:rsidRPr="006D3411">
        <w:rPr>
          <w:rFonts w:ascii="Times New Roman" w:hAnsi="Times New Roman" w:cs="Times New Roman"/>
          <w:sz w:val="24"/>
          <w:szCs w:val="24"/>
        </w:rPr>
        <w:t>specially</w:t>
      </w:r>
      <w:r w:rsidR="00483988" w:rsidRPr="006D3411">
        <w:rPr>
          <w:rFonts w:ascii="Times New Roman" w:hAnsi="Times New Roman" w:cs="Times New Roman"/>
          <w:sz w:val="24"/>
          <w:szCs w:val="24"/>
        </w:rPr>
        <w:t xml:space="preserve"> in youth cases</w:t>
      </w:r>
      <w:r w:rsidRPr="006D3411">
        <w:rPr>
          <w:rFonts w:ascii="Times New Roman" w:hAnsi="Times New Roman" w:cs="Times New Roman"/>
          <w:sz w:val="24"/>
          <w:szCs w:val="24"/>
        </w:rPr>
        <w:t xml:space="preserve"> (Green, 2007)</w:t>
      </w:r>
      <w:r w:rsidR="00483988" w:rsidRPr="006D3411">
        <w:rPr>
          <w:rFonts w:ascii="Times New Roman" w:hAnsi="Times New Roman" w:cs="Times New Roman"/>
          <w:sz w:val="24"/>
          <w:szCs w:val="24"/>
        </w:rPr>
        <w:t xml:space="preserve">. Although with cases like Venables and Thompson, not incarcerating them would not be an option due to the seriousness of the crime that was committed by them. Moreover, Young offenders have been found to be more likely to commit offences that can be perceived as “violent” such as thefts, burglaries, and robberies when they have been released from prison (Lotti, 2016). However, young offenders who have </w:t>
      </w:r>
      <w:r w:rsidR="000B0607" w:rsidRPr="006D3411">
        <w:rPr>
          <w:rFonts w:ascii="Times New Roman" w:hAnsi="Times New Roman" w:cs="Times New Roman"/>
          <w:sz w:val="24"/>
          <w:szCs w:val="24"/>
        </w:rPr>
        <w:t xml:space="preserve">been sent to facilities that focus more on rehabilitation are less likely to re-offend again (Lotti, 2016). This would suggest that focus should be on increasing the opportunities for rehabilitation for young offenders rather than </w:t>
      </w:r>
      <w:r w:rsidR="00F323E8" w:rsidRPr="006D3411">
        <w:rPr>
          <w:rFonts w:ascii="Times New Roman" w:hAnsi="Times New Roman" w:cs="Times New Roman"/>
          <w:sz w:val="24"/>
          <w:szCs w:val="24"/>
        </w:rPr>
        <w:t>focusing on harsh punishments.</w:t>
      </w:r>
    </w:p>
    <w:p w14:paraId="0DE62737" w14:textId="51E41E94" w:rsidR="009831BF" w:rsidRPr="006D3411" w:rsidRDefault="009831BF"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In the UK, the number of serious crimes that are committed by young people </w:t>
      </w:r>
      <w:r w:rsidR="00E67453">
        <w:rPr>
          <w:rFonts w:ascii="Times New Roman" w:hAnsi="Times New Roman" w:cs="Times New Roman"/>
          <w:sz w:val="24"/>
          <w:szCs w:val="24"/>
        </w:rPr>
        <w:t>is</w:t>
      </w:r>
      <w:r w:rsidRPr="006D3411">
        <w:rPr>
          <w:rFonts w:ascii="Times New Roman" w:hAnsi="Times New Roman" w:cs="Times New Roman"/>
          <w:sz w:val="24"/>
          <w:szCs w:val="24"/>
        </w:rPr>
        <w:t xml:space="preserve"> low. As such, it has been said that the MACR should be raised, and more focus should be on targeting the causes of the crimes rather than criminalising young people. The number of proven offences </w:t>
      </w:r>
      <w:r w:rsidRPr="006D3411">
        <w:rPr>
          <w:rFonts w:ascii="Times New Roman" w:hAnsi="Times New Roman" w:cs="Times New Roman"/>
          <w:sz w:val="24"/>
          <w:szCs w:val="24"/>
        </w:rPr>
        <w:lastRenderedPageBreak/>
        <w:t>in adolescents in the UK in 2020/2021 was 38,500, which was down from the previous year which is likely due to the COVID restrictions. Of these 38,500 offences, 32% were violent offences. However, violent offences are grouped by a gravity score which groups offences between 1-8 where 1 is the least serious offence and 8 is the most serious offence. Of the 32% of violent offences, only 5% were deemed to be in the more serious bands of 5-8. Moreover, only 0.3% of violent offences committed by young people were deemed to be the most serious band 8 offences (Ministry of Justice, 2022).</w:t>
      </w:r>
      <w:r w:rsidR="00131DF8" w:rsidRPr="006D3411">
        <w:rPr>
          <w:rFonts w:ascii="Times New Roman" w:hAnsi="Times New Roman" w:cs="Times New Roman"/>
          <w:sz w:val="24"/>
          <w:szCs w:val="24"/>
        </w:rPr>
        <w:t xml:space="preserve"> </w:t>
      </w:r>
      <w:r w:rsidRPr="006D3411">
        <w:rPr>
          <w:rFonts w:ascii="Times New Roman" w:hAnsi="Times New Roman" w:cs="Times New Roman"/>
          <w:sz w:val="24"/>
          <w:szCs w:val="24"/>
        </w:rPr>
        <w:t xml:space="preserve">However, it has been argued that although the murder rate among adolescence is low, we </w:t>
      </w:r>
      <w:proofErr w:type="spellStart"/>
      <w:r w:rsidRPr="006D3411">
        <w:rPr>
          <w:rFonts w:ascii="Times New Roman" w:hAnsi="Times New Roman" w:cs="Times New Roman"/>
          <w:sz w:val="24"/>
          <w:szCs w:val="24"/>
        </w:rPr>
        <w:t>can not</w:t>
      </w:r>
      <w:proofErr w:type="spellEnd"/>
      <w:r w:rsidRPr="006D3411">
        <w:rPr>
          <w:rFonts w:ascii="Times New Roman" w:hAnsi="Times New Roman" w:cs="Times New Roman"/>
          <w:sz w:val="24"/>
          <w:szCs w:val="24"/>
        </w:rPr>
        <w:t xml:space="preserve"> ignore the volumes of adolescence that carry weaponry such as knives. Individuals and gangs that carry knives have almost become an epidemic in the UK, and many young individuals almost see carrying weaponry as a way of life. There were 3500 youth knife or weaponry offences in the year ending March 2021, which was a decrease of 21% when compared to the previous year (Ministry of Justice, 2021). However, this is very likely due to the covid restrictions that were in place at the time, and I would hypothesize that the percentage of youth-related knife and weaponry offences will return to the figure that it was pre-covid or even increase. Furthermore, through the introduction of an increased MACR in England and Wales, Young people could be incentivised to commit more serious offences with knives, such as murder, due to there being no consequences for their actions. </w:t>
      </w:r>
    </w:p>
    <w:p w14:paraId="67FE3D73" w14:textId="77777777" w:rsidR="00900470" w:rsidRDefault="007525C5"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The emotionally immature nature of adolescents has been suggested by some to be reason enough to raise the MACR. Children are not emotionally mature, especially at an age such as 10 years, and do not mature emotionally until beyond the age of 18 (Icenogle et al., 2019). At around 10 years old, children will begin to show more independence, which can include participating in risky behaviour to explore previously unknown emotions (Malik &amp; Marwaha, 2022). </w:t>
      </w:r>
      <w:r w:rsidR="00817DA4" w:rsidRPr="006D3411">
        <w:rPr>
          <w:rFonts w:ascii="Times New Roman" w:hAnsi="Times New Roman" w:cs="Times New Roman"/>
          <w:sz w:val="24"/>
          <w:szCs w:val="24"/>
        </w:rPr>
        <w:t xml:space="preserve">Due to this, a lack of emotional maturity can cause an adolescent to partake in criminal behaviour due to the impulsivity and recklessness caused by being emotionally immature (O’Rourke, 2020). </w:t>
      </w:r>
      <w:r w:rsidRPr="006D3411">
        <w:rPr>
          <w:rFonts w:ascii="Times New Roman" w:hAnsi="Times New Roman" w:cs="Times New Roman"/>
          <w:sz w:val="24"/>
          <w:szCs w:val="24"/>
        </w:rPr>
        <w:t>Furthermore, the lack of emotional maturity in adolescence has been seen to play a vital role in juvenile crimes and is greatly significant in understanding the motives and intentions of young offenders (</w:t>
      </w:r>
      <w:proofErr w:type="spellStart"/>
      <w:r w:rsidRPr="006D3411">
        <w:rPr>
          <w:rFonts w:ascii="Times New Roman" w:hAnsi="Times New Roman" w:cs="Times New Roman"/>
          <w:sz w:val="24"/>
          <w:szCs w:val="24"/>
        </w:rPr>
        <w:t>Durea</w:t>
      </w:r>
      <w:proofErr w:type="spellEnd"/>
      <w:r w:rsidRPr="006D3411">
        <w:rPr>
          <w:rFonts w:ascii="Times New Roman" w:hAnsi="Times New Roman" w:cs="Times New Roman"/>
          <w:sz w:val="24"/>
          <w:szCs w:val="24"/>
        </w:rPr>
        <w:t>, 1937). Moreover, a study of 60 young offenders</w:t>
      </w:r>
      <w:r w:rsidR="00131DF8" w:rsidRPr="006D3411">
        <w:rPr>
          <w:rFonts w:ascii="Times New Roman" w:hAnsi="Times New Roman" w:cs="Times New Roman"/>
          <w:sz w:val="24"/>
          <w:szCs w:val="24"/>
        </w:rPr>
        <w:t xml:space="preserve"> was conducted and it was </w:t>
      </w:r>
      <w:r w:rsidRPr="006D3411">
        <w:rPr>
          <w:rFonts w:ascii="Times New Roman" w:hAnsi="Times New Roman" w:cs="Times New Roman"/>
          <w:sz w:val="24"/>
          <w:szCs w:val="24"/>
        </w:rPr>
        <w:t>found that as the emotional maturity of a child increases, there will be an overall reduction in crime in that individual</w:t>
      </w:r>
      <w:r w:rsidR="00131DF8" w:rsidRPr="006D3411">
        <w:rPr>
          <w:rFonts w:ascii="Times New Roman" w:hAnsi="Times New Roman" w:cs="Times New Roman"/>
          <w:sz w:val="24"/>
          <w:szCs w:val="24"/>
        </w:rPr>
        <w:t xml:space="preserve"> (Singh &amp; </w:t>
      </w:r>
      <w:proofErr w:type="spellStart"/>
      <w:r w:rsidR="00131DF8" w:rsidRPr="006D3411">
        <w:rPr>
          <w:rFonts w:ascii="Times New Roman" w:hAnsi="Times New Roman" w:cs="Times New Roman"/>
          <w:sz w:val="24"/>
          <w:szCs w:val="24"/>
        </w:rPr>
        <w:t>Jahanara</w:t>
      </w:r>
      <w:proofErr w:type="spellEnd"/>
      <w:r w:rsidR="00131DF8" w:rsidRPr="006D3411">
        <w:rPr>
          <w:rFonts w:ascii="Times New Roman" w:hAnsi="Times New Roman" w:cs="Times New Roman"/>
          <w:sz w:val="24"/>
          <w:szCs w:val="24"/>
        </w:rPr>
        <w:t xml:space="preserve">, 2018). </w:t>
      </w:r>
    </w:p>
    <w:p w14:paraId="3110175D" w14:textId="0F6D1D00" w:rsidR="00817DA4" w:rsidRPr="006D3411" w:rsidRDefault="007525C5"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However, the argument has been made that little emotional maturity is required to discern right from wrong and as such the argument that being emotionally mature can cause a person to commit a crime is flawed (</w:t>
      </w:r>
      <w:proofErr w:type="spellStart"/>
      <w:r w:rsidR="00817DA4" w:rsidRPr="006D3411">
        <w:rPr>
          <w:rFonts w:ascii="Times New Roman" w:hAnsi="Times New Roman" w:cs="Times New Roman"/>
          <w:sz w:val="24"/>
          <w:szCs w:val="24"/>
        </w:rPr>
        <w:t>Samenow</w:t>
      </w:r>
      <w:proofErr w:type="spellEnd"/>
      <w:r w:rsidR="00817DA4" w:rsidRPr="006D3411">
        <w:rPr>
          <w:rFonts w:ascii="Times New Roman" w:hAnsi="Times New Roman" w:cs="Times New Roman"/>
          <w:sz w:val="24"/>
          <w:szCs w:val="24"/>
        </w:rPr>
        <w:t>, 2013)</w:t>
      </w:r>
      <w:r w:rsidRPr="006D3411">
        <w:rPr>
          <w:rFonts w:ascii="Times New Roman" w:hAnsi="Times New Roman" w:cs="Times New Roman"/>
          <w:sz w:val="24"/>
          <w:szCs w:val="24"/>
        </w:rPr>
        <w:t xml:space="preserve">. Moreover, it has also been argued that there is </w:t>
      </w:r>
      <w:r w:rsidRPr="006D3411">
        <w:rPr>
          <w:rFonts w:ascii="Times New Roman" w:hAnsi="Times New Roman" w:cs="Times New Roman"/>
          <w:sz w:val="24"/>
          <w:szCs w:val="24"/>
        </w:rPr>
        <w:lastRenderedPageBreak/>
        <w:t>very little, if any, scientific evidence to suggest that emotional immaturity is in any way linked to criminal conduct in adolescence (</w:t>
      </w:r>
      <w:proofErr w:type="spellStart"/>
      <w:r w:rsidR="00817DA4" w:rsidRPr="006D3411">
        <w:rPr>
          <w:rFonts w:ascii="Times New Roman" w:hAnsi="Times New Roman" w:cs="Times New Roman"/>
          <w:sz w:val="24"/>
          <w:szCs w:val="24"/>
        </w:rPr>
        <w:t>Samenow</w:t>
      </w:r>
      <w:proofErr w:type="spellEnd"/>
      <w:r w:rsidR="00817DA4" w:rsidRPr="006D3411">
        <w:rPr>
          <w:rFonts w:ascii="Times New Roman" w:hAnsi="Times New Roman" w:cs="Times New Roman"/>
          <w:sz w:val="24"/>
          <w:szCs w:val="24"/>
        </w:rPr>
        <w:t>, 2013</w:t>
      </w:r>
      <w:r w:rsidRPr="006D3411">
        <w:rPr>
          <w:rFonts w:ascii="Times New Roman" w:hAnsi="Times New Roman" w:cs="Times New Roman"/>
          <w:sz w:val="24"/>
          <w:szCs w:val="24"/>
        </w:rPr>
        <w:t xml:space="preserve">). </w:t>
      </w:r>
      <w:r w:rsidR="006D3411">
        <w:rPr>
          <w:rFonts w:ascii="Times New Roman" w:hAnsi="Times New Roman" w:cs="Times New Roman"/>
          <w:sz w:val="24"/>
          <w:szCs w:val="24"/>
        </w:rPr>
        <w:t>Furthermore, t</w:t>
      </w:r>
      <w:r w:rsidRPr="006D3411">
        <w:rPr>
          <w:rFonts w:ascii="Times New Roman" w:hAnsi="Times New Roman" w:cs="Times New Roman"/>
          <w:sz w:val="24"/>
          <w:szCs w:val="24"/>
        </w:rPr>
        <w:t>he argument of being “Emotionally immature” has often also been overused as a defence strategy for individuals accused of crimes to try to escape punishment for their actions. In the case of 14-year-old Bobby Franks, who was murdered by Leopold and Loeb, their defence attorney argued they were emotionally immature. Leopold and Loeb were 18 and 19 when they murdered Franks and poured acid over his body after the murder to conceal the crime. The age of the perpetrators and the concealment of the crime, indicate that they were emotionally mature enough to know the severity and wrongfulness of their actions, but did it anyway (</w:t>
      </w:r>
      <w:proofErr w:type="spellStart"/>
      <w:r w:rsidR="00E51B38" w:rsidRPr="006D3411">
        <w:rPr>
          <w:rFonts w:ascii="Times New Roman" w:hAnsi="Times New Roman" w:cs="Times New Roman"/>
          <w:sz w:val="24"/>
          <w:szCs w:val="24"/>
        </w:rPr>
        <w:t>Fiorini</w:t>
      </w:r>
      <w:proofErr w:type="spellEnd"/>
      <w:r w:rsidR="00E51B38" w:rsidRPr="006D3411">
        <w:rPr>
          <w:rFonts w:ascii="Times New Roman" w:hAnsi="Times New Roman" w:cs="Times New Roman"/>
          <w:sz w:val="24"/>
          <w:szCs w:val="24"/>
        </w:rPr>
        <w:t>, 2005</w:t>
      </w:r>
      <w:r w:rsidRPr="006D3411">
        <w:rPr>
          <w:rFonts w:ascii="Times New Roman" w:hAnsi="Times New Roman" w:cs="Times New Roman"/>
          <w:sz w:val="24"/>
          <w:szCs w:val="24"/>
        </w:rPr>
        <w:t>).</w:t>
      </w:r>
    </w:p>
    <w:p w14:paraId="18C2F2FA" w14:textId="77777777" w:rsidR="00633E8E" w:rsidRDefault="00D04C93"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Being convicted of a crime and as such being labelled as a criminal at a young age is likely to have detrimental impacts on the rest of that person’s life. Being convicted of a crime at a young age can lead to a person withdrawing into themselves and increase the likelihood that they will commit further crimes (Liberman et al, 2014).  Those who have been labelled as a criminal at an early age have also found that they are more likely to be treated with indifference</w:t>
      </w:r>
      <w:r w:rsidR="009600DA" w:rsidRPr="006D3411">
        <w:rPr>
          <w:rFonts w:ascii="Times New Roman" w:hAnsi="Times New Roman" w:cs="Times New Roman"/>
          <w:sz w:val="24"/>
          <w:szCs w:val="24"/>
        </w:rPr>
        <w:t xml:space="preserve">. </w:t>
      </w:r>
      <w:r w:rsidRPr="006D3411">
        <w:rPr>
          <w:rFonts w:ascii="Times New Roman" w:hAnsi="Times New Roman" w:cs="Times New Roman"/>
          <w:sz w:val="24"/>
          <w:szCs w:val="24"/>
        </w:rPr>
        <w:t>A study was conducted on the reaction to labels by young offenders and it was found that young offenders react to labels by family, police, and teachers with indifference and only place importance on the labels that are placed on them by their friends (</w:t>
      </w:r>
      <w:proofErr w:type="spellStart"/>
      <w:r w:rsidRPr="006D3411">
        <w:rPr>
          <w:rFonts w:ascii="Times New Roman" w:hAnsi="Times New Roman" w:cs="Times New Roman"/>
          <w:sz w:val="24"/>
          <w:szCs w:val="24"/>
        </w:rPr>
        <w:t>Morash</w:t>
      </w:r>
      <w:proofErr w:type="spellEnd"/>
      <w:r w:rsidRPr="006D3411">
        <w:rPr>
          <w:rFonts w:ascii="Times New Roman" w:hAnsi="Times New Roman" w:cs="Times New Roman"/>
          <w:sz w:val="24"/>
          <w:szCs w:val="24"/>
        </w:rPr>
        <w:t>, 1982). Being labelled as a criminal at a young age is also likely to affect employment prospects and push an individual back into crime as a way of making a living (</w:t>
      </w:r>
      <w:r w:rsidR="00181988" w:rsidRPr="006D3411">
        <w:rPr>
          <w:rFonts w:ascii="Times New Roman" w:hAnsi="Times New Roman" w:cs="Times New Roman"/>
          <w:sz w:val="24"/>
          <w:szCs w:val="24"/>
        </w:rPr>
        <w:t>Davies &amp; Tanner, 2008)</w:t>
      </w:r>
      <w:r w:rsidRPr="006D3411">
        <w:rPr>
          <w:rFonts w:ascii="Times New Roman" w:hAnsi="Times New Roman" w:cs="Times New Roman"/>
          <w:sz w:val="24"/>
          <w:szCs w:val="24"/>
        </w:rPr>
        <w:t>. Moreover, the child of someone who has been labelled as a criminal has a much higher likelihood of being a criminal themselves due to the stigma that will be associated with them due to the actions of their parents (</w:t>
      </w:r>
      <w:proofErr w:type="spellStart"/>
      <w:r w:rsidRPr="006D3411">
        <w:rPr>
          <w:rFonts w:ascii="Times New Roman" w:hAnsi="Times New Roman" w:cs="Times New Roman"/>
          <w:sz w:val="24"/>
          <w:szCs w:val="24"/>
        </w:rPr>
        <w:t>Besemer</w:t>
      </w:r>
      <w:proofErr w:type="spellEnd"/>
      <w:r w:rsidRPr="006D3411">
        <w:rPr>
          <w:rFonts w:ascii="Times New Roman" w:hAnsi="Times New Roman" w:cs="Times New Roman"/>
          <w:sz w:val="24"/>
          <w:szCs w:val="24"/>
        </w:rPr>
        <w:t xml:space="preserve"> et al., 2017). </w:t>
      </w:r>
    </w:p>
    <w:p w14:paraId="5A43ACE5" w14:textId="1E3956C8" w:rsidR="00B30060" w:rsidRPr="006D3411" w:rsidRDefault="00D04C93"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The idea that criminal convictions committed in youth can stay with a person the rest of their life along with the stigma of being a criminal can also be explained by the criminological theory of labelling theory. Labelling theory states that if someone associates with criminals, then they themselves can be labelled as a criminal due to their associates. In the context of juvenile crimes, if a person commits a crime as a child, then the stigma and association of being a criminal may then follow them into adulthood (</w:t>
      </w:r>
      <w:proofErr w:type="spellStart"/>
      <w:r w:rsidRPr="006D3411">
        <w:rPr>
          <w:rFonts w:ascii="Times New Roman" w:hAnsi="Times New Roman" w:cs="Times New Roman"/>
          <w:sz w:val="24"/>
          <w:szCs w:val="24"/>
        </w:rPr>
        <w:t>Abrah</w:t>
      </w:r>
      <w:proofErr w:type="spellEnd"/>
      <w:r w:rsidRPr="006D3411">
        <w:rPr>
          <w:rFonts w:ascii="Times New Roman" w:hAnsi="Times New Roman" w:cs="Times New Roman"/>
          <w:sz w:val="24"/>
          <w:szCs w:val="24"/>
        </w:rPr>
        <w:t xml:space="preserve">, 2018 &amp; </w:t>
      </w:r>
      <w:proofErr w:type="spellStart"/>
      <w:r w:rsidRPr="006D3411">
        <w:rPr>
          <w:rFonts w:ascii="Times New Roman" w:hAnsi="Times New Roman" w:cs="Times New Roman"/>
          <w:sz w:val="24"/>
          <w:szCs w:val="24"/>
        </w:rPr>
        <w:t>Creaney</w:t>
      </w:r>
      <w:proofErr w:type="spellEnd"/>
      <w:r w:rsidRPr="006D3411">
        <w:rPr>
          <w:rFonts w:ascii="Times New Roman" w:hAnsi="Times New Roman" w:cs="Times New Roman"/>
          <w:sz w:val="24"/>
          <w:szCs w:val="24"/>
        </w:rPr>
        <w:t xml:space="preserve">, 2012). However, there are many people who have committed crimes in childhood and have managed to lose the stigma and labels assigned to them by their childhood crimes and have managed to find successful employment in adulthood and have not committed further crimes. Furthermore, there has been a general lack of evidence of labelling theory and whether being </w:t>
      </w:r>
      <w:r w:rsidRPr="006D3411">
        <w:rPr>
          <w:rFonts w:ascii="Times New Roman" w:hAnsi="Times New Roman" w:cs="Times New Roman"/>
          <w:sz w:val="24"/>
          <w:szCs w:val="24"/>
        </w:rPr>
        <w:lastRenderedPageBreak/>
        <w:t>labelled as a criminal does lead a person to commit more crimes (</w:t>
      </w:r>
      <w:proofErr w:type="spellStart"/>
      <w:r w:rsidRPr="006D3411">
        <w:rPr>
          <w:rFonts w:ascii="Times New Roman" w:hAnsi="Times New Roman" w:cs="Times New Roman"/>
          <w:sz w:val="24"/>
          <w:szCs w:val="24"/>
        </w:rPr>
        <w:t>Petrunik</w:t>
      </w:r>
      <w:proofErr w:type="spellEnd"/>
      <w:r w:rsidRPr="006D3411">
        <w:rPr>
          <w:rFonts w:ascii="Times New Roman" w:hAnsi="Times New Roman" w:cs="Times New Roman"/>
          <w:sz w:val="24"/>
          <w:szCs w:val="24"/>
        </w:rPr>
        <w:t>, 1980). However, with there being a severe lack of employability and prospects for ex-cons, it could be argued that being pushed back into crime is inevitable for that individual to survive</w:t>
      </w:r>
      <w:r w:rsidR="004566E5" w:rsidRPr="006D3411">
        <w:rPr>
          <w:rFonts w:ascii="Times New Roman" w:hAnsi="Times New Roman" w:cs="Times New Roman"/>
          <w:sz w:val="24"/>
          <w:szCs w:val="24"/>
        </w:rPr>
        <w:t xml:space="preserve">. </w:t>
      </w:r>
    </w:p>
    <w:p w14:paraId="49D24E58" w14:textId="433B7A39" w:rsidR="007214B8" w:rsidRPr="006D3411" w:rsidRDefault="009D7F46" w:rsidP="006D3411">
      <w:pPr>
        <w:spacing w:line="360" w:lineRule="auto"/>
        <w:rPr>
          <w:rFonts w:ascii="Times New Roman" w:hAnsi="Times New Roman" w:cs="Times New Roman"/>
          <w:sz w:val="24"/>
          <w:szCs w:val="24"/>
        </w:rPr>
      </w:pPr>
      <w:r w:rsidRPr="006D3411">
        <w:rPr>
          <w:rFonts w:ascii="Times New Roman" w:hAnsi="Times New Roman" w:cs="Times New Roman"/>
          <w:sz w:val="24"/>
          <w:szCs w:val="24"/>
        </w:rPr>
        <w:t xml:space="preserve">In conclusion, </w:t>
      </w:r>
      <w:r w:rsidR="007B4706" w:rsidRPr="006D3411">
        <w:rPr>
          <w:rFonts w:ascii="Times New Roman" w:hAnsi="Times New Roman" w:cs="Times New Roman"/>
          <w:sz w:val="24"/>
          <w:szCs w:val="24"/>
        </w:rPr>
        <w:t xml:space="preserve">although there are clear concerns regarding an increase in the MACR in England and Wales, the evidence to support an increase in the MACR outweighs the negatives associated with it. </w:t>
      </w:r>
      <w:r w:rsidR="007214B8" w:rsidRPr="006D3411">
        <w:rPr>
          <w:rFonts w:ascii="Times New Roman" w:hAnsi="Times New Roman" w:cs="Times New Roman"/>
          <w:sz w:val="24"/>
          <w:szCs w:val="24"/>
        </w:rPr>
        <w:t xml:space="preserve">An increase in the MACR in England and Wales would work to help us catch up to the rest of Europe and further protect the youth of our nation. Furthermore, more emphasis should be placed on rehabilitation rather than harsh punishments for juvenile offenders, to ensure that reoffending does not take place. </w:t>
      </w:r>
    </w:p>
    <w:p w14:paraId="3B02ED03" w14:textId="77777777" w:rsidR="007214B8" w:rsidRPr="006D3411" w:rsidRDefault="007214B8" w:rsidP="00BE48B9">
      <w:pPr>
        <w:rPr>
          <w:rFonts w:ascii="Times New Roman" w:hAnsi="Times New Roman" w:cs="Times New Roman"/>
        </w:rPr>
      </w:pPr>
    </w:p>
    <w:p w14:paraId="5A2B2976" w14:textId="6697D2DE" w:rsidR="009D7F46" w:rsidRDefault="009D7F46" w:rsidP="00BE48B9"/>
    <w:p w14:paraId="2E8850B1" w14:textId="77777777" w:rsidR="00D566A3" w:rsidRDefault="00D566A3" w:rsidP="00BE48B9"/>
    <w:bookmarkEnd w:id="1"/>
    <w:p w14:paraId="3F07E352" w14:textId="09F01CC4" w:rsidR="006D3411" w:rsidRDefault="006D3411"/>
    <w:p w14:paraId="5B8C4AAB" w14:textId="30195631" w:rsidR="00633E8E" w:rsidRDefault="00633E8E"/>
    <w:p w14:paraId="570C67FF" w14:textId="11FE8572" w:rsidR="00633E8E" w:rsidRDefault="00633E8E"/>
    <w:p w14:paraId="6C5217CA" w14:textId="24679520" w:rsidR="00633E8E" w:rsidRDefault="00633E8E"/>
    <w:p w14:paraId="34D0A01A" w14:textId="429AD71E" w:rsidR="00633E8E" w:rsidRDefault="00633E8E"/>
    <w:p w14:paraId="493B734A" w14:textId="08C2AC1D" w:rsidR="00633E8E" w:rsidRDefault="00633E8E"/>
    <w:p w14:paraId="2F5179ED" w14:textId="63BF4513" w:rsidR="00633E8E" w:rsidRDefault="00633E8E"/>
    <w:p w14:paraId="3BC9CAC9" w14:textId="4775558A" w:rsidR="00633E8E" w:rsidRDefault="00633E8E"/>
    <w:p w14:paraId="7B5F64C6" w14:textId="15A9F160" w:rsidR="00633E8E" w:rsidRDefault="00633E8E"/>
    <w:p w14:paraId="339DA3A7" w14:textId="419C04DA" w:rsidR="00633E8E" w:rsidRDefault="00633E8E"/>
    <w:p w14:paraId="1972E81A" w14:textId="683EFD2B" w:rsidR="00633E8E" w:rsidRDefault="00633E8E"/>
    <w:p w14:paraId="53833EA6" w14:textId="6D0752F3" w:rsidR="00633E8E" w:rsidRDefault="00633E8E"/>
    <w:p w14:paraId="4D061CA7" w14:textId="7E860D8D" w:rsidR="00633E8E" w:rsidRDefault="00633E8E"/>
    <w:p w14:paraId="77C2E716" w14:textId="0B28236B" w:rsidR="00633E8E" w:rsidRDefault="00633E8E"/>
    <w:p w14:paraId="1DE36D0E" w14:textId="38DB79DE" w:rsidR="00633E8E" w:rsidRDefault="00633E8E"/>
    <w:p w14:paraId="56DF13F0" w14:textId="470CB34E" w:rsidR="00633E8E" w:rsidRDefault="00633E8E"/>
    <w:p w14:paraId="4D479E5D" w14:textId="4F932642" w:rsidR="00633E8E" w:rsidRDefault="00633E8E"/>
    <w:p w14:paraId="5B2F8EF6" w14:textId="4A8C5D2A" w:rsidR="00633E8E" w:rsidRDefault="00633E8E"/>
    <w:p w14:paraId="05DF0062" w14:textId="571E6733" w:rsidR="00633E8E" w:rsidRDefault="00633E8E"/>
    <w:p w14:paraId="0676C8D9" w14:textId="1EE09AF8" w:rsidR="002C11EF" w:rsidRDefault="002C11EF"/>
    <w:p w14:paraId="29A5EA78" w14:textId="5D20D748" w:rsidR="00801A8A" w:rsidRDefault="00801A8A"/>
    <w:p w14:paraId="4FEFCF41" w14:textId="77777777" w:rsidR="00801A8A" w:rsidRDefault="00801A8A"/>
    <w:p w14:paraId="1FCDF130"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Reference list </w:t>
      </w:r>
    </w:p>
    <w:p w14:paraId="3AAA7AD5"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Abrah</w:t>
      </w:r>
      <w:proofErr w:type="spellEnd"/>
      <w:r w:rsidRPr="00801A8A">
        <w:rPr>
          <w:rFonts w:ascii="Times New Roman" w:hAnsi="Times New Roman" w:cs="Times New Roman"/>
          <w:sz w:val="24"/>
          <w:szCs w:val="24"/>
        </w:rPr>
        <w:t>, P.B. (2018) “</w:t>
      </w:r>
      <w:proofErr w:type="spellStart"/>
      <w:r w:rsidRPr="00801A8A">
        <w:rPr>
          <w:rFonts w:ascii="Times New Roman" w:hAnsi="Times New Roman" w:cs="Times New Roman"/>
          <w:sz w:val="24"/>
          <w:szCs w:val="24"/>
        </w:rPr>
        <w:t>Labeling</w:t>
      </w:r>
      <w:proofErr w:type="spellEnd"/>
      <w:r w:rsidRPr="00801A8A">
        <w:rPr>
          <w:rFonts w:ascii="Times New Roman" w:hAnsi="Times New Roman" w:cs="Times New Roman"/>
          <w:sz w:val="24"/>
          <w:szCs w:val="24"/>
        </w:rPr>
        <w:t xml:space="preserve"> theory and life stories of juvenile delinquents transitioning into adulthood,” International Journal of Offender Therapy and Comparative Criminology, 63(2), pp. 179–197. Available at: https://doi.org/10.1177/0306624x18787303.</w:t>
      </w:r>
    </w:p>
    <w:p w14:paraId="3937004A"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Abram K. et al. (2008) “Suicidal ideation and </w:t>
      </w:r>
      <w:proofErr w:type="spellStart"/>
      <w:r w:rsidRPr="00801A8A">
        <w:rPr>
          <w:rFonts w:ascii="Times New Roman" w:hAnsi="Times New Roman" w:cs="Times New Roman"/>
          <w:sz w:val="24"/>
          <w:szCs w:val="24"/>
        </w:rPr>
        <w:t>behaviors</w:t>
      </w:r>
      <w:proofErr w:type="spellEnd"/>
      <w:r w:rsidRPr="00801A8A">
        <w:rPr>
          <w:rFonts w:ascii="Times New Roman" w:hAnsi="Times New Roman" w:cs="Times New Roman"/>
          <w:sz w:val="24"/>
          <w:szCs w:val="24"/>
        </w:rPr>
        <w:t xml:space="preserve"> among youths in juvenile detention,” Journal of the American Academy of Child &amp; Adolescent Psychiatry, 47(3), pp. 291–300. Available at: https://doi.org/10.1097/chi.0b013e318160b3ce.</w:t>
      </w:r>
    </w:p>
    <w:p w14:paraId="0E12F898"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Abramovaite</w:t>
      </w:r>
      <w:proofErr w:type="spellEnd"/>
      <w:r w:rsidRPr="00801A8A">
        <w:rPr>
          <w:rFonts w:ascii="Times New Roman" w:hAnsi="Times New Roman" w:cs="Times New Roman"/>
          <w:sz w:val="24"/>
          <w:szCs w:val="24"/>
        </w:rPr>
        <w:t>, J. et al. (2022) “Classical deterrence theory revisited: An empirical analysis of police force areas in England and Wales,” European Journal of Criminology. Available at: https://doi.org/10.1177/14773708211072415.</w:t>
      </w:r>
    </w:p>
    <w:p w14:paraId="08D78D4E"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Arnsten</w:t>
      </w:r>
      <w:proofErr w:type="spellEnd"/>
      <w:r w:rsidRPr="00801A8A">
        <w:rPr>
          <w:rFonts w:ascii="Times New Roman" w:hAnsi="Times New Roman" w:cs="Times New Roman"/>
          <w:sz w:val="24"/>
          <w:szCs w:val="24"/>
        </w:rPr>
        <w:t xml:space="preserve">, A., </w:t>
      </w:r>
      <w:proofErr w:type="spellStart"/>
      <w:r w:rsidRPr="00801A8A">
        <w:rPr>
          <w:rFonts w:ascii="Times New Roman" w:hAnsi="Times New Roman" w:cs="Times New Roman"/>
          <w:sz w:val="24"/>
          <w:szCs w:val="24"/>
        </w:rPr>
        <w:t>Mazure</w:t>
      </w:r>
      <w:proofErr w:type="spellEnd"/>
      <w:r w:rsidRPr="00801A8A">
        <w:rPr>
          <w:rFonts w:ascii="Times New Roman" w:hAnsi="Times New Roman" w:cs="Times New Roman"/>
          <w:sz w:val="24"/>
          <w:szCs w:val="24"/>
        </w:rPr>
        <w:t xml:space="preserve">, C.M. and Sinha, R. (2012) “This is your brain in Meltdown,” Scientific American, 306(4), pp. 48–53. Available at: https://doi.org/10.1038/scientificamerican0412-48. </w:t>
      </w:r>
    </w:p>
    <w:p w14:paraId="505491A6"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Arnsten</w:t>
      </w:r>
      <w:proofErr w:type="spellEnd"/>
      <w:r w:rsidRPr="00801A8A">
        <w:rPr>
          <w:rFonts w:ascii="Times New Roman" w:hAnsi="Times New Roman" w:cs="Times New Roman"/>
          <w:sz w:val="24"/>
          <w:szCs w:val="24"/>
        </w:rPr>
        <w:t xml:space="preserve">, A.F. (2009) “Stress signalling pathways that impair prefrontal cortex structure and function,” Nature Reviews Neuroscience, 10(6), pp. 410–422. Available at: https://doi.org/10.1038/nrn2648. </w:t>
      </w:r>
    </w:p>
    <w:p w14:paraId="57645C81"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Bandalli</w:t>
      </w:r>
      <w:proofErr w:type="spellEnd"/>
      <w:r w:rsidRPr="00801A8A">
        <w:rPr>
          <w:rFonts w:ascii="Times New Roman" w:hAnsi="Times New Roman" w:cs="Times New Roman"/>
          <w:sz w:val="24"/>
          <w:szCs w:val="24"/>
        </w:rPr>
        <w:t xml:space="preserve">, S. (1998) “Abolition of the presumption of </w:t>
      </w:r>
      <w:proofErr w:type="spellStart"/>
      <w:r w:rsidRPr="00801A8A">
        <w:rPr>
          <w:rFonts w:ascii="Times New Roman" w:hAnsi="Times New Roman" w:cs="Times New Roman"/>
          <w:sz w:val="24"/>
          <w:szCs w:val="24"/>
        </w:rPr>
        <w:t>doli</w:t>
      </w:r>
      <w:proofErr w:type="spellEnd"/>
      <w:r w:rsidRPr="00801A8A">
        <w:rPr>
          <w:rFonts w:ascii="Times New Roman" w:hAnsi="Times New Roman" w:cs="Times New Roman"/>
          <w:sz w:val="24"/>
          <w:szCs w:val="24"/>
        </w:rPr>
        <w:t xml:space="preserve"> incapax and the criminalisation of children,” The Howard Journal of Criminal Justice, 37(2), pp. 114–123. Available at: https://doi.org/10.1111/1468-2311.00084.</w:t>
      </w:r>
    </w:p>
    <w:p w14:paraId="403D9A7A"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Bateman, T. (2012) “Criminalising children for no good </w:t>
      </w:r>
      <w:proofErr w:type="spellStart"/>
      <w:proofErr w:type="gramStart"/>
      <w:r w:rsidRPr="00801A8A">
        <w:rPr>
          <w:rFonts w:ascii="Times New Roman" w:hAnsi="Times New Roman" w:cs="Times New Roman"/>
          <w:sz w:val="24"/>
          <w:szCs w:val="24"/>
        </w:rPr>
        <w:t>purpose:The</w:t>
      </w:r>
      <w:proofErr w:type="spellEnd"/>
      <w:proofErr w:type="gramEnd"/>
      <w:r w:rsidRPr="00801A8A">
        <w:rPr>
          <w:rFonts w:ascii="Times New Roman" w:hAnsi="Times New Roman" w:cs="Times New Roman"/>
          <w:sz w:val="24"/>
          <w:szCs w:val="24"/>
        </w:rPr>
        <w:t xml:space="preserve"> age of criminal responsibility in England and Wales”. NAYJ. Available at: https://thenayj.org.uk/wp-content/uploads/2015/06/2012-The-Age-of-Criminal-responsibility.pdf (Accessed: November 3, 2022)</w:t>
      </w:r>
    </w:p>
    <w:p w14:paraId="165C1D74"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Besemer</w:t>
      </w:r>
      <w:proofErr w:type="spellEnd"/>
      <w:r w:rsidRPr="00801A8A">
        <w:rPr>
          <w:rFonts w:ascii="Times New Roman" w:hAnsi="Times New Roman" w:cs="Times New Roman"/>
          <w:sz w:val="24"/>
          <w:szCs w:val="24"/>
        </w:rPr>
        <w:t xml:space="preserve">, S., Farrington, D.P. and </w:t>
      </w:r>
      <w:proofErr w:type="spellStart"/>
      <w:r w:rsidRPr="00801A8A">
        <w:rPr>
          <w:rFonts w:ascii="Times New Roman" w:hAnsi="Times New Roman" w:cs="Times New Roman"/>
          <w:sz w:val="24"/>
          <w:szCs w:val="24"/>
        </w:rPr>
        <w:t>Bijleveld</w:t>
      </w:r>
      <w:proofErr w:type="spellEnd"/>
      <w:r w:rsidRPr="00801A8A">
        <w:rPr>
          <w:rFonts w:ascii="Times New Roman" w:hAnsi="Times New Roman" w:cs="Times New Roman"/>
          <w:sz w:val="24"/>
          <w:szCs w:val="24"/>
        </w:rPr>
        <w:t>, C.C. (2017) “</w:t>
      </w:r>
      <w:proofErr w:type="spellStart"/>
      <w:r w:rsidRPr="00801A8A">
        <w:rPr>
          <w:rFonts w:ascii="Times New Roman" w:hAnsi="Times New Roman" w:cs="Times New Roman"/>
          <w:sz w:val="24"/>
          <w:szCs w:val="24"/>
        </w:rPr>
        <w:t>Labeling</w:t>
      </w:r>
      <w:proofErr w:type="spellEnd"/>
      <w:r w:rsidRPr="00801A8A">
        <w:rPr>
          <w:rFonts w:ascii="Times New Roman" w:hAnsi="Times New Roman" w:cs="Times New Roman"/>
          <w:sz w:val="24"/>
          <w:szCs w:val="24"/>
        </w:rPr>
        <w:t xml:space="preserve"> and intergenerational transmission of crime: The interaction between criminal justice intervention and a convicted parent,” PLOS ONE, 12(3). Available at: https://doi.org/10.1371/journal.pone.0172419.</w:t>
      </w:r>
    </w:p>
    <w:p w14:paraId="66E2AA87"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Bevan, M. (2016). “Investigating young people’s awareness and understanding of the criminal justice system: An exploratory study” Available at: https://howardleague.org/wp-content/uploads/2016/06/Investigating-young-people%E2%80%99s-awareness-and-understanding-of-the-criminal-justice-system.pdf (Accessed: November 7, 2022)</w:t>
      </w:r>
    </w:p>
    <w:p w14:paraId="20B4F082"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Bhuller</w:t>
      </w:r>
      <w:proofErr w:type="spellEnd"/>
      <w:r w:rsidRPr="00801A8A">
        <w:rPr>
          <w:rFonts w:ascii="Times New Roman" w:hAnsi="Times New Roman" w:cs="Times New Roman"/>
          <w:sz w:val="24"/>
          <w:szCs w:val="24"/>
        </w:rPr>
        <w:t>, A. (2018) “Youth crime on the rise in the UK”. Available at: https://www.shoutoutuk.org/2018/10/30/youth-crime-on-the-rise-in-the-uk/ (Accessed: November 4, 2022)</w:t>
      </w:r>
    </w:p>
    <w:p w14:paraId="587B818B"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Brame</w:t>
      </w:r>
      <w:proofErr w:type="spellEnd"/>
      <w:r w:rsidRPr="00801A8A">
        <w:rPr>
          <w:rFonts w:ascii="Times New Roman" w:hAnsi="Times New Roman" w:cs="Times New Roman"/>
          <w:sz w:val="24"/>
          <w:szCs w:val="24"/>
        </w:rPr>
        <w:t>, R., Mulvey, E.P., Schubert, C.A. and Piquero, A.R. (2018). Recidivism in a Sample of Serious Adolescent Offenders. Journal of quantitative criminology, 34(1), pp.167–187. doi:10.1007/s10940-016-9329-2.</w:t>
      </w:r>
    </w:p>
    <w:p w14:paraId="152594EE"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lastRenderedPageBreak/>
        <w:t>Children’s Commission (2019). “Improving safeguarding responses to gang violence and criminal exploitation”. Available at: https://www.childrenscommissioner.gov.uk/wp-content/uploads/2019/02/CCO-Gangs.pdf (Accessed: November 11, 2022)</w:t>
      </w:r>
    </w:p>
    <w:p w14:paraId="5DCF235C"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Commission on young lives (2021) “NEW FIGURES REVEAL 12,720 CHILDREN IN ENGLAND WERE IDENTIFIED BY SOCIAL SERVICES AS BEING AT RISK OF CRIMINAL EXPLOITATION BY GANGS IN 2020/21”. Available at: https://thecommissiononyounglives.co.uk/new-figures-reveal-12720-children-in-england-were-identified-by-social-services-as-being-at-risk-of-criminal-exploitation-by-gangs-in-2020-21/ (Accessed: November 10, 2022). </w:t>
      </w:r>
    </w:p>
    <w:p w14:paraId="6E8C6366"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Creaney</w:t>
      </w:r>
      <w:proofErr w:type="spellEnd"/>
      <w:r w:rsidRPr="00801A8A">
        <w:rPr>
          <w:rFonts w:ascii="Times New Roman" w:hAnsi="Times New Roman" w:cs="Times New Roman"/>
          <w:sz w:val="24"/>
          <w:szCs w:val="24"/>
        </w:rPr>
        <w:t xml:space="preserve">, S. (2012) “Targeting, labelling and stigma: Challenging the criminalisation of children and young people,” Criminal Justice Matters, 89(1), pp. 16–17. Available at: https://doi.org/10.1080/09627251.2012.721967. </w:t>
      </w:r>
    </w:p>
    <w:p w14:paraId="1ACE3E3D"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Davies, S. and Tanner, J. (2003) “The long arm of the law: Effects of </w:t>
      </w:r>
      <w:proofErr w:type="spellStart"/>
      <w:r w:rsidRPr="00801A8A">
        <w:rPr>
          <w:rFonts w:ascii="Times New Roman" w:hAnsi="Times New Roman" w:cs="Times New Roman"/>
          <w:sz w:val="24"/>
          <w:szCs w:val="24"/>
        </w:rPr>
        <w:t>labeling</w:t>
      </w:r>
      <w:proofErr w:type="spellEnd"/>
      <w:r w:rsidRPr="00801A8A">
        <w:rPr>
          <w:rFonts w:ascii="Times New Roman" w:hAnsi="Times New Roman" w:cs="Times New Roman"/>
          <w:sz w:val="24"/>
          <w:szCs w:val="24"/>
        </w:rPr>
        <w:t xml:space="preserve"> on employment,” The Sociological Quarterly, 44(3), pp. 385–404. Available at: https://doi.org/10.1111/j.1533-8525.2003.tb00538.x.</w:t>
      </w:r>
    </w:p>
    <w:p w14:paraId="75365923"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DeKeseredy</w:t>
      </w:r>
      <w:proofErr w:type="spellEnd"/>
      <w:r w:rsidRPr="00801A8A">
        <w:rPr>
          <w:rFonts w:ascii="Times New Roman" w:hAnsi="Times New Roman" w:cs="Times New Roman"/>
          <w:sz w:val="24"/>
          <w:szCs w:val="24"/>
        </w:rPr>
        <w:t xml:space="preserve">, W.S. (2010) “Left realism criminology,” </w:t>
      </w:r>
      <w:proofErr w:type="spellStart"/>
      <w:r w:rsidRPr="00801A8A">
        <w:rPr>
          <w:rFonts w:ascii="Times New Roman" w:hAnsi="Times New Roman" w:cs="Times New Roman"/>
          <w:sz w:val="24"/>
          <w:szCs w:val="24"/>
        </w:rPr>
        <w:t>Encyclopedia</w:t>
      </w:r>
      <w:proofErr w:type="spellEnd"/>
      <w:r w:rsidRPr="00801A8A">
        <w:rPr>
          <w:rFonts w:ascii="Times New Roman" w:hAnsi="Times New Roman" w:cs="Times New Roman"/>
          <w:sz w:val="24"/>
          <w:szCs w:val="24"/>
        </w:rPr>
        <w:t xml:space="preserve"> of Criminological Theory. Available at: https://doi.org/10.4135/9781412959193.n150.</w:t>
      </w:r>
    </w:p>
    <w:p w14:paraId="41068FA6"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Durea</w:t>
      </w:r>
      <w:proofErr w:type="spellEnd"/>
      <w:r w:rsidRPr="00801A8A">
        <w:rPr>
          <w:rFonts w:ascii="Times New Roman" w:hAnsi="Times New Roman" w:cs="Times New Roman"/>
          <w:sz w:val="24"/>
          <w:szCs w:val="24"/>
        </w:rPr>
        <w:t>, M. A. (1937). The emotional maturity of juvenile delinquents. The Journal of Abnormal and Social Psychology, 31(4), 472–481. https://doi.org/10.1037/h0057041</w:t>
      </w:r>
    </w:p>
    <w:p w14:paraId="33C19791"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Equality and human rights commission (2019) “Written evidence from the Equality and Human Rights Commission”. Available at: http://data.parliament.uk/writtenevidence/committeeevidence.svc/evidencedocument/justice-committee/children-and-young-people-in-custody/written/105969.html (Accessed: November 4, 2022)</w:t>
      </w:r>
    </w:p>
    <w:p w14:paraId="24E05B5C"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Fiorini</w:t>
      </w:r>
      <w:proofErr w:type="spellEnd"/>
      <w:r w:rsidRPr="00801A8A">
        <w:rPr>
          <w:rFonts w:ascii="Times New Roman" w:hAnsi="Times New Roman" w:cs="Times New Roman"/>
          <w:sz w:val="24"/>
          <w:szCs w:val="24"/>
        </w:rPr>
        <w:t>, J. (2005) “Subconscious Influences: The Leopold-Loeb Case and the Development of an American Criminal Archetype” Available at: https://scholarworks.wm.edu/cgi/viewcontent.cgi?article=6499&amp;context=etd (Accessed: November 14, 2022)</w:t>
      </w:r>
    </w:p>
    <w:p w14:paraId="4E1DAF6A"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Gibson, L. (2019) “The abolition of </w:t>
      </w:r>
      <w:proofErr w:type="spellStart"/>
      <w:r w:rsidRPr="00801A8A">
        <w:rPr>
          <w:rFonts w:ascii="Times New Roman" w:hAnsi="Times New Roman" w:cs="Times New Roman"/>
          <w:sz w:val="24"/>
          <w:szCs w:val="24"/>
        </w:rPr>
        <w:t>Doli</w:t>
      </w:r>
      <w:proofErr w:type="spellEnd"/>
      <w:r w:rsidRPr="00801A8A">
        <w:rPr>
          <w:rFonts w:ascii="Times New Roman" w:hAnsi="Times New Roman" w:cs="Times New Roman"/>
          <w:sz w:val="24"/>
          <w:szCs w:val="24"/>
        </w:rPr>
        <w:t xml:space="preserve"> incapax and the alternatives to raising the age of criminal responsibility,” SSRN Electronic Journal [Preprint]. Available at: https://doi.org/10.2139/ssrn.3481217.</w:t>
      </w:r>
    </w:p>
    <w:p w14:paraId="63DF4AED"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Green, David A. (2007). Comparing Penal Cultures: Child‐on‐Child Homicide in England and Norway. Crime and Justice, 36(1), pp.591–643. doi:10.1086/592809. #</w:t>
      </w:r>
    </w:p>
    <w:p w14:paraId="084A42A3"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Icenogle, G. et al. (2019) “Adolescents’ cognitive capacity reaches adult levels prior to their psychosocial maturity: Evidence for a ‘maturity gap’ in a multinational, cross-sectional sample.,” Law and Human </w:t>
      </w:r>
      <w:proofErr w:type="spellStart"/>
      <w:r w:rsidRPr="00801A8A">
        <w:rPr>
          <w:rFonts w:ascii="Times New Roman" w:hAnsi="Times New Roman" w:cs="Times New Roman"/>
          <w:sz w:val="24"/>
          <w:szCs w:val="24"/>
        </w:rPr>
        <w:t>Behavior</w:t>
      </w:r>
      <w:proofErr w:type="spellEnd"/>
      <w:r w:rsidRPr="00801A8A">
        <w:rPr>
          <w:rFonts w:ascii="Times New Roman" w:hAnsi="Times New Roman" w:cs="Times New Roman"/>
          <w:sz w:val="24"/>
          <w:szCs w:val="24"/>
        </w:rPr>
        <w:t>, 43(1), pp. 69–85. Available at: https://doi.org/10.1037/lhb0000315.</w:t>
      </w:r>
    </w:p>
    <w:p w14:paraId="23EB2735"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James, E &amp; MacDougall, I. (2010) “The Norway town that forgave and forgot its child killers” Available at: https://amp.theguardian.com/theguardian/2010/mar/20/norway-town-forgave-child-killers (Accessed: November 11, 2022)</w:t>
      </w:r>
    </w:p>
    <w:p w14:paraId="0F4BD461"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lastRenderedPageBreak/>
        <w:t>Kwak, Y. et al. (2015) “The rational adolescent: Strategic information processing during decision making revealed by Eye Tracking,” Cognitive Development, 36, pp. 20–30. Available at: https://doi.org/10.1016/j.cogdev.2015.08.001.</w:t>
      </w:r>
    </w:p>
    <w:p w14:paraId="6B1F4296"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Lenroot</w:t>
      </w:r>
      <w:proofErr w:type="spellEnd"/>
      <w:r w:rsidRPr="00801A8A">
        <w:rPr>
          <w:rFonts w:ascii="Times New Roman" w:hAnsi="Times New Roman" w:cs="Times New Roman"/>
          <w:sz w:val="24"/>
          <w:szCs w:val="24"/>
        </w:rPr>
        <w:t xml:space="preserve">, R.K. and </w:t>
      </w:r>
      <w:proofErr w:type="spellStart"/>
      <w:r w:rsidRPr="00801A8A">
        <w:rPr>
          <w:rFonts w:ascii="Times New Roman" w:hAnsi="Times New Roman" w:cs="Times New Roman"/>
          <w:sz w:val="24"/>
          <w:szCs w:val="24"/>
        </w:rPr>
        <w:t>Giedd</w:t>
      </w:r>
      <w:proofErr w:type="spellEnd"/>
      <w:r w:rsidRPr="00801A8A">
        <w:rPr>
          <w:rFonts w:ascii="Times New Roman" w:hAnsi="Times New Roman" w:cs="Times New Roman"/>
          <w:sz w:val="24"/>
          <w:szCs w:val="24"/>
        </w:rPr>
        <w:t>, J.N. (2010) “Sex differences in the adolescent brain,” Brain and Cognition, 72(1), pp. 46–55. Available at: https://doi.org/10.1016/j.bandc.2009.10.008.</w:t>
      </w:r>
    </w:p>
    <w:p w14:paraId="294A5AEC"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LIBERMAN, A.K.I.V.A.M., KIRK, D.A.V.I.D.S. and KIM, K.I.D.E.U.K. (2014) “</w:t>
      </w:r>
      <w:proofErr w:type="spellStart"/>
      <w:r w:rsidRPr="00801A8A">
        <w:rPr>
          <w:rFonts w:ascii="Times New Roman" w:hAnsi="Times New Roman" w:cs="Times New Roman"/>
          <w:sz w:val="24"/>
          <w:szCs w:val="24"/>
        </w:rPr>
        <w:t>Labeling</w:t>
      </w:r>
      <w:proofErr w:type="spellEnd"/>
      <w:r w:rsidRPr="00801A8A">
        <w:rPr>
          <w:rFonts w:ascii="Times New Roman" w:hAnsi="Times New Roman" w:cs="Times New Roman"/>
          <w:sz w:val="24"/>
          <w:szCs w:val="24"/>
        </w:rPr>
        <w:t xml:space="preserve"> effects of first juvenile arrests: Secondary deviance and Secondary sanctioning,” Criminology, 52(3), pp. 345–370. Available at: https://doi.org/10.1111/1745-9125.12039. </w:t>
      </w:r>
    </w:p>
    <w:p w14:paraId="248ECEE7"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Malik, F., &amp; Marwaha, R. (2022). Developmental Stages of Social Emotional Development </w:t>
      </w:r>
      <w:proofErr w:type="gramStart"/>
      <w:r w:rsidRPr="00801A8A">
        <w:rPr>
          <w:rFonts w:ascii="Times New Roman" w:hAnsi="Times New Roman" w:cs="Times New Roman"/>
          <w:sz w:val="24"/>
          <w:szCs w:val="24"/>
        </w:rPr>
        <w:t>In</w:t>
      </w:r>
      <w:proofErr w:type="gramEnd"/>
      <w:r w:rsidRPr="00801A8A">
        <w:rPr>
          <w:rFonts w:ascii="Times New Roman" w:hAnsi="Times New Roman" w:cs="Times New Roman"/>
          <w:sz w:val="24"/>
          <w:szCs w:val="24"/>
        </w:rPr>
        <w:t xml:space="preserve"> Children. </w:t>
      </w:r>
      <w:proofErr w:type="spellStart"/>
      <w:r w:rsidRPr="00801A8A">
        <w:rPr>
          <w:rFonts w:ascii="Times New Roman" w:hAnsi="Times New Roman" w:cs="Times New Roman"/>
          <w:sz w:val="24"/>
          <w:szCs w:val="24"/>
        </w:rPr>
        <w:t>StatPearls</w:t>
      </w:r>
      <w:proofErr w:type="spellEnd"/>
      <w:r w:rsidRPr="00801A8A">
        <w:rPr>
          <w:rFonts w:ascii="Times New Roman" w:hAnsi="Times New Roman" w:cs="Times New Roman"/>
          <w:sz w:val="24"/>
          <w:szCs w:val="24"/>
        </w:rPr>
        <w:t xml:space="preserve"> Publishing.</w:t>
      </w:r>
    </w:p>
    <w:p w14:paraId="15A42C1E"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Ministry of Justice (2022). “Youth Justice Statistics 21/22” Available at https://assets.publishing.service.gov.uk/government/uploads/system/uploads/attachment_data/file/1054236/Youth_Justice_Statistics_2020-21.pdf (Accessed: November 11, 2022)</w:t>
      </w:r>
    </w:p>
    <w:p w14:paraId="563D3737"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Morash</w:t>
      </w:r>
      <w:proofErr w:type="spellEnd"/>
      <w:r w:rsidRPr="00801A8A">
        <w:rPr>
          <w:rFonts w:ascii="Times New Roman" w:hAnsi="Times New Roman" w:cs="Times New Roman"/>
          <w:sz w:val="24"/>
          <w:szCs w:val="24"/>
        </w:rPr>
        <w:t>, M. (1982). Juvenile reaction to labels: An experiment and an exploratory study. Sociology &amp; Social Research, 67(1), 76–88.</w:t>
      </w:r>
    </w:p>
    <w:p w14:paraId="057C1B4A"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O’Rourke et al (2020). The development of cognitive and emotional maturity in adolescents and its relevance in judicial contexts. Available at: https://www.scottishsentencingcouncil.org.uk/media/2044/20200219-ssc-cognitive-maturity-literature-review.pdf </w:t>
      </w:r>
    </w:p>
    <w:p w14:paraId="052FA55A"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OOGYCP (2001) “Law intern finds </w:t>
      </w:r>
      <w:proofErr w:type="spellStart"/>
      <w:r w:rsidRPr="00801A8A">
        <w:rPr>
          <w:rFonts w:ascii="Times New Roman" w:hAnsi="Times New Roman" w:cs="Times New Roman"/>
          <w:sz w:val="24"/>
          <w:szCs w:val="24"/>
        </w:rPr>
        <w:t>doli</w:t>
      </w:r>
      <w:proofErr w:type="spellEnd"/>
      <w:r w:rsidRPr="00801A8A">
        <w:rPr>
          <w:rFonts w:ascii="Times New Roman" w:hAnsi="Times New Roman" w:cs="Times New Roman"/>
          <w:sz w:val="24"/>
          <w:szCs w:val="24"/>
        </w:rPr>
        <w:t xml:space="preserve"> incapax is not protecting children from entering youth justice system” Available at: https://gcyp.sa.gov.au/2021/02/16/law-intern-finds-doli-incapax-is-not-protecting-children-from-entering-youth-justice-system/#:~:text=If%20a%20child%20is%20between,and%20not%20just%20'naughty'. (Accessed: November 10, 2022)</w:t>
      </w:r>
    </w:p>
    <w:p w14:paraId="0FE71B68"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Papamichael</w:t>
      </w:r>
      <w:proofErr w:type="spellEnd"/>
      <w:r w:rsidRPr="00801A8A">
        <w:rPr>
          <w:rFonts w:ascii="Times New Roman" w:hAnsi="Times New Roman" w:cs="Times New Roman"/>
          <w:sz w:val="24"/>
          <w:szCs w:val="24"/>
        </w:rPr>
        <w:t xml:space="preserve">, E. (2019) “DOLI INCAPAX: WHY DO WE HOLD OUR </w:t>
      </w:r>
      <w:proofErr w:type="gramStart"/>
      <w:r w:rsidRPr="00801A8A">
        <w:rPr>
          <w:rFonts w:ascii="Times New Roman" w:hAnsi="Times New Roman" w:cs="Times New Roman"/>
          <w:sz w:val="24"/>
          <w:szCs w:val="24"/>
        </w:rPr>
        <w:t>10 YEAR OLDS</w:t>
      </w:r>
      <w:proofErr w:type="gramEnd"/>
      <w:r w:rsidRPr="00801A8A">
        <w:rPr>
          <w:rFonts w:ascii="Times New Roman" w:hAnsi="Times New Roman" w:cs="Times New Roman"/>
          <w:sz w:val="24"/>
          <w:szCs w:val="24"/>
        </w:rPr>
        <w:t xml:space="preserve"> TO HAVE CRIMINAL RESPONSIBILITY?” Available at: https://www.hja.net/expert-comments/opinion/general-crime/doli-incapax-why-do-we-hold-our-10-year-olds-to-have-criminal-responsibility/ (Accessed: November 2, 2022)</w:t>
      </w:r>
    </w:p>
    <w:p w14:paraId="3013109E"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Petrunik</w:t>
      </w:r>
      <w:proofErr w:type="spellEnd"/>
      <w:r w:rsidRPr="00801A8A">
        <w:rPr>
          <w:rFonts w:ascii="Times New Roman" w:hAnsi="Times New Roman" w:cs="Times New Roman"/>
          <w:sz w:val="24"/>
          <w:szCs w:val="24"/>
        </w:rPr>
        <w:t xml:space="preserve">, M. (1980) “The rise and fall of ‘Labelling theory’: The construction and destruction of a sociological strawman,” Canadian Journal of Sociology / Cahiers </w:t>
      </w:r>
      <w:proofErr w:type="spellStart"/>
      <w:r w:rsidRPr="00801A8A">
        <w:rPr>
          <w:rFonts w:ascii="Times New Roman" w:hAnsi="Times New Roman" w:cs="Times New Roman"/>
          <w:sz w:val="24"/>
          <w:szCs w:val="24"/>
        </w:rPr>
        <w:t>canadiens</w:t>
      </w:r>
      <w:proofErr w:type="spellEnd"/>
      <w:r w:rsidRPr="00801A8A">
        <w:rPr>
          <w:rFonts w:ascii="Times New Roman" w:hAnsi="Times New Roman" w:cs="Times New Roman"/>
          <w:sz w:val="24"/>
          <w:szCs w:val="24"/>
        </w:rPr>
        <w:t xml:space="preserve"> de </w:t>
      </w:r>
      <w:proofErr w:type="spellStart"/>
      <w:r w:rsidRPr="00801A8A">
        <w:rPr>
          <w:rFonts w:ascii="Times New Roman" w:hAnsi="Times New Roman" w:cs="Times New Roman"/>
          <w:sz w:val="24"/>
          <w:szCs w:val="24"/>
        </w:rPr>
        <w:t>sociologie</w:t>
      </w:r>
      <w:proofErr w:type="spellEnd"/>
      <w:r w:rsidRPr="00801A8A">
        <w:rPr>
          <w:rFonts w:ascii="Times New Roman" w:hAnsi="Times New Roman" w:cs="Times New Roman"/>
          <w:sz w:val="24"/>
          <w:szCs w:val="24"/>
        </w:rPr>
        <w:t>, 5(3), p. 213. Available at: https://doi.org/10.2307/3340175.</w:t>
      </w:r>
    </w:p>
    <w:p w14:paraId="66713AD6"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Ruhl, C. (2021) “The Broken Windows Theory” Available at: https://www.simplypsychology.org/broken-windows-theory.html (Accessed: November 11, 2022)</w:t>
      </w:r>
    </w:p>
    <w:p w14:paraId="20EB21D9" w14:textId="77777777" w:rsidR="00801A8A" w:rsidRPr="00801A8A" w:rsidRDefault="00801A8A" w:rsidP="00801A8A">
      <w:pPr>
        <w:rPr>
          <w:rFonts w:ascii="Times New Roman" w:hAnsi="Times New Roman" w:cs="Times New Roman"/>
          <w:sz w:val="24"/>
          <w:szCs w:val="24"/>
        </w:rPr>
      </w:pPr>
      <w:proofErr w:type="spellStart"/>
      <w:r w:rsidRPr="00801A8A">
        <w:rPr>
          <w:rFonts w:ascii="Times New Roman" w:hAnsi="Times New Roman" w:cs="Times New Roman"/>
          <w:sz w:val="24"/>
          <w:szCs w:val="24"/>
        </w:rPr>
        <w:t>Samenow</w:t>
      </w:r>
      <w:proofErr w:type="spellEnd"/>
      <w:r w:rsidRPr="00801A8A">
        <w:rPr>
          <w:rFonts w:ascii="Times New Roman" w:hAnsi="Times New Roman" w:cs="Times New Roman"/>
          <w:sz w:val="24"/>
          <w:szCs w:val="24"/>
        </w:rPr>
        <w:t xml:space="preserve">, S. (2013). "Emotional Maturity" Does Not Explain Criminal </w:t>
      </w:r>
      <w:proofErr w:type="spellStart"/>
      <w:r w:rsidRPr="00801A8A">
        <w:rPr>
          <w:rFonts w:ascii="Times New Roman" w:hAnsi="Times New Roman" w:cs="Times New Roman"/>
          <w:sz w:val="24"/>
          <w:szCs w:val="24"/>
        </w:rPr>
        <w:t>Behavior</w:t>
      </w:r>
      <w:proofErr w:type="spellEnd"/>
      <w:r w:rsidRPr="00801A8A">
        <w:rPr>
          <w:rFonts w:ascii="Times New Roman" w:hAnsi="Times New Roman" w:cs="Times New Roman"/>
          <w:sz w:val="24"/>
          <w:szCs w:val="24"/>
        </w:rPr>
        <w:t>” Available at: https://www.psychologytoday.com/us/blog/inside-the-criminal-mind/201304/emotional-maturity-does-not-explain-criminal-behavior (Accessed: November 10, 2022)</w:t>
      </w:r>
    </w:p>
    <w:p w14:paraId="777E5034"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Sharma, S. et al. (2013) “Maturation of the adolescent brain,” Neuropsychiatric Disease and Treatment, p. 449. Available at: https://doi.org/10.2147/ndt.s39776.</w:t>
      </w:r>
    </w:p>
    <w:p w14:paraId="43D7DAF1"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lastRenderedPageBreak/>
        <w:t xml:space="preserve">Stanford </w:t>
      </w:r>
      <w:proofErr w:type="spellStart"/>
      <w:r w:rsidRPr="00801A8A">
        <w:rPr>
          <w:rFonts w:ascii="Times New Roman" w:hAnsi="Times New Roman" w:cs="Times New Roman"/>
          <w:sz w:val="24"/>
          <w:szCs w:val="24"/>
        </w:rPr>
        <w:t>Encyclopedia</w:t>
      </w:r>
      <w:proofErr w:type="spellEnd"/>
      <w:r w:rsidRPr="00801A8A">
        <w:rPr>
          <w:rFonts w:ascii="Times New Roman" w:hAnsi="Times New Roman" w:cs="Times New Roman"/>
          <w:sz w:val="24"/>
          <w:szCs w:val="24"/>
        </w:rPr>
        <w:t xml:space="preserve"> of Philosophy (2014) “Retributive Justice”. Available at: https://plato.stanford.edu/entries/justice-retributive/ (Accessed: November 14, 2022)</w:t>
      </w:r>
    </w:p>
    <w:p w14:paraId="4AF739B9"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 xml:space="preserve">The Children and Young Persons Act 1963. Available at: https://www.legislation.gov.uk/ukpga/1963/37 (Accessed: November 10, 2022). </w:t>
      </w:r>
    </w:p>
    <w:p w14:paraId="096E56D0" w14:textId="77777777" w:rsidR="00801A8A" w:rsidRPr="00801A8A"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UK Government (2012). “Youth Courts”. Available at: https://www.gov.uk/courts/youth-courts (Accessed November 12, 2022)</w:t>
      </w:r>
    </w:p>
    <w:p w14:paraId="763D5D28" w14:textId="69050C8D" w:rsidR="009831BF" w:rsidRPr="002C11EF" w:rsidRDefault="00801A8A" w:rsidP="00801A8A">
      <w:pPr>
        <w:rPr>
          <w:rFonts w:ascii="Times New Roman" w:hAnsi="Times New Roman" w:cs="Times New Roman"/>
          <w:sz w:val="24"/>
          <w:szCs w:val="24"/>
        </w:rPr>
      </w:pPr>
      <w:r w:rsidRPr="00801A8A">
        <w:rPr>
          <w:rFonts w:ascii="Times New Roman" w:hAnsi="Times New Roman" w:cs="Times New Roman"/>
          <w:sz w:val="24"/>
          <w:szCs w:val="24"/>
        </w:rPr>
        <w:t>University of Glasgow (2016) “Theories and causes of crime” Available at: http://www.sccjr.ac.uk/wp-content/uploads/2016/02/SCCJR-Causes-of-Crime.pdf</w:t>
      </w:r>
    </w:p>
    <w:sectPr w:rsidR="009831BF" w:rsidRPr="002C11E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9EBD9" w14:textId="77777777" w:rsidR="00CB2958" w:rsidRDefault="00CB2958" w:rsidP="00577A76">
      <w:pPr>
        <w:spacing w:after="0" w:line="240" w:lineRule="auto"/>
      </w:pPr>
      <w:r>
        <w:separator/>
      </w:r>
    </w:p>
  </w:endnote>
  <w:endnote w:type="continuationSeparator" w:id="0">
    <w:p w14:paraId="6A46813E" w14:textId="77777777" w:rsidR="00CB2958" w:rsidRDefault="00CB2958" w:rsidP="0057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37CC9" w14:textId="77777777" w:rsidR="00CB2958" w:rsidRDefault="00CB2958" w:rsidP="00577A76">
      <w:pPr>
        <w:spacing w:after="0" w:line="240" w:lineRule="auto"/>
      </w:pPr>
      <w:r>
        <w:separator/>
      </w:r>
    </w:p>
  </w:footnote>
  <w:footnote w:type="continuationSeparator" w:id="0">
    <w:p w14:paraId="0728841F" w14:textId="77777777" w:rsidR="00CB2958" w:rsidRDefault="00CB2958" w:rsidP="00577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563EB" w14:textId="11E6912F" w:rsidR="00577A76" w:rsidRDefault="00801A8A" w:rsidP="00131DF8">
    <w:pPr>
      <w:pStyle w:val="Header"/>
    </w:pPr>
    <w:r>
      <w:t xml:space="preserve">                                                                                                                                                    </w:t>
    </w:r>
    <w:r w:rsidR="00131DF8">
      <w:t>SN: 1800281</w:t>
    </w:r>
  </w:p>
  <w:p w14:paraId="68D29EA0" w14:textId="43B8B9A8" w:rsidR="00131DF8" w:rsidRDefault="00131DF8" w:rsidP="00131DF8">
    <w:pPr>
      <w:pStyle w:val="Header"/>
      <w:jc w:val="center"/>
    </w:pPr>
    <w:r>
      <w:t xml:space="preserve">                                                                                                                                                   Word count: 31</w:t>
    </w:r>
    <w:r w:rsidR="005B378D">
      <w:t>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4FFC"/>
    <w:rsid w:val="0000021E"/>
    <w:rsid w:val="00021BCC"/>
    <w:rsid w:val="00057551"/>
    <w:rsid w:val="000B0607"/>
    <w:rsid w:val="0012113B"/>
    <w:rsid w:val="00131DF8"/>
    <w:rsid w:val="00145661"/>
    <w:rsid w:val="00181988"/>
    <w:rsid w:val="00187689"/>
    <w:rsid w:val="001A5EC8"/>
    <w:rsid w:val="00264FFC"/>
    <w:rsid w:val="00271CF4"/>
    <w:rsid w:val="00286A20"/>
    <w:rsid w:val="002C11EF"/>
    <w:rsid w:val="0034732F"/>
    <w:rsid w:val="003A15A6"/>
    <w:rsid w:val="003B7EDC"/>
    <w:rsid w:val="003E3DFE"/>
    <w:rsid w:val="00416B50"/>
    <w:rsid w:val="004566E5"/>
    <w:rsid w:val="00483988"/>
    <w:rsid w:val="00496851"/>
    <w:rsid w:val="004E7592"/>
    <w:rsid w:val="004F2273"/>
    <w:rsid w:val="00542C68"/>
    <w:rsid w:val="00577A76"/>
    <w:rsid w:val="005B378D"/>
    <w:rsid w:val="0061139B"/>
    <w:rsid w:val="00633E8E"/>
    <w:rsid w:val="00652AD7"/>
    <w:rsid w:val="0067690A"/>
    <w:rsid w:val="006D3411"/>
    <w:rsid w:val="006D4E4C"/>
    <w:rsid w:val="006D6976"/>
    <w:rsid w:val="006E44DE"/>
    <w:rsid w:val="00701D0E"/>
    <w:rsid w:val="007214B8"/>
    <w:rsid w:val="007525C5"/>
    <w:rsid w:val="00770988"/>
    <w:rsid w:val="007B4706"/>
    <w:rsid w:val="007F55AE"/>
    <w:rsid w:val="00801A8A"/>
    <w:rsid w:val="00817DA4"/>
    <w:rsid w:val="00873DE6"/>
    <w:rsid w:val="008A2232"/>
    <w:rsid w:val="008A7896"/>
    <w:rsid w:val="00900470"/>
    <w:rsid w:val="009044B4"/>
    <w:rsid w:val="009600DA"/>
    <w:rsid w:val="009831BF"/>
    <w:rsid w:val="009926FD"/>
    <w:rsid w:val="00993780"/>
    <w:rsid w:val="009A2066"/>
    <w:rsid w:val="009B2587"/>
    <w:rsid w:val="009D3ED5"/>
    <w:rsid w:val="009D7F46"/>
    <w:rsid w:val="00A10FC1"/>
    <w:rsid w:val="00A43259"/>
    <w:rsid w:val="00A77D0F"/>
    <w:rsid w:val="00A82637"/>
    <w:rsid w:val="00AA4FA9"/>
    <w:rsid w:val="00AD0A51"/>
    <w:rsid w:val="00AE5B15"/>
    <w:rsid w:val="00B30060"/>
    <w:rsid w:val="00BC145B"/>
    <w:rsid w:val="00BD11FE"/>
    <w:rsid w:val="00BD4D22"/>
    <w:rsid w:val="00BE48B9"/>
    <w:rsid w:val="00BF19F4"/>
    <w:rsid w:val="00C042C8"/>
    <w:rsid w:val="00C12A31"/>
    <w:rsid w:val="00C13DBA"/>
    <w:rsid w:val="00C75C68"/>
    <w:rsid w:val="00CB2958"/>
    <w:rsid w:val="00CD0885"/>
    <w:rsid w:val="00D04C93"/>
    <w:rsid w:val="00D22D76"/>
    <w:rsid w:val="00D566A3"/>
    <w:rsid w:val="00D806C2"/>
    <w:rsid w:val="00DD6591"/>
    <w:rsid w:val="00DE467E"/>
    <w:rsid w:val="00DF2159"/>
    <w:rsid w:val="00E51B38"/>
    <w:rsid w:val="00E5212C"/>
    <w:rsid w:val="00E67453"/>
    <w:rsid w:val="00E828DF"/>
    <w:rsid w:val="00E911E4"/>
    <w:rsid w:val="00EA6220"/>
    <w:rsid w:val="00EB2E22"/>
    <w:rsid w:val="00ED041B"/>
    <w:rsid w:val="00F176BE"/>
    <w:rsid w:val="00F323E8"/>
    <w:rsid w:val="00F325B0"/>
    <w:rsid w:val="00F54317"/>
    <w:rsid w:val="00FB3A0B"/>
    <w:rsid w:val="00FC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3536A"/>
  <w15:docId w15:val="{D28F57A9-9DCA-4DBE-A701-1439621E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7896"/>
    <w:rPr>
      <w:color w:val="0563C1" w:themeColor="hyperlink"/>
      <w:u w:val="single"/>
    </w:rPr>
  </w:style>
  <w:style w:type="character" w:styleId="UnresolvedMention">
    <w:name w:val="Unresolved Mention"/>
    <w:basedOn w:val="DefaultParagraphFont"/>
    <w:uiPriority w:val="99"/>
    <w:semiHidden/>
    <w:unhideWhenUsed/>
    <w:rsid w:val="008A7896"/>
    <w:rPr>
      <w:color w:val="605E5C"/>
      <w:shd w:val="clear" w:color="auto" w:fill="E1DFDD"/>
    </w:rPr>
  </w:style>
  <w:style w:type="paragraph" w:styleId="Header">
    <w:name w:val="header"/>
    <w:basedOn w:val="Normal"/>
    <w:link w:val="HeaderChar"/>
    <w:uiPriority w:val="99"/>
    <w:unhideWhenUsed/>
    <w:rsid w:val="00577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A76"/>
  </w:style>
  <w:style w:type="paragraph" w:styleId="Footer">
    <w:name w:val="footer"/>
    <w:basedOn w:val="Normal"/>
    <w:link w:val="FooterChar"/>
    <w:uiPriority w:val="99"/>
    <w:unhideWhenUsed/>
    <w:rsid w:val="00577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4585</TotalTime>
  <Pages>12</Pages>
  <Words>4341</Words>
  <Characters>24748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Grey (1800281)</dc:creator>
  <cp:keywords/>
  <dc:description/>
  <cp:lastModifiedBy>Christopher Grey (1800281)</cp:lastModifiedBy>
  <cp:revision>14</cp:revision>
  <dcterms:created xsi:type="dcterms:W3CDTF">2022-10-19T19:29:00Z</dcterms:created>
  <dcterms:modified xsi:type="dcterms:W3CDTF">2022-11-18T13:55:00Z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71f868be-9116-48be-b829-d1198de5791a</vt:lpwstr>
  </property>
</Properties>
</file>