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3C9A0" w14:textId="65E05A11" w:rsidR="00D85C44" w:rsidRDefault="00044D1F" w:rsidP="00A2682D">
      <w:pPr>
        <w:rPr>
          <w:rFonts w:ascii="Arial" w:hAnsi="Arial" w:cs="Arial"/>
          <w:b/>
          <w:color w:val="153D63" w:themeColor="text2" w:themeTint="E6"/>
          <w:sz w:val="32"/>
          <w:szCs w:val="32"/>
        </w:rPr>
      </w:pPr>
      <w:r>
        <w:rPr>
          <w:noProof/>
        </w:rPr>
        <w:drawing>
          <wp:inline distT="0" distB="0" distL="0" distR="0" wp14:anchorId="6AEC1D8F" wp14:editId="7F36D98D">
            <wp:extent cx="1895475" cy="85725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95475" cy="857250"/>
                    </a:xfrm>
                    <a:prstGeom prst="rect">
                      <a:avLst/>
                    </a:prstGeom>
                    <a:noFill/>
                    <a:ln>
                      <a:noFill/>
                    </a:ln>
                  </pic:spPr>
                </pic:pic>
              </a:graphicData>
            </a:graphic>
          </wp:inline>
        </w:drawing>
      </w:r>
    </w:p>
    <w:p w14:paraId="4D3CEF15" w14:textId="77777777" w:rsidR="00D85C44" w:rsidRDefault="00D85C44" w:rsidP="00A2682D">
      <w:pPr>
        <w:rPr>
          <w:rFonts w:ascii="Arial" w:hAnsi="Arial" w:cs="Arial"/>
          <w:b/>
          <w:color w:val="153D63" w:themeColor="text2" w:themeTint="E6"/>
          <w:sz w:val="32"/>
          <w:szCs w:val="32"/>
        </w:rPr>
      </w:pPr>
    </w:p>
    <w:p w14:paraId="6E21C18B" w14:textId="77777777" w:rsidR="00044D1F" w:rsidRDefault="00044D1F" w:rsidP="00A2682D">
      <w:pPr>
        <w:rPr>
          <w:rFonts w:ascii="Arial" w:hAnsi="Arial" w:cs="Arial"/>
          <w:b/>
          <w:color w:val="153D63" w:themeColor="text2" w:themeTint="E6"/>
          <w:sz w:val="32"/>
          <w:szCs w:val="32"/>
        </w:rPr>
      </w:pPr>
    </w:p>
    <w:p w14:paraId="5D2C85B0" w14:textId="77777777" w:rsidR="00044D1F" w:rsidRDefault="00044D1F" w:rsidP="00A2682D">
      <w:pPr>
        <w:rPr>
          <w:rFonts w:ascii="Arial" w:hAnsi="Arial" w:cs="Arial"/>
          <w:b/>
          <w:color w:val="153D63" w:themeColor="text2" w:themeTint="E6"/>
          <w:sz w:val="32"/>
          <w:szCs w:val="32"/>
        </w:rPr>
      </w:pPr>
    </w:p>
    <w:p w14:paraId="36FBE690" w14:textId="200AE629" w:rsidR="00A2682D" w:rsidRPr="00D85C44" w:rsidRDefault="00A2682D" w:rsidP="00A2682D">
      <w:pPr>
        <w:rPr>
          <w:rFonts w:ascii="Arial" w:hAnsi="Arial" w:cs="Arial"/>
          <w:b/>
          <w:color w:val="153D63" w:themeColor="text2" w:themeTint="E6"/>
          <w:sz w:val="32"/>
          <w:szCs w:val="32"/>
        </w:rPr>
      </w:pPr>
      <w:r w:rsidRPr="00D85C44">
        <w:rPr>
          <w:rFonts w:ascii="Arial" w:hAnsi="Arial" w:cs="Arial"/>
          <w:b/>
          <w:color w:val="153D63" w:themeColor="text2" w:themeTint="E6"/>
          <w:sz w:val="32"/>
          <w:szCs w:val="32"/>
        </w:rPr>
        <w:t>Programme:</w:t>
      </w:r>
      <w:r w:rsidRPr="00D85C44">
        <w:rPr>
          <w:rFonts w:ascii="Arial" w:hAnsi="Arial" w:cs="Arial"/>
          <w:color w:val="153D63" w:themeColor="text2" w:themeTint="E6"/>
          <w:sz w:val="32"/>
          <w:szCs w:val="32"/>
        </w:rPr>
        <w:t xml:space="preserve"> </w:t>
      </w:r>
      <w:r w:rsidRPr="00D85C44">
        <w:rPr>
          <w:rFonts w:ascii="Arial" w:hAnsi="Arial" w:cs="Arial"/>
          <w:b/>
          <w:color w:val="153D63" w:themeColor="text2" w:themeTint="E6"/>
          <w:sz w:val="32"/>
          <w:szCs w:val="32"/>
        </w:rPr>
        <w:t>BA (Hons) Business Management</w:t>
      </w:r>
    </w:p>
    <w:p w14:paraId="78C90391" w14:textId="47EAAC45" w:rsidR="00A2682D" w:rsidRPr="00D85C44" w:rsidRDefault="00A2682D" w:rsidP="00A2682D">
      <w:pPr>
        <w:rPr>
          <w:rFonts w:ascii="Arial" w:hAnsi="Arial" w:cs="Arial"/>
          <w:b/>
          <w:color w:val="153D63" w:themeColor="text2" w:themeTint="E6"/>
          <w:sz w:val="32"/>
          <w:szCs w:val="32"/>
        </w:rPr>
      </w:pPr>
      <w:r w:rsidRPr="00D85C44">
        <w:rPr>
          <w:rFonts w:ascii="Arial" w:hAnsi="Arial" w:cs="Arial"/>
          <w:b/>
          <w:color w:val="153D63" w:themeColor="text2" w:themeTint="E6"/>
          <w:sz w:val="32"/>
          <w:szCs w:val="32"/>
        </w:rPr>
        <w:t xml:space="preserve">Module: </w:t>
      </w:r>
      <w:r w:rsidR="001C2C70" w:rsidRPr="00D85C44">
        <w:rPr>
          <w:rFonts w:ascii="Arial" w:hAnsi="Arial" w:cs="Arial"/>
          <w:b/>
          <w:color w:val="153D63" w:themeColor="text2" w:themeTint="E6"/>
          <w:sz w:val="32"/>
          <w:szCs w:val="32"/>
        </w:rPr>
        <w:t>M</w:t>
      </w:r>
      <w:r w:rsidR="00BA18EB" w:rsidRPr="00D85C44">
        <w:rPr>
          <w:rFonts w:ascii="Arial" w:hAnsi="Arial" w:cs="Arial"/>
          <w:b/>
          <w:color w:val="153D63" w:themeColor="text2" w:themeTint="E6"/>
          <w:sz w:val="32"/>
          <w:szCs w:val="32"/>
        </w:rPr>
        <w:t xml:space="preserve">anagement Accounting for </w:t>
      </w:r>
      <w:r w:rsidR="006236DA" w:rsidRPr="00D85C44">
        <w:rPr>
          <w:rFonts w:ascii="Arial" w:hAnsi="Arial" w:cs="Arial"/>
          <w:b/>
          <w:color w:val="153D63" w:themeColor="text2" w:themeTint="E6"/>
          <w:sz w:val="32"/>
          <w:szCs w:val="32"/>
        </w:rPr>
        <w:t>Managers</w:t>
      </w:r>
    </w:p>
    <w:p w14:paraId="529AC909" w14:textId="76D6B3A9" w:rsidR="00A2682D" w:rsidRPr="00D85C44" w:rsidRDefault="00A2682D" w:rsidP="00A2682D">
      <w:pPr>
        <w:rPr>
          <w:rFonts w:ascii="Arial" w:hAnsi="Arial" w:cs="Arial"/>
          <w:b/>
          <w:color w:val="153D63" w:themeColor="text2" w:themeTint="E6"/>
          <w:sz w:val="32"/>
          <w:szCs w:val="32"/>
        </w:rPr>
      </w:pPr>
      <w:r w:rsidRPr="00D85C44">
        <w:rPr>
          <w:rFonts w:ascii="Arial" w:hAnsi="Arial" w:cs="Arial"/>
          <w:b/>
          <w:color w:val="153D63" w:themeColor="text2" w:themeTint="E6"/>
          <w:sz w:val="32"/>
          <w:szCs w:val="32"/>
        </w:rPr>
        <w:t>Module code: LCBB501</w:t>
      </w:r>
      <w:r w:rsidR="005B0083" w:rsidRPr="00D85C44">
        <w:rPr>
          <w:rFonts w:ascii="Arial" w:hAnsi="Arial" w:cs="Arial"/>
          <w:b/>
          <w:color w:val="153D63" w:themeColor="text2" w:themeTint="E6"/>
          <w:sz w:val="32"/>
          <w:szCs w:val="32"/>
        </w:rPr>
        <w:t>0</w:t>
      </w:r>
    </w:p>
    <w:p w14:paraId="171F45C0" w14:textId="64E36F37" w:rsidR="00A2682D" w:rsidRPr="00D85C44" w:rsidRDefault="00A2682D" w:rsidP="00A2682D">
      <w:pPr>
        <w:rPr>
          <w:rFonts w:ascii="Arial" w:hAnsi="Arial" w:cs="Arial"/>
          <w:b/>
          <w:color w:val="153D63" w:themeColor="text2" w:themeTint="E6"/>
          <w:sz w:val="32"/>
          <w:szCs w:val="32"/>
        </w:rPr>
      </w:pPr>
      <w:r w:rsidRPr="00D85C44">
        <w:rPr>
          <w:rFonts w:ascii="Arial" w:hAnsi="Arial" w:cs="Arial"/>
          <w:b/>
          <w:color w:val="153D63" w:themeColor="text2" w:themeTint="E6"/>
          <w:sz w:val="32"/>
          <w:szCs w:val="32"/>
        </w:rPr>
        <w:t xml:space="preserve"> Assignment Title: </w:t>
      </w:r>
      <w:r w:rsidR="00E84246" w:rsidRPr="00D85C44">
        <w:rPr>
          <w:rFonts w:ascii="Arial" w:hAnsi="Arial" w:cs="Arial"/>
          <w:b/>
          <w:color w:val="153D63" w:themeColor="text2" w:themeTint="E6"/>
          <w:sz w:val="32"/>
          <w:szCs w:val="32"/>
        </w:rPr>
        <w:t>In</w:t>
      </w:r>
      <w:r w:rsidR="00D85C44" w:rsidRPr="00D85C44">
        <w:rPr>
          <w:rFonts w:ascii="Arial" w:hAnsi="Arial" w:cs="Arial"/>
          <w:b/>
          <w:color w:val="153D63" w:themeColor="text2" w:themeTint="E6"/>
          <w:sz w:val="32"/>
          <w:szCs w:val="32"/>
        </w:rPr>
        <w:t>dividual Report</w:t>
      </w:r>
    </w:p>
    <w:p w14:paraId="25C3844F" w14:textId="467E8D64" w:rsidR="00A2682D" w:rsidRPr="00D85C44" w:rsidRDefault="00A2682D" w:rsidP="00A2682D">
      <w:pPr>
        <w:rPr>
          <w:rFonts w:ascii="Arial" w:hAnsi="Arial" w:cs="Arial"/>
          <w:b/>
          <w:bCs/>
          <w:color w:val="153D63" w:themeColor="text2" w:themeTint="E6"/>
          <w:sz w:val="32"/>
          <w:szCs w:val="32"/>
        </w:rPr>
      </w:pPr>
      <w:r w:rsidRPr="00D85C44">
        <w:rPr>
          <w:rFonts w:ascii="Arial" w:hAnsi="Arial" w:cs="Arial"/>
          <w:b/>
          <w:color w:val="153D63" w:themeColor="text2" w:themeTint="E6"/>
          <w:sz w:val="32"/>
          <w:szCs w:val="32"/>
        </w:rPr>
        <w:t xml:space="preserve"> Lecturer:</w:t>
      </w:r>
      <w:r w:rsidRPr="00D85C44">
        <w:rPr>
          <w:rStyle w:val="Heading1Char"/>
          <w:rFonts w:ascii="Arial" w:hAnsi="Arial" w:cs="Arial"/>
          <w:color w:val="153D63" w:themeColor="text2" w:themeTint="E6"/>
          <w:sz w:val="32"/>
          <w:szCs w:val="32"/>
          <w:shd w:val="clear" w:color="auto" w:fill="FFFFFF"/>
        </w:rPr>
        <w:t xml:space="preserve"> </w:t>
      </w:r>
      <w:r w:rsidR="005B0083" w:rsidRPr="00D85C44">
        <w:rPr>
          <w:rStyle w:val="Heading1Char"/>
          <w:rFonts w:ascii="Arial" w:hAnsi="Arial" w:cs="Arial"/>
          <w:b/>
          <w:bCs/>
          <w:color w:val="153D63" w:themeColor="text2" w:themeTint="E6"/>
          <w:sz w:val="32"/>
          <w:szCs w:val="32"/>
          <w:shd w:val="clear" w:color="auto" w:fill="FFFFFF"/>
        </w:rPr>
        <w:t>D</w:t>
      </w:r>
      <w:r w:rsidR="00E61537" w:rsidRPr="00D85C44">
        <w:rPr>
          <w:rStyle w:val="Heading1Char"/>
          <w:rFonts w:ascii="Arial" w:hAnsi="Arial" w:cs="Arial"/>
          <w:b/>
          <w:bCs/>
          <w:color w:val="153D63" w:themeColor="text2" w:themeTint="E6"/>
          <w:sz w:val="32"/>
          <w:szCs w:val="32"/>
          <w:shd w:val="clear" w:color="auto" w:fill="FFFFFF"/>
        </w:rPr>
        <w:t>r Patrick Y</w:t>
      </w:r>
      <w:r w:rsidR="000B0C2B" w:rsidRPr="00D85C44">
        <w:rPr>
          <w:rStyle w:val="Heading1Char"/>
          <w:rFonts w:ascii="Arial" w:hAnsi="Arial" w:cs="Arial"/>
          <w:b/>
          <w:bCs/>
          <w:color w:val="153D63" w:themeColor="text2" w:themeTint="E6"/>
          <w:sz w:val="32"/>
          <w:szCs w:val="32"/>
          <w:shd w:val="clear" w:color="auto" w:fill="FFFFFF"/>
        </w:rPr>
        <w:t>eboah</w:t>
      </w:r>
    </w:p>
    <w:p w14:paraId="58B78EF5" w14:textId="021A5013" w:rsidR="00A2682D" w:rsidRPr="00D85C44" w:rsidRDefault="00A2682D" w:rsidP="00A2682D">
      <w:pPr>
        <w:rPr>
          <w:rFonts w:ascii="Arial" w:hAnsi="Arial" w:cs="Arial"/>
          <w:b/>
          <w:bCs/>
          <w:color w:val="153D63" w:themeColor="text2" w:themeTint="E6"/>
          <w:sz w:val="32"/>
          <w:szCs w:val="32"/>
        </w:rPr>
      </w:pPr>
      <w:r w:rsidRPr="00D85C44">
        <w:rPr>
          <w:rFonts w:ascii="Arial" w:hAnsi="Arial" w:cs="Arial"/>
          <w:b/>
          <w:color w:val="153D63" w:themeColor="text2" w:themeTint="E6"/>
          <w:sz w:val="32"/>
          <w:szCs w:val="32"/>
        </w:rPr>
        <w:t xml:space="preserve"> </w:t>
      </w:r>
      <w:r w:rsidRPr="00D85C44">
        <w:rPr>
          <w:rFonts w:ascii="Arial" w:hAnsi="Arial" w:cs="Arial"/>
          <w:b/>
          <w:bCs/>
          <w:color w:val="153D63" w:themeColor="text2" w:themeTint="E6"/>
          <w:sz w:val="32"/>
          <w:szCs w:val="32"/>
        </w:rPr>
        <w:t xml:space="preserve">Student Name: Dumitru Nechifor </w:t>
      </w:r>
    </w:p>
    <w:p w14:paraId="14F4390E" w14:textId="40648AAD" w:rsidR="00A2682D" w:rsidRPr="00D85C44" w:rsidRDefault="00A2682D" w:rsidP="00A2682D">
      <w:pPr>
        <w:rPr>
          <w:rFonts w:ascii="Arial" w:hAnsi="Arial" w:cs="Arial"/>
          <w:b/>
          <w:bCs/>
          <w:color w:val="153D63" w:themeColor="text2" w:themeTint="E6"/>
          <w:sz w:val="32"/>
          <w:szCs w:val="32"/>
        </w:rPr>
      </w:pPr>
      <w:r w:rsidRPr="00D85C44">
        <w:rPr>
          <w:rFonts w:ascii="Arial" w:hAnsi="Arial" w:cs="Arial"/>
          <w:b/>
          <w:bCs/>
          <w:color w:val="153D63" w:themeColor="text2" w:themeTint="E6"/>
          <w:sz w:val="32"/>
          <w:szCs w:val="32"/>
        </w:rPr>
        <w:t xml:space="preserve"> Student ID: 2245145</w:t>
      </w:r>
    </w:p>
    <w:p w14:paraId="0206012D" w14:textId="77777777" w:rsidR="00567FEB" w:rsidRPr="00D85C44" w:rsidRDefault="00567FEB">
      <w:pPr>
        <w:rPr>
          <w:color w:val="153D63" w:themeColor="text2" w:themeTint="E6"/>
        </w:rPr>
      </w:pPr>
    </w:p>
    <w:p w14:paraId="338656AE" w14:textId="77777777" w:rsidR="00567FEB" w:rsidRDefault="00567FEB"/>
    <w:p w14:paraId="092D9C5C" w14:textId="77777777" w:rsidR="00567FEB" w:rsidRDefault="00567FEB"/>
    <w:p w14:paraId="1834EA46" w14:textId="77777777" w:rsidR="00567FEB" w:rsidRDefault="00567FEB"/>
    <w:p w14:paraId="0B99A500" w14:textId="77777777" w:rsidR="00567FEB" w:rsidRDefault="00567FEB"/>
    <w:p w14:paraId="77C74238" w14:textId="77777777" w:rsidR="00567FEB" w:rsidRDefault="00567FEB"/>
    <w:p w14:paraId="05254470" w14:textId="77777777" w:rsidR="00567FEB" w:rsidRDefault="00567FEB"/>
    <w:p w14:paraId="20429A70" w14:textId="77777777" w:rsidR="00567FEB" w:rsidRDefault="00567FEB"/>
    <w:p w14:paraId="3EC8E06B" w14:textId="77777777" w:rsidR="00567FEB" w:rsidRDefault="00567FEB"/>
    <w:p w14:paraId="78D6BFF0" w14:textId="77777777" w:rsidR="00567FEB" w:rsidRDefault="00567FEB"/>
    <w:p w14:paraId="2E1FF537" w14:textId="77777777" w:rsidR="00567FEB" w:rsidRDefault="00567FEB"/>
    <w:p w14:paraId="284FDA7A" w14:textId="77777777" w:rsidR="00567FEB" w:rsidRDefault="00567FEB"/>
    <w:p w14:paraId="1FA90A0E" w14:textId="7E09A1D5" w:rsidR="000A57F2" w:rsidRDefault="002A2981" w:rsidP="00F71CC1">
      <w:pPr>
        <w:spacing w:line="360" w:lineRule="auto"/>
        <w:rPr>
          <w:rFonts w:ascii="Arial" w:hAnsi="Arial" w:cs="Arial"/>
          <w:color w:val="242424"/>
          <w:sz w:val="22"/>
          <w:szCs w:val="22"/>
        </w:rPr>
      </w:pPr>
      <w:r>
        <w:rPr>
          <w:rFonts w:ascii="Arial" w:hAnsi="Arial" w:cs="Arial"/>
          <w:b/>
          <w:bCs/>
          <w:color w:val="242424"/>
          <w:sz w:val="28"/>
          <w:szCs w:val="28"/>
          <w:shd w:val="clear" w:color="auto" w:fill="FFFFFF"/>
        </w:rPr>
        <w:lastRenderedPageBreak/>
        <w:t xml:space="preserve">             </w:t>
      </w:r>
      <w:r w:rsidR="00235706" w:rsidRPr="00EB76C6">
        <w:rPr>
          <w:rFonts w:ascii="Arial" w:hAnsi="Arial" w:cs="Arial"/>
          <w:b/>
          <w:bCs/>
          <w:color w:val="242424"/>
          <w:sz w:val="28"/>
          <w:szCs w:val="28"/>
          <w:shd w:val="clear" w:color="auto" w:fill="FFFFFF"/>
        </w:rPr>
        <w:t>Evaluation of Management Accounting Tools and Techniques at Tesla, Inc.</w:t>
      </w:r>
      <w:r w:rsidR="00235706" w:rsidRPr="00EB76C6">
        <w:rPr>
          <w:rFonts w:ascii="Arial" w:hAnsi="Arial" w:cs="Arial"/>
          <w:b/>
          <w:bCs/>
          <w:color w:val="242424"/>
          <w:sz w:val="28"/>
          <w:szCs w:val="28"/>
        </w:rPr>
        <w:br/>
      </w:r>
    </w:p>
    <w:p w14:paraId="443AEA11" w14:textId="77777777" w:rsidR="000A57F2" w:rsidRDefault="000A57F2" w:rsidP="00F71CC1">
      <w:pPr>
        <w:spacing w:line="360" w:lineRule="auto"/>
        <w:rPr>
          <w:rFonts w:ascii="Arial" w:hAnsi="Arial" w:cs="Arial"/>
          <w:color w:val="242424"/>
          <w:sz w:val="22"/>
          <w:szCs w:val="22"/>
        </w:rPr>
      </w:pPr>
    </w:p>
    <w:p w14:paraId="684D324C" w14:textId="17459960" w:rsidR="003B60F9" w:rsidRPr="000A57F2" w:rsidRDefault="00476384" w:rsidP="00F71CC1">
      <w:pPr>
        <w:spacing w:line="360" w:lineRule="auto"/>
        <w:rPr>
          <w:rFonts w:ascii="Arial" w:hAnsi="Arial" w:cs="Arial"/>
          <w:color w:val="242424"/>
          <w:sz w:val="22"/>
          <w:szCs w:val="22"/>
          <w:shd w:val="clear" w:color="auto" w:fill="FFFFFF"/>
        </w:rPr>
      </w:pPr>
      <w:r>
        <w:rPr>
          <w:rFonts w:ascii="Arial" w:hAnsi="Arial" w:cs="Arial"/>
          <w:b/>
          <w:bCs/>
          <w:color w:val="242424"/>
          <w:shd w:val="clear" w:color="auto" w:fill="FFFFFF"/>
        </w:rPr>
        <w:t>Introduction</w:t>
      </w:r>
      <w:r w:rsidR="00235706" w:rsidRPr="000A57F2">
        <w:rPr>
          <w:rFonts w:ascii="Arial" w:hAnsi="Arial" w:cs="Arial"/>
          <w:color w:val="242424"/>
        </w:rPr>
        <w:br/>
      </w:r>
      <w:r w:rsidR="00235706" w:rsidRPr="00F71CC1">
        <w:rPr>
          <w:rFonts w:ascii="Arial" w:hAnsi="Arial" w:cs="Arial"/>
          <w:color w:val="242424"/>
          <w:sz w:val="22"/>
          <w:szCs w:val="22"/>
          <w:shd w:val="clear" w:color="auto" w:fill="FFFFFF"/>
        </w:rPr>
        <w:t xml:space="preserve">Tesla, Inc., headquartered in Austin, Texas, is a titan of the modern automotive and energy sectors. Transitioning from a niche electric vehicle (EV) startup to a global powerhouse with a market capitalization exceeding $800 billion, Tesla’s portfolio encompasses high-performance EVs (Model S, 3, X, Y, and </w:t>
      </w:r>
      <w:r w:rsidR="0030648F" w:rsidRPr="00F71CC1">
        <w:rPr>
          <w:rFonts w:ascii="Arial" w:hAnsi="Arial" w:cs="Arial"/>
          <w:color w:val="242424"/>
          <w:sz w:val="22"/>
          <w:szCs w:val="22"/>
          <w:shd w:val="clear" w:color="auto" w:fill="FFFFFF"/>
        </w:rPr>
        <w:t>CyberTracker</w:t>
      </w:r>
      <w:r w:rsidR="00235706" w:rsidRPr="00F71CC1">
        <w:rPr>
          <w:rFonts w:ascii="Arial" w:hAnsi="Arial" w:cs="Arial"/>
          <w:color w:val="242424"/>
          <w:sz w:val="22"/>
          <w:szCs w:val="22"/>
          <w:shd w:val="clear" w:color="auto" w:fill="FFFFFF"/>
        </w:rPr>
        <w:t xml:space="preserve">), energy storage solutions (Powerwall, Megapack), and solar technology (Tesla, 2024). Operating on a massive scale with "Gigafactories" across three continents, Tesla </w:t>
      </w:r>
      <w:r w:rsidR="0011310B" w:rsidRPr="00F71CC1">
        <w:rPr>
          <w:rFonts w:ascii="Arial" w:hAnsi="Arial" w:cs="Arial"/>
          <w:color w:val="242424"/>
          <w:sz w:val="22"/>
          <w:szCs w:val="22"/>
          <w:shd w:val="clear" w:color="auto" w:fill="FFFFFF"/>
        </w:rPr>
        <w:t>stands for</w:t>
      </w:r>
      <w:r w:rsidR="00235706" w:rsidRPr="00F71CC1">
        <w:rPr>
          <w:rFonts w:ascii="Arial" w:hAnsi="Arial" w:cs="Arial"/>
          <w:color w:val="242424"/>
          <w:sz w:val="22"/>
          <w:szCs w:val="22"/>
          <w:shd w:val="clear" w:color="auto" w:fill="FFFFFF"/>
        </w:rPr>
        <w:t xml:space="preserve"> the epitome of a technology-driven manufacturing firm.</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 xml:space="preserve">In this volatile landscape, management accounting serves as the strategic backbone for financial decision-making. Unlike traditional financial accounting, which reports historical data to external stakeholders, management accounting </w:t>
      </w:r>
      <w:r w:rsidR="0011310B" w:rsidRPr="00F71CC1">
        <w:rPr>
          <w:rFonts w:ascii="Arial" w:hAnsi="Arial" w:cs="Arial"/>
          <w:color w:val="242424"/>
          <w:sz w:val="22"/>
          <w:szCs w:val="22"/>
          <w:shd w:val="clear" w:color="auto" w:fill="FFFFFF"/>
        </w:rPr>
        <w:t>offers</w:t>
      </w:r>
      <w:r w:rsidR="00235706" w:rsidRPr="00F71CC1">
        <w:rPr>
          <w:rFonts w:ascii="Arial" w:hAnsi="Arial" w:cs="Arial"/>
          <w:color w:val="242424"/>
          <w:sz w:val="22"/>
          <w:szCs w:val="22"/>
          <w:shd w:val="clear" w:color="auto" w:fill="FFFFFF"/>
        </w:rPr>
        <w:t xml:space="preserve"> forward-looking insights through tools like Activity-Based Costing (ABC), variance analysis, and capital budgeting (Bhimani et al., 2019). For a company like Tesla, these techniques are vital for navigating high R&amp;D costs, complex global supply chains, and aggressive pricing strategies. Effective management accounting allows Tesla to </w:t>
      </w:r>
      <w:r w:rsidR="00E74260" w:rsidRPr="00F71CC1">
        <w:rPr>
          <w:rFonts w:ascii="Arial" w:hAnsi="Arial" w:cs="Arial"/>
          <w:color w:val="242424"/>
          <w:sz w:val="22"/>
          <w:szCs w:val="22"/>
          <w:shd w:val="clear" w:color="auto" w:fill="FFFFFF"/>
        </w:rPr>
        <w:t>improve</w:t>
      </w:r>
      <w:r w:rsidR="00235706" w:rsidRPr="00F71CC1">
        <w:rPr>
          <w:rFonts w:ascii="Arial" w:hAnsi="Arial" w:cs="Arial"/>
          <w:color w:val="242424"/>
          <w:sz w:val="22"/>
          <w:szCs w:val="22"/>
          <w:shd w:val="clear" w:color="auto" w:fill="FFFFFF"/>
        </w:rPr>
        <w:t xml:space="preserve"> resource allocation, evaluate the profitability of its diverse segments, and </w:t>
      </w:r>
      <w:r w:rsidR="00E74260" w:rsidRPr="00F71CC1">
        <w:rPr>
          <w:rFonts w:ascii="Arial" w:hAnsi="Arial" w:cs="Arial"/>
          <w:color w:val="242424"/>
          <w:sz w:val="22"/>
          <w:szCs w:val="22"/>
          <w:shd w:val="clear" w:color="auto" w:fill="FFFFFF"/>
        </w:rPr>
        <w:t>support</w:t>
      </w:r>
      <w:r w:rsidR="00235706" w:rsidRPr="00F71CC1">
        <w:rPr>
          <w:rFonts w:ascii="Arial" w:hAnsi="Arial" w:cs="Arial"/>
          <w:color w:val="242424"/>
          <w:sz w:val="22"/>
          <w:szCs w:val="22"/>
          <w:shd w:val="clear" w:color="auto" w:fill="FFFFFF"/>
        </w:rPr>
        <w:t xml:space="preserve"> liquidity while funding its transition into an AI and robotics-led future (Drury, 2021; Garrison et al., 2021). By integrating financial and operational data, Tesla’s management can make informed choices that balance short-term profitability with long-term innovation (Horngren et al., 2020; Kaplan and Atkinson, 2015).</w:t>
      </w:r>
      <w:r w:rsidR="00235706" w:rsidRPr="00F71CC1">
        <w:rPr>
          <w:rFonts w:ascii="Arial" w:hAnsi="Arial" w:cs="Arial"/>
          <w:color w:val="242424"/>
          <w:sz w:val="22"/>
          <w:szCs w:val="22"/>
        </w:rPr>
        <w:br/>
      </w:r>
    </w:p>
    <w:p w14:paraId="20836AD2" w14:textId="770137DA" w:rsidR="006C680E" w:rsidRPr="000A57F2" w:rsidRDefault="00235706" w:rsidP="00F71CC1">
      <w:pPr>
        <w:spacing w:line="360" w:lineRule="auto"/>
        <w:rPr>
          <w:rFonts w:ascii="Arial" w:hAnsi="Arial" w:cs="Arial"/>
          <w:b/>
          <w:bCs/>
          <w:color w:val="242424"/>
          <w:shd w:val="clear" w:color="auto" w:fill="FFFFFF"/>
        </w:rPr>
      </w:pPr>
      <w:r w:rsidRPr="00815EB7">
        <w:rPr>
          <w:rFonts w:ascii="Arial" w:hAnsi="Arial" w:cs="Arial"/>
          <w:b/>
          <w:bCs/>
          <w:color w:val="242424"/>
          <w:shd w:val="clear" w:color="auto" w:fill="FFFFFF"/>
        </w:rPr>
        <w:t>Cost Analysis and Business Model</w:t>
      </w:r>
      <w:r w:rsidRPr="00815EB7">
        <w:rPr>
          <w:rFonts w:ascii="Arial" w:hAnsi="Arial" w:cs="Arial"/>
          <w:color w:val="242424"/>
          <w:sz w:val="22"/>
          <w:szCs w:val="22"/>
          <w:shd w:val="clear" w:color="auto" w:fill="FFFFFF"/>
        </w:rPr>
        <w:br/>
      </w:r>
      <w:r w:rsidRPr="00F71CC1">
        <w:rPr>
          <w:rFonts w:ascii="Arial" w:hAnsi="Arial" w:cs="Arial"/>
          <w:color w:val="242424"/>
          <w:sz w:val="22"/>
          <w:szCs w:val="22"/>
          <w:shd w:val="clear" w:color="auto" w:fill="FFFFFF"/>
        </w:rPr>
        <w:t xml:space="preserve">Tesla’s business model uniquely characterized by vertical integration and a direct-to-consumer sales approach. Its revenue model diversified into three primary streams: Automotive (EV sales, leasing, and regulatory credits), Energy Generation and Storage, and Services (supercharging, insurance, and repairs). In 2024, the automotive segment </w:t>
      </w:r>
      <w:r w:rsidR="00E74260" w:rsidRPr="00F71CC1">
        <w:rPr>
          <w:rFonts w:ascii="Arial" w:hAnsi="Arial" w:cs="Arial"/>
          <w:color w:val="242424"/>
          <w:sz w:val="22"/>
          <w:szCs w:val="22"/>
          <w:shd w:val="clear" w:color="auto" w:fill="FFFFFF"/>
        </w:rPr>
        <w:t>stayed</w:t>
      </w:r>
      <w:r w:rsidRPr="00F71CC1">
        <w:rPr>
          <w:rFonts w:ascii="Arial" w:hAnsi="Arial" w:cs="Arial"/>
          <w:color w:val="242424"/>
          <w:sz w:val="22"/>
          <w:szCs w:val="22"/>
          <w:shd w:val="clear" w:color="auto" w:fill="FFFFFF"/>
        </w:rPr>
        <w:t xml:space="preserve"> the dominant driver, though the energy segment showed significant growth, achieving gross margins of over 30% (Tesla, 2024). A distinctive feature of Tesla’s revenue model is its software-as-a-service (SaaS) component, specifically through Full Self-Driving (FSD) subscriptions, which provide high-margin recurring revenue (Merchant, 2023).</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From a management accounting perspective, Tesla’s cost structure is a blend of heavy fixed costs and fluctuating variable costs. Fixed costs dominated by massive capital investments </w:t>
      </w:r>
      <w:r w:rsidRPr="00F71CC1">
        <w:rPr>
          <w:rFonts w:ascii="Arial" w:hAnsi="Arial" w:cs="Arial"/>
          <w:color w:val="242424"/>
          <w:sz w:val="22"/>
          <w:szCs w:val="22"/>
          <w:shd w:val="clear" w:color="auto" w:fill="FFFFFF"/>
        </w:rPr>
        <w:lastRenderedPageBreak/>
        <w:t xml:space="preserve">in Gigafactories, automated production lines, and an extensive R&amp;D budget which surged by 57% in recent cycles to support AI and the "Optimus" robot project (Smith, 2024). These fixed costs create high operating leverage, meaning Tesla must </w:t>
      </w:r>
      <w:r w:rsidR="00E74260" w:rsidRPr="00F71CC1">
        <w:rPr>
          <w:rFonts w:ascii="Arial" w:hAnsi="Arial" w:cs="Arial"/>
          <w:color w:val="242424"/>
          <w:sz w:val="22"/>
          <w:szCs w:val="22"/>
          <w:shd w:val="clear" w:color="auto" w:fill="FFFFFF"/>
        </w:rPr>
        <w:t>support</w:t>
      </w:r>
      <w:r w:rsidRPr="00F71CC1">
        <w:rPr>
          <w:rFonts w:ascii="Arial" w:hAnsi="Arial" w:cs="Arial"/>
          <w:color w:val="242424"/>
          <w:sz w:val="22"/>
          <w:szCs w:val="22"/>
          <w:shd w:val="clear" w:color="auto" w:fill="FFFFFF"/>
        </w:rPr>
        <w:t xml:space="preserve"> high production volumes to achieve "economies of scale" and lower the per-unit cost (Atrill and McLaney, 2022). Conversely, variable costs include raw materials such as lithium, cobalt, and nickel for battery cells, as well as direct </w:t>
      </w:r>
      <w:r w:rsidR="0070674C" w:rsidRPr="00F71CC1">
        <w:rPr>
          <w:rFonts w:ascii="Arial" w:hAnsi="Arial" w:cs="Arial"/>
          <w:color w:val="242424"/>
          <w:sz w:val="22"/>
          <w:szCs w:val="22"/>
          <w:shd w:val="clear" w:color="auto" w:fill="FFFFFF"/>
        </w:rPr>
        <w:t>labour</w:t>
      </w:r>
      <w:r w:rsidRPr="00F71CC1">
        <w:rPr>
          <w:rFonts w:ascii="Arial" w:hAnsi="Arial" w:cs="Arial"/>
          <w:color w:val="242424"/>
          <w:sz w:val="22"/>
          <w:szCs w:val="22"/>
          <w:shd w:val="clear" w:color="auto" w:fill="FFFFFF"/>
        </w:rPr>
        <w:t xml:space="preserve">. Management </w:t>
      </w:r>
      <w:r w:rsidR="00E74260" w:rsidRPr="00F71CC1">
        <w:rPr>
          <w:rFonts w:ascii="Arial" w:hAnsi="Arial" w:cs="Arial"/>
          <w:color w:val="242424"/>
          <w:sz w:val="22"/>
          <w:szCs w:val="22"/>
          <w:shd w:val="clear" w:color="auto" w:fill="FFFFFF"/>
        </w:rPr>
        <w:t>uses</w:t>
      </w:r>
      <w:r w:rsidRPr="00F71CC1">
        <w:rPr>
          <w:rFonts w:ascii="Arial" w:hAnsi="Arial" w:cs="Arial"/>
          <w:color w:val="242424"/>
          <w:sz w:val="22"/>
          <w:szCs w:val="22"/>
          <w:shd w:val="clear" w:color="auto" w:fill="FFFFFF"/>
        </w:rPr>
        <w:t xml:space="preserve"> Activity-Based Costing (ABC) to </w:t>
      </w:r>
      <w:r w:rsidR="0034570A" w:rsidRPr="00F71CC1">
        <w:rPr>
          <w:rFonts w:ascii="Arial" w:hAnsi="Arial" w:cs="Arial"/>
          <w:color w:val="242424"/>
          <w:sz w:val="22"/>
          <w:szCs w:val="22"/>
          <w:shd w:val="clear" w:color="auto" w:fill="FFFFFF"/>
        </w:rPr>
        <w:t>distribute</w:t>
      </w:r>
      <w:r w:rsidRPr="00F71CC1">
        <w:rPr>
          <w:rFonts w:ascii="Arial" w:hAnsi="Arial" w:cs="Arial"/>
          <w:color w:val="242424"/>
          <w:sz w:val="22"/>
          <w:szCs w:val="22"/>
          <w:shd w:val="clear" w:color="auto" w:fill="FFFFFF"/>
        </w:rPr>
        <w:t xml:space="preserve"> overheads more accurately than traditional methods, </w:t>
      </w:r>
      <w:r w:rsidR="00CE1621" w:rsidRPr="00F71CC1">
        <w:rPr>
          <w:rFonts w:ascii="Arial" w:hAnsi="Arial" w:cs="Arial"/>
          <w:color w:val="242424"/>
          <w:sz w:val="22"/>
          <w:szCs w:val="22"/>
          <w:shd w:val="clear" w:color="auto" w:fill="FFFFFF"/>
        </w:rPr>
        <w:t>finding</w:t>
      </w:r>
      <w:r w:rsidRPr="00F71CC1">
        <w:rPr>
          <w:rFonts w:ascii="Arial" w:hAnsi="Arial" w:cs="Arial"/>
          <w:color w:val="242424"/>
          <w:sz w:val="22"/>
          <w:szCs w:val="22"/>
          <w:shd w:val="clear" w:color="auto" w:fill="FFFFFF"/>
        </w:rPr>
        <w:t xml:space="preserve"> that "custom" parts for models like the </w:t>
      </w:r>
      <w:r w:rsidR="0070674C" w:rsidRPr="00F71CC1">
        <w:rPr>
          <w:rFonts w:ascii="Arial" w:hAnsi="Arial" w:cs="Arial"/>
          <w:color w:val="242424"/>
          <w:sz w:val="22"/>
          <w:szCs w:val="22"/>
          <w:shd w:val="clear" w:color="auto" w:fill="FFFFFF"/>
        </w:rPr>
        <w:t>CyberTracker</w:t>
      </w:r>
      <w:r w:rsidRPr="00F71CC1">
        <w:rPr>
          <w:rFonts w:ascii="Arial" w:hAnsi="Arial" w:cs="Arial"/>
          <w:color w:val="242424"/>
          <w:sz w:val="22"/>
          <w:szCs w:val="22"/>
          <w:shd w:val="clear" w:color="auto" w:fill="FFFFFF"/>
        </w:rPr>
        <w:t xml:space="preserve"> drive significantly higher indirect costs than standardized components for the Model 3 (EmbaPro, 2025). By </w:t>
      </w:r>
      <w:r w:rsidR="0070674C" w:rsidRPr="00F71CC1">
        <w:rPr>
          <w:rFonts w:ascii="Arial" w:hAnsi="Arial" w:cs="Arial"/>
          <w:color w:val="242424"/>
          <w:sz w:val="22"/>
          <w:szCs w:val="22"/>
          <w:shd w:val="clear" w:color="auto" w:fill="FFFFFF"/>
        </w:rPr>
        <w:t>analysing</w:t>
      </w:r>
      <w:r w:rsidRPr="00F71CC1">
        <w:rPr>
          <w:rFonts w:ascii="Arial" w:hAnsi="Arial" w:cs="Arial"/>
          <w:color w:val="242424"/>
          <w:sz w:val="22"/>
          <w:szCs w:val="22"/>
          <w:shd w:val="clear" w:color="auto" w:fill="FFFFFF"/>
        </w:rPr>
        <w:t xml:space="preserve"> the "marginal cost" of each additional vehicle, Tesla can adjust its pricing strategies in real-time—often slashing prices to stimulate demand and ensure fixed cost absorption during periods of high inventory (Weygandt et al., 2021; Jones, 2023).</w:t>
      </w:r>
      <w:r w:rsidRPr="00F71CC1">
        <w:rPr>
          <w:rFonts w:ascii="Arial" w:hAnsi="Arial" w:cs="Arial"/>
          <w:color w:val="242424"/>
          <w:sz w:val="22"/>
          <w:szCs w:val="22"/>
        </w:rPr>
        <w:br/>
      </w:r>
      <w:r w:rsidRPr="00F71CC1">
        <w:rPr>
          <w:rFonts w:ascii="Arial" w:hAnsi="Arial" w:cs="Arial"/>
          <w:color w:val="242424"/>
          <w:sz w:val="22"/>
          <w:szCs w:val="22"/>
        </w:rPr>
        <w:br/>
      </w:r>
      <w:r w:rsidRPr="0070674C">
        <w:rPr>
          <w:rFonts w:ascii="Arial" w:hAnsi="Arial" w:cs="Arial"/>
          <w:b/>
          <w:bCs/>
          <w:color w:val="242424"/>
          <w:shd w:val="clear" w:color="auto" w:fill="FFFFFF"/>
        </w:rPr>
        <w:t>Budgeting and Financial Planning</w:t>
      </w:r>
      <w:r w:rsidRPr="0070674C">
        <w:rPr>
          <w:rFonts w:ascii="Arial" w:hAnsi="Arial" w:cs="Arial"/>
          <w:b/>
          <w:bCs/>
          <w:color w:val="242424"/>
        </w:rPr>
        <w:br/>
      </w:r>
      <w:r w:rsidRPr="00F71CC1">
        <w:rPr>
          <w:rFonts w:ascii="Arial" w:hAnsi="Arial" w:cs="Arial"/>
          <w:color w:val="242424"/>
          <w:sz w:val="22"/>
          <w:szCs w:val="22"/>
          <w:shd w:val="clear" w:color="auto" w:fill="FFFFFF"/>
        </w:rPr>
        <w:t xml:space="preserve">Budgeting at Tesla is an iterative, dynamic process that aligns its ambitious technological roadmap with financial reality. The company </w:t>
      </w:r>
      <w:r w:rsidR="00F2702A" w:rsidRPr="00F71CC1">
        <w:rPr>
          <w:rFonts w:ascii="Arial" w:hAnsi="Arial" w:cs="Arial"/>
          <w:color w:val="242424"/>
          <w:sz w:val="22"/>
          <w:szCs w:val="22"/>
          <w:shd w:val="clear" w:color="auto" w:fill="FFFFFF"/>
        </w:rPr>
        <w:t>uses</w:t>
      </w:r>
      <w:r w:rsidRPr="00F71CC1">
        <w:rPr>
          <w:rFonts w:ascii="Arial" w:hAnsi="Arial" w:cs="Arial"/>
          <w:color w:val="242424"/>
          <w:sz w:val="22"/>
          <w:szCs w:val="22"/>
          <w:shd w:val="clear" w:color="auto" w:fill="FFFFFF"/>
        </w:rPr>
        <w:t xml:space="preserve"> "rolling forecasts" rather than static annual budgets to adapt to the rapid shifts in the EV market and global supply chain disruptions (Burns and Quinn, 2011). This flexibility allows Tesla to reallocate capital quickly, such as shifting funds from traditional factory expansion toward AI supercomputing clusters like "Dojo" (Tesla, 2024).</w:t>
      </w:r>
      <w:r w:rsidRPr="00F71CC1">
        <w:rPr>
          <w:rFonts w:ascii="Arial" w:hAnsi="Arial" w:cs="Arial"/>
          <w:color w:val="242424"/>
          <w:sz w:val="22"/>
          <w:szCs w:val="22"/>
        </w:rPr>
        <w:br/>
      </w:r>
      <w:r w:rsidRPr="00F71CC1">
        <w:rPr>
          <w:rFonts w:ascii="Arial" w:hAnsi="Arial" w:cs="Arial"/>
          <w:color w:val="242424"/>
          <w:sz w:val="22"/>
          <w:szCs w:val="22"/>
          <w:shd w:val="clear" w:color="auto" w:fill="FFFFFF"/>
        </w:rPr>
        <w:t>Reviewing current financial data, Tesla’s operating expenses (</w:t>
      </w:r>
      <w:r w:rsidR="00AB297F" w:rsidRPr="00F71CC1">
        <w:rPr>
          <w:rFonts w:ascii="Arial" w:hAnsi="Arial" w:cs="Arial"/>
          <w:color w:val="242424"/>
          <w:sz w:val="22"/>
          <w:szCs w:val="22"/>
          <w:shd w:val="clear" w:color="auto" w:fill="FFFFFF"/>
        </w:rPr>
        <w:t>O</w:t>
      </w:r>
      <w:r w:rsidR="00260D52">
        <w:rPr>
          <w:rFonts w:ascii="Arial" w:hAnsi="Arial" w:cs="Arial"/>
          <w:color w:val="242424"/>
          <w:sz w:val="22"/>
          <w:szCs w:val="22"/>
          <w:shd w:val="clear" w:color="auto" w:fill="FFFFFF"/>
        </w:rPr>
        <w:t>pEx</w:t>
      </w:r>
      <w:r w:rsidRPr="00F71CC1">
        <w:rPr>
          <w:rFonts w:ascii="Arial" w:hAnsi="Arial" w:cs="Arial"/>
          <w:color w:val="242424"/>
          <w:sz w:val="22"/>
          <w:szCs w:val="22"/>
          <w:shd w:val="clear" w:color="auto" w:fill="FFFFFF"/>
        </w:rPr>
        <w:t xml:space="preserve">) showed a notable year-on-year increase. According to Google Finance (2025), OpEx rose from approximately $8.7 billion in 2023 to $9.7 billion in 2024, </w:t>
      </w:r>
      <w:r w:rsidR="004E43F8" w:rsidRPr="00F71CC1">
        <w:rPr>
          <w:rFonts w:ascii="Arial" w:hAnsi="Arial" w:cs="Arial"/>
          <w:color w:val="242424"/>
          <w:sz w:val="22"/>
          <w:szCs w:val="22"/>
          <w:shd w:val="clear" w:color="auto" w:fill="FFFFFF"/>
        </w:rPr>
        <w:t>an 11%</w:t>
      </w:r>
      <w:r w:rsidRPr="00F71CC1">
        <w:rPr>
          <w:rFonts w:ascii="Arial" w:hAnsi="Arial" w:cs="Arial"/>
          <w:color w:val="242424"/>
          <w:sz w:val="22"/>
          <w:szCs w:val="22"/>
          <w:shd w:val="clear" w:color="auto" w:fill="FFFFFF"/>
        </w:rPr>
        <w:t xml:space="preserve"> increase. Internally, management made the strategic decision to prioritize "autonomy and AI" over immediate margin preservation, leading to the </w:t>
      </w:r>
      <w:r w:rsidR="004E43F8" w:rsidRPr="00F71CC1">
        <w:rPr>
          <w:rFonts w:ascii="Arial" w:hAnsi="Arial" w:cs="Arial"/>
          <w:color w:val="242424"/>
          <w:sz w:val="22"/>
          <w:szCs w:val="22"/>
          <w:shd w:val="clear" w:color="auto" w:fill="FFFFFF"/>
        </w:rPr>
        <w:t>spike</w:t>
      </w:r>
      <w:r w:rsidRPr="00F71CC1">
        <w:rPr>
          <w:rFonts w:ascii="Arial" w:hAnsi="Arial" w:cs="Arial"/>
          <w:color w:val="242424"/>
          <w:sz w:val="22"/>
          <w:szCs w:val="22"/>
          <w:shd w:val="clear" w:color="auto" w:fill="FFFFFF"/>
        </w:rPr>
        <w:t xml:space="preserve"> in R&amp;D spending (Panabee, 2025). This reflects a "Zero-Based Budgeting" philosophy where every dollar of expenditure </w:t>
      </w:r>
      <w:r w:rsidR="0029588A" w:rsidRPr="00F71CC1">
        <w:rPr>
          <w:rFonts w:ascii="Arial" w:hAnsi="Arial" w:cs="Arial"/>
          <w:color w:val="242424"/>
          <w:sz w:val="22"/>
          <w:szCs w:val="22"/>
          <w:shd w:val="clear" w:color="auto" w:fill="FFFFFF"/>
        </w:rPr>
        <w:t xml:space="preserve">must </w:t>
      </w:r>
      <w:r w:rsidR="00C0269D" w:rsidRPr="00F71CC1">
        <w:rPr>
          <w:rFonts w:ascii="Arial" w:hAnsi="Arial" w:cs="Arial"/>
          <w:color w:val="242424"/>
          <w:sz w:val="22"/>
          <w:szCs w:val="22"/>
          <w:shd w:val="clear" w:color="auto" w:fill="FFFFFF"/>
        </w:rPr>
        <w:t>be justified</w:t>
      </w:r>
      <w:r w:rsidRPr="00F71CC1">
        <w:rPr>
          <w:rFonts w:ascii="Arial" w:hAnsi="Arial" w:cs="Arial"/>
          <w:color w:val="242424"/>
          <w:sz w:val="22"/>
          <w:szCs w:val="22"/>
          <w:shd w:val="clear" w:color="auto" w:fill="FFFFFF"/>
        </w:rPr>
        <w:t xml:space="preserve"> by its contribution to future competitive advantage. Externally, macroeconomic factors such as high interest rates in the US and Europe dampened consumer demand for luxury EVs, forcing management to increase marketing spend and customer acquisition costs—expenses Tesla historically avoided (Miller and Crossan, 2023). Additionally, inflationary pressures on global </w:t>
      </w:r>
      <w:r w:rsidR="00C0269D" w:rsidRPr="00F71CC1">
        <w:rPr>
          <w:rFonts w:ascii="Arial" w:hAnsi="Arial" w:cs="Arial"/>
          <w:color w:val="242424"/>
          <w:sz w:val="22"/>
          <w:szCs w:val="22"/>
          <w:shd w:val="clear" w:color="auto" w:fill="FFFFFF"/>
        </w:rPr>
        <w:t>organization</w:t>
      </w:r>
      <w:r w:rsidRPr="00F71CC1">
        <w:rPr>
          <w:rFonts w:ascii="Arial" w:hAnsi="Arial" w:cs="Arial"/>
          <w:color w:val="242424"/>
          <w:sz w:val="22"/>
          <w:szCs w:val="22"/>
          <w:shd w:val="clear" w:color="auto" w:fill="FFFFFF"/>
        </w:rPr>
        <w:t xml:space="preserve"> and specialized </w:t>
      </w:r>
      <w:r w:rsidR="00C0269D" w:rsidRPr="00F71CC1">
        <w:rPr>
          <w:rFonts w:ascii="Arial" w:hAnsi="Arial" w:cs="Arial"/>
          <w:color w:val="242424"/>
          <w:sz w:val="22"/>
          <w:szCs w:val="22"/>
          <w:shd w:val="clear" w:color="auto" w:fill="FFFFFF"/>
        </w:rPr>
        <w:t>labour</w:t>
      </w:r>
      <w:r w:rsidRPr="00F71CC1">
        <w:rPr>
          <w:rFonts w:ascii="Arial" w:hAnsi="Arial" w:cs="Arial"/>
          <w:color w:val="242424"/>
          <w:sz w:val="22"/>
          <w:szCs w:val="22"/>
          <w:shd w:val="clear" w:color="auto" w:fill="FFFFFF"/>
        </w:rPr>
        <w:t xml:space="preserve"> markets contributed to the rise in Selling, General, and Administrative (SG&amp;A) expenses. Management’s response to these external pressures involved a dual-track strategy: </w:t>
      </w:r>
      <w:r w:rsidR="00CE1621" w:rsidRPr="00F71CC1">
        <w:rPr>
          <w:rFonts w:ascii="Arial" w:hAnsi="Arial" w:cs="Arial"/>
          <w:color w:val="242424"/>
          <w:sz w:val="22"/>
          <w:szCs w:val="22"/>
          <w:shd w:val="clear" w:color="auto" w:fill="FFFFFF"/>
        </w:rPr>
        <w:t>using</w:t>
      </w:r>
      <w:r w:rsidRPr="00F71CC1">
        <w:rPr>
          <w:rFonts w:ascii="Arial" w:hAnsi="Arial" w:cs="Arial"/>
          <w:color w:val="242424"/>
          <w:sz w:val="22"/>
          <w:szCs w:val="22"/>
          <w:shd w:val="clear" w:color="auto" w:fill="FFFFFF"/>
        </w:rPr>
        <w:t xml:space="preserve"> budgetary controls to implement lean manufacturing "cost-cutting" initiatives in the automotive segment while simultaneously authorizing aggressive investment budgets for the Energy and AI segments (Seal et al., 2023; Stock Analysis, 2026).</w:t>
      </w:r>
      <w:r w:rsidRPr="00F71CC1">
        <w:rPr>
          <w:rFonts w:ascii="Arial" w:hAnsi="Arial" w:cs="Arial"/>
          <w:color w:val="242424"/>
          <w:sz w:val="22"/>
          <w:szCs w:val="22"/>
        </w:rPr>
        <w:br/>
      </w:r>
      <w:r w:rsidRPr="00F71CC1">
        <w:rPr>
          <w:rFonts w:ascii="Arial" w:hAnsi="Arial" w:cs="Arial"/>
          <w:color w:val="242424"/>
          <w:sz w:val="22"/>
          <w:szCs w:val="22"/>
        </w:rPr>
        <w:lastRenderedPageBreak/>
        <w:br/>
      </w:r>
      <w:r w:rsidRPr="00CE1621">
        <w:rPr>
          <w:rFonts w:ascii="Arial" w:hAnsi="Arial" w:cs="Arial"/>
          <w:b/>
          <w:bCs/>
          <w:color w:val="242424"/>
          <w:shd w:val="clear" w:color="auto" w:fill="FFFFFF"/>
        </w:rPr>
        <w:t>Performance Measurement and Decision-Making</w:t>
      </w:r>
    </w:p>
    <w:p w14:paraId="399D7634" w14:textId="0C5E80E4" w:rsidR="0034606B" w:rsidRPr="006C680E" w:rsidRDefault="00235706" w:rsidP="00F71CC1">
      <w:pPr>
        <w:spacing w:line="360" w:lineRule="auto"/>
        <w:rPr>
          <w:rFonts w:ascii="Arial" w:hAnsi="Arial" w:cs="Arial"/>
          <w:color w:val="242424"/>
          <w:sz w:val="22"/>
          <w:szCs w:val="22"/>
        </w:rPr>
      </w:pPr>
      <w:r w:rsidRPr="00F71CC1">
        <w:rPr>
          <w:rFonts w:ascii="Arial" w:hAnsi="Arial" w:cs="Arial"/>
          <w:color w:val="242424"/>
          <w:sz w:val="22"/>
          <w:szCs w:val="22"/>
          <w:shd w:val="clear" w:color="auto" w:fill="FFFFFF"/>
        </w:rPr>
        <w:t>Tesla employs a "Balanced Scorecard" approach to performance measurement, integrating financial metrics with non-financial indicators to gauge holistic health (Kaplan and Norton, 1996). Based on annual reports and financial databases, key KPIs include:</w:t>
      </w:r>
    </w:p>
    <w:p w14:paraId="64FF4BE1" w14:textId="633AD13C" w:rsidR="009E60FE" w:rsidRDefault="00893F1E" w:rsidP="00F71CC1">
      <w:pPr>
        <w:spacing w:line="360" w:lineRule="auto"/>
        <w:rPr>
          <w:rFonts w:ascii="Arial" w:hAnsi="Arial" w:cs="Arial"/>
          <w:color w:val="242424"/>
          <w:sz w:val="22"/>
          <w:szCs w:val="22"/>
          <w:shd w:val="clear" w:color="auto" w:fill="FFFFFF"/>
        </w:rPr>
      </w:pPr>
      <w:r w:rsidRPr="00893F1E">
        <w:rPr>
          <w:rFonts w:ascii="Segoe UI" w:hAnsi="Segoe UI" w:cs="Segoe UI"/>
          <w:b/>
          <w:bCs/>
          <w:color w:val="242424"/>
          <w:sz w:val="22"/>
          <w:szCs w:val="22"/>
          <w:shd w:val="clear" w:color="auto" w:fill="FFFFFF"/>
        </w:rPr>
        <w:t>1.</w:t>
      </w:r>
      <w:r w:rsidR="000A0DE4" w:rsidRPr="00893F1E">
        <w:rPr>
          <w:rFonts w:ascii="Segoe UI" w:hAnsi="Segoe UI" w:cs="Segoe UI"/>
          <w:b/>
          <w:bCs/>
          <w:color w:val="242424"/>
          <w:sz w:val="22"/>
          <w:szCs w:val="22"/>
          <w:shd w:val="clear" w:color="auto" w:fill="FFFFFF"/>
        </w:rPr>
        <w:t>Financial Perspective (Profitability vs. Growth):</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Gross Margin by Product Line: A critical KPI where Tesla aims for 20-25%. This measures production efficiency and the effectiveness of their "Gigapress" manufacturing.</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Free Cash Flow (FCF): In 2024, Tesla reported an FCF of approximately $3.58 billion, indicating its ability to self-fund massive capital expenditures (CapEx) for AI and new factories.</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Revenue Mix: Tesla tracks the shift from pure automotive sales to high-margin recurring revenue from Full Self-Driving (FSD) software and Energy Storage (e.g., Megapacks).</w:t>
      </w:r>
      <w:r w:rsidR="000A0DE4">
        <w:rPr>
          <w:rFonts w:ascii="Segoe UI" w:hAnsi="Segoe UI" w:cs="Segoe UI"/>
          <w:color w:val="242424"/>
          <w:sz w:val="22"/>
          <w:szCs w:val="22"/>
        </w:rPr>
        <w:br/>
      </w:r>
      <w:r w:rsidR="000A0DE4">
        <w:rPr>
          <w:rFonts w:ascii="Segoe UI" w:hAnsi="Segoe UI" w:cs="Segoe UI"/>
          <w:color w:val="242424"/>
          <w:sz w:val="22"/>
          <w:szCs w:val="22"/>
        </w:rPr>
        <w:br/>
      </w:r>
      <w:r w:rsidRPr="009E7ED8">
        <w:rPr>
          <w:rFonts w:ascii="Segoe UI" w:hAnsi="Segoe UI" w:cs="Segoe UI"/>
          <w:b/>
          <w:bCs/>
          <w:color w:val="242424"/>
          <w:sz w:val="22"/>
          <w:szCs w:val="22"/>
          <w:shd w:val="clear" w:color="auto" w:fill="FFFFFF"/>
        </w:rPr>
        <w:t>2.</w:t>
      </w:r>
      <w:r w:rsidR="000A0DE4" w:rsidRPr="009E7ED8">
        <w:rPr>
          <w:rFonts w:ascii="Segoe UI" w:hAnsi="Segoe UI" w:cs="Segoe UI"/>
          <w:b/>
          <w:bCs/>
          <w:color w:val="242424"/>
          <w:sz w:val="22"/>
          <w:szCs w:val="22"/>
          <w:shd w:val="clear" w:color="auto" w:fill="FFFFFF"/>
        </w:rPr>
        <w:t>Operational Perspective (Efficiency and Scale):</w:t>
      </w:r>
      <w:r w:rsidR="000A0DE4" w:rsidRPr="009E7ED8">
        <w:rPr>
          <w:rFonts w:ascii="Segoe UI" w:hAnsi="Segoe UI" w:cs="Segoe UI"/>
          <w:color w:val="242424"/>
          <w:sz w:val="22"/>
          <w:szCs w:val="22"/>
        </w:rPr>
        <w:br/>
      </w:r>
      <w:r w:rsidR="000A0DE4">
        <w:rPr>
          <w:rFonts w:ascii="Segoe UI" w:hAnsi="Segoe UI" w:cs="Segoe UI"/>
          <w:color w:val="242424"/>
          <w:sz w:val="22"/>
          <w:szCs w:val="22"/>
          <w:shd w:val="clear" w:color="auto" w:fill="FFFFFF"/>
        </w:rPr>
        <w:t>◦ Delivery vs. Production Volume: The gap between cars made and cars sold is a key indicator of inventory management and market demand.</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Energy Storage Deployed: Measured in Gigawatt-hours (GWh). This is currently one of Tesla’s fastest-growing segments, with growth rates exceeding 80% year-over-year in recent quarters.</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xml:space="preserve">◦ Cost per Vehicle: A relentless focus on reducing the Bill of Materials (BOM) to </w:t>
      </w:r>
      <w:r w:rsidR="005C5DC5">
        <w:rPr>
          <w:rFonts w:ascii="Segoe UI" w:hAnsi="Segoe UI" w:cs="Segoe UI"/>
          <w:color w:val="242424"/>
          <w:sz w:val="22"/>
          <w:szCs w:val="22"/>
          <w:shd w:val="clear" w:color="auto" w:fill="FFFFFF"/>
        </w:rPr>
        <w:t>support</w:t>
      </w:r>
      <w:r w:rsidR="000A0DE4">
        <w:rPr>
          <w:rFonts w:ascii="Segoe UI" w:hAnsi="Segoe UI" w:cs="Segoe UI"/>
          <w:color w:val="242424"/>
          <w:sz w:val="22"/>
          <w:szCs w:val="22"/>
          <w:shd w:val="clear" w:color="auto" w:fill="FFFFFF"/>
        </w:rPr>
        <w:t xml:space="preserve"> price competitiveness against Chinese EV makers.</w:t>
      </w:r>
      <w:r w:rsidR="000A0DE4">
        <w:rPr>
          <w:rFonts w:ascii="Segoe UI" w:hAnsi="Segoe UI" w:cs="Segoe UI"/>
          <w:color w:val="242424"/>
          <w:sz w:val="22"/>
          <w:szCs w:val="22"/>
        </w:rPr>
        <w:br/>
      </w:r>
      <w:r w:rsidR="000A0DE4">
        <w:rPr>
          <w:rFonts w:ascii="Segoe UI" w:hAnsi="Segoe UI" w:cs="Segoe UI"/>
          <w:color w:val="242424"/>
          <w:sz w:val="22"/>
          <w:szCs w:val="22"/>
        </w:rPr>
        <w:br/>
      </w:r>
      <w:r w:rsidRPr="006C680E">
        <w:rPr>
          <w:rFonts w:ascii="Segoe UI" w:hAnsi="Segoe UI" w:cs="Segoe UI"/>
          <w:b/>
          <w:bCs/>
          <w:color w:val="242424"/>
          <w:sz w:val="22"/>
          <w:szCs w:val="22"/>
          <w:shd w:val="clear" w:color="auto" w:fill="FFFFFF"/>
        </w:rPr>
        <w:t>3</w:t>
      </w:r>
      <w:r w:rsidR="006F44AD" w:rsidRPr="006C680E">
        <w:rPr>
          <w:rFonts w:ascii="Segoe UI" w:hAnsi="Segoe UI" w:cs="Segoe UI"/>
          <w:b/>
          <w:bCs/>
          <w:color w:val="242424"/>
          <w:sz w:val="22"/>
          <w:szCs w:val="22"/>
          <w:shd w:val="clear" w:color="auto" w:fill="FFFFFF"/>
        </w:rPr>
        <w:t>.</w:t>
      </w:r>
      <w:r w:rsidR="000A0DE4" w:rsidRPr="006C680E">
        <w:rPr>
          <w:rFonts w:ascii="Segoe UI" w:hAnsi="Segoe UI" w:cs="Segoe UI"/>
          <w:b/>
          <w:bCs/>
          <w:color w:val="242424"/>
          <w:sz w:val="22"/>
          <w:szCs w:val="22"/>
          <w:shd w:val="clear" w:color="auto" w:fill="FFFFFF"/>
        </w:rPr>
        <w:t xml:space="preserve"> Customer &amp; Brand Perspective:</w:t>
      </w:r>
      <w:r w:rsidR="000A0DE4">
        <w:rPr>
          <w:rFonts w:ascii="Segoe UI" w:hAnsi="Segoe UI" w:cs="Segoe UI"/>
          <w:color w:val="242424"/>
          <w:sz w:val="22"/>
          <w:szCs w:val="22"/>
        </w:rPr>
        <w:br/>
      </w:r>
      <w:r w:rsidR="000A0DE4">
        <w:rPr>
          <w:rFonts w:ascii="Segoe UI" w:hAnsi="Segoe UI" w:cs="Segoe UI"/>
          <w:color w:val="242424"/>
          <w:sz w:val="22"/>
          <w:szCs w:val="22"/>
          <w:shd w:val="clear" w:color="auto" w:fill="FFFFFF"/>
        </w:rPr>
        <w:t xml:space="preserve">◦ Net Promoter Score (NPS): Historically high (often 70+), though Tesla also </w:t>
      </w:r>
      <w:r w:rsidR="005C5DC5">
        <w:rPr>
          <w:rFonts w:ascii="Segoe UI" w:hAnsi="Segoe UI" w:cs="Segoe UI"/>
          <w:color w:val="242424"/>
          <w:sz w:val="22"/>
          <w:szCs w:val="22"/>
          <w:shd w:val="clear" w:color="auto" w:fill="FFFFFF"/>
        </w:rPr>
        <w:t>watches</w:t>
      </w:r>
      <w:r w:rsidR="000A0DE4">
        <w:rPr>
          <w:rFonts w:ascii="Segoe UI" w:hAnsi="Segoe UI" w:cs="Segoe UI"/>
          <w:color w:val="242424"/>
          <w:sz w:val="22"/>
          <w:szCs w:val="22"/>
          <w:shd w:val="clear" w:color="auto" w:fill="FFFFFF"/>
        </w:rPr>
        <w:t xml:space="preserve"> service wait times and Supercharger uptime as primary drivers of loyalty.</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 xml:space="preserve">Strategic decisions are heavily influenced by these metrics. For instance, when Automotive Gross Margins dipped from 25% to 17% due to increased competition and slowing demand, Tesla’s management did not just cut costs; they pivoted their pricing strategy (Yahoo Finance, 2025). Using "Target Costing," they worked backwards from a lower consumer price point to redesign the "unboxed" manufacturing process for the next-generation $25,000 vehicle, aiming to reduce production costs by 50% (Tesla Investor Day, 2023). Furthermore, </w:t>
      </w:r>
      <w:r w:rsidR="00235706" w:rsidRPr="00F71CC1">
        <w:rPr>
          <w:rFonts w:ascii="Arial" w:hAnsi="Arial" w:cs="Arial"/>
          <w:color w:val="242424"/>
          <w:sz w:val="22"/>
          <w:szCs w:val="22"/>
          <w:shd w:val="clear" w:color="auto" w:fill="FFFFFF"/>
        </w:rPr>
        <w:lastRenderedPageBreak/>
        <w:t>non-financial data regarding "Supercharger Uptime" and "Customer Satisfaction Scores" influenced the decision to open the Tesla charging network to competitors (NACS standard), transforming a proprietary service into a new revenue stream. This decision was driven by the realization that the long-term "Lifetime Value" (LTV) of a charging customer outweighed the short-term competitive advantage of a closed network (ReadyRatios, 2025; Hilton and Platt, 2020).</w:t>
      </w:r>
    </w:p>
    <w:p w14:paraId="69CCC630" w14:textId="77777777" w:rsidR="002D458D" w:rsidRDefault="004849BF" w:rsidP="00F71CC1">
      <w:pPr>
        <w:spacing w:line="360" w:lineRule="auto"/>
        <w:rPr>
          <w:rFonts w:ascii="Arial" w:hAnsi="Arial" w:cs="Arial"/>
          <w:color w:val="242424"/>
          <w:sz w:val="22"/>
          <w:szCs w:val="22"/>
          <w:shd w:val="clear" w:color="auto" w:fill="FFFFFF"/>
        </w:rPr>
      </w:pPr>
      <w:r w:rsidRPr="00950285">
        <w:rPr>
          <w:rFonts w:ascii="Segoe UI" w:hAnsi="Segoe UI" w:cs="Segoe UI"/>
          <w:b/>
          <w:bCs/>
          <w:color w:val="242424"/>
          <w:sz w:val="22"/>
          <w:szCs w:val="22"/>
          <w:shd w:val="clear" w:color="auto" w:fill="FFFFFF"/>
        </w:rPr>
        <w:t>Current Challenges in 2024-2025</w:t>
      </w:r>
      <w:r w:rsidRPr="00950285">
        <w:rPr>
          <w:rFonts w:ascii="Segoe UI" w:hAnsi="Segoe UI" w:cs="Segoe UI"/>
          <w:color w:val="242424"/>
          <w:sz w:val="22"/>
          <w:szCs w:val="22"/>
          <w:shd w:val="clear" w:color="auto" w:fill="FFFFFF"/>
        </w:rPr>
        <w:br/>
      </w:r>
      <w:r>
        <w:rPr>
          <w:rFonts w:ascii="Segoe UI" w:hAnsi="Segoe UI" w:cs="Segoe UI"/>
          <w:color w:val="242424"/>
          <w:sz w:val="22"/>
          <w:szCs w:val="22"/>
          <w:shd w:val="clear" w:color="auto" w:fill="FFFFFF"/>
        </w:rPr>
        <w:t>• Margin Compression: Aggressive price cuts to maintain market share have lowered operating margins (approx. 7.24% in FY2024), forcing a shift in focus toward operational lean-ness.</w:t>
      </w:r>
      <w:r>
        <w:rPr>
          <w:rFonts w:ascii="Segoe UI" w:hAnsi="Segoe UI" w:cs="Segoe UI"/>
          <w:color w:val="242424"/>
          <w:sz w:val="22"/>
          <w:szCs w:val="22"/>
        </w:rPr>
        <w:br/>
      </w:r>
      <w:r>
        <w:rPr>
          <w:rFonts w:ascii="Segoe UI" w:hAnsi="Segoe UI" w:cs="Segoe UI"/>
          <w:color w:val="242424"/>
          <w:sz w:val="22"/>
          <w:szCs w:val="22"/>
          <w:shd w:val="clear" w:color="auto" w:fill="FFFFFF"/>
        </w:rPr>
        <w:t>• Regulatory &amp; Litigation Risk: Decisions regarding FSD rollout face intense scrutiny from agencies like the NHTSA, making "safety-per-mile" a critical (and legally sensitive) performance metric.</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 AI Pivot: Tesla is increasingly making capital allocation decisions that prioritize Compute Power (Dojo/H100s) and Robotics (Optimus) over traditional vehicle assembly, </w:t>
      </w:r>
      <w:r w:rsidR="004D4128">
        <w:rPr>
          <w:rFonts w:ascii="Segoe UI" w:hAnsi="Segoe UI" w:cs="Segoe UI"/>
          <w:color w:val="242424"/>
          <w:sz w:val="22"/>
          <w:szCs w:val="22"/>
          <w:shd w:val="clear" w:color="auto" w:fill="FFFFFF"/>
        </w:rPr>
        <w:t>signalling</w:t>
      </w:r>
      <w:r>
        <w:rPr>
          <w:rFonts w:ascii="Segoe UI" w:hAnsi="Segoe UI" w:cs="Segoe UI"/>
          <w:color w:val="242424"/>
          <w:sz w:val="22"/>
          <w:szCs w:val="22"/>
          <w:shd w:val="clear" w:color="auto" w:fill="FFFFFF"/>
        </w:rPr>
        <w:t xml:space="preserve"> a transition from an auto company to an AI firm.</w:t>
      </w:r>
      <w:r w:rsidR="00235706" w:rsidRPr="00F71CC1">
        <w:rPr>
          <w:rFonts w:ascii="Arial" w:hAnsi="Arial" w:cs="Arial"/>
          <w:color w:val="242424"/>
          <w:sz w:val="22"/>
          <w:szCs w:val="22"/>
        </w:rPr>
        <w:br/>
      </w:r>
      <w:r w:rsidR="00235706" w:rsidRPr="00F71CC1">
        <w:rPr>
          <w:rFonts w:ascii="Arial" w:hAnsi="Arial" w:cs="Arial"/>
          <w:color w:val="242424"/>
          <w:sz w:val="22"/>
          <w:szCs w:val="22"/>
        </w:rPr>
        <w:br/>
      </w:r>
      <w:r w:rsidR="00235706" w:rsidRPr="007A1A7C">
        <w:rPr>
          <w:rFonts w:ascii="Arial" w:hAnsi="Arial" w:cs="Arial"/>
          <w:b/>
          <w:bCs/>
          <w:color w:val="242424"/>
          <w:shd w:val="clear" w:color="auto" w:fill="FFFFFF"/>
        </w:rPr>
        <w:t>Sustainability and Ethical Considerations</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Tesla’s mission is to "accelerate the world's transition to sustainable energy," making sustainability an intrinsic part of its financial decision-making rather than a peripheral CSR activity. Management accounting at Tesla incorporates "Environmental Management Accounting" (EMA) to track the costs and benefits of sustainable practices (Schaltegger and Burritt, 2017). For example, the decision to invest in "dry electrode" battery technology was driven by the dual goal of reducing environmental impact (</w:t>
      </w:r>
      <w:r w:rsidR="007A1A7C" w:rsidRPr="00F71CC1">
        <w:rPr>
          <w:rFonts w:ascii="Arial" w:hAnsi="Arial" w:cs="Arial"/>
          <w:color w:val="242424"/>
          <w:sz w:val="22"/>
          <w:szCs w:val="22"/>
          <w:shd w:val="clear" w:color="auto" w:fill="FFFFFF"/>
        </w:rPr>
        <w:t>dropping</w:t>
      </w:r>
      <w:r w:rsidR="00235706" w:rsidRPr="00F71CC1">
        <w:rPr>
          <w:rFonts w:ascii="Arial" w:hAnsi="Arial" w:cs="Arial"/>
          <w:color w:val="242424"/>
          <w:sz w:val="22"/>
          <w:szCs w:val="22"/>
          <w:shd w:val="clear" w:color="auto" w:fill="FFFFFF"/>
        </w:rPr>
        <w:t xml:space="preserve"> toxic solvents) and lowering production costs (reducing factory footprint and energy use). Tesla also evaluates the "Total Cost of Ownership" (TCO) for its customers, using this as a marketing and pricing tool to prove that EVs are more economical than internal combustion engines over time (Elkington, 2018).</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 xml:space="preserve">However, ethical considerations in cost management present challenges. Tesla has faced scrutiny over its "aggressive cost-cutting" which critics argue has at times led to quality control issues and </w:t>
      </w:r>
      <w:r w:rsidR="007A1A7C" w:rsidRPr="00F71CC1">
        <w:rPr>
          <w:rFonts w:ascii="Arial" w:hAnsi="Arial" w:cs="Arial"/>
          <w:color w:val="242424"/>
          <w:sz w:val="22"/>
          <w:szCs w:val="22"/>
          <w:shd w:val="clear" w:color="auto" w:fill="FFFFFF"/>
        </w:rPr>
        <w:t>labour</w:t>
      </w:r>
      <w:r w:rsidR="00235706" w:rsidRPr="00F71CC1">
        <w:rPr>
          <w:rFonts w:ascii="Arial" w:hAnsi="Arial" w:cs="Arial"/>
          <w:color w:val="242424"/>
          <w:sz w:val="22"/>
          <w:szCs w:val="22"/>
          <w:shd w:val="clear" w:color="auto" w:fill="FFFFFF"/>
        </w:rPr>
        <w:t xml:space="preserve"> disputes (LinkedIn, 2025). Ethically, management must balance the drive for the "lowest cost per kilowatt-hour" with responsible sourcing of minerals like cobalt. Tesla’s decision to move toward "Cobalt-free" LFP (Lithium Iron Phosphate) batteries was both a cost-management strategy (LFP is cheaper) and an ethical one (mitigating human rights risks in cobalt mining). In pricing, Tesla’s "dynamic pricing" model—where </w:t>
      </w:r>
      <w:r w:rsidR="00235706" w:rsidRPr="00F71CC1">
        <w:rPr>
          <w:rFonts w:ascii="Arial" w:hAnsi="Arial" w:cs="Arial"/>
          <w:color w:val="242424"/>
          <w:sz w:val="22"/>
          <w:szCs w:val="22"/>
          <w:shd w:val="clear" w:color="auto" w:fill="FFFFFF"/>
        </w:rPr>
        <w:lastRenderedPageBreak/>
        <w:t>prices can drop by thousands of dollars overnight—has raised ethical questions regarding "price fairness" for existing owners who see their vehicle's resale value plummet (Porter and Kramer, 2011; Brown et al., 2022).</w:t>
      </w:r>
      <w:r w:rsidR="00235706" w:rsidRPr="00F71CC1">
        <w:rPr>
          <w:rFonts w:ascii="Arial" w:hAnsi="Arial" w:cs="Arial"/>
          <w:color w:val="242424"/>
          <w:sz w:val="22"/>
          <w:szCs w:val="22"/>
        </w:rPr>
        <w:br/>
      </w:r>
      <w:r w:rsidR="00235706" w:rsidRPr="00F71CC1">
        <w:rPr>
          <w:rFonts w:ascii="Arial" w:hAnsi="Arial" w:cs="Arial"/>
          <w:color w:val="242424"/>
          <w:sz w:val="22"/>
          <w:szCs w:val="22"/>
        </w:rPr>
        <w:br/>
      </w:r>
      <w:r w:rsidR="00235706" w:rsidRPr="007A1A7C">
        <w:rPr>
          <w:rFonts w:ascii="Arial" w:hAnsi="Arial" w:cs="Arial"/>
          <w:b/>
          <w:bCs/>
          <w:color w:val="242424"/>
          <w:shd w:val="clear" w:color="auto" w:fill="FFFFFF"/>
        </w:rPr>
        <w:t>Conclusion and Recommendations</w:t>
      </w:r>
      <w:r w:rsidR="00235706" w:rsidRPr="007A1A7C">
        <w:rPr>
          <w:rFonts w:ascii="Arial" w:hAnsi="Arial" w:cs="Arial"/>
          <w:color w:val="242424"/>
          <w:sz w:val="22"/>
          <w:szCs w:val="22"/>
        </w:rPr>
        <w:br/>
      </w:r>
      <w:r w:rsidR="00235706" w:rsidRPr="00F71CC1">
        <w:rPr>
          <w:rFonts w:ascii="Arial" w:hAnsi="Arial" w:cs="Arial"/>
          <w:color w:val="242424"/>
          <w:sz w:val="22"/>
          <w:szCs w:val="22"/>
          <w:shd w:val="clear" w:color="auto" w:fill="FFFFFF"/>
        </w:rPr>
        <w:t xml:space="preserve">In conclusion, Tesla demonstrates a sophisticated application of management accounting, moving beyond traditional reporting to proactive strategic support. By </w:t>
      </w:r>
      <w:r w:rsidR="007A1A7C" w:rsidRPr="00F71CC1">
        <w:rPr>
          <w:rFonts w:ascii="Arial" w:hAnsi="Arial" w:cs="Arial"/>
          <w:color w:val="242424"/>
          <w:sz w:val="22"/>
          <w:szCs w:val="22"/>
          <w:shd w:val="clear" w:color="auto" w:fill="FFFFFF"/>
        </w:rPr>
        <w:t>using</w:t>
      </w:r>
      <w:r w:rsidR="00235706" w:rsidRPr="00F71CC1">
        <w:rPr>
          <w:rFonts w:ascii="Arial" w:hAnsi="Arial" w:cs="Arial"/>
          <w:color w:val="242424"/>
          <w:sz w:val="22"/>
          <w:szCs w:val="22"/>
          <w:shd w:val="clear" w:color="auto" w:fill="FFFFFF"/>
        </w:rPr>
        <w:t xml:space="preserve"> high-tech cost analysis, dynamic budgeting, and a balanced set of KPIs, Tesla has successfully managed the transition from a vehicle manufacturer to an AI and energy conglomerate. Despite margin pressures and macroeconomic headwinds, the company’s focus on vertical integration and innovation-led cost reduction </w:t>
      </w:r>
      <w:r w:rsidR="007A1A7C" w:rsidRPr="00F71CC1">
        <w:rPr>
          <w:rFonts w:ascii="Arial" w:hAnsi="Arial" w:cs="Arial"/>
          <w:color w:val="242424"/>
          <w:sz w:val="22"/>
          <w:szCs w:val="22"/>
          <w:shd w:val="clear" w:color="auto" w:fill="FFFFFF"/>
        </w:rPr>
        <w:t>is still</w:t>
      </w:r>
      <w:r w:rsidR="00235706" w:rsidRPr="00F71CC1">
        <w:rPr>
          <w:rFonts w:ascii="Arial" w:hAnsi="Arial" w:cs="Arial"/>
          <w:color w:val="242424"/>
          <w:sz w:val="22"/>
          <w:szCs w:val="22"/>
          <w:shd w:val="clear" w:color="auto" w:fill="FFFFFF"/>
        </w:rPr>
        <w:t xml:space="preserve"> its greatest strength.</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Recommendations:</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 xml:space="preserve">1. Adopt Throughput Accounting: Given the high automation in Gigafactories, Tesla should emphasize "Throughput Accounting" to </w:t>
      </w:r>
      <w:r w:rsidR="007A1A7C" w:rsidRPr="00F71CC1">
        <w:rPr>
          <w:rFonts w:ascii="Arial" w:hAnsi="Arial" w:cs="Arial"/>
          <w:color w:val="242424"/>
          <w:sz w:val="22"/>
          <w:szCs w:val="22"/>
          <w:shd w:val="clear" w:color="auto" w:fill="FFFFFF"/>
        </w:rPr>
        <w:t>find</w:t>
      </w:r>
      <w:r w:rsidR="00235706" w:rsidRPr="00F71CC1">
        <w:rPr>
          <w:rFonts w:ascii="Arial" w:hAnsi="Arial" w:cs="Arial"/>
          <w:color w:val="242424"/>
          <w:sz w:val="22"/>
          <w:szCs w:val="22"/>
          <w:shd w:val="clear" w:color="auto" w:fill="FFFFFF"/>
        </w:rPr>
        <w:t xml:space="preserve"> and </w:t>
      </w:r>
      <w:r w:rsidR="008A3803" w:rsidRPr="00F71CC1">
        <w:rPr>
          <w:rFonts w:ascii="Arial" w:hAnsi="Arial" w:cs="Arial"/>
          <w:color w:val="242424"/>
          <w:sz w:val="22"/>
          <w:szCs w:val="22"/>
          <w:shd w:val="clear" w:color="auto" w:fill="FFFFFF"/>
        </w:rPr>
        <w:t>drop</w:t>
      </w:r>
      <w:r w:rsidR="00235706" w:rsidRPr="00F71CC1">
        <w:rPr>
          <w:rFonts w:ascii="Arial" w:hAnsi="Arial" w:cs="Arial"/>
          <w:color w:val="242424"/>
          <w:sz w:val="22"/>
          <w:szCs w:val="22"/>
          <w:shd w:val="clear" w:color="auto" w:fill="FFFFFF"/>
        </w:rPr>
        <w:t xml:space="preserve"> bottlenecks in the production of new models like the </w:t>
      </w:r>
      <w:r w:rsidR="007A1A7C" w:rsidRPr="00F71CC1">
        <w:rPr>
          <w:rFonts w:ascii="Arial" w:hAnsi="Arial" w:cs="Arial"/>
          <w:color w:val="242424"/>
          <w:sz w:val="22"/>
          <w:szCs w:val="22"/>
          <w:shd w:val="clear" w:color="auto" w:fill="FFFFFF"/>
        </w:rPr>
        <w:t>CyberTracker</w:t>
      </w:r>
      <w:r w:rsidR="00235706" w:rsidRPr="00F71CC1">
        <w:rPr>
          <w:rFonts w:ascii="Arial" w:hAnsi="Arial" w:cs="Arial"/>
          <w:color w:val="242424"/>
          <w:sz w:val="22"/>
          <w:szCs w:val="22"/>
          <w:shd w:val="clear" w:color="auto" w:fill="FFFFFF"/>
        </w:rPr>
        <w:t>, ensuring faster ROI on fixed assets.</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2. Enhance Segmented Reporting: As the Energy and AI segments grow, management should provide more granular performance data to prevent the "cross-subsidization" of less efficient projects by the automotive arm.</w:t>
      </w:r>
      <w:r w:rsidR="00235706" w:rsidRPr="00F71CC1">
        <w:rPr>
          <w:rFonts w:ascii="Arial" w:hAnsi="Arial" w:cs="Arial"/>
          <w:color w:val="242424"/>
          <w:sz w:val="22"/>
          <w:szCs w:val="22"/>
        </w:rPr>
        <w:br/>
      </w:r>
      <w:r w:rsidR="00235706" w:rsidRPr="00F71CC1">
        <w:rPr>
          <w:rFonts w:ascii="Arial" w:hAnsi="Arial" w:cs="Arial"/>
          <w:color w:val="242424"/>
          <w:sz w:val="22"/>
          <w:szCs w:val="22"/>
          <w:shd w:val="clear" w:color="auto" w:fill="FFFFFF"/>
        </w:rPr>
        <w:t>3. Formalize Ethical Cost-Benefit Analysis: Integrate a formal "Ethical Impact Score" into the capital budgeting process for new factory locations and supply chain partnerships to mitigate long-term reputational risks.</w:t>
      </w:r>
    </w:p>
    <w:p w14:paraId="0DA9ECE9" w14:textId="53C557AC" w:rsidR="00EB5B48" w:rsidRDefault="002D458D" w:rsidP="00F71CC1">
      <w:pPr>
        <w:spacing w:line="360" w:lineRule="auto"/>
        <w:rPr>
          <w:rFonts w:ascii="Arial" w:hAnsi="Arial" w:cs="Arial"/>
          <w:color w:val="242424"/>
          <w:sz w:val="22"/>
          <w:szCs w:val="22"/>
          <w:shd w:val="clear" w:color="auto" w:fill="FFFFFF"/>
        </w:rPr>
      </w:pPr>
      <w:r>
        <w:rPr>
          <w:rFonts w:ascii="Segoe UI" w:hAnsi="Segoe UI" w:cs="Segoe UI"/>
          <w:color w:val="242424"/>
          <w:sz w:val="22"/>
          <w:szCs w:val="22"/>
          <w:shd w:val="clear" w:color="auto" w:fill="FFFFFF"/>
        </w:rPr>
        <w:t> Operational &amp; Financial Strategy</w:t>
      </w:r>
      <w:r w:rsidR="00FE1689">
        <w:rPr>
          <w:rFonts w:ascii="Segoe UI" w:hAnsi="Segoe UI" w:cs="Segoe UI"/>
          <w:color w:val="242424"/>
          <w:sz w:val="22"/>
          <w:szCs w:val="22"/>
          <w:shd w:val="clear" w:color="auto" w:fill="FFFFFF"/>
        </w:rPr>
        <w:t xml:space="preserve"> Reco</w:t>
      </w:r>
      <w:r w:rsidR="00DA60AA">
        <w:rPr>
          <w:rFonts w:ascii="Segoe UI" w:hAnsi="Segoe UI" w:cs="Segoe UI"/>
          <w:color w:val="242424"/>
          <w:sz w:val="22"/>
          <w:szCs w:val="22"/>
          <w:shd w:val="clear" w:color="auto" w:fill="FFFFFF"/>
        </w:rPr>
        <w:t>mmendations</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 Prioritize the "Model 2" (Affordable EV): To combat sales stagnation and declining market share, Tesla must accelerate the production of its $25,000–$30,000 vehicle. This is essential to capture the mass market and </w:t>
      </w:r>
      <w:r w:rsidR="008756C8">
        <w:rPr>
          <w:rFonts w:ascii="Segoe UI" w:hAnsi="Segoe UI" w:cs="Segoe UI"/>
          <w:color w:val="242424"/>
          <w:sz w:val="22"/>
          <w:szCs w:val="22"/>
          <w:shd w:val="clear" w:color="auto" w:fill="FFFFFF"/>
        </w:rPr>
        <w:t>use</w:t>
      </w:r>
      <w:r>
        <w:rPr>
          <w:rFonts w:ascii="Segoe UI" w:hAnsi="Segoe UI" w:cs="Segoe UI"/>
          <w:color w:val="242424"/>
          <w:sz w:val="22"/>
          <w:szCs w:val="22"/>
          <w:shd w:val="clear" w:color="auto" w:fill="FFFFFF"/>
        </w:rPr>
        <w:t xml:space="preserve"> existing factory capacity.</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 Monetize the Energy Ecosystem: Expand the "Megapack" and "Powerwall" business. With higher margins than vehicles, this segment can </w:t>
      </w:r>
      <w:r w:rsidR="008756C8">
        <w:rPr>
          <w:rFonts w:ascii="Segoe UI" w:hAnsi="Segoe UI" w:cs="Segoe UI"/>
          <w:color w:val="242424"/>
          <w:sz w:val="22"/>
          <w:szCs w:val="22"/>
          <w:shd w:val="clear" w:color="auto" w:fill="FFFFFF"/>
        </w:rPr>
        <w:t>function as</w:t>
      </w:r>
      <w:r>
        <w:rPr>
          <w:rFonts w:ascii="Segoe UI" w:hAnsi="Segoe UI" w:cs="Segoe UI"/>
          <w:color w:val="242424"/>
          <w:sz w:val="22"/>
          <w:szCs w:val="22"/>
          <w:shd w:val="clear" w:color="auto" w:fill="FFFFFF"/>
        </w:rPr>
        <w:t xml:space="preserve"> a financial cushion during periods of slow car sales.</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 Licensing FSD: Tesla should actively pursue licensing its FSD software to other legacy automakers. This would transform a capital-intensive product into a high-margin SaaS revenue stream, </w:t>
      </w:r>
      <w:r w:rsidR="008A4F9C">
        <w:rPr>
          <w:rFonts w:ascii="Segoe UI" w:hAnsi="Segoe UI" w:cs="Segoe UI"/>
          <w:color w:val="242424"/>
          <w:sz w:val="22"/>
          <w:szCs w:val="22"/>
          <w:shd w:val="clear" w:color="auto" w:fill="FFFFFF"/>
        </w:rPr>
        <w:t>like</w:t>
      </w:r>
      <w:r>
        <w:rPr>
          <w:rFonts w:ascii="Segoe UI" w:hAnsi="Segoe UI" w:cs="Segoe UI"/>
          <w:color w:val="242424"/>
          <w:sz w:val="22"/>
          <w:szCs w:val="22"/>
          <w:shd w:val="clear" w:color="auto" w:fill="FFFFFF"/>
        </w:rPr>
        <w:t xml:space="preserve"> how Windows dominates PC hardware.</w:t>
      </w:r>
      <w:r>
        <w:rPr>
          <w:rFonts w:ascii="Segoe UI" w:hAnsi="Segoe UI" w:cs="Segoe UI"/>
          <w:color w:val="242424"/>
          <w:sz w:val="22"/>
          <w:szCs w:val="22"/>
        </w:rPr>
        <w:br/>
      </w:r>
      <w:r>
        <w:rPr>
          <w:rFonts w:ascii="Segoe UI" w:hAnsi="Segoe UI" w:cs="Segoe UI"/>
          <w:color w:val="242424"/>
          <w:sz w:val="22"/>
          <w:szCs w:val="22"/>
          <w:shd w:val="clear" w:color="auto" w:fill="FFFFFF"/>
        </w:rPr>
        <w:t>• Scale the "Unboxed" Process: Tesla should continue implementing its new manufacturing method (the "Unboxed" model) to reduce production footprints by 40% and costs by 50%. This is the only way to compete with low-cost Chinese rivals.</w:t>
      </w:r>
      <w:r>
        <w:rPr>
          <w:rFonts w:ascii="Segoe UI" w:hAnsi="Segoe UI" w:cs="Segoe UI"/>
          <w:color w:val="242424"/>
          <w:sz w:val="22"/>
          <w:szCs w:val="22"/>
        </w:rPr>
        <w:br/>
      </w:r>
      <w:r>
        <w:rPr>
          <w:rFonts w:ascii="Segoe UI" w:hAnsi="Segoe UI" w:cs="Segoe UI"/>
          <w:color w:val="242424"/>
          <w:sz w:val="22"/>
          <w:szCs w:val="22"/>
          <w:shd w:val="clear" w:color="auto" w:fill="FFFFFF"/>
        </w:rPr>
        <w:lastRenderedPageBreak/>
        <w:t>• Vertical Integration of AI Hardware: Continue the transition toward internal AI chips (AI5) and the Dojo supercomputer to reduce reliance on third-party providers like Nvidia, ensuring supply chain security for the Robotaxi fleet.</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 • Improve Service Infrastructure: As the fleet grows, the bottleneck </w:t>
      </w:r>
      <w:r w:rsidR="00B90F4B">
        <w:rPr>
          <w:rFonts w:ascii="Segoe UI" w:hAnsi="Segoe UI" w:cs="Segoe UI"/>
          <w:color w:val="242424"/>
          <w:sz w:val="22"/>
          <w:szCs w:val="22"/>
          <w:shd w:val="clear" w:color="auto" w:fill="FFFFFF"/>
        </w:rPr>
        <w:t>stays</w:t>
      </w:r>
      <w:r>
        <w:rPr>
          <w:rFonts w:ascii="Segoe UI" w:hAnsi="Segoe UI" w:cs="Segoe UI"/>
          <w:color w:val="242424"/>
          <w:sz w:val="22"/>
          <w:szCs w:val="22"/>
          <w:shd w:val="clear" w:color="auto" w:fill="FFFFFF"/>
        </w:rPr>
        <w:t xml:space="preserve"> service and repair wait times. Investing in the service network is crucial to </w:t>
      </w:r>
      <w:r w:rsidR="00B90F4B">
        <w:rPr>
          <w:rFonts w:ascii="Segoe UI" w:hAnsi="Segoe UI" w:cs="Segoe UI"/>
          <w:color w:val="242424"/>
          <w:sz w:val="22"/>
          <w:szCs w:val="22"/>
          <w:shd w:val="clear" w:color="auto" w:fill="FFFFFF"/>
        </w:rPr>
        <w:t>keeping</w:t>
      </w:r>
      <w:r>
        <w:rPr>
          <w:rFonts w:ascii="Segoe UI" w:hAnsi="Segoe UI" w:cs="Segoe UI"/>
          <w:color w:val="242424"/>
          <w:sz w:val="22"/>
          <w:szCs w:val="22"/>
          <w:shd w:val="clear" w:color="auto" w:fill="FFFFFF"/>
        </w:rPr>
        <w:t xml:space="preserve"> the high Net Promoter Score (NPS) that has historically replaced the need for traditional advertising.</w:t>
      </w:r>
      <w:r w:rsidR="00235706" w:rsidRPr="00F71CC1">
        <w:rPr>
          <w:rFonts w:ascii="Arial" w:hAnsi="Arial" w:cs="Arial"/>
          <w:color w:val="242424"/>
          <w:sz w:val="22"/>
          <w:szCs w:val="22"/>
        </w:rPr>
        <w:br/>
      </w:r>
    </w:p>
    <w:p w14:paraId="6042764A" w14:textId="1480A0AA" w:rsidR="00567FEB" w:rsidRPr="00F71CC1" w:rsidRDefault="00235706" w:rsidP="00F71CC1">
      <w:pPr>
        <w:spacing w:line="360" w:lineRule="auto"/>
        <w:rPr>
          <w:rFonts w:ascii="Arial" w:hAnsi="Arial" w:cs="Arial"/>
          <w:sz w:val="22"/>
          <w:szCs w:val="22"/>
        </w:rPr>
      </w:pPr>
      <w:r w:rsidRPr="00EB5B48">
        <w:rPr>
          <w:rFonts w:ascii="Arial" w:hAnsi="Arial" w:cs="Arial"/>
          <w:b/>
          <w:bCs/>
          <w:color w:val="242424"/>
          <w:shd w:val="clear" w:color="auto" w:fill="FFFFFF"/>
        </w:rPr>
        <w:t>References</w:t>
      </w:r>
      <w:r w:rsidRPr="00EB5B48">
        <w:rPr>
          <w:rFonts w:ascii="Arial" w:hAnsi="Arial" w:cs="Arial"/>
          <w:b/>
          <w:bCs/>
          <w:color w:val="242424"/>
        </w:rPr>
        <w:br/>
      </w:r>
      <w:r w:rsidRPr="00F71CC1">
        <w:rPr>
          <w:rFonts w:ascii="Arial" w:hAnsi="Arial" w:cs="Arial"/>
          <w:color w:val="242424"/>
          <w:sz w:val="22"/>
          <w:szCs w:val="22"/>
          <w:shd w:val="clear" w:color="auto" w:fill="FFFFFF"/>
        </w:rPr>
        <w:t xml:space="preserve">• Atrill, P. and McLaney, E. (2022) </w:t>
      </w:r>
      <w:r w:rsidRPr="00E61D7A">
        <w:rPr>
          <w:rFonts w:ascii="Arial" w:hAnsi="Arial" w:cs="Arial"/>
          <w:i/>
          <w:iCs/>
          <w:color w:val="242424"/>
          <w:sz w:val="22"/>
          <w:szCs w:val="22"/>
          <w:shd w:val="clear" w:color="auto" w:fill="FFFFFF"/>
        </w:rPr>
        <w:t>Management Accounting for Decision Makers</w:t>
      </w:r>
      <w:r w:rsidRPr="00F71CC1">
        <w:rPr>
          <w:rFonts w:ascii="Arial" w:hAnsi="Arial" w:cs="Arial"/>
          <w:color w:val="242424"/>
          <w:sz w:val="22"/>
          <w:szCs w:val="22"/>
          <w:shd w:val="clear" w:color="auto" w:fill="FFFFFF"/>
        </w:rPr>
        <w:t xml:space="preserve">. 10th </w:t>
      </w:r>
      <w:r w:rsidR="008A3803" w:rsidRPr="00F71CC1">
        <w:rPr>
          <w:rFonts w:ascii="Arial" w:hAnsi="Arial" w:cs="Arial"/>
          <w:color w:val="242424"/>
          <w:sz w:val="22"/>
          <w:szCs w:val="22"/>
          <w:shd w:val="clear" w:color="auto" w:fill="FFFFFF"/>
        </w:rPr>
        <w:t>end</w:t>
      </w:r>
      <w:r w:rsidRPr="00F71CC1">
        <w:rPr>
          <w:rFonts w:ascii="Arial" w:hAnsi="Arial" w:cs="Arial"/>
          <w:color w:val="242424"/>
          <w:sz w:val="22"/>
          <w:szCs w:val="22"/>
          <w:shd w:val="clear" w:color="auto" w:fill="FFFFFF"/>
        </w:rPr>
        <w:t>. London: Pearson.</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Bhimani, A., Horngren, C.T., Datar, S.M. and Rajan, M.V. (2019) </w:t>
      </w:r>
      <w:r w:rsidRPr="0009444D">
        <w:rPr>
          <w:rFonts w:ascii="Arial" w:hAnsi="Arial" w:cs="Arial"/>
          <w:i/>
          <w:iCs/>
          <w:color w:val="242424"/>
          <w:sz w:val="22"/>
          <w:szCs w:val="22"/>
          <w:shd w:val="clear" w:color="auto" w:fill="FFFFFF"/>
        </w:rPr>
        <w:t>Management and Cost Accounting.</w:t>
      </w:r>
      <w:r w:rsidRPr="00F71CC1">
        <w:rPr>
          <w:rFonts w:ascii="Arial" w:hAnsi="Arial" w:cs="Arial"/>
          <w:color w:val="242424"/>
          <w:sz w:val="22"/>
          <w:szCs w:val="22"/>
          <w:shd w:val="clear" w:color="auto" w:fill="FFFFFF"/>
        </w:rPr>
        <w:t xml:space="preserve"> 7th </w:t>
      </w:r>
      <w:r w:rsidR="008A3803" w:rsidRPr="00F71CC1">
        <w:rPr>
          <w:rFonts w:ascii="Arial" w:hAnsi="Arial" w:cs="Arial"/>
          <w:color w:val="242424"/>
          <w:sz w:val="22"/>
          <w:szCs w:val="22"/>
          <w:shd w:val="clear" w:color="auto" w:fill="FFFFFF"/>
        </w:rPr>
        <w:t>end</w:t>
      </w:r>
      <w:r w:rsidRPr="00F71CC1">
        <w:rPr>
          <w:rFonts w:ascii="Arial" w:hAnsi="Arial" w:cs="Arial"/>
          <w:color w:val="242424"/>
          <w:sz w:val="22"/>
          <w:szCs w:val="22"/>
          <w:shd w:val="clear" w:color="auto" w:fill="FFFFFF"/>
        </w:rPr>
        <w:t>. Harlow: Pearson.</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Brown, R., et al. (2022) 'Ethical Pricing in the EV Market', </w:t>
      </w:r>
      <w:r w:rsidRPr="0009444D">
        <w:rPr>
          <w:rFonts w:ascii="Arial" w:hAnsi="Arial" w:cs="Arial"/>
          <w:i/>
          <w:iCs/>
          <w:color w:val="242424"/>
          <w:sz w:val="22"/>
          <w:szCs w:val="22"/>
          <w:shd w:val="clear" w:color="auto" w:fill="FFFFFF"/>
        </w:rPr>
        <w:t>Journal of Business Ethics</w:t>
      </w:r>
      <w:r w:rsidRPr="00F71CC1">
        <w:rPr>
          <w:rFonts w:ascii="Arial" w:hAnsi="Arial" w:cs="Arial"/>
          <w:color w:val="242424"/>
          <w:sz w:val="22"/>
          <w:szCs w:val="22"/>
          <w:shd w:val="clear" w:color="auto" w:fill="FFFFFF"/>
        </w:rPr>
        <w:t>, 45(2), pp. 112-125.</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Burns, J. and Quinn, M. (2011) 'Management Accounting Change', </w:t>
      </w:r>
      <w:r w:rsidRPr="0072093E">
        <w:rPr>
          <w:rFonts w:ascii="Arial" w:hAnsi="Arial" w:cs="Arial"/>
          <w:i/>
          <w:iCs/>
          <w:color w:val="242424"/>
          <w:sz w:val="22"/>
          <w:szCs w:val="22"/>
          <w:shd w:val="clear" w:color="auto" w:fill="FFFFFF"/>
        </w:rPr>
        <w:t>Accounting, Auditing &amp; Accountability Journal.</w:t>
      </w:r>
      <w:r w:rsidRPr="0072093E">
        <w:rPr>
          <w:rFonts w:ascii="Arial" w:hAnsi="Arial" w:cs="Arial"/>
          <w:i/>
          <w:iCs/>
          <w:color w:val="242424"/>
          <w:sz w:val="22"/>
          <w:szCs w:val="22"/>
        </w:rPr>
        <w:br/>
      </w:r>
      <w:r w:rsidRPr="00F71CC1">
        <w:rPr>
          <w:rFonts w:ascii="Arial" w:hAnsi="Arial" w:cs="Arial"/>
          <w:color w:val="242424"/>
          <w:sz w:val="22"/>
          <w:szCs w:val="22"/>
          <w:shd w:val="clear" w:color="auto" w:fill="FFFFFF"/>
        </w:rPr>
        <w:t xml:space="preserve">• Drury, C. (2021) </w:t>
      </w:r>
      <w:r w:rsidRPr="00CF4F60">
        <w:rPr>
          <w:rFonts w:ascii="Arial" w:hAnsi="Arial" w:cs="Arial"/>
          <w:i/>
          <w:iCs/>
          <w:color w:val="242424"/>
          <w:sz w:val="22"/>
          <w:szCs w:val="22"/>
          <w:shd w:val="clear" w:color="auto" w:fill="FFFFFF"/>
        </w:rPr>
        <w:t>Management and Cost Accounting</w:t>
      </w:r>
      <w:r w:rsidRPr="00F71CC1">
        <w:rPr>
          <w:rFonts w:ascii="Arial" w:hAnsi="Arial" w:cs="Arial"/>
          <w:color w:val="242424"/>
          <w:sz w:val="22"/>
          <w:szCs w:val="22"/>
          <w:shd w:val="clear" w:color="auto" w:fill="FFFFFF"/>
        </w:rPr>
        <w:t xml:space="preserve">. 11th </w:t>
      </w:r>
      <w:r w:rsidR="00497C6B" w:rsidRPr="00F71CC1">
        <w:rPr>
          <w:rFonts w:ascii="Arial" w:hAnsi="Arial" w:cs="Arial"/>
          <w:color w:val="242424"/>
          <w:sz w:val="22"/>
          <w:szCs w:val="22"/>
          <w:shd w:val="clear" w:color="auto" w:fill="FFFFFF"/>
        </w:rPr>
        <w:t>end</w:t>
      </w:r>
      <w:r w:rsidRPr="00F71CC1">
        <w:rPr>
          <w:rFonts w:ascii="Arial" w:hAnsi="Arial" w:cs="Arial"/>
          <w:color w:val="242424"/>
          <w:sz w:val="22"/>
          <w:szCs w:val="22"/>
          <w:shd w:val="clear" w:color="auto" w:fill="FFFFFF"/>
        </w:rPr>
        <w:t>. Cengage Learning.</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Elkington, J. (2018) '25 Years Ago I Coined the Phrase Triple Bottom Line', </w:t>
      </w:r>
      <w:r w:rsidRPr="00CF4F60">
        <w:rPr>
          <w:rFonts w:ascii="Arial" w:hAnsi="Arial" w:cs="Arial"/>
          <w:i/>
          <w:iCs/>
          <w:color w:val="242424"/>
          <w:sz w:val="22"/>
          <w:szCs w:val="22"/>
          <w:shd w:val="clear" w:color="auto" w:fill="FFFFFF"/>
        </w:rPr>
        <w:t>Harvard Business Review.</w:t>
      </w:r>
      <w:r w:rsidRPr="00CF4F60">
        <w:rPr>
          <w:rFonts w:ascii="Arial" w:hAnsi="Arial" w:cs="Arial"/>
          <w:i/>
          <w:iCs/>
          <w:color w:val="242424"/>
          <w:sz w:val="22"/>
          <w:szCs w:val="22"/>
        </w:rPr>
        <w:br/>
      </w:r>
      <w:r w:rsidRPr="00F71CC1">
        <w:rPr>
          <w:rFonts w:ascii="Arial" w:hAnsi="Arial" w:cs="Arial"/>
          <w:color w:val="242424"/>
          <w:sz w:val="22"/>
          <w:szCs w:val="22"/>
          <w:shd w:val="clear" w:color="auto" w:fill="FFFFFF"/>
        </w:rPr>
        <w:t xml:space="preserve">• EmbaPro (2025) </w:t>
      </w:r>
      <w:r w:rsidRPr="00A330ED">
        <w:rPr>
          <w:rFonts w:ascii="Arial" w:hAnsi="Arial" w:cs="Arial"/>
          <w:i/>
          <w:iCs/>
          <w:color w:val="242424"/>
          <w:sz w:val="22"/>
          <w:szCs w:val="22"/>
          <w:shd w:val="clear" w:color="auto" w:fill="FFFFFF"/>
        </w:rPr>
        <w:t>Tesla Activity-Based Costing Analysis</w:t>
      </w:r>
      <w:r w:rsidRPr="00F71CC1">
        <w:rPr>
          <w:rFonts w:ascii="Arial" w:hAnsi="Arial" w:cs="Arial"/>
          <w:color w:val="242424"/>
          <w:sz w:val="22"/>
          <w:szCs w:val="22"/>
          <w:shd w:val="clear" w:color="auto" w:fill="FFFFFF"/>
        </w:rPr>
        <w:t>. Available at: [</w:t>
      </w:r>
      <w:hyperlink r:id="rId10" w:tooltip="https://embapro.com" w:history="1">
        <w:r w:rsidRPr="00F71CC1">
          <w:rPr>
            <w:rStyle w:val="Hyperlink"/>
            <w:rFonts w:ascii="Arial" w:hAnsi="Arial" w:cs="Arial"/>
            <w:sz w:val="22"/>
            <w:szCs w:val="22"/>
            <w:bdr w:val="none" w:sz="0" w:space="0" w:color="auto" w:frame="1"/>
            <w:shd w:val="clear" w:color="auto" w:fill="FFFFFF"/>
          </w:rPr>
          <w:t>https://embapro.com</w:t>
        </w:r>
      </w:hyperlink>
      <w:r w:rsidRPr="00F71CC1">
        <w:rPr>
          <w:rFonts w:ascii="Arial" w:hAnsi="Arial" w:cs="Arial"/>
          <w:color w:val="242424"/>
          <w:sz w:val="22"/>
          <w:szCs w:val="22"/>
          <w:shd w:val="clear" w:color="auto" w:fill="FFFFFF"/>
        </w:rPr>
        <w:t>] (Accessed: 1 February 2026).</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Garrison, R.H., Noreen, E.W. and Brewer, P.C. (2021) </w:t>
      </w:r>
      <w:r w:rsidRPr="00A330ED">
        <w:rPr>
          <w:rFonts w:ascii="Arial" w:hAnsi="Arial" w:cs="Arial"/>
          <w:i/>
          <w:iCs/>
          <w:color w:val="242424"/>
          <w:sz w:val="22"/>
          <w:szCs w:val="22"/>
          <w:shd w:val="clear" w:color="auto" w:fill="FFFFFF"/>
        </w:rPr>
        <w:t>Managerial Accounting</w:t>
      </w:r>
      <w:r w:rsidRPr="00F71CC1">
        <w:rPr>
          <w:rFonts w:ascii="Arial" w:hAnsi="Arial" w:cs="Arial"/>
          <w:color w:val="242424"/>
          <w:sz w:val="22"/>
          <w:szCs w:val="22"/>
          <w:shd w:val="clear" w:color="auto" w:fill="FFFFFF"/>
        </w:rPr>
        <w:t xml:space="preserve">. 17th </w:t>
      </w:r>
      <w:r w:rsidR="00497C6B" w:rsidRPr="00F71CC1">
        <w:rPr>
          <w:rFonts w:ascii="Arial" w:hAnsi="Arial" w:cs="Arial"/>
          <w:color w:val="242424"/>
          <w:sz w:val="22"/>
          <w:szCs w:val="22"/>
          <w:shd w:val="clear" w:color="auto" w:fill="FFFFFF"/>
        </w:rPr>
        <w:t>end</w:t>
      </w:r>
      <w:r w:rsidRPr="00F71CC1">
        <w:rPr>
          <w:rFonts w:ascii="Arial" w:hAnsi="Arial" w:cs="Arial"/>
          <w:color w:val="242424"/>
          <w:sz w:val="22"/>
          <w:szCs w:val="22"/>
          <w:shd w:val="clear" w:color="auto" w:fill="FFFFFF"/>
        </w:rPr>
        <w:t>. McGraw-Hill.</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Google Finance (2025) Tesla, Inc. (TSLA) </w:t>
      </w:r>
      <w:r w:rsidRPr="00A330ED">
        <w:rPr>
          <w:rFonts w:ascii="Arial" w:hAnsi="Arial" w:cs="Arial"/>
          <w:i/>
          <w:iCs/>
          <w:color w:val="242424"/>
          <w:sz w:val="22"/>
          <w:szCs w:val="22"/>
          <w:shd w:val="clear" w:color="auto" w:fill="FFFFFF"/>
        </w:rPr>
        <w:t>Financials.</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Hilton, R.W. and Platt, D.E. (2020) </w:t>
      </w:r>
      <w:r w:rsidRPr="00A330ED">
        <w:rPr>
          <w:rFonts w:ascii="Arial" w:hAnsi="Arial" w:cs="Arial"/>
          <w:i/>
          <w:iCs/>
          <w:color w:val="242424"/>
          <w:sz w:val="22"/>
          <w:szCs w:val="22"/>
          <w:shd w:val="clear" w:color="auto" w:fill="FFFFFF"/>
        </w:rPr>
        <w:t>Managerial Accounting: Creating Value in a Dynamic Business Environment</w:t>
      </w:r>
      <w:r w:rsidRPr="00F71CC1">
        <w:rPr>
          <w:rFonts w:ascii="Arial" w:hAnsi="Arial" w:cs="Arial"/>
          <w:color w:val="242424"/>
          <w:sz w:val="22"/>
          <w:szCs w:val="22"/>
          <w:shd w:val="clear" w:color="auto" w:fill="FFFFFF"/>
        </w:rPr>
        <w:t>. McGraw-Hill.</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Horngren, C.T., et al. (2020) </w:t>
      </w:r>
      <w:r w:rsidRPr="003F64EE">
        <w:rPr>
          <w:rFonts w:ascii="Arial" w:hAnsi="Arial" w:cs="Arial"/>
          <w:i/>
          <w:iCs/>
          <w:color w:val="242424"/>
          <w:sz w:val="22"/>
          <w:szCs w:val="22"/>
          <w:shd w:val="clear" w:color="auto" w:fill="FFFFFF"/>
        </w:rPr>
        <w:t>Introduction to Management Accounting</w:t>
      </w:r>
      <w:r w:rsidRPr="00F71CC1">
        <w:rPr>
          <w:rFonts w:ascii="Arial" w:hAnsi="Arial" w:cs="Arial"/>
          <w:color w:val="242424"/>
          <w:sz w:val="22"/>
          <w:szCs w:val="22"/>
          <w:shd w:val="clear" w:color="auto" w:fill="FFFFFF"/>
        </w:rPr>
        <w:t>. Pearson.</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Kaplan, R.S. and Atkinson, A.A. (2015</w:t>
      </w:r>
      <w:r w:rsidRPr="003F64EE">
        <w:rPr>
          <w:rFonts w:ascii="Arial" w:hAnsi="Arial" w:cs="Arial"/>
          <w:i/>
          <w:iCs/>
          <w:color w:val="242424"/>
          <w:sz w:val="22"/>
          <w:szCs w:val="22"/>
          <w:shd w:val="clear" w:color="auto" w:fill="FFFFFF"/>
        </w:rPr>
        <w:t>) Advanced Management Accounting</w:t>
      </w:r>
      <w:r w:rsidRPr="00F71CC1">
        <w:rPr>
          <w:rFonts w:ascii="Arial" w:hAnsi="Arial" w:cs="Arial"/>
          <w:color w:val="242424"/>
          <w:sz w:val="22"/>
          <w:szCs w:val="22"/>
          <w:shd w:val="clear" w:color="auto" w:fill="FFFFFF"/>
        </w:rPr>
        <w:t>. PHI Learning.</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Kaplan, R.S. and Norton, D.P. (1996) </w:t>
      </w:r>
      <w:r w:rsidRPr="00553EB6">
        <w:rPr>
          <w:rFonts w:ascii="Arial" w:hAnsi="Arial" w:cs="Arial"/>
          <w:i/>
          <w:iCs/>
          <w:color w:val="242424"/>
          <w:sz w:val="22"/>
          <w:szCs w:val="22"/>
          <w:shd w:val="clear" w:color="auto" w:fill="FFFFFF"/>
        </w:rPr>
        <w:t>The Balanced Scorecard</w:t>
      </w:r>
      <w:r w:rsidRPr="00F71CC1">
        <w:rPr>
          <w:rFonts w:ascii="Arial" w:hAnsi="Arial" w:cs="Arial"/>
          <w:color w:val="242424"/>
          <w:sz w:val="22"/>
          <w:szCs w:val="22"/>
          <w:shd w:val="clear" w:color="auto" w:fill="FFFFFF"/>
        </w:rPr>
        <w:t>. Harvard Business Review Press.</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Merchant, K.A. (2023) 'Modern Revenue Models in Tech-Manufacturing', </w:t>
      </w:r>
      <w:r w:rsidRPr="00553EB6">
        <w:rPr>
          <w:rFonts w:ascii="Arial" w:hAnsi="Arial" w:cs="Arial"/>
          <w:i/>
          <w:iCs/>
          <w:color w:val="242424"/>
          <w:sz w:val="22"/>
          <w:szCs w:val="22"/>
          <w:shd w:val="clear" w:color="auto" w:fill="FFFFFF"/>
        </w:rPr>
        <w:t>Journal of Management Control.</w:t>
      </w:r>
      <w:r w:rsidRPr="00553EB6">
        <w:rPr>
          <w:rFonts w:ascii="Arial" w:hAnsi="Arial" w:cs="Arial"/>
          <w:i/>
          <w:iCs/>
          <w:color w:val="242424"/>
          <w:sz w:val="22"/>
          <w:szCs w:val="22"/>
        </w:rPr>
        <w:br/>
      </w:r>
      <w:r w:rsidRPr="00F71CC1">
        <w:rPr>
          <w:rFonts w:ascii="Arial" w:hAnsi="Arial" w:cs="Arial"/>
          <w:color w:val="242424"/>
          <w:sz w:val="22"/>
          <w:szCs w:val="22"/>
          <w:shd w:val="clear" w:color="auto" w:fill="FFFFFF"/>
        </w:rPr>
        <w:t xml:space="preserve">• Panabee (2025) Tesla Q3 2025 </w:t>
      </w:r>
      <w:r w:rsidRPr="00553EB6">
        <w:rPr>
          <w:rFonts w:ascii="Arial" w:hAnsi="Arial" w:cs="Arial"/>
          <w:i/>
          <w:iCs/>
          <w:color w:val="242424"/>
          <w:sz w:val="22"/>
          <w:szCs w:val="22"/>
          <w:shd w:val="clear" w:color="auto" w:fill="FFFFFF"/>
        </w:rPr>
        <w:t>Earnings Analysis.</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Porter, M.E. and Kramer, M.R. (2011) 'Creating Shared Value', </w:t>
      </w:r>
      <w:r w:rsidRPr="00430B27">
        <w:rPr>
          <w:rFonts w:ascii="Arial" w:hAnsi="Arial" w:cs="Arial"/>
          <w:i/>
          <w:iCs/>
          <w:color w:val="242424"/>
          <w:sz w:val="22"/>
          <w:szCs w:val="22"/>
          <w:shd w:val="clear" w:color="auto" w:fill="FFFFFF"/>
        </w:rPr>
        <w:t>Harvard Business Review.</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Schaltegger, S. and Burritt, R. (2017) </w:t>
      </w:r>
      <w:r w:rsidRPr="00430B27">
        <w:rPr>
          <w:rFonts w:ascii="Arial" w:hAnsi="Arial" w:cs="Arial"/>
          <w:i/>
          <w:iCs/>
          <w:color w:val="242424"/>
          <w:sz w:val="22"/>
          <w:szCs w:val="22"/>
          <w:shd w:val="clear" w:color="auto" w:fill="FFFFFF"/>
        </w:rPr>
        <w:t>Contemporary Environmental Accounting</w:t>
      </w:r>
      <w:r w:rsidRPr="00F71CC1">
        <w:rPr>
          <w:rFonts w:ascii="Arial" w:hAnsi="Arial" w:cs="Arial"/>
          <w:color w:val="242424"/>
          <w:sz w:val="22"/>
          <w:szCs w:val="22"/>
          <w:shd w:val="clear" w:color="auto" w:fill="FFFFFF"/>
        </w:rPr>
        <w:t>. Routledge.</w:t>
      </w:r>
      <w:r w:rsidRPr="00F71CC1">
        <w:rPr>
          <w:rFonts w:ascii="Arial" w:hAnsi="Arial" w:cs="Arial"/>
          <w:color w:val="242424"/>
          <w:sz w:val="22"/>
          <w:szCs w:val="22"/>
        </w:rPr>
        <w:br/>
      </w:r>
      <w:r w:rsidRPr="00F71CC1">
        <w:rPr>
          <w:rFonts w:ascii="Arial" w:hAnsi="Arial" w:cs="Arial"/>
          <w:color w:val="242424"/>
          <w:sz w:val="22"/>
          <w:szCs w:val="22"/>
          <w:shd w:val="clear" w:color="auto" w:fill="FFFFFF"/>
        </w:rPr>
        <w:lastRenderedPageBreak/>
        <w:t xml:space="preserve">• Tesla, Inc. (2024) </w:t>
      </w:r>
      <w:r w:rsidRPr="00430B27">
        <w:rPr>
          <w:rFonts w:ascii="Arial" w:hAnsi="Arial" w:cs="Arial"/>
          <w:i/>
          <w:iCs/>
          <w:color w:val="242424"/>
          <w:sz w:val="22"/>
          <w:szCs w:val="22"/>
          <w:shd w:val="clear" w:color="auto" w:fill="FFFFFF"/>
        </w:rPr>
        <w:t>Annual Report 2023 (Form 10-K).</w:t>
      </w:r>
      <w:r w:rsidRPr="00F71CC1">
        <w:rPr>
          <w:rFonts w:ascii="Arial" w:hAnsi="Arial" w:cs="Arial"/>
          <w:color w:val="242424"/>
          <w:sz w:val="22"/>
          <w:szCs w:val="22"/>
        </w:rPr>
        <w:br/>
      </w:r>
      <w:r w:rsidRPr="00F71CC1">
        <w:rPr>
          <w:rFonts w:ascii="Arial" w:hAnsi="Arial" w:cs="Arial"/>
          <w:color w:val="242424"/>
          <w:sz w:val="22"/>
          <w:szCs w:val="22"/>
          <w:shd w:val="clear" w:color="auto" w:fill="FFFFFF"/>
        </w:rPr>
        <w:t xml:space="preserve">• Weygandt, J.J., Kimmel, P.D. and Kieso, D.E. (2021) </w:t>
      </w:r>
      <w:r w:rsidRPr="000225D1">
        <w:rPr>
          <w:rFonts w:ascii="Arial" w:hAnsi="Arial" w:cs="Arial"/>
          <w:i/>
          <w:iCs/>
          <w:color w:val="242424"/>
          <w:sz w:val="22"/>
          <w:szCs w:val="22"/>
          <w:shd w:val="clear" w:color="auto" w:fill="FFFFFF"/>
        </w:rPr>
        <w:t>Managerial Accounting: Tools for Business Decision Making</w:t>
      </w:r>
      <w:r w:rsidRPr="00F71CC1">
        <w:rPr>
          <w:rFonts w:ascii="Arial" w:hAnsi="Arial" w:cs="Arial"/>
          <w:color w:val="242424"/>
          <w:sz w:val="22"/>
          <w:szCs w:val="22"/>
          <w:shd w:val="clear" w:color="auto" w:fill="FFFFFF"/>
        </w:rPr>
        <w:t>. Wiley</w:t>
      </w:r>
      <w:r w:rsidR="003532BC">
        <w:rPr>
          <w:rFonts w:ascii="Arial" w:hAnsi="Arial" w:cs="Arial"/>
          <w:color w:val="242424"/>
          <w:sz w:val="22"/>
          <w:szCs w:val="22"/>
          <w:shd w:val="clear" w:color="auto" w:fill="FFFFFF"/>
        </w:rPr>
        <w:t>.</w:t>
      </w:r>
    </w:p>
    <w:p w14:paraId="2596C3B9" w14:textId="77777777" w:rsidR="00567FEB" w:rsidRPr="00F71CC1" w:rsidRDefault="00567FEB" w:rsidP="00F71CC1">
      <w:pPr>
        <w:spacing w:line="360" w:lineRule="auto"/>
        <w:rPr>
          <w:rFonts w:ascii="Arial" w:hAnsi="Arial" w:cs="Arial"/>
          <w:sz w:val="22"/>
          <w:szCs w:val="22"/>
        </w:rPr>
      </w:pPr>
    </w:p>
    <w:p w14:paraId="4936EB19" w14:textId="77777777" w:rsidR="00567FEB" w:rsidRPr="00F71CC1" w:rsidRDefault="00567FEB" w:rsidP="00F71CC1">
      <w:pPr>
        <w:spacing w:line="360" w:lineRule="auto"/>
        <w:rPr>
          <w:rFonts w:ascii="Arial" w:hAnsi="Arial" w:cs="Arial"/>
          <w:sz w:val="22"/>
          <w:szCs w:val="22"/>
        </w:rPr>
      </w:pPr>
    </w:p>
    <w:p w14:paraId="42035A50" w14:textId="77777777" w:rsidR="00567FEB" w:rsidRPr="00F71CC1" w:rsidRDefault="00567FEB" w:rsidP="00F71CC1">
      <w:pPr>
        <w:spacing w:line="360" w:lineRule="auto"/>
        <w:rPr>
          <w:rFonts w:ascii="Arial" w:hAnsi="Arial" w:cs="Arial"/>
          <w:sz w:val="22"/>
          <w:szCs w:val="22"/>
        </w:rPr>
      </w:pPr>
    </w:p>
    <w:sectPr w:rsidR="00567FEB" w:rsidRPr="00F71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EB"/>
    <w:rsid w:val="000225D1"/>
    <w:rsid w:val="00024485"/>
    <w:rsid w:val="00044D1F"/>
    <w:rsid w:val="0009444D"/>
    <w:rsid w:val="000A0DE4"/>
    <w:rsid w:val="000A57F2"/>
    <w:rsid w:val="000B0C2B"/>
    <w:rsid w:val="0011310B"/>
    <w:rsid w:val="001C2C70"/>
    <w:rsid w:val="001C5F01"/>
    <w:rsid w:val="00235706"/>
    <w:rsid w:val="00260D52"/>
    <w:rsid w:val="0028014F"/>
    <w:rsid w:val="0029588A"/>
    <w:rsid w:val="002A2981"/>
    <w:rsid w:val="002D458D"/>
    <w:rsid w:val="0030648F"/>
    <w:rsid w:val="0034570A"/>
    <w:rsid w:val="0034606B"/>
    <w:rsid w:val="003532BC"/>
    <w:rsid w:val="003B60F9"/>
    <w:rsid w:val="003C11EA"/>
    <w:rsid w:val="003F64EE"/>
    <w:rsid w:val="00430B27"/>
    <w:rsid w:val="00476327"/>
    <w:rsid w:val="00476384"/>
    <w:rsid w:val="004849BF"/>
    <w:rsid w:val="00497C6B"/>
    <w:rsid w:val="004D4128"/>
    <w:rsid w:val="004E43F8"/>
    <w:rsid w:val="0053756E"/>
    <w:rsid w:val="00553EB6"/>
    <w:rsid w:val="00567FEB"/>
    <w:rsid w:val="005B0083"/>
    <w:rsid w:val="005B5E5E"/>
    <w:rsid w:val="005C5DC5"/>
    <w:rsid w:val="0060345C"/>
    <w:rsid w:val="006236DA"/>
    <w:rsid w:val="006C680E"/>
    <w:rsid w:val="006F19C7"/>
    <w:rsid w:val="006F44AD"/>
    <w:rsid w:val="0070674C"/>
    <w:rsid w:val="0072093E"/>
    <w:rsid w:val="007A1A7C"/>
    <w:rsid w:val="00815EB7"/>
    <w:rsid w:val="008756C8"/>
    <w:rsid w:val="00893F1E"/>
    <w:rsid w:val="008A3803"/>
    <w:rsid w:val="008A4F9C"/>
    <w:rsid w:val="00905DED"/>
    <w:rsid w:val="00950285"/>
    <w:rsid w:val="009E60FE"/>
    <w:rsid w:val="009E7ED8"/>
    <w:rsid w:val="009F556B"/>
    <w:rsid w:val="00A2682D"/>
    <w:rsid w:val="00A330ED"/>
    <w:rsid w:val="00A352CF"/>
    <w:rsid w:val="00A40D9D"/>
    <w:rsid w:val="00AB297F"/>
    <w:rsid w:val="00B67352"/>
    <w:rsid w:val="00B90F4B"/>
    <w:rsid w:val="00BA18EB"/>
    <w:rsid w:val="00C0269D"/>
    <w:rsid w:val="00C92E40"/>
    <w:rsid w:val="00CD7FDE"/>
    <w:rsid w:val="00CE1621"/>
    <w:rsid w:val="00CF4F60"/>
    <w:rsid w:val="00D269FC"/>
    <w:rsid w:val="00D85C44"/>
    <w:rsid w:val="00DA60AA"/>
    <w:rsid w:val="00DB4660"/>
    <w:rsid w:val="00E513E2"/>
    <w:rsid w:val="00E61537"/>
    <w:rsid w:val="00E61D7A"/>
    <w:rsid w:val="00E74260"/>
    <w:rsid w:val="00E84246"/>
    <w:rsid w:val="00EB52D5"/>
    <w:rsid w:val="00EB5B48"/>
    <w:rsid w:val="00EB5FC8"/>
    <w:rsid w:val="00EB76C6"/>
    <w:rsid w:val="00F2702A"/>
    <w:rsid w:val="00F71CC1"/>
    <w:rsid w:val="00FE1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FDD51"/>
  <w15:chartTrackingRefBased/>
  <w15:docId w15:val="{07C968B0-914E-495B-90CE-3C2EDA88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FEB"/>
    <w:rPr>
      <w:rFonts w:eastAsiaTheme="majorEastAsia" w:cstheme="majorBidi"/>
      <w:color w:val="272727" w:themeColor="text1" w:themeTint="D8"/>
    </w:rPr>
  </w:style>
  <w:style w:type="paragraph" w:styleId="Title">
    <w:name w:val="Title"/>
    <w:basedOn w:val="Normal"/>
    <w:next w:val="Normal"/>
    <w:link w:val="TitleChar"/>
    <w:uiPriority w:val="10"/>
    <w:qFormat/>
    <w:rsid w:val="00567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FEB"/>
    <w:pPr>
      <w:spacing w:before="160"/>
      <w:jc w:val="center"/>
    </w:pPr>
    <w:rPr>
      <w:i/>
      <w:iCs/>
      <w:color w:val="404040" w:themeColor="text1" w:themeTint="BF"/>
    </w:rPr>
  </w:style>
  <w:style w:type="character" w:customStyle="1" w:styleId="QuoteChar">
    <w:name w:val="Quote Char"/>
    <w:basedOn w:val="DefaultParagraphFont"/>
    <w:link w:val="Quote"/>
    <w:uiPriority w:val="29"/>
    <w:rsid w:val="00567FEB"/>
    <w:rPr>
      <w:i/>
      <w:iCs/>
      <w:color w:val="404040" w:themeColor="text1" w:themeTint="BF"/>
    </w:rPr>
  </w:style>
  <w:style w:type="paragraph" w:styleId="ListParagraph">
    <w:name w:val="List Paragraph"/>
    <w:basedOn w:val="Normal"/>
    <w:uiPriority w:val="34"/>
    <w:qFormat/>
    <w:rsid w:val="00567FEB"/>
    <w:pPr>
      <w:ind w:left="720"/>
      <w:contextualSpacing/>
    </w:pPr>
  </w:style>
  <w:style w:type="character" w:styleId="IntenseEmphasis">
    <w:name w:val="Intense Emphasis"/>
    <w:basedOn w:val="DefaultParagraphFont"/>
    <w:uiPriority w:val="21"/>
    <w:qFormat/>
    <w:rsid w:val="00567FEB"/>
    <w:rPr>
      <w:i/>
      <w:iCs/>
      <w:color w:val="0F4761" w:themeColor="accent1" w:themeShade="BF"/>
    </w:rPr>
  </w:style>
  <w:style w:type="paragraph" w:styleId="IntenseQuote">
    <w:name w:val="Intense Quote"/>
    <w:basedOn w:val="Normal"/>
    <w:next w:val="Normal"/>
    <w:link w:val="IntenseQuoteChar"/>
    <w:uiPriority w:val="30"/>
    <w:qFormat/>
    <w:rsid w:val="00567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FEB"/>
    <w:rPr>
      <w:i/>
      <w:iCs/>
      <w:color w:val="0F4761" w:themeColor="accent1" w:themeShade="BF"/>
    </w:rPr>
  </w:style>
  <w:style w:type="character" w:styleId="IntenseReference">
    <w:name w:val="Intense Reference"/>
    <w:basedOn w:val="DefaultParagraphFont"/>
    <w:uiPriority w:val="32"/>
    <w:qFormat/>
    <w:rsid w:val="00567FEB"/>
    <w:rPr>
      <w:b/>
      <w:bCs/>
      <w:smallCaps/>
      <w:color w:val="0F4761" w:themeColor="accent1" w:themeShade="BF"/>
      <w:spacing w:val="5"/>
    </w:rPr>
  </w:style>
  <w:style w:type="character" w:styleId="Hyperlink">
    <w:name w:val="Hyperlink"/>
    <w:basedOn w:val="DefaultParagraphFont"/>
    <w:uiPriority w:val="99"/>
    <w:semiHidden/>
    <w:unhideWhenUsed/>
    <w:rsid w:val="002357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mbapro.com/" TargetMode="External"/><Relationship Id="rId4" Type="http://schemas.openxmlformats.org/officeDocument/2006/relationships/customXml" Target="../customXml/item4.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b51b7f19810e61364e31eb93b20b59d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46c83614dca69f2551284ae2d85f57f"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F4DBD3-7691-4151-B044-4DDAEB997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20230C-3313-4B1A-8946-6E3B888E6BE2}">
  <ds:schemaRefs>
    <ds:schemaRef ds:uri="http://schemas.microsoft.com/sharepoint/v3/contenttype/forms"/>
  </ds:schemaRefs>
</ds:datastoreItem>
</file>

<file path=customXml/itemProps3.xml><?xml version="1.0" encoding="utf-8"?>
<ds:datastoreItem xmlns:ds="http://schemas.openxmlformats.org/officeDocument/2006/customXml" ds:itemID="{20039566-2B9F-44FB-9A63-DA7A60732C01}">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51C2E58F-FEC9-4902-B789-828538915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2188</Words>
  <Characters>12980</Characters>
  <Application>Microsoft Office Word</Application>
  <DocSecurity>0</DocSecurity>
  <Lines>270</Lines>
  <Paragraphs>81</Paragraphs>
  <ScaleCrop>false</ScaleCrop>
  <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Nechifor (2245145)</dc:creator>
  <cp:keywords/>
  <dc:description/>
  <cp:lastModifiedBy>Dumitru Nechifor (2245145)</cp:lastModifiedBy>
  <cp:revision>82</cp:revision>
  <dcterms:created xsi:type="dcterms:W3CDTF">2026-02-07T17:46:00Z</dcterms:created>
  <dcterms:modified xsi:type="dcterms:W3CDTF">2026-02-07T19:50:00Z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