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C77F34">
      <w:pPr>
        <w:spacing w:line="360" w:lineRule="auto"/>
        <w:jc w:val="center"/>
        <w:rPr>
          <w:rFonts w:ascii="Arial" w:hAnsi="Arial" w:cs="Arial"/>
        </w:rPr>
      </w:pPr>
    </w:p>
    <w:p w14:paraId="1E8EB7D1">
      <w:pPr>
        <w:spacing w:line="360" w:lineRule="auto"/>
        <w:jc w:val="center"/>
        <w:rPr>
          <w:rFonts w:ascii="Arial" w:hAnsi="Arial" w:cs="Arial"/>
        </w:rPr>
      </w:pPr>
    </w:p>
    <w:p w14:paraId="6A7BD8FF">
      <w:pPr>
        <w:spacing w:line="360" w:lineRule="auto"/>
        <w:jc w:val="center"/>
        <w:rPr>
          <w:rFonts w:ascii="Arial" w:hAnsi="Arial" w:cs="Arial"/>
        </w:rPr>
      </w:pPr>
    </w:p>
    <w:p w14:paraId="61CE6FBD">
      <w:pPr>
        <w:spacing w:line="360" w:lineRule="auto"/>
        <w:jc w:val="center"/>
        <w:rPr>
          <w:rFonts w:ascii="Arial" w:hAnsi="Arial" w:cs="Arial"/>
        </w:rPr>
      </w:pPr>
    </w:p>
    <w:p w14:paraId="1E792B90">
      <w:pPr>
        <w:spacing w:line="360" w:lineRule="auto"/>
        <w:jc w:val="center"/>
        <w:rPr>
          <w:rFonts w:ascii="Arial" w:hAnsi="Arial" w:cs="Arial"/>
        </w:rPr>
      </w:pPr>
    </w:p>
    <w:p w14:paraId="7412CB21">
      <w:pPr>
        <w:spacing w:line="360" w:lineRule="auto"/>
        <w:jc w:val="center"/>
        <w:rPr>
          <w:rFonts w:hint="default" w:ascii="Arial" w:hAnsi="Arial" w:cs="Arial"/>
          <w:lang w:val="en-GB"/>
        </w:rPr>
      </w:pPr>
      <w:r>
        <w:rPr>
          <w:rFonts w:ascii="Arial" w:hAnsi="Arial" w:cs="Arial"/>
        </w:rPr>
        <w:t>Name</w:t>
      </w:r>
      <w:r>
        <w:rPr>
          <w:rFonts w:hint="default" w:ascii="Arial" w:hAnsi="Arial" w:cs="Arial"/>
          <w:lang w:val="en-GB"/>
        </w:rPr>
        <w:t xml:space="preserve">SELI SEQUEIRA </w:t>
      </w:r>
    </w:p>
    <w:p w14:paraId="0D5D8681">
      <w:pPr>
        <w:spacing w:line="360" w:lineRule="auto"/>
        <w:jc w:val="center"/>
        <w:rPr>
          <w:rFonts w:hint="default" w:ascii="Arial" w:hAnsi="Arial" w:cs="Arial"/>
          <w:lang w:val="en-GB"/>
        </w:rPr>
      </w:pPr>
      <w:r>
        <w:rPr>
          <w:rFonts w:ascii="Arial" w:hAnsi="Arial" w:cs="Arial"/>
          <w:lang w:val="en-GB"/>
        </w:rPr>
        <w:t xml:space="preserve">Institution UNIVERSITY </w:t>
      </w:r>
      <w:r>
        <w:rPr>
          <w:rFonts w:hint="default" w:ascii="Arial" w:hAnsi="Arial" w:cs="Arial"/>
          <w:lang w:val="en-GB"/>
        </w:rPr>
        <w:t>OF WALES SAINT TRINITY DAVID</w:t>
      </w:r>
    </w:p>
    <w:p w14:paraId="73F0EB43">
      <w:pPr>
        <w:spacing w:line="360" w:lineRule="auto"/>
        <w:jc w:val="center"/>
        <w:rPr>
          <w:rFonts w:hint="default" w:ascii="Arial" w:hAnsi="Arial" w:cs="Arial"/>
          <w:lang w:val="en-GB"/>
        </w:rPr>
      </w:pPr>
      <w:r>
        <w:rPr>
          <w:rFonts w:ascii="Arial" w:hAnsi="Arial" w:cs="Arial"/>
        </w:rPr>
        <w:t>Course</w:t>
      </w:r>
      <w:r>
        <w:rPr>
          <w:rFonts w:hint="default" w:ascii="Arial" w:hAnsi="Arial" w:cs="Arial"/>
          <w:lang w:val="en-GB"/>
        </w:rPr>
        <w:t>:professional career development within health and social care</w:t>
      </w:r>
    </w:p>
    <w:p w14:paraId="33D572D3">
      <w:pPr>
        <w:spacing w:line="360" w:lineRule="auto"/>
        <w:jc w:val="center"/>
        <w:rPr>
          <w:rFonts w:hint="default" w:ascii="Arial" w:hAnsi="Arial" w:cs="Arial"/>
          <w:lang w:val="en-GB"/>
        </w:rPr>
      </w:pPr>
      <w:r>
        <w:rPr>
          <w:rFonts w:ascii="Arial" w:hAnsi="Arial" w:cs="Arial"/>
        </w:rPr>
        <w:t>Professor</w:t>
      </w:r>
      <w:r>
        <w:rPr>
          <w:rFonts w:hint="default" w:ascii="Arial" w:hAnsi="Arial" w:cs="Arial"/>
          <w:lang w:val="en-GB"/>
        </w:rPr>
        <w:t>: ARIF AHMED</w:t>
      </w:r>
    </w:p>
    <w:p w14:paraId="7846F3A3">
      <w:pPr>
        <w:spacing w:line="360" w:lineRule="auto"/>
        <w:jc w:val="center"/>
        <w:rPr>
          <w:rFonts w:hint="default" w:ascii="Arial" w:hAnsi="Arial" w:cs="Arial"/>
          <w:lang w:val="en-GB"/>
        </w:rPr>
      </w:pPr>
      <w:r>
        <w:rPr>
          <w:rFonts w:ascii="Arial" w:hAnsi="Arial" w:cs="Arial"/>
        </w:rPr>
        <w:t>Date</w:t>
      </w:r>
      <w:r>
        <w:rPr>
          <w:rFonts w:hint="default" w:ascii="Arial" w:hAnsi="Arial" w:cs="Arial"/>
          <w:lang w:val="en-GB"/>
        </w:rPr>
        <w:t>: 16/12/2025</w:t>
      </w:r>
    </w:p>
    <w:p w14:paraId="2C78C60B">
      <w:pPr>
        <w:spacing w:line="360" w:lineRule="auto"/>
        <w:jc w:val="center"/>
        <w:rPr>
          <w:rFonts w:ascii="Arial" w:hAnsi="Arial" w:cs="Arial"/>
        </w:rPr>
      </w:pPr>
    </w:p>
    <w:p w14:paraId="37F8D184">
      <w:pPr>
        <w:spacing w:line="360" w:lineRule="auto"/>
        <w:jc w:val="center"/>
        <w:rPr>
          <w:rFonts w:ascii="Arial" w:hAnsi="Arial" w:cs="Arial"/>
        </w:rPr>
      </w:pPr>
    </w:p>
    <w:p w14:paraId="6327414F">
      <w:pPr>
        <w:spacing w:line="360" w:lineRule="auto"/>
        <w:jc w:val="center"/>
        <w:rPr>
          <w:rFonts w:ascii="Arial" w:hAnsi="Arial" w:cs="Arial"/>
        </w:rPr>
      </w:pPr>
    </w:p>
    <w:p w14:paraId="767D79F3">
      <w:pPr>
        <w:spacing w:line="360" w:lineRule="auto"/>
        <w:jc w:val="center"/>
        <w:rPr>
          <w:rFonts w:ascii="Arial" w:hAnsi="Arial" w:cs="Arial"/>
        </w:rPr>
      </w:pPr>
    </w:p>
    <w:p w14:paraId="4265D1EA">
      <w:pPr>
        <w:spacing w:line="360" w:lineRule="auto"/>
        <w:jc w:val="center"/>
        <w:rPr>
          <w:rFonts w:ascii="Arial" w:hAnsi="Arial" w:cs="Arial"/>
        </w:rPr>
      </w:pPr>
    </w:p>
    <w:p w14:paraId="55B7842F">
      <w:pPr>
        <w:spacing w:line="360" w:lineRule="auto"/>
        <w:jc w:val="center"/>
        <w:rPr>
          <w:rFonts w:ascii="Arial" w:hAnsi="Arial" w:cs="Arial"/>
        </w:rPr>
      </w:pPr>
    </w:p>
    <w:p w14:paraId="2A5C3FBA">
      <w:pPr>
        <w:spacing w:line="360" w:lineRule="auto"/>
        <w:jc w:val="center"/>
        <w:rPr>
          <w:rFonts w:ascii="Arial" w:hAnsi="Arial" w:cs="Arial"/>
        </w:rPr>
      </w:pPr>
    </w:p>
    <w:p w14:paraId="5D96F022">
      <w:pPr>
        <w:spacing w:line="360" w:lineRule="auto"/>
        <w:jc w:val="center"/>
        <w:rPr>
          <w:rFonts w:ascii="Arial" w:hAnsi="Arial" w:cs="Arial"/>
        </w:rPr>
      </w:pPr>
    </w:p>
    <w:p w14:paraId="15D2BC7E">
      <w:pPr>
        <w:spacing w:line="360" w:lineRule="auto"/>
        <w:jc w:val="center"/>
        <w:rPr>
          <w:rFonts w:ascii="Arial" w:hAnsi="Arial" w:cs="Arial"/>
        </w:rPr>
      </w:pPr>
    </w:p>
    <w:p w14:paraId="22033083">
      <w:pPr>
        <w:spacing w:line="360" w:lineRule="auto"/>
        <w:jc w:val="center"/>
        <w:rPr>
          <w:rFonts w:ascii="Arial" w:hAnsi="Arial" w:cs="Arial"/>
        </w:rPr>
      </w:pPr>
    </w:p>
    <w:p w14:paraId="23E3B1C0">
      <w:pPr>
        <w:spacing w:line="360" w:lineRule="auto"/>
        <w:jc w:val="center"/>
        <w:rPr>
          <w:rFonts w:ascii="Arial" w:hAnsi="Arial" w:cs="Arial"/>
        </w:rPr>
      </w:pPr>
    </w:p>
    <w:p w14:paraId="7C46BA6C">
      <w:pPr>
        <w:spacing w:line="360" w:lineRule="auto"/>
        <w:jc w:val="center"/>
        <w:rPr>
          <w:rFonts w:ascii="Arial" w:hAnsi="Arial" w:cs="Arial"/>
        </w:rPr>
      </w:pPr>
    </w:p>
    <w:p w14:paraId="5C244A63">
      <w:pPr>
        <w:spacing w:line="360" w:lineRule="auto"/>
        <w:rPr>
          <w:rFonts w:ascii="Arial" w:hAnsi="Arial" w:cs="Arial"/>
        </w:rPr>
      </w:pPr>
    </w:p>
    <w:p w14:paraId="6A4E7241">
      <w:pPr>
        <w:spacing w:line="360" w:lineRule="auto"/>
        <w:jc w:val="center"/>
        <w:rPr>
          <w:rFonts w:ascii="Arial" w:hAnsi="Arial" w:cs="Arial"/>
        </w:rPr>
      </w:pPr>
    </w:p>
    <w:p w14:paraId="1972BC86">
      <w:pPr>
        <w:spacing w:line="360" w:lineRule="auto"/>
        <w:jc w:val="center"/>
        <w:rPr>
          <w:rFonts w:ascii="Arial" w:hAnsi="Arial" w:cs="Arial"/>
        </w:rPr>
      </w:pPr>
    </w:p>
    <w:p w14:paraId="4942008C">
      <w:pPr>
        <w:spacing w:line="360" w:lineRule="auto"/>
        <w:jc w:val="center"/>
        <w:rPr>
          <w:rFonts w:ascii="Arial" w:hAnsi="Arial" w:cs="Arial"/>
        </w:rPr>
      </w:pPr>
    </w:p>
    <w:p w14:paraId="53BBE0EC">
      <w:pPr>
        <w:spacing w:line="360" w:lineRule="auto"/>
        <w:rPr>
          <w:rFonts w:ascii="Arial" w:hAnsi="Arial" w:cs="Arial"/>
          <w:color w:val="0000FF"/>
          <w:sz w:val="32"/>
          <w:szCs w:val="32"/>
        </w:rPr>
      </w:pPr>
      <w:r>
        <w:rPr>
          <w:rFonts w:ascii="Arial" w:hAnsi="Arial" w:cs="Arial"/>
          <w:color w:val="0000FF"/>
          <w:sz w:val="32"/>
          <w:szCs w:val="32"/>
        </w:rPr>
        <w:t>Chosen Job Role</w:t>
      </w:r>
    </w:p>
    <w:p w14:paraId="34E45F15">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The role of clinical dietitian in a mid-size urban hospital, outlined on the web platform of NHS Jobs, which would demand HCPC registration and experience in the area of patient nutritional assessment, evidence-based care planning, multidisciplinary work, outcome auditing, and specialized education in diabetes, renal, and oncology fields, is what I am applying for. My education is a BSc (Hons) in Nutrition and Dietetics (2:1, 2023) with 18 months of voluntary clinical experience, which positions me in line with Band 5 entry-level conditions. The above salary (PS28,000-PS38,000) is strategically similar to the agendas for change current scale in England (PS31,049 entry, leading to PS37,796). The qualification will give me in-depth theoretical and applied skills in accordance with the requirements of the position. However, in the UK, HCPC registration is compulsory; foreign applicants are normally subjected to a range of 3-6 months of assessment. The rivalry among registered candidates that have the experience of working in the NHS is also significant. Expeditious HCPC application submission is therefore suggested to augment the eligibility</w:t>
      </w:r>
    </w:p>
    <w:p w14:paraId="397F73DF">
      <w:pPr>
        <w:spacing w:line="360" w:lineRule="auto"/>
        <w:rPr>
          <w:rFonts w:ascii="Arial" w:hAnsi="Arial" w:cs="Arial"/>
        </w:rPr>
      </w:pPr>
    </w:p>
    <w:p w14:paraId="698D1511">
      <w:pPr>
        <w:spacing w:line="360" w:lineRule="auto"/>
        <w:rPr>
          <w:rFonts w:ascii="Arial" w:hAnsi="Arial" w:cs="Arial"/>
          <w:color w:val="0000FF"/>
          <w:sz w:val="32"/>
          <w:szCs w:val="32"/>
        </w:rPr>
      </w:pPr>
      <w:r>
        <w:rPr>
          <w:rFonts w:ascii="Arial" w:hAnsi="Arial" w:cs="Arial"/>
          <w:color w:val="0000FF"/>
          <w:sz w:val="32"/>
          <w:szCs w:val="32"/>
        </w:rPr>
        <w:t>SWOT Analysis Targeted to the Job Role</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978"/>
      </w:tblGrid>
      <w:tr w14:paraId="703C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F19107">
            <w:pPr>
              <w:pStyle w:val="7"/>
              <w:spacing w:line="360" w:lineRule="auto"/>
              <w:rPr>
                <w:rFonts w:ascii="Arial" w:hAnsi="Arial" w:cs="Arial"/>
                <w:sz w:val="22"/>
                <w:szCs w:val="22"/>
              </w:rPr>
            </w:pPr>
            <w:r>
              <w:rPr>
                <w:rFonts w:ascii="Arial" w:hAnsi="Arial" w:cs="Arial"/>
                <w:sz w:val="22"/>
                <w:szCs w:val="22"/>
              </w:rPr>
              <w:t>Strengths</w:t>
            </w:r>
          </w:p>
          <w:p w14:paraId="43047581">
            <w:pPr>
              <w:spacing w:after="0" w:line="360" w:lineRule="auto"/>
              <w:rPr>
                <w:rFonts w:ascii="Arial" w:hAnsi="Arial" w:cs="Arial"/>
              </w:rPr>
            </w:pPr>
          </w:p>
        </w:tc>
        <w:tc>
          <w:tcPr>
            <w:tcW w:w="0" w:type="auto"/>
          </w:tcPr>
          <w:p w14:paraId="339A8A73">
            <w:pPr>
              <w:pStyle w:val="7"/>
              <w:spacing w:line="360" w:lineRule="auto"/>
              <w:rPr>
                <w:rFonts w:ascii="Arial" w:hAnsi="Arial" w:cs="Arial"/>
                <w:sz w:val="22"/>
                <w:szCs w:val="22"/>
              </w:rPr>
            </w:pPr>
            <w:r>
              <w:rPr>
                <w:rFonts w:ascii="Arial" w:hAnsi="Arial" w:cs="Arial"/>
                <w:sz w:val="22"/>
                <w:szCs w:val="22"/>
              </w:rPr>
              <w:t>Weaknesses</w:t>
            </w:r>
          </w:p>
          <w:p w14:paraId="1D1CAD9B">
            <w:pPr>
              <w:spacing w:after="0" w:line="360" w:lineRule="auto"/>
              <w:rPr>
                <w:rFonts w:ascii="Arial" w:hAnsi="Arial" w:cs="Arial"/>
              </w:rPr>
            </w:pPr>
          </w:p>
        </w:tc>
      </w:tr>
      <w:tr w14:paraId="665C7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DF8504E">
            <w:pPr>
              <w:numPr>
                <w:ilvl w:val="0"/>
                <w:numId w:val="1"/>
              </w:numPr>
              <w:spacing w:after="0" w:line="360" w:lineRule="auto"/>
              <w:rPr>
                <w:rFonts w:ascii="Arial" w:hAnsi="Arial" w:cs="Arial"/>
                <w:lang w:val="zh-CN"/>
              </w:rPr>
            </w:pPr>
            <w:r>
              <w:rPr>
                <w:rFonts w:ascii="Arial" w:hAnsi="Arial" w:cs="Arial"/>
                <w:lang w:val="en-US"/>
              </w:rPr>
              <w:t>Empathy and communication skills support meaningful engagement with clients.</w:t>
            </w:r>
          </w:p>
          <w:p w14:paraId="637F3692">
            <w:pPr>
              <w:numPr>
                <w:ilvl w:val="0"/>
                <w:numId w:val="1"/>
              </w:numPr>
              <w:spacing w:after="0" w:line="360" w:lineRule="auto"/>
              <w:rPr>
                <w:rFonts w:ascii="Arial" w:hAnsi="Arial" w:cs="Arial"/>
                <w:lang w:val="zh-CN"/>
              </w:rPr>
            </w:pPr>
            <w:r>
              <w:rPr>
                <w:rFonts w:ascii="Arial" w:hAnsi="Arial" w:cs="Arial"/>
                <w:lang w:val="en-US"/>
              </w:rPr>
              <w:t>Creativity and hyperfocus enable detailed, innovative nutrition planning</w:t>
            </w:r>
          </w:p>
          <w:p w14:paraId="6FAD2F4C">
            <w:pPr>
              <w:numPr>
                <w:ilvl w:val="0"/>
                <w:numId w:val="1"/>
              </w:numPr>
              <w:spacing w:after="0" w:line="360" w:lineRule="auto"/>
              <w:rPr>
                <w:rFonts w:ascii="Arial" w:hAnsi="Arial" w:cs="Arial"/>
                <w:lang w:val="zh-CN"/>
              </w:rPr>
            </w:pPr>
            <w:r>
              <w:rPr>
                <w:rFonts w:ascii="Arial" w:hAnsi="Arial" w:cs="Arial"/>
                <w:lang w:val="en-US"/>
              </w:rPr>
              <w:t>Effective teamwork and flexibility increase teamwork in multidisciplinary environments.</w:t>
            </w:r>
          </w:p>
          <w:p w14:paraId="45B65543">
            <w:pPr>
              <w:numPr>
                <w:ilvl w:val="0"/>
                <w:numId w:val="1"/>
              </w:numPr>
              <w:spacing w:after="0" w:line="360" w:lineRule="auto"/>
              <w:rPr>
                <w:rFonts w:ascii="Arial" w:hAnsi="Arial" w:cs="Arial"/>
                <w:lang w:val="zh-CN"/>
              </w:rPr>
            </w:pPr>
            <w:r>
              <w:rPr>
                <w:rFonts w:ascii="Arial" w:hAnsi="Arial" w:cs="Arial"/>
                <w:lang w:val="en-US"/>
              </w:rPr>
              <w:t>Passion for health promotion drives motivation and purpose in practice.</w:t>
            </w:r>
          </w:p>
          <w:p w14:paraId="12815BE1">
            <w:pPr>
              <w:numPr>
                <w:ilvl w:val="0"/>
                <w:numId w:val="1"/>
              </w:numPr>
              <w:spacing w:after="0" w:line="360" w:lineRule="auto"/>
              <w:rPr>
                <w:rFonts w:ascii="Arial" w:hAnsi="Arial" w:cs="Arial"/>
                <w:lang w:val="zh-CN"/>
              </w:rPr>
            </w:pPr>
            <w:r>
              <w:rPr>
                <w:rFonts w:ascii="Arial" w:hAnsi="Arial" w:cs="Arial"/>
                <w:lang w:val="en-US"/>
              </w:rPr>
              <w:t>Lived experience with ADHD builds an understanding of neurodiverse dietary support.</w:t>
            </w:r>
          </w:p>
          <w:p w14:paraId="7EF461B3">
            <w:pPr>
              <w:numPr>
                <w:ilvl w:val="0"/>
                <w:numId w:val="1"/>
              </w:numPr>
              <w:spacing w:after="0" w:line="360" w:lineRule="auto"/>
              <w:rPr>
                <w:rFonts w:ascii="Arial" w:hAnsi="Arial" w:cs="Arial"/>
                <w:lang w:val="zh-CN"/>
              </w:rPr>
            </w:pPr>
          </w:p>
          <w:p w14:paraId="6AAAD043">
            <w:pPr>
              <w:spacing w:after="0" w:line="360" w:lineRule="auto"/>
              <w:rPr>
                <w:rFonts w:ascii="Arial" w:hAnsi="Arial" w:cs="Arial"/>
              </w:rPr>
            </w:pPr>
          </w:p>
        </w:tc>
        <w:tc>
          <w:tcPr>
            <w:tcW w:w="0" w:type="auto"/>
          </w:tcPr>
          <w:p w14:paraId="2ADE8EE6">
            <w:pPr>
              <w:numPr>
                <w:ilvl w:val="0"/>
                <w:numId w:val="2"/>
              </w:numPr>
              <w:spacing w:after="0" w:line="360" w:lineRule="auto"/>
              <w:rPr>
                <w:rFonts w:ascii="Arial" w:hAnsi="Arial" w:cs="Arial"/>
                <w:lang w:val="zh-CN"/>
              </w:rPr>
            </w:pPr>
            <w:r>
              <w:rPr>
                <w:rFonts w:ascii="Arial" w:hAnsi="Arial" w:cs="Arial"/>
                <w:lang w:val="en-US"/>
              </w:rPr>
              <w:t>Difficulties with time management and organization related to being affected by ADHD.</w:t>
            </w:r>
          </w:p>
          <w:p w14:paraId="23423CD1">
            <w:pPr>
              <w:numPr>
                <w:ilvl w:val="0"/>
                <w:numId w:val="2"/>
              </w:numPr>
              <w:spacing w:after="0" w:line="360" w:lineRule="auto"/>
              <w:rPr>
                <w:rFonts w:ascii="Arial" w:hAnsi="Arial" w:cs="Arial"/>
                <w:lang w:val="zh-CN"/>
              </w:rPr>
            </w:pPr>
            <w:r>
              <w:rPr>
                <w:rFonts w:ascii="Arial" w:hAnsi="Arial" w:cs="Arial"/>
                <w:lang w:val="en-US"/>
              </w:rPr>
              <w:t>Problems with focus on repetitive or administrative duties.</w:t>
            </w:r>
          </w:p>
          <w:p w14:paraId="0003373E">
            <w:pPr>
              <w:numPr>
                <w:ilvl w:val="0"/>
                <w:numId w:val="2"/>
              </w:numPr>
              <w:spacing w:after="0" w:line="360" w:lineRule="auto"/>
              <w:rPr>
                <w:rFonts w:ascii="Arial" w:hAnsi="Arial" w:cs="Arial"/>
                <w:lang w:val="zh-CN"/>
              </w:rPr>
            </w:pPr>
            <w:r>
              <w:rPr>
                <w:rFonts w:ascii="Arial" w:hAnsi="Arial" w:cs="Arial"/>
                <w:lang w:val="en-US"/>
              </w:rPr>
              <w:t>Easily distracted in noisy or excessively stimulating environments.</w:t>
            </w:r>
          </w:p>
          <w:p w14:paraId="053E8EC8">
            <w:pPr>
              <w:numPr>
                <w:ilvl w:val="0"/>
                <w:numId w:val="2"/>
              </w:numPr>
              <w:spacing w:after="0" w:line="360" w:lineRule="auto"/>
              <w:rPr>
                <w:rFonts w:ascii="Arial" w:hAnsi="Arial" w:cs="Arial"/>
                <w:lang w:val="zh-CN"/>
              </w:rPr>
            </w:pPr>
            <w:r>
              <w:rPr>
                <w:rFonts w:ascii="Arial" w:hAnsi="Arial" w:cs="Arial"/>
                <w:lang w:val="en-US"/>
              </w:rPr>
              <w:t>Work under tight deadlines with no systematic direction or planning.</w:t>
            </w:r>
          </w:p>
          <w:p w14:paraId="4782FBD1">
            <w:pPr>
              <w:numPr>
                <w:ilvl w:val="0"/>
                <w:numId w:val="2"/>
              </w:numPr>
              <w:spacing w:after="0" w:line="360" w:lineRule="auto"/>
              <w:rPr>
                <w:rFonts w:ascii="Arial" w:hAnsi="Arial" w:cs="Arial"/>
                <w:lang w:val="zh-CN"/>
              </w:rPr>
            </w:pPr>
            <w:r>
              <w:rPr>
                <w:rFonts w:ascii="Arial" w:hAnsi="Arial" w:cs="Arial"/>
                <w:lang w:val="en-US"/>
              </w:rPr>
              <w:t>Requires consistent routines, tools, and feedback for task completion.</w:t>
            </w:r>
          </w:p>
          <w:p w14:paraId="5F18BB1B">
            <w:pPr>
              <w:numPr>
                <w:ilvl w:val="0"/>
                <w:numId w:val="2"/>
              </w:numPr>
              <w:spacing w:after="0" w:line="360" w:lineRule="auto"/>
              <w:rPr>
                <w:rFonts w:ascii="Arial" w:hAnsi="Arial" w:cs="Arial"/>
                <w:lang w:val="zh-CN"/>
              </w:rPr>
            </w:pPr>
          </w:p>
          <w:p w14:paraId="36048484">
            <w:pPr>
              <w:spacing w:after="0" w:line="360" w:lineRule="auto"/>
              <w:rPr>
                <w:rFonts w:ascii="Arial" w:hAnsi="Arial" w:cs="Arial"/>
              </w:rPr>
            </w:pPr>
          </w:p>
        </w:tc>
      </w:tr>
      <w:tr w14:paraId="166D1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F21B44F">
            <w:pPr>
              <w:pStyle w:val="7"/>
              <w:spacing w:line="360" w:lineRule="auto"/>
              <w:rPr>
                <w:rFonts w:ascii="Arial" w:hAnsi="Arial" w:cs="Arial"/>
                <w:sz w:val="22"/>
                <w:szCs w:val="22"/>
              </w:rPr>
            </w:pPr>
            <w:r>
              <w:rPr>
                <w:rFonts w:ascii="Arial" w:hAnsi="Arial" w:cs="Arial"/>
                <w:sz w:val="22"/>
                <w:szCs w:val="22"/>
              </w:rPr>
              <w:t>Opportunities</w:t>
            </w:r>
          </w:p>
          <w:p w14:paraId="0561E729">
            <w:pPr>
              <w:spacing w:after="0" w:line="360" w:lineRule="auto"/>
              <w:rPr>
                <w:rFonts w:ascii="Arial" w:hAnsi="Arial" w:cs="Arial"/>
              </w:rPr>
            </w:pPr>
          </w:p>
        </w:tc>
        <w:tc>
          <w:tcPr>
            <w:tcW w:w="0" w:type="auto"/>
          </w:tcPr>
          <w:p w14:paraId="3A740C03">
            <w:pPr>
              <w:pStyle w:val="7"/>
              <w:spacing w:line="360" w:lineRule="auto"/>
              <w:rPr>
                <w:rFonts w:ascii="Arial" w:hAnsi="Arial" w:cs="Arial"/>
                <w:sz w:val="22"/>
                <w:szCs w:val="22"/>
              </w:rPr>
            </w:pPr>
            <w:r>
              <w:rPr>
                <w:rFonts w:ascii="Arial" w:hAnsi="Arial" w:cs="Arial"/>
                <w:sz w:val="22"/>
                <w:szCs w:val="22"/>
              </w:rPr>
              <w:t>Threats</w:t>
            </w:r>
          </w:p>
          <w:p w14:paraId="17EDBCB4">
            <w:pPr>
              <w:spacing w:after="0" w:line="360" w:lineRule="auto"/>
              <w:rPr>
                <w:rFonts w:ascii="Arial" w:hAnsi="Arial" w:cs="Arial"/>
              </w:rPr>
            </w:pPr>
          </w:p>
        </w:tc>
      </w:tr>
      <w:tr w14:paraId="0881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F0EB207">
            <w:pPr>
              <w:numPr>
                <w:ilvl w:val="0"/>
                <w:numId w:val="3"/>
              </w:numPr>
              <w:spacing w:after="0" w:line="360" w:lineRule="auto"/>
              <w:rPr>
                <w:rFonts w:ascii="Arial" w:hAnsi="Arial" w:cs="Arial"/>
                <w:lang w:val="zh-CN"/>
              </w:rPr>
            </w:pPr>
            <w:r>
              <w:rPr>
                <w:rFonts w:ascii="Arial" w:hAnsi="Arial" w:cs="Arial"/>
                <w:lang w:val="en-US"/>
              </w:rPr>
              <w:t>Professional development opportunities in post-registration dietetic training and CPD programs funded by the NHS.</w:t>
            </w:r>
          </w:p>
          <w:p w14:paraId="1E80DEBF">
            <w:pPr>
              <w:numPr>
                <w:ilvl w:val="0"/>
                <w:numId w:val="3"/>
              </w:numPr>
              <w:spacing w:after="0" w:line="360" w:lineRule="auto"/>
              <w:rPr>
                <w:rFonts w:ascii="Arial" w:hAnsi="Arial" w:cs="Arial"/>
                <w:lang w:val="zh-CN"/>
              </w:rPr>
            </w:pPr>
            <w:r>
              <w:rPr>
                <w:rFonts w:ascii="Arial" w:hAnsi="Arial" w:cs="Arial"/>
                <w:lang w:val="en-US"/>
              </w:rPr>
              <w:t>Membership in the British Dietetic Association (BDA) offers networking and mentorship (BDA, 2025).</w:t>
            </w:r>
          </w:p>
          <w:p w14:paraId="2BAB3B9A">
            <w:pPr>
              <w:numPr>
                <w:ilvl w:val="0"/>
                <w:numId w:val="3"/>
              </w:numPr>
              <w:spacing w:after="0" w:line="360" w:lineRule="auto"/>
              <w:rPr>
                <w:rFonts w:ascii="Arial" w:hAnsi="Arial" w:cs="Arial"/>
                <w:lang w:val="zh-CN"/>
              </w:rPr>
            </w:pPr>
            <w:r>
              <w:rPr>
                <w:rFonts w:ascii="Arial" w:hAnsi="Arial" w:cs="Arial"/>
                <w:lang w:val="en-US"/>
              </w:rPr>
              <w:t>An increase in the need of a dietitian in mental health and neurodiversity care (Voss, 2025).</w:t>
            </w:r>
          </w:p>
          <w:p w14:paraId="6BF636FD">
            <w:pPr>
              <w:numPr>
                <w:ilvl w:val="0"/>
                <w:numId w:val="3"/>
              </w:numPr>
              <w:spacing w:after="0" w:line="360" w:lineRule="auto"/>
              <w:rPr>
                <w:rFonts w:ascii="Arial" w:hAnsi="Arial" w:cs="Arial"/>
                <w:lang w:val="zh-CN"/>
              </w:rPr>
            </w:pPr>
            <w:r>
              <w:rPr>
                <w:rFonts w:ascii="Arial" w:hAnsi="Arial" w:cs="Arial"/>
                <w:lang w:val="en-US"/>
              </w:rPr>
              <w:t>Skill to integrate life experience with ADHD and professional knowledge to help others.</w:t>
            </w:r>
          </w:p>
          <w:p w14:paraId="555723A6">
            <w:pPr>
              <w:numPr>
                <w:ilvl w:val="0"/>
                <w:numId w:val="3"/>
              </w:numPr>
              <w:spacing w:after="0" w:line="360" w:lineRule="auto"/>
              <w:rPr>
                <w:rFonts w:ascii="Arial" w:hAnsi="Arial" w:cs="Arial"/>
                <w:lang w:val="zh-CN"/>
              </w:rPr>
            </w:pPr>
            <w:r>
              <w:rPr>
                <w:rFonts w:ascii="Arial" w:hAnsi="Arial" w:cs="Arial"/>
                <w:lang w:val="en-US"/>
              </w:rPr>
              <w:t>Increased understanding of the effect of nutrition on cognitive and emotional health.</w:t>
            </w:r>
          </w:p>
          <w:p w14:paraId="355A3650">
            <w:pPr>
              <w:numPr>
                <w:ilvl w:val="0"/>
                <w:numId w:val="3"/>
              </w:numPr>
              <w:spacing w:after="0" w:line="360" w:lineRule="auto"/>
              <w:rPr>
                <w:rFonts w:ascii="Arial" w:hAnsi="Arial" w:cs="Arial"/>
                <w:lang w:val="zh-CN"/>
              </w:rPr>
            </w:pPr>
          </w:p>
          <w:p w14:paraId="71264531">
            <w:pPr>
              <w:spacing w:after="0" w:line="360" w:lineRule="auto"/>
              <w:rPr>
                <w:rFonts w:ascii="Arial" w:hAnsi="Arial" w:cs="Arial"/>
              </w:rPr>
            </w:pPr>
          </w:p>
        </w:tc>
        <w:tc>
          <w:tcPr>
            <w:tcW w:w="0" w:type="auto"/>
          </w:tcPr>
          <w:p w14:paraId="3F30990E">
            <w:pPr>
              <w:numPr>
                <w:ilvl w:val="0"/>
                <w:numId w:val="4"/>
              </w:numPr>
              <w:spacing w:after="0" w:line="360" w:lineRule="auto"/>
              <w:rPr>
                <w:rFonts w:ascii="Arial" w:hAnsi="Arial" w:cs="Arial"/>
                <w:lang w:val="zh-CN"/>
              </w:rPr>
            </w:pPr>
            <w:r>
              <w:rPr>
                <w:rFonts w:ascii="Arial" w:hAnsi="Arial" w:cs="Arial"/>
                <w:lang w:val="en-US"/>
              </w:rPr>
              <w:t>High workloads and emotional stress in health care.</w:t>
            </w:r>
          </w:p>
          <w:p w14:paraId="03C7269E">
            <w:pPr>
              <w:numPr>
                <w:ilvl w:val="0"/>
                <w:numId w:val="4"/>
              </w:numPr>
              <w:spacing w:after="0" w:line="360" w:lineRule="auto"/>
              <w:rPr>
                <w:rFonts w:ascii="Arial" w:hAnsi="Arial" w:cs="Arial"/>
                <w:lang w:val="zh-CN"/>
              </w:rPr>
            </w:pPr>
            <w:r>
              <w:rPr>
                <w:rFonts w:ascii="Arial" w:hAnsi="Arial" w:cs="Arial"/>
                <w:lang w:val="en-US"/>
              </w:rPr>
              <w:t>Professional stigmatization or misperception of ADHD.</w:t>
            </w:r>
          </w:p>
          <w:p w14:paraId="78325E25">
            <w:pPr>
              <w:numPr>
                <w:ilvl w:val="0"/>
                <w:numId w:val="4"/>
              </w:numPr>
              <w:spacing w:after="0" w:line="360" w:lineRule="auto"/>
              <w:rPr>
                <w:rFonts w:ascii="Arial" w:hAnsi="Arial" w:cs="Arial"/>
                <w:lang w:val="zh-CN"/>
              </w:rPr>
            </w:pPr>
            <w:r>
              <w:rPr>
                <w:rFonts w:ascii="Arial" w:hAnsi="Arial" w:cs="Arial"/>
                <w:lang w:val="en-US"/>
              </w:rPr>
              <w:t>Competition in the health and dietetics industries (Voss, 2025).</w:t>
            </w:r>
          </w:p>
          <w:p w14:paraId="5ED9F466">
            <w:pPr>
              <w:numPr>
                <w:ilvl w:val="0"/>
                <w:numId w:val="4"/>
              </w:numPr>
              <w:spacing w:after="0" w:line="360" w:lineRule="auto"/>
              <w:rPr>
                <w:rFonts w:ascii="Arial" w:hAnsi="Arial" w:cs="Arial"/>
                <w:lang w:val="zh-CN"/>
              </w:rPr>
            </w:pPr>
            <w:r>
              <w:rPr>
                <w:rFonts w:ascii="Arial" w:hAnsi="Arial" w:cs="Arial"/>
                <w:lang w:val="en-US"/>
              </w:rPr>
              <w:t>Burnout risk due to absence of balance or support structures.</w:t>
            </w:r>
          </w:p>
          <w:p w14:paraId="75B97746">
            <w:pPr>
              <w:numPr>
                <w:ilvl w:val="0"/>
                <w:numId w:val="4"/>
              </w:numPr>
              <w:spacing w:after="0" w:line="360" w:lineRule="auto"/>
              <w:rPr>
                <w:rFonts w:ascii="Arial" w:hAnsi="Arial" w:cs="Arial"/>
                <w:lang w:val="zh-CN"/>
              </w:rPr>
            </w:pPr>
            <w:r>
              <w:rPr>
                <w:rFonts w:ascii="Arial" w:hAnsi="Arial" w:cs="Arial"/>
                <w:lang w:val="en-US"/>
              </w:rPr>
              <w:t>Strategies: establish mentoring relationships, adhere to organized routines, employ assistive technologies, and promote neurodiversity and inclusivity.</w:t>
            </w:r>
          </w:p>
          <w:p w14:paraId="5EB2326D">
            <w:pPr>
              <w:spacing w:after="0" w:line="360" w:lineRule="auto"/>
              <w:ind w:left="720"/>
              <w:rPr>
                <w:rFonts w:ascii="Arial" w:hAnsi="Arial" w:cs="Arial"/>
                <w:lang w:val="zh-CN"/>
              </w:rPr>
            </w:pPr>
          </w:p>
          <w:p w14:paraId="64396268">
            <w:pPr>
              <w:spacing w:after="0" w:line="360" w:lineRule="auto"/>
              <w:rPr>
                <w:rFonts w:ascii="Arial" w:hAnsi="Arial" w:cs="Arial"/>
              </w:rPr>
            </w:pPr>
          </w:p>
        </w:tc>
      </w:tr>
    </w:tbl>
    <w:p w14:paraId="4BF471A1">
      <w:pPr>
        <w:spacing w:line="360" w:lineRule="auto"/>
        <w:rPr>
          <w:rFonts w:ascii="Arial" w:hAnsi="Arial" w:cs="Arial"/>
        </w:rPr>
      </w:pPr>
    </w:p>
    <w:p w14:paraId="3A184FF0">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This discussion brings out the best in me and the things on which I need to improve to fit the job requirements.</w:t>
      </w:r>
    </w:p>
    <w:p w14:paraId="51BF8586">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Skills that should be used and how I fit these skills.</w:t>
      </w:r>
    </w:p>
    <w:p w14:paraId="3B724FA1">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There are six competencies that are described in the job description. I correspond with them in the following way:</w:t>
      </w:r>
    </w:p>
    <w:p w14:paraId="0AD354EA">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xml:space="preserve">Scientific Knowledge: Physiology, Biochemistry, and Nutrition. </w:t>
      </w:r>
    </w:p>
    <w:p w14:paraId="686D5DB0">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xml:space="preserve">Reason: Make use of experience in the treatment-based diets and micronutrient metabolism. </w:t>
      </w:r>
    </w:p>
    <w:p w14:paraId="46B00A1F">
      <w:pPr>
        <w:spacing w:before="100" w:beforeAutospacing="1" w:after="100" w:afterAutospacing="1" w:line="360" w:lineRule="auto"/>
        <w:rPr>
          <w:rFonts w:ascii="Arial" w:hAnsi="Arial" w:eastAsia="Times New Roman" w:cs="Arial"/>
          <w:i/>
          <w:iCs/>
          <w:color w:val="0000FF"/>
          <w:sz w:val="32"/>
          <w:szCs w:val="32"/>
          <w:lang w:val="zh-CN" w:eastAsia="zh-CN"/>
        </w:rPr>
      </w:pPr>
      <w:r>
        <w:rPr>
          <w:rFonts w:ascii="Arial" w:hAnsi="Arial" w:eastAsia="Times New Roman" w:cs="Arial"/>
          <w:lang w:val="zh-CN" w:eastAsia="zh-CN"/>
        </w:rPr>
        <w:t>Evidence: Obtained an average of 78 percent in the Medical Nutrition Therapy module; had prepared an enteral feeding plan during a simulation in an ICU (rated Distinction). Volunteered in a diabetes clinic, where I made carbohydrate-counting plans with over 50 patients, which, through an audit (based on audit data), demonstrated a 0.8% decrease in the average HbA1c.</w:t>
      </w:r>
    </w:p>
    <w:p w14:paraId="6A81114A">
      <w:pPr>
        <w:spacing w:before="100" w:beforeAutospacing="1" w:after="100" w:afterAutospacing="1" w:line="360" w:lineRule="auto"/>
        <w:jc w:val="center"/>
        <w:rPr>
          <w:rFonts w:ascii="Arial" w:hAnsi="Arial" w:eastAsia="Times New Roman" w:cs="Arial"/>
          <w:i/>
          <w:iCs/>
          <w:color w:val="0000FF"/>
          <w:sz w:val="32"/>
          <w:szCs w:val="32"/>
          <w:lang w:val="zh-CN" w:eastAsia="zh-CN"/>
        </w:rPr>
      </w:pPr>
      <w:r>
        <w:rPr>
          <w:rFonts w:ascii="Arial" w:hAnsi="Arial" w:eastAsia="Times New Roman" w:cs="Arial"/>
          <w:i/>
          <w:iCs/>
          <w:color w:val="0000FF"/>
          <w:sz w:val="32"/>
          <w:szCs w:val="32"/>
          <w:lang w:val="zh-CN" w:eastAsia="zh-CN"/>
        </w:rPr>
        <w:t>Change Techniques and Counselling.</w:t>
      </w:r>
    </w:p>
    <w:p w14:paraId="74812F67">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xml:space="preserve">Requirement: Adherence should be encouraged with the help of Motivational Interviewing (MI). </w:t>
      </w:r>
    </w:p>
    <w:p w14:paraId="16641756">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Evidence: Attended CPD course in MI for 2 days of study (2024). The results included led weight management group sessions (n=12) with weight loss attained at 12 weeks of 5% (n=68) weight loss. Feedback averaged 4.8/5.</w:t>
      </w:r>
    </w:p>
    <w:p w14:paraId="18DFF8FD">
      <w:pPr>
        <w:spacing w:before="100" w:beforeAutospacing="1" w:after="100" w:afterAutospacing="1" w:line="360" w:lineRule="auto"/>
        <w:jc w:val="center"/>
        <w:rPr>
          <w:rFonts w:ascii="Arial" w:hAnsi="Arial" w:eastAsia="Times New Roman" w:cs="Arial"/>
          <w:i/>
          <w:iCs/>
          <w:color w:val="0000FF"/>
          <w:sz w:val="32"/>
          <w:szCs w:val="32"/>
          <w:lang w:val="zh-CN" w:eastAsia="zh-CN"/>
        </w:rPr>
      </w:pPr>
      <w:r>
        <w:rPr>
          <w:rFonts w:ascii="Arial" w:hAnsi="Arial" w:eastAsia="Times New Roman" w:cs="Arial"/>
          <w:i/>
          <w:iCs/>
          <w:color w:val="0000FF"/>
          <w:sz w:val="32"/>
          <w:szCs w:val="32"/>
          <w:lang w:val="zh-CN" w:eastAsia="zh-CN"/>
        </w:rPr>
        <w:t>Interprofessional Communication.</w:t>
      </w:r>
    </w:p>
    <w:p w14:paraId="635FC4F8">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Requirement: Sell in the MDT meetings and write down. </w:t>
      </w:r>
    </w:p>
    <w:p w14:paraId="6C144DBC">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Evidence: Provided quarterly nutrition reports to an endocrinology unit, for which consultants have expressed the information as concise and practical. Introduced a co-written discharge summary template that was implemented on a ward-wide basis.</w:t>
      </w:r>
    </w:p>
    <w:p w14:paraId="61F717DC">
      <w:pPr>
        <w:spacing w:before="100" w:beforeAutospacing="1" w:after="100" w:afterAutospacing="1" w:line="360" w:lineRule="auto"/>
        <w:jc w:val="center"/>
        <w:rPr>
          <w:rFonts w:ascii="Arial" w:hAnsi="Arial" w:eastAsia="Times New Roman" w:cs="Arial"/>
          <w:i/>
          <w:iCs/>
          <w:color w:val="0000FF"/>
          <w:sz w:val="32"/>
          <w:szCs w:val="32"/>
          <w:lang w:val="zh-CN" w:eastAsia="zh-CN"/>
        </w:rPr>
      </w:pPr>
      <w:r>
        <w:rPr>
          <w:rFonts w:ascii="Arial" w:hAnsi="Arial" w:eastAsia="Times New Roman" w:cs="Arial"/>
          <w:i/>
          <w:iCs/>
          <w:color w:val="0000FF"/>
          <w:sz w:val="32"/>
          <w:szCs w:val="32"/>
          <w:lang w:val="zh-CN" w:eastAsia="zh-CN"/>
        </w:rPr>
        <w:t>IT and Record-Keeping.</w:t>
      </w:r>
    </w:p>
    <w:p w14:paraId="5F5B48C8">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Skills: Computer skills (e.g., familiarity with electronic patient records, e.g., Cerner, EPIC) and dietary analysis programs. </w:t>
      </w:r>
    </w:p>
    <w:p w14:paraId="4C041625">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Experience: Experienced in Nutritics and Dietplan7 with 30 or more case studies. Formal information governance and GDPR education.</w:t>
      </w:r>
    </w:p>
    <w:p w14:paraId="53D25C16">
      <w:pPr>
        <w:spacing w:before="100" w:beforeAutospacing="1" w:after="100" w:afterAutospacing="1" w:line="360" w:lineRule="auto"/>
        <w:jc w:val="center"/>
        <w:rPr>
          <w:rFonts w:ascii="Arial" w:hAnsi="Arial" w:eastAsia="Times New Roman" w:cs="Arial"/>
          <w:i/>
          <w:iCs/>
          <w:color w:val="0000FF"/>
          <w:sz w:val="32"/>
          <w:szCs w:val="32"/>
          <w:lang w:val="zh-CN" w:eastAsia="zh-CN"/>
        </w:rPr>
      </w:pPr>
      <w:r>
        <w:rPr>
          <w:rFonts w:ascii="Arial" w:hAnsi="Arial" w:eastAsia="Times New Roman" w:cs="Arial"/>
          <w:i/>
          <w:iCs/>
          <w:color w:val="0000FF"/>
          <w:sz w:val="32"/>
          <w:szCs w:val="32"/>
          <w:lang w:val="zh-CN" w:eastAsia="zh-CN"/>
        </w:rPr>
        <w:t>Research and Critical Appraisal.</w:t>
      </w:r>
    </w:p>
    <w:p w14:paraId="48239F3E">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Requirement: Implement NICE/BDA guidelines and take contributions to audits. </w:t>
      </w:r>
    </w:p>
    <w:p w14:paraId="19A0F2E7">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Evidence: Retained a trust audit on oral nutrition supplements and discovered 22% of over-prescribing and saved PS4,200/year. Even had a student poster at the British Dietetic Association conference (2023).</w:t>
      </w:r>
    </w:p>
    <w:p w14:paraId="4E93588A">
      <w:pPr>
        <w:spacing w:before="100" w:beforeAutospacing="1" w:after="100" w:afterAutospacing="1" w:line="360" w:lineRule="auto"/>
        <w:jc w:val="center"/>
        <w:rPr>
          <w:rFonts w:ascii="Arial" w:hAnsi="Arial" w:eastAsia="Times New Roman" w:cs="Arial"/>
          <w:color w:val="0000FF"/>
          <w:sz w:val="32"/>
          <w:szCs w:val="32"/>
          <w:lang w:val="zh-CN" w:eastAsia="zh-CN"/>
        </w:rPr>
      </w:pPr>
      <w:r>
        <w:rPr>
          <w:rFonts w:ascii="Arial" w:hAnsi="Arial" w:eastAsia="Times New Roman" w:cs="Arial"/>
          <w:i/>
          <w:iCs/>
          <w:color w:val="0000FF"/>
          <w:sz w:val="32"/>
          <w:szCs w:val="32"/>
          <w:lang w:val="zh-CN" w:eastAsia="zh-CN"/>
        </w:rPr>
        <w:t>Prioritization and Time Management</w:t>
      </w:r>
      <w:r>
        <w:rPr>
          <w:rFonts w:ascii="Arial" w:hAnsi="Arial" w:eastAsia="Times New Roman" w:cs="Arial"/>
          <w:color w:val="0000FF"/>
          <w:sz w:val="32"/>
          <w:szCs w:val="32"/>
          <w:lang w:val="zh-CN" w:eastAsia="zh-CN"/>
        </w:rPr>
        <w:t>.</w:t>
      </w:r>
    </w:p>
    <w:p w14:paraId="05B8910F">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Requirement: Deal with 8-12 patients per day under pressure. </w:t>
      </w:r>
    </w:p>
    <w:p w14:paraId="14A1A7A5">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Experience: Supervised four wards in final-year placement when doing dissertation; did not have any problem meeting deadline.</w:t>
      </w:r>
    </w:p>
    <w:p w14:paraId="18A92B74">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In general, I fit 83% of the criteria to a dot (5/6) and partially in the case of IT systems.</w:t>
      </w:r>
    </w:p>
    <w:p w14:paraId="2CF4B1B2">
      <w:pPr>
        <w:spacing w:before="100" w:beforeAutospacing="1" w:after="100" w:afterAutospacing="1" w:line="360" w:lineRule="auto"/>
        <w:jc w:val="center"/>
        <w:rPr>
          <w:rFonts w:ascii="Arial" w:hAnsi="Arial" w:eastAsia="Times New Roman" w:cs="Arial"/>
          <w:i/>
          <w:iCs/>
          <w:color w:val="0000FF"/>
          <w:sz w:val="32"/>
          <w:szCs w:val="32"/>
          <w:lang w:val="zh-CN" w:eastAsia="zh-CN"/>
        </w:rPr>
      </w:pPr>
      <w:r>
        <w:rPr>
          <w:rFonts w:ascii="Arial" w:hAnsi="Arial" w:eastAsia="Times New Roman" w:cs="Arial"/>
          <w:i/>
          <w:iCs/>
          <w:color w:val="0000FF"/>
          <w:sz w:val="32"/>
          <w:szCs w:val="32"/>
          <w:lang w:val="zh-CN" w:eastAsia="zh-CN"/>
        </w:rPr>
        <w:t>Skill Gaps and Personal Development Plan (PDP).</w:t>
      </w:r>
    </w:p>
    <w:p w14:paraId="4251C81D">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Two critical areas have been found: high levels of IT skills (e.g., Cerner/EPIC systems) and specialized skills in pediatric nutrition since my experience is more adult-oriented.</w:t>
      </w:r>
    </w:p>
    <w:p w14:paraId="5676E131">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To mitigate these, I have come up with a PDP consisting of SMART goals:</w:t>
      </w:r>
    </w:p>
    <w:p w14:paraId="29A9FAC8">
      <w:pPr>
        <w:spacing w:before="100" w:beforeAutospacing="1" w:after="100" w:afterAutospacing="1" w:line="360" w:lineRule="auto"/>
        <w:jc w:val="center"/>
        <w:rPr>
          <w:rFonts w:ascii="Arial" w:hAnsi="Arial" w:eastAsia="Times New Roman" w:cs="Arial"/>
          <w:i/>
          <w:iCs/>
          <w:color w:val="0000FF"/>
          <w:sz w:val="32"/>
          <w:szCs w:val="32"/>
          <w:lang w:val="zh-CN" w:eastAsia="zh-CN"/>
        </w:rPr>
      </w:pPr>
      <w:r>
        <w:rPr>
          <w:rFonts w:ascii="Arial" w:hAnsi="Arial" w:eastAsia="Times New Roman" w:cs="Arial"/>
          <w:i/>
          <w:iCs/>
          <w:color w:val="0000FF"/>
          <w:sz w:val="32"/>
          <w:szCs w:val="32"/>
          <w:lang w:val="zh-CN" w:eastAsia="zh-CN"/>
        </w:rPr>
        <w:t>Advanced IT Skills:</w:t>
      </w:r>
    </w:p>
    <w:p w14:paraId="7906864C">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 Specific: Do an online Cerner/EPIC training module through the NHS e-learning platform. </w:t>
      </w:r>
    </w:p>
    <w:p w14:paraId="0A5B01EE">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 measurable: Complete certification and put into a simulated case. </w:t>
      </w:r>
    </w:p>
    <w:p w14:paraId="6065C5BA">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 Evidence-based: HCPC allows free access; 20-hour duration during 4 weeks. </w:t>
      </w:r>
    </w:p>
    <w:p w14:paraId="3B5F483D">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 Relevant: Necessary in keeping hospital records. </w:t>
      </w:r>
    </w:p>
    <w:p w14:paraId="51631391">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 Rooted in time: To be completed before February 2026. </w:t>
      </w:r>
    </w:p>
    <w:p w14:paraId="60F27F7C">
      <w:pPr>
        <w:spacing w:before="100" w:beforeAutospacing="1" w:after="100" w:afterAutospacing="1" w:line="360" w:lineRule="auto"/>
        <w:jc w:val="center"/>
        <w:rPr>
          <w:rFonts w:ascii="Arial" w:hAnsi="Arial" w:eastAsia="Times New Roman" w:cs="Arial"/>
          <w:color w:val="0000FF"/>
          <w:sz w:val="32"/>
          <w:szCs w:val="32"/>
          <w:lang w:val="zh-CN" w:eastAsia="zh-CN"/>
        </w:rPr>
      </w:pPr>
      <w:r>
        <w:rPr>
          <w:rFonts w:ascii="Arial" w:hAnsi="Arial" w:eastAsia="Times New Roman" w:cs="Arial"/>
          <w:i/>
          <w:iCs/>
          <w:color w:val="0000FF"/>
          <w:sz w:val="32"/>
          <w:szCs w:val="32"/>
          <w:lang w:val="zh-CN" w:eastAsia="zh-CN"/>
        </w:rPr>
        <w:t>Pediatric Knowledge of Nutrition</w:t>
      </w:r>
      <w:r>
        <w:rPr>
          <w:rFonts w:ascii="Arial" w:hAnsi="Arial" w:eastAsia="Times New Roman" w:cs="Arial"/>
          <w:color w:val="0000FF"/>
          <w:sz w:val="32"/>
          <w:szCs w:val="32"/>
          <w:lang w:val="zh-CN" w:eastAsia="zh-CN"/>
        </w:rPr>
        <w:t>:</w:t>
      </w:r>
    </w:p>
    <w:p w14:paraId="5211A1C5">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 Specific: Enroll in the Paediatric Nutrition CPD course provided by BDA as well as shadow a paediatric dietitian. </w:t>
      </w:r>
    </w:p>
    <w:p w14:paraId="0977E7B9">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 Measurable: 30 hours of shadowing and complete course assessment. </w:t>
      </w:r>
    </w:p>
    <w:p w14:paraId="58015FEC">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 Feasible: The course would cost PS150; request voluntary placement through local NHS trust. </w:t>
      </w:r>
    </w:p>
    <w:p w14:paraId="47C9D805">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 Relevant: No relevant: Widens applicability to a variety of caseloads. </w:t>
      </w:r>
    </w:p>
    <w:p w14:paraId="25711840">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 Deadline: Course completion in March of 2026; shadowing in April of 2026. </w:t>
      </w:r>
    </w:p>
    <w:p w14:paraId="7EBC2052">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Budget: PS250 total (course fees). Total number of hours: 80 during 16 weeks, but is suitable for part-time catering services. I will measure and follow progress through a reflective journal and quarterly as compared to HCPC standards.</w:t>
      </w:r>
    </w:p>
    <w:p w14:paraId="1230D829">
      <w:pPr>
        <w:spacing w:before="100" w:beforeAutospacing="1" w:after="100" w:afterAutospacing="1" w:line="360" w:lineRule="auto"/>
        <w:rPr>
          <w:rFonts w:ascii="Arial" w:hAnsi="Arial" w:eastAsia="Times New Roman" w:cs="Arial"/>
          <w:b/>
          <w:bCs/>
          <w:color w:val="0000FF"/>
          <w:sz w:val="32"/>
          <w:szCs w:val="32"/>
          <w:lang w:val="zh-CN" w:eastAsia="zh-CN"/>
        </w:rPr>
      </w:pPr>
      <w:r>
        <w:rPr>
          <w:rFonts w:ascii="Arial" w:hAnsi="Arial" w:eastAsia="Times New Roman" w:cs="Arial"/>
          <w:b/>
          <w:bCs/>
          <w:color w:val="0000FF"/>
          <w:sz w:val="32"/>
          <w:szCs w:val="32"/>
          <w:lang w:val="zh-CN" w:eastAsia="zh-CN"/>
        </w:rPr>
        <w:t>Three ideal interview questions and answers.</w:t>
      </w:r>
    </w:p>
    <w:p w14:paraId="6667BE15">
      <w:pPr>
        <w:pStyle w:val="9"/>
        <w:numPr>
          <w:ilvl w:val="0"/>
          <w:numId w:val="5"/>
        </w:num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xml:space="preserve">Situation: friendliness and association with a patient who lacked adherence to care. </w:t>
      </w:r>
    </w:p>
    <w:p w14:paraId="34F4173A">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xml:space="preserve">One case scenario: A 62-year-old man has T2DM, and it is challenging to decrease refined carbohydrates. </w:t>
      </w:r>
    </w:p>
    <w:p w14:paraId="132BDF9E">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xml:space="preserve">Action: Ameliorate glycemic control without facing it. </w:t>
      </w:r>
    </w:p>
    <w:p w14:paraId="152E782F">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xml:space="preserve">Intervention: Applied MI to investigate ambivalence (ex: 1-10 scale: how relevant or important to you is it not to have injections?). Created a three-day meal plan together and replaced white rice with quinoa (appropriate within the culture) and a prototype graphic plate. </w:t>
      </w:r>
    </w:p>
    <w:p w14:paraId="32C55700">
      <w:pPr>
        <w:spacing w:before="100" w:beforeAutospacing="1" w:after="100" w:afterAutospacing="1" w:line="360" w:lineRule="auto"/>
        <w:rPr>
          <w:rFonts w:ascii="Times New Roman" w:hAnsi="Times New Roman" w:eastAsia="Times New Roman" w:cs="Times New Roman"/>
          <w:sz w:val="24"/>
          <w:szCs w:val="24"/>
          <w:lang w:val="zh-CN" w:eastAsia="zh-CN"/>
        </w:rPr>
      </w:pPr>
      <w:r>
        <w:rPr>
          <w:rFonts w:ascii="Arial" w:hAnsi="Arial" w:eastAsia="Times New Roman" w:cs="Arial"/>
          <w:lang w:val="zh-CN" w:eastAsia="zh-CN"/>
        </w:rPr>
        <w:t>Outcomes: In 6 weeks the level of fasting glucose had decreased to 7.8 mmol/L; the patient replied, I can control myself again. Job Specific: Demonstrates caring, expediency, and scientific change, which are imperative in a big range of hospital cases</w:t>
      </w:r>
      <w:r>
        <w:rPr>
          <w:rFonts w:ascii="Times New Roman" w:hAnsi="Times New Roman" w:eastAsia="Times New Roman" w:cs="Times New Roman"/>
          <w:sz w:val="24"/>
          <w:szCs w:val="24"/>
          <w:lang w:val="zh-CN" w:eastAsia="zh-CN"/>
        </w:rPr>
        <w:t>.</w:t>
      </w:r>
    </w:p>
    <w:p w14:paraId="4FAABDB2">
      <w:pPr>
        <w:pStyle w:val="9"/>
        <w:numPr>
          <w:ilvl w:val="0"/>
          <w:numId w:val="5"/>
        </w:numPr>
        <w:spacing w:before="100" w:beforeAutospacing="1" w:after="100" w:afterAutospacing="1" w:line="360" w:lineRule="auto"/>
        <w:rPr>
          <w:rFonts w:ascii="Arial" w:hAnsi="Arial" w:eastAsia="Times New Roman" w:cs="Arial"/>
          <w:i/>
          <w:iCs/>
          <w:lang w:val="zh-CN" w:eastAsia="zh-CN"/>
        </w:rPr>
      </w:pPr>
      <w:r>
        <w:rPr>
          <w:rFonts w:ascii="Arial" w:hAnsi="Arial" w:eastAsia="Times New Roman" w:cs="Arial"/>
          <w:i/>
          <w:iCs/>
          <w:color w:val="0000FF"/>
          <w:sz w:val="32"/>
          <w:szCs w:val="32"/>
          <w:lang w:val="zh-CN" w:eastAsia="zh-CN"/>
        </w:rPr>
        <w:t>What are your ways of keeping up with the evidence-based practice?</w:t>
      </w:r>
      <w:r>
        <w:rPr>
          <w:rFonts w:ascii="Arial" w:hAnsi="Arial" w:eastAsia="Times New Roman" w:cs="Arial"/>
          <w:i/>
          <w:iCs/>
          <w:lang w:val="zh-CN" w:eastAsia="zh-CN"/>
        </w:rPr>
        <w:t> </w:t>
      </w:r>
    </w:p>
    <w:p w14:paraId="643C4634">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My CPD schedule is based on Fridays, two hours per week, which would include checking BDA Practice Evidence in nutrition (PEN) updates and guidelines of NICE NG28; critical appraisal of one RCT monthly using the CASP tool; and an online journal club through Dietitian Central Slack. Case: Implemented the new Monash low-FODMAP update and successfully tested it with 3 IBS patients. I am also registered by HCPC (two-year audits of 48 points logged in the recent past, which is more than the 30-point requirement).</w:t>
      </w:r>
    </w:p>
    <w:p w14:paraId="775E3259">
      <w:pPr>
        <w:pStyle w:val="9"/>
        <w:numPr>
          <w:ilvl w:val="0"/>
          <w:numId w:val="5"/>
        </w:numPr>
        <w:spacing w:before="100" w:beforeAutospacing="1" w:after="100" w:afterAutospacing="1" w:line="360" w:lineRule="auto"/>
        <w:rPr>
          <w:rFonts w:ascii="Arial" w:hAnsi="Arial" w:eastAsia="Times New Roman" w:cs="Arial"/>
          <w:i/>
          <w:iCs/>
          <w:lang w:val="zh-CN" w:eastAsia="zh-CN"/>
        </w:rPr>
      </w:pPr>
      <w:r>
        <w:rPr>
          <w:rFonts w:ascii="Arial" w:hAnsi="Arial" w:eastAsia="Times New Roman" w:cs="Arial"/>
          <w:i/>
          <w:iCs/>
          <w:lang w:val="zh-CN" w:eastAsia="zh-CN"/>
        </w:rPr>
        <w:t>Describe your calculation and surveillance of parenteral nutrition of a patient with short gut syndrome and a weight of 70 kg. </w:t>
      </w:r>
    </w:p>
    <w:p w14:paraId="7643916A">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xml:space="preserve">Step 1: Needs assessment-Monitor loss of nitrogen (quantify loss of nitrogen) or use ASPEN estimates (1.5-2 g /kg protein). </w:t>
      </w:r>
    </w:p>
    <w:p w14:paraId="192E829A">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xml:space="preserve"> Step 2: calculate energy energy-Harris-Benedict basal metabolic rate. 1.3 stress determinant [?] 2,100 kcal. </w:t>
      </w:r>
    </w:p>
    <w:p w14:paraId="6E3366AB">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xml:space="preserve"> Step 3: Add formula-- Add a 3-in-1 bag (1,200 mL) of nitrogen (14 g), glucose (200 g), lipids (80 g) then add the electrolytes as per protocol (e.g.Na 100 mmol, K 60 mmol, Mg 10 mmol).</w:t>
      </w:r>
    </w:p>
    <w:p w14:paraId="17B0BC08">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Step 4: Surveillance—U&amp;E, LFT, triglycerides, and T/E trace elements weekly. Reduce with improvement of enteral tolerance. </w:t>
      </w:r>
    </w:p>
    <w:p w14:paraId="722A3467">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   I work in collaboration with pharmacists, which conforms to ESPEN 2023 practices.</w:t>
      </w:r>
    </w:p>
    <w:p w14:paraId="415CC487">
      <w:pPr>
        <w:spacing w:before="100" w:beforeAutospacing="1" w:after="100" w:afterAutospacing="1" w:line="360" w:lineRule="auto"/>
        <w:rPr>
          <w:rFonts w:ascii="Arial" w:hAnsi="Arial" w:eastAsia="Times New Roman" w:cs="Arial"/>
          <w:lang w:val="zh-CN" w:eastAsia="zh-CN"/>
        </w:rPr>
      </w:pPr>
    </w:p>
    <w:p w14:paraId="582947C8">
      <w:pPr>
        <w:spacing w:before="100" w:beforeAutospacing="1" w:after="100" w:afterAutospacing="1" w:line="360" w:lineRule="auto"/>
        <w:rPr>
          <w:rFonts w:ascii="Arial" w:hAnsi="Arial" w:eastAsia="Times New Roman" w:cs="Arial"/>
          <w:b/>
          <w:bCs/>
          <w:color w:val="0000FF"/>
          <w:sz w:val="32"/>
          <w:szCs w:val="32"/>
          <w:lang w:val="zh-CN" w:eastAsia="zh-CN"/>
        </w:rPr>
      </w:pPr>
      <w:r>
        <w:rPr>
          <w:rFonts w:ascii="Arial" w:hAnsi="Arial" w:eastAsia="Times New Roman" w:cs="Arial"/>
          <w:b/>
          <w:bCs/>
          <w:color w:val="0000FF"/>
          <w:sz w:val="32"/>
          <w:szCs w:val="32"/>
          <w:lang w:val="zh-CN" w:eastAsia="zh-CN"/>
        </w:rPr>
        <w:t>Task 2: Motivational Interviewing as a Key Skill in Health and Social Care academic report.</w:t>
      </w:r>
    </w:p>
    <w:p w14:paraId="42B3A0F1">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Abstract </w:t>
      </w:r>
    </w:p>
    <w:p w14:paraId="00321CDD">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Motivational Interviewing (MI) is a fundamental skill to be used in counselling diet to health and social care in the UK. MI, taught in undergraduate courses in Behavior Change and Communication, increases dietary adherence in such disorders as type 2 diabetes mellitus (T2DM). The UK's recent trials and meta-analyses show that there were significant clinical improvements in the HbA1c and self-management. The report discusses the theoretical backgrounds and evidence base of MI and its implementation in the NHS, which is consistent with the standards of HCPC and BDA.</w:t>
      </w:r>
    </w:p>
    <w:p w14:paraId="1D89FF90">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color w:val="0000FF"/>
          <w:sz w:val="32"/>
          <w:szCs w:val="32"/>
          <w:lang w:val="zh-CN" w:eastAsia="zh-CN"/>
        </w:rPr>
        <w:t>Introduction</w:t>
      </w:r>
      <w:r>
        <w:rPr>
          <w:rFonts w:ascii="Arial" w:hAnsi="Arial" w:eastAsia="Times New Roman" w:cs="Arial"/>
          <w:lang w:val="zh-CN" w:eastAsia="zh-CN"/>
        </w:rPr>
        <w:t> </w:t>
      </w:r>
    </w:p>
    <w:p w14:paraId="521DF069">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NHS dietetic practice requires a good behavior change strategy (British Dietetic Association, 2021). MI, which is a person-</w:t>
      </w:r>
      <w:r>
        <w:rPr>
          <w:rFonts w:ascii="Arial" w:hAnsi="Arial" w:eastAsia="Times New Roman" w:cs="Arial"/>
          <w:lang w:eastAsia="zh-CN"/>
        </w:rPr>
        <w:t>centered</w:t>
      </w:r>
      <w:r>
        <w:rPr>
          <w:rFonts w:ascii="Arial" w:hAnsi="Arial" w:eastAsia="Times New Roman" w:cs="Arial"/>
          <w:lang w:val="zh-CN" w:eastAsia="zh-CN"/>
        </w:rPr>
        <w:t xml:space="preserve"> approach to counselling, serves as a way of creating intrinsic motivation to change (Miller and Rollnick, 2013). In patients with T2DM, non-adherence to the dietary pattern leads to 60% of the poor effectiveness of the glycemic control (NICE, 2022), and MI will be required to enhance adherence.</w:t>
      </w:r>
    </w:p>
    <w:p w14:paraId="619CBDBD">
      <w:pPr>
        <w:spacing w:before="100" w:beforeAutospacing="1" w:after="100" w:afterAutospacing="1" w:line="360" w:lineRule="auto"/>
        <w:rPr>
          <w:rFonts w:ascii="Arial" w:hAnsi="Arial" w:eastAsia="Times New Roman" w:cs="Arial"/>
          <w:i/>
          <w:iCs/>
          <w:lang w:val="zh-CN" w:eastAsia="zh-CN"/>
        </w:rPr>
      </w:pPr>
      <w:r>
        <w:rPr>
          <w:rFonts w:ascii="Arial" w:hAnsi="Arial" w:eastAsia="Times New Roman" w:cs="Arial"/>
          <w:i/>
          <w:iCs/>
          <w:lang w:val="zh-CN" w:eastAsia="zh-CN"/>
        </w:rPr>
        <w:t>Theoretical Framework </w:t>
      </w:r>
    </w:p>
    <w:p w14:paraId="5527F472">
      <w:pPr>
        <w:spacing w:before="100" w:beforeAutospacing="1" w:after="100" w:afterAutospacing="1" w:line="360" w:lineRule="auto"/>
        <w:rPr>
          <w:rFonts w:ascii="Arial" w:hAnsi="Arial" w:eastAsia="Times New Roman" w:cs="Arial"/>
          <w:color w:val="0000FF"/>
          <w:lang w:val="zh-CN" w:eastAsia="zh-CN"/>
        </w:rPr>
      </w:pPr>
      <w:r>
        <w:rPr>
          <w:rFonts w:ascii="Arial" w:hAnsi="Arial" w:eastAsia="Times New Roman" w:cs="Arial"/>
          <w:lang w:val="zh-CN" w:eastAsia="zh-CN"/>
        </w:rPr>
        <w:t xml:space="preserve">MI is based on self-determination theory (Ryan and Deci, 2020), which is autonomy-oriented, competence-oriented, and relatedness-oriented, and the transtheoretical model (Prochaska et al., 2022), which stages change behavior. It is a process of four processes, which include engaging, focusing, evoking, and planning, which are solved by applying OARS methods (Open questions, Affirmations, Reflective listening, Summaries) as a method of solving the </w:t>
      </w:r>
      <w:r>
        <w:rPr>
          <w:rFonts w:ascii="Arial" w:hAnsi="Arial" w:eastAsia="Times New Roman" w:cs="Arial"/>
          <w:color w:val="000000" w:themeColor="text1"/>
          <w:lang w:val="zh-CN" w:eastAsia="zh-CN"/>
          <w14:textFill>
            <w14:solidFill>
              <w14:schemeClr w14:val="tx1"/>
            </w14:solidFill>
          </w14:textFill>
        </w:rPr>
        <w:t>issue of ambivalence and increasing commitment (Miller and Rollnick, 2013</w:t>
      </w:r>
      <w:r>
        <w:rPr>
          <w:rFonts w:ascii="Arial" w:hAnsi="Arial" w:eastAsia="Times New Roman" w:cs="Arial"/>
          <w:color w:val="0000FF"/>
          <w:lang w:val="zh-CN" w:eastAsia="zh-CN"/>
        </w:rPr>
        <w:t>).</w:t>
      </w:r>
    </w:p>
    <w:p w14:paraId="78D98BC2">
      <w:pPr>
        <w:spacing w:before="100" w:beforeAutospacing="1" w:after="100" w:afterAutospacing="1" w:line="360" w:lineRule="auto"/>
        <w:rPr>
          <w:rFonts w:ascii="Arial" w:hAnsi="Arial" w:eastAsia="Times New Roman" w:cs="Arial"/>
          <w:i/>
          <w:iCs/>
          <w:color w:val="0000FF"/>
          <w:lang w:val="zh-CN" w:eastAsia="zh-CN"/>
        </w:rPr>
      </w:pPr>
      <w:r>
        <w:rPr>
          <w:rFonts w:ascii="Arial" w:hAnsi="Arial" w:eastAsia="Times New Roman" w:cs="Arial"/>
          <w:i/>
          <w:iCs/>
          <w:color w:val="0000FF"/>
          <w:lang w:val="zh-CN" w:eastAsia="zh-CN"/>
        </w:rPr>
        <w:t>Evidence Base </w:t>
      </w:r>
    </w:p>
    <w:p w14:paraId="4CD38338">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There is evidence in the UK that MI is effective. A meta-analysis by Thepwongsa et al. (28 RCTs, n=4,827) observed reduced HbA1c results with MI (0.51% lower than usual care, 95% CI: -0.73 to -0.29), with greater results (0.68) in [?]3 sessions. Ismail et al. (2024) reported that NHS dietitian-delivered MI (four sessions [30 min], n=156) increased attendance (42% more compared with no intervention, p&lt;0.001) and increased the amount of vegetable intake (1.8 portions/day compared to no intervention, 12 weeks, p&lt;0.001). Greaves et al. (2021) showed long-term results in the NHS Diabetes Prevention Programme, and 24-month behavior change was indicated by MI-trained facilitators.</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0"/>
        <w:gridCol w:w="706"/>
        <w:gridCol w:w="1506"/>
        <w:gridCol w:w="1585"/>
        <w:gridCol w:w="3715"/>
      </w:tblGrid>
      <w:tr w14:paraId="31A5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D75A6DF">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Study</w:t>
            </w:r>
          </w:p>
          <w:p w14:paraId="739ED59E">
            <w:pPr>
              <w:spacing w:before="100" w:beforeAutospacing="1" w:after="100" w:afterAutospacing="1" w:line="360" w:lineRule="auto"/>
              <w:rPr>
                <w:rFonts w:ascii="Arial" w:hAnsi="Arial" w:eastAsia="Times New Roman" w:cs="Arial"/>
                <w:lang w:val="zh-CN" w:eastAsia="zh-CN"/>
              </w:rPr>
            </w:pPr>
          </w:p>
        </w:tc>
        <w:tc>
          <w:tcPr>
            <w:tcW w:w="0" w:type="auto"/>
          </w:tcPr>
          <w:p w14:paraId="332FF795">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Year</w:t>
            </w:r>
          </w:p>
          <w:p w14:paraId="2F760AEE">
            <w:pPr>
              <w:spacing w:before="100" w:beforeAutospacing="1" w:after="100" w:afterAutospacing="1" w:line="360" w:lineRule="auto"/>
              <w:rPr>
                <w:rFonts w:ascii="Arial" w:hAnsi="Arial" w:eastAsia="Times New Roman" w:cs="Arial"/>
                <w:lang w:val="zh-CN" w:eastAsia="zh-CN"/>
              </w:rPr>
            </w:pPr>
          </w:p>
        </w:tc>
        <w:tc>
          <w:tcPr>
            <w:tcW w:w="0" w:type="auto"/>
          </w:tcPr>
          <w:p w14:paraId="204D4BBA">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Design</w:t>
            </w:r>
          </w:p>
          <w:p w14:paraId="5E8E221A">
            <w:pPr>
              <w:spacing w:before="100" w:beforeAutospacing="1" w:after="100" w:afterAutospacing="1" w:line="360" w:lineRule="auto"/>
              <w:rPr>
                <w:rFonts w:ascii="Arial" w:hAnsi="Arial" w:eastAsia="Times New Roman" w:cs="Arial"/>
                <w:lang w:val="zh-CN" w:eastAsia="zh-CN"/>
              </w:rPr>
            </w:pPr>
          </w:p>
        </w:tc>
        <w:tc>
          <w:tcPr>
            <w:tcW w:w="0" w:type="auto"/>
          </w:tcPr>
          <w:p w14:paraId="506AFB87">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Sample Size</w:t>
            </w:r>
          </w:p>
          <w:p w14:paraId="0DBF30E4">
            <w:pPr>
              <w:spacing w:before="100" w:beforeAutospacing="1" w:after="100" w:afterAutospacing="1" w:line="360" w:lineRule="auto"/>
              <w:rPr>
                <w:rFonts w:ascii="Arial" w:hAnsi="Arial" w:eastAsia="Times New Roman" w:cs="Arial"/>
                <w:lang w:val="zh-CN" w:eastAsia="zh-CN"/>
              </w:rPr>
            </w:pPr>
          </w:p>
        </w:tc>
        <w:tc>
          <w:tcPr>
            <w:tcW w:w="0" w:type="auto"/>
          </w:tcPr>
          <w:p w14:paraId="34C9ED57">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Key Findings</w:t>
            </w:r>
          </w:p>
          <w:p w14:paraId="7AC34E73">
            <w:pPr>
              <w:spacing w:before="100" w:beforeAutospacing="1" w:after="100" w:afterAutospacing="1" w:line="360" w:lineRule="auto"/>
              <w:rPr>
                <w:rFonts w:ascii="Arial" w:hAnsi="Arial" w:eastAsia="Times New Roman" w:cs="Arial"/>
                <w:lang w:val="zh-CN" w:eastAsia="zh-CN"/>
              </w:rPr>
            </w:pPr>
          </w:p>
        </w:tc>
      </w:tr>
      <w:tr w14:paraId="6C3F0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3B1D41">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Greaves et al.</w:t>
            </w:r>
          </w:p>
          <w:p w14:paraId="38BB71E6">
            <w:pPr>
              <w:spacing w:before="100" w:beforeAutospacing="1" w:after="100" w:afterAutospacing="1" w:line="360" w:lineRule="auto"/>
              <w:rPr>
                <w:rFonts w:ascii="Arial" w:hAnsi="Arial" w:eastAsia="Times New Roman" w:cs="Arial"/>
                <w:lang w:val="zh-CN" w:eastAsia="zh-CN"/>
              </w:rPr>
            </w:pPr>
          </w:p>
        </w:tc>
        <w:tc>
          <w:tcPr>
            <w:tcW w:w="0" w:type="auto"/>
          </w:tcPr>
          <w:p w14:paraId="4B291E60">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2021</w:t>
            </w:r>
          </w:p>
          <w:p w14:paraId="0A0D5388">
            <w:pPr>
              <w:spacing w:before="100" w:beforeAutospacing="1" w:after="100" w:afterAutospacing="1" w:line="360" w:lineRule="auto"/>
              <w:rPr>
                <w:rFonts w:ascii="Arial" w:hAnsi="Arial" w:eastAsia="Times New Roman" w:cs="Arial"/>
                <w:lang w:val="zh-CN" w:eastAsia="zh-CN"/>
              </w:rPr>
            </w:pPr>
          </w:p>
        </w:tc>
        <w:tc>
          <w:tcPr>
            <w:tcW w:w="0" w:type="auto"/>
          </w:tcPr>
          <w:p w14:paraId="2EF19E40">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Longitudinal</w:t>
            </w:r>
          </w:p>
          <w:p w14:paraId="3C4A4D1E">
            <w:pPr>
              <w:spacing w:before="100" w:beforeAutospacing="1" w:after="100" w:afterAutospacing="1" w:line="360" w:lineRule="auto"/>
              <w:rPr>
                <w:rFonts w:ascii="Arial" w:hAnsi="Arial" w:eastAsia="Times New Roman" w:cs="Arial"/>
                <w:lang w:val="zh-CN" w:eastAsia="zh-CN"/>
              </w:rPr>
            </w:pPr>
          </w:p>
        </w:tc>
        <w:tc>
          <w:tcPr>
            <w:tcW w:w="0" w:type="auto"/>
          </w:tcPr>
          <w:p w14:paraId="17E54E37">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n = unknown</w:t>
            </w:r>
          </w:p>
          <w:p w14:paraId="097D4108">
            <w:pPr>
              <w:spacing w:before="100" w:beforeAutospacing="1" w:after="100" w:afterAutospacing="1" w:line="360" w:lineRule="auto"/>
              <w:rPr>
                <w:rFonts w:ascii="Arial" w:hAnsi="Arial" w:eastAsia="Times New Roman" w:cs="Arial"/>
                <w:lang w:val="zh-CN" w:eastAsia="zh-CN"/>
              </w:rPr>
            </w:pPr>
          </w:p>
        </w:tc>
        <w:tc>
          <w:tcPr>
            <w:tcW w:w="0" w:type="auto"/>
          </w:tcPr>
          <w:p w14:paraId="7134A609">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Sustained behaviour change at 24 months</w:t>
            </w:r>
          </w:p>
          <w:p w14:paraId="25348E2C">
            <w:pPr>
              <w:spacing w:before="100" w:beforeAutospacing="1" w:after="100" w:afterAutospacing="1" w:line="360" w:lineRule="auto"/>
              <w:rPr>
                <w:rFonts w:ascii="Arial" w:hAnsi="Arial" w:eastAsia="Times New Roman" w:cs="Arial"/>
                <w:lang w:val="zh-CN" w:eastAsia="zh-CN"/>
              </w:rPr>
            </w:pPr>
          </w:p>
        </w:tc>
      </w:tr>
      <w:tr w14:paraId="3E3C4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BD65A16">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en-US" w:eastAsia="zh-CN"/>
              </w:rPr>
              <w:t>Th</w:t>
            </w:r>
            <w:r>
              <w:rPr>
                <w:rFonts w:ascii="Arial" w:hAnsi="Arial" w:eastAsia="Times New Roman" w:cs="Arial"/>
                <w:lang w:val="zh-CN" w:eastAsia="zh-CN"/>
              </w:rPr>
              <w:t>epwongsa et al.</w:t>
            </w:r>
          </w:p>
          <w:p w14:paraId="48C89F13">
            <w:pPr>
              <w:spacing w:before="100" w:beforeAutospacing="1" w:after="100" w:afterAutospacing="1" w:line="360" w:lineRule="auto"/>
              <w:rPr>
                <w:rFonts w:ascii="Arial" w:hAnsi="Arial" w:eastAsia="Times New Roman" w:cs="Arial"/>
                <w:lang w:val="zh-CN" w:eastAsia="zh-CN"/>
              </w:rPr>
            </w:pPr>
          </w:p>
        </w:tc>
        <w:tc>
          <w:tcPr>
            <w:tcW w:w="0" w:type="auto"/>
          </w:tcPr>
          <w:p w14:paraId="538B79C9">
            <w:pPr>
              <w:spacing w:before="100" w:beforeAutospacing="1" w:after="100" w:afterAutospacing="1" w:line="360" w:lineRule="auto"/>
              <w:rPr>
                <w:rFonts w:ascii="Arial" w:hAnsi="Arial" w:eastAsia="Times New Roman" w:cs="Arial"/>
                <w:lang w:val="en-US" w:eastAsia="zh-CN"/>
              </w:rPr>
            </w:pPr>
            <w:r>
              <w:rPr>
                <w:rFonts w:ascii="Arial" w:hAnsi="Arial" w:eastAsia="Times New Roman" w:cs="Arial"/>
                <w:lang w:val="en-US" w:eastAsia="zh-CN"/>
              </w:rPr>
              <w:t>2023</w:t>
            </w:r>
          </w:p>
        </w:tc>
        <w:tc>
          <w:tcPr>
            <w:tcW w:w="0" w:type="auto"/>
          </w:tcPr>
          <w:p w14:paraId="2AF86EB1">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Meta-analysis</w:t>
            </w:r>
          </w:p>
          <w:p w14:paraId="28CC04B7">
            <w:pPr>
              <w:spacing w:before="100" w:beforeAutospacing="1" w:after="100" w:afterAutospacing="1" w:line="360" w:lineRule="auto"/>
              <w:rPr>
                <w:rFonts w:ascii="Arial" w:hAnsi="Arial" w:eastAsia="Times New Roman" w:cs="Arial"/>
                <w:lang w:val="zh-CN" w:eastAsia="zh-CN"/>
              </w:rPr>
            </w:pPr>
          </w:p>
        </w:tc>
        <w:tc>
          <w:tcPr>
            <w:tcW w:w="0" w:type="auto"/>
          </w:tcPr>
          <w:p w14:paraId="71CEF3DA">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28 RCTs, n = 4,827</w:t>
            </w:r>
          </w:p>
          <w:p w14:paraId="35DD9B26">
            <w:pPr>
              <w:spacing w:before="100" w:beforeAutospacing="1" w:after="100" w:afterAutospacing="1" w:line="360" w:lineRule="auto"/>
              <w:rPr>
                <w:rFonts w:ascii="Arial" w:hAnsi="Arial" w:eastAsia="Times New Roman" w:cs="Arial"/>
                <w:lang w:val="zh-CN" w:eastAsia="zh-CN"/>
              </w:rPr>
            </w:pPr>
          </w:p>
        </w:tc>
        <w:tc>
          <w:tcPr>
            <w:tcW w:w="0" w:type="auto"/>
          </w:tcPr>
          <w:p w14:paraId="00B30210">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–0.51 % reduction in HbA1c</w:t>
            </w:r>
          </w:p>
          <w:p w14:paraId="1195E343">
            <w:pPr>
              <w:spacing w:before="100" w:beforeAutospacing="1" w:after="100" w:afterAutospacing="1" w:line="360" w:lineRule="auto"/>
              <w:rPr>
                <w:rFonts w:ascii="Arial" w:hAnsi="Arial" w:eastAsia="Times New Roman" w:cs="Arial"/>
                <w:lang w:val="zh-CN" w:eastAsia="zh-CN"/>
              </w:rPr>
            </w:pPr>
          </w:p>
        </w:tc>
      </w:tr>
      <w:tr w14:paraId="013EB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BB07C8">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Ismail et al</w:t>
            </w:r>
          </w:p>
          <w:p w14:paraId="2AA59ADA">
            <w:pPr>
              <w:spacing w:before="100" w:beforeAutospacing="1" w:after="100" w:afterAutospacing="1" w:line="360" w:lineRule="auto"/>
              <w:rPr>
                <w:rFonts w:ascii="Arial" w:hAnsi="Arial" w:eastAsia="Times New Roman" w:cs="Arial"/>
                <w:lang w:val="zh-CN" w:eastAsia="zh-CN"/>
              </w:rPr>
            </w:pPr>
          </w:p>
        </w:tc>
        <w:tc>
          <w:tcPr>
            <w:tcW w:w="0" w:type="auto"/>
          </w:tcPr>
          <w:p w14:paraId="2E327024">
            <w:pPr>
              <w:spacing w:before="100" w:beforeAutospacing="1" w:after="100" w:afterAutospacing="1" w:line="360" w:lineRule="auto"/>
              <w:rPr>
                <w:rFonts w:ascii="Arial" w:hAnsi="Arial" w:eastAsia="Times New Roman" w:cs="Arial"/>
                <w:lang w:val="en-US" w:eastAsia="zh-CN"/>
              </w:rPr>
            </w:pPr>
            <w:r>
              <w:rPr>
                <w:rFonts w:ascii="Arial" w:hAnsi="Arial" w:eastAsia="Times New Roman" w:cs="Arial"/>
                <w:lang w:val="en-US" w:eastAsia="zh-CN"/>
              </w:rPr>
              <w:t>2024</w:t>
            </w:r>
          </w:p>
        </w:tc>
        <w:tc>
          <w:tcPr>
            <w:tcW w:w="0" w:type="auto"/>
          </w:tcPr>
          <w:p w14:paraId="6004F1D6">
            <w:pPr>
              <w:spacing w:before="100" w:beforeAutospacing="1" w:after="100" w:afterAutospacing="1" w:line="360" w:lineRule="auto"/>
              <w:rPr>
                <w:rFonts w:ascii="Arial" w:hAnsi="Arial" w:eastAsia="Times New Roman" w:cs="Arial"/>
                <w:lang w:val="en-US" w:eastAsia="zh-CN"/>
              </w:rPr>
            </w:pPr>
            <w:r>
              <w:rPr>
                <w:rFonts w:ascii="Arial" w:hAnsi="Arial" w:eastAsia="Times New Roman" w:cs="Arial"/>
                <w:lang w:val="zh-CN" w:eastAsia="zh-CN"/>
              </w:rPr>
              <w:t>Pragmatic tria</w:t>
            </w:r>
            <w:r>
              <w:rPr>
                <w:rFonts w:ascii="Arial" w:hAnsi="Arial" w:eastAsia="Times New Roman" w:cs="Arial"/>
                <w:lang w:val="en-US" w:eastAsia="zh-CN"/>
              </w:rPr>
              <w:t>l</w:t>
            </w:r>
          </w:p>
        </w:tc>
        <w:tc>
          <w:tcPr>
            <w:tcW w:w="0" w:type="auto"/>
          </w:tcPr>
          <w:p w14:paraId="5AB04537">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n = 156</w:t>
            </w:r>
          </w:p>
          <w:p w14:paraId="38BE9A00">
            <w:pPr>
              <w:spacing w:before="100" w:beforeAutospacing="1" w:after="100" w:afterAutospacing="1" w:line="360" w:lineRule="auto"/>
              <w:rPr>
                <w:rFonts w:ascii="Arial" w:hAnsi="Arial" w:eastAsia="Times New Roman" w:cs="Arial"/>
                <w:lang w:val="zh-CN" w:eastAsia="zh-CN"/>
              </w:rPr>
            </w:pPr>
          </w:p>
        </w:tc>
        <w:tc>
          <w:tcPr>
            <w:tcW w:w="0" w:type="auto"/>
          </w:tcPr>
          <w:p w14:paraId="76FC4B1E">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42 % improvement in attendance +1.8 vegetable portions/day</w:t>
            </w:r>
          </w:p>
          <w:p w14:paraId="0326C420">
            <w:pPr>
              <w:spacing w:before="100" w:beforeAutospacing="1" w:after="100" w:afterAutospacing="1" w:line="360" w:lineRule="auto"/>
              <w:rPr>
                <w:rFonts w:ascii="Arial" w:hAnsi="Arial" w:eastAsia="Times New Roman" w:cs="Arial"/>
                <w:lang w:val="zh-CN" w:eastAsia="zh-CN"/>
              </w:rPr>
            </w:pPr>
          </w:p>
        </w:tc>
      </w:tr>
    </w:tbl>
    <w:p w14:paraId="0385DC45">
      <w:pPr>
        <w:spacing w:before="100" w:beforeAutospacing="1" w:after="100" w:afterAutospacing="1" w:line="360" w:lineRule="auto"/>
        <w:rPr>
          <w:rFonts w:ascii="Arial" w:hAnsi="Arial" w:eastAsia="Times New Roman" w:cs="Arial"/>
          <w:color w:val="D16349" w:themeColor="accent1"/>
          <w:sz w:val="32"/>
          <w:szCs w:val="32"/>
          <w:lang w:val="zh-CN" w:eastAsia="zh-CN"/>
          <w14:textFill>
            <w14:solidFill>
              <w14:schemeClr w14:val="accent1"/>
            </w14:solidFill>
          </w14:textFill>
        </w:rPr>
      </w:pPr>
    </w:p>
    <w:p w14:paraId="30674A3E">
      <w:pPr>
        <w:spacing w:before="100" w:beforeAutospacing="1" w:after="100" w:afterAutospacing="1" w:line="360" w:lineRule="auto"/>
        <w:rPr>
          <w:rFonts w:ascii="Arial" w:hAnsi="Arial" w:eastAsia="Times New Roman" w:cs="Arial"/>
          <w:color w:val="D16349" w:themeColor="accent1"/>
          <w:sz w:val="32"/>
          <w:szCs w:val="32"/>
          <w:lang w:val="zh-CN" w:eastAsia="zh-CN"/>
          <w14:textFill>
            <w14:solidFill>
              <w14:schemeClr w14:val="accent1"/>
            </w14:solidFill>
          </w14:textFill>
        </w:rPr>
      </w:pPr>
      <w:r>
        <w:rPr>
          <w:rFonts w:ascii="Arial" w:hAnsi="Arial" w:eastAsia="Times New Roman" w:cs="Arial"/>
          <w:color w:val="D16349" w:themeColor="accent1"/>
          <w:sz w:val="32"/>
          <w:szCs w:val="32"/>
          <w:lang w:eastAsia="zh-CN"/>
          <w14:textFill>
            <w14:solidFill>
              <w14:schemeClr w14:val="accent1"/>
            </w14:solidFill>
          </w14:textFill>
        </w:rPr>
        <w:t>Implementation</w:t>
      </w:r>
      <w:r>
        <w:rPr>
          <w:rFonts w:ascii="Arial" w:hAnsi="Arial" w:eastAsia="Times New Roman" w:cs="Arial"/>
          <w:color w:val="D16349" w:themeColor="accent1"/>
          <w:sz w:val="32"/>
          <w:szCs w:val="32"/>
          <w:lang w:val="zh-CN" w:eastAsia="zh-CN"/>
          <w14:textFill>
            <w14:solidFill>
              <w14:schemeClr w14:val="accent1"/>
            </w14:solidFill>
          </w14:textFill>
        </w:rPr>
        <w:t xml:space="preserve"> in Practice </w:t>
      </w:r>
    </w:p>
    <w:p w14:paraId="0597F4D5">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MI is used in the NHS together with the BDA Model and Process of Nutrition and Dietetic Practice (British Dietetic Association, 2021). It is applicable in the management of T2DM by dietitians, which is also in line with the NICE NG28. The issues involve exceedance of time, which is managed through short-term MI adaptations. The training will guarantee fidelity, which is in the context of HCPC proficiency standards.</w:t>
      </w:r>
    </w:p>
    <w:p w14:paraId="31984DB8">
      <w:pPr>
        <w:spacing w:before="100" w:beforeAutospacing="1" w:after="100" w:afterAutospacing="1" w:line="360" w:lineRule="auto"/>
        <w:rPr>
          <w:rFonts w:ascii="Arial" w:hAnsi="Arial" w:eastAsia="Times New Roman" w:cs="Arial"/>
          <w:color w:val="D16349" w:themeColor="accent1"/>
          <w:sz w:val="32"/>
          <w:szCs w:val="32"/>
          <w:lang w:val="zh-CN" w:eastAsia="zh-CN"/>
          <w14:textFill>
            <w14:solidFill>
              <w14:schemeClr w14:val="accent1"/>
            </w14:solidFill>
          </w14:textFill>
        </w:rPr>
      </w:pPr>
      <w:r>
        <w:rPr>
          <w:rFonts w:ascii="Arial" w:hAnsi="Arial" w:eastAsia="Times New Roman" w:cs="Arial"/>
          <w:color w:val="D16349" w:themeColor="accent1"/>
          <w:sz w:val="32"/>
          <w:szCs w:val="32"/>
          <w:lang w:val="zh-CN" w:eastAsia="zh-CN"/>
          <w14:textFill>
            <w14:solidFill>
              <w14:schemeClr w14:val="accent1"/>
            </w14:solidFill>
          </w14:textFill>
        </w:rPr>
        <w:t>Conclusion </w:t>
      </w:r>
    </w:p>
    <w:p w14:paraId="4E03B3F8">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MI is valuable in supporting dietary adoption in T2DM with strong UK evidence to support it. Its incorporation increases the patient results and professional practice, which highlights its contribution towards health and social care.</w:t>
      </w:r>
    </w:p>
    <w:p w14:paraId="01B709CF">
      <w:pPr>
        <w:spacing w:before="100" w:beforeAutospacing="1" w:after="100" w:afterAutospacing="1" w:line="360" w:lineRule="auto"/>
        <w:rPr>
          <w:rFonts w:ascii="Arial" w:hAnsi="Arial" w:eastAsia="Times New Roman" w:cs="Arial"/>
          <w:b/>
          <w:bCs/>
          <w:lang w:val="zh-CN" w:eastAsia="zh-CN"/>
        </w:rPr>
      </w:pPr>
      <w:r>
        <w:rPr>
          <w:rFonts w:ascii="Arial" w:hAnsi="Arial" w:eastAsia="Times New Roman" w:cs="Arial"/>
          <w:b/>
          <w:bCs/>
          <w:color w:val="D16349" w:themeColor="accent1"/>
          <w:sz w:val="32"/>
          <w:szCs w:val="32"/>
          <w:lang w:val="zh-CN" w:eastAsia="zh-CN"/>
          <w14:textFill>
            <w14:solidFill>
              <w14:schemeClr w14:val="accent1"/>
            </w14:solidFill>
          </w14:textFill>
        </w:rPr>
        <w:t>Task 3: Reflection on Component 1 LCHS4009 Presentation Projected through an ERA Model.</w:t>
      </w:r>
    </w:p>
    <w:p w14:paraId="65FFF74E">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Experience </w:t>
      </w:r>
    </w:p>
    <w:p w14:paraId="5F958FEB">
      <w:pPr>
        <w:pStyle w:val="7"/>
        <w:spacing w:line="360" w:lineRule="auto"/>
        <w:rPr>
          <w:rFonts w:ascii="Arial" w:hAnsi="Arial" w:cs="Arial"/>
          <w:sz w:val="22"/>
          <w:szCs w:val="22"/>
        </w:rPr>
      </w:pPr>
      <w:r>
        <w:rPr>
          <w:rFonts w:ascii="Arial" w:hAnsi="Arial" w:cs="Arial"/>
          <w:sz w:val="22"/>
          <w:szCs w:val="22"/>
        </w:rPr>
        <w:t xml:space="preserve">During the LCHS4009 module, I gave a 10-minute presentation on how I would apply theories of psychology to help older adults with dementia within a care setting based on theories of life stages proposed by </w:t>
      </w:r>
      <w:r>
        <w:rPr>
          <w:rFonts w:hint="default" w:ascii="Arial" w:hAnsi="Arial" w:cs="Arial"/>
          <w:sz w:val="22"/>
          <w:szCs w:val="22"/>
          <w:lang w:val="en-GB"/>
        </w:rPr>
        <w:t>vygotsky</w:t>
      </w:r>
      <w:r>
        <w:rPr>
          <w:rFonts w:ascii="Arial" w:hAnsi="Arial" w:cs="Arial"/>
          <w:sz w:val="22"/>
          <w:szCs w:val="22"/>
        </w:rPr>
        <w:t xml:space="preserve">. It involved the preparation that involved research on the module material and slides and rehearsing. Generally, I was anxious about the presentation, as the presentation required me to be in front of a group of people on the day, and it was just a simple task. I prepared and stated significant points of discussion, </w:t>
      </w:r>
      <w:bookmarkStart w:id="0" w:name="_GoBack"/>
      <w:bookmarkEnd w:id="0"/>
      <w:r>
        <w:rPr>
          <w:rFonts w:ascii="Arial" w:hAnsi="Arial" w:cs="Arial"/>
          <w:sz w:val="22"/>
          <w:szCs w:val="22"/>
        </w:rPr>
        <w:t>utilized images, and engaged the audience in queries.</w:t>
      </w:r>
    </w:p>
    <w:p w14:paraId="27BF5284">
      <w:pPr>
        <w:pStyle w:val="7"/>
        <w:spacing w:line="360" w:lineRule="auto"/>
        <w:rPr>
          <w:rFonts w:ascii="Arial" w:hAnsi="Arial" w:cs="Arial"/>
          <w:sz w:val="22"/>
          <w:szCs w:val="22"/>
        </w:rPr>
      </w:pPr>
      <w:r>
        <w:rPr>
          <w:rFonts w:ascii="Arial" w:hAnsi="Arial" w:cs="Arial"/>
          <w:sz w:val="22"/>
          <w:szCs w:val="22"/>
        </w:rPr>
        <w:t xml:space="preserve"> The comments of lecturers included a high level of content knowledge and clear structure, but the presenter advised on personal improvement in the conclusion: speaking too fast, lacking eye contact because of excessive use of notes, and lacking critical discussion of the limitations of the theory. This was in line with my self-image—this time around I could find myself rushing my voice toward the finish line, and I at times was not in touch with the audience.</w:t>
      </w:r>
    </w:p>
    <w:p w14:paraId="71CD6100">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color w:val="D16349" w:themeColor="accent1"/>
          <w:sz w:val="32"/>
          <w:szCs w:val="32"/>
          <w:lang w:val="zh-CN" w:eastAsia="zh-CN"/>
          <w14:textFill>
            <w14:solidFill>
              <w14:schemeClr w14:val="accent1"/>
            </w14:solidFill>
          </w14:textFill>
        </w:rPr>
        <w:t>Reflection</w:t>
      </w:r>
      <w:r>
        <w:rPr>
          <w:rFonts w:ascii="Arial" w:hAnsi="Arial" w:eastAsia="Times New Roman" w:cs="Arial"/>
          <w:lang w:val="zh-CN" w:eastAsia="zh-CN"/>
        </w:rPr>
        <w:t> </w:t>
      </w:r>
    </w:p>
    <w:p w14:paraId="6F0F2F0A">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This was a mixed experience of pride in being able to synthesize complex theories and frustration about delivery failures. This hasty ending was caused by time management problems, perhaps due to the ADHD factor of impulsivity, which is why I did not do an in-depth analysis. On the positive side, the implementation of the concepts of modules such as person-centered care increased my confidence in the application of health and social care. The commentary on eye contact made me consider empathy and interprofessional skills (McNulty and Politis, 2023); more effective interaction might be used to illustrate inclusive communication within any dietetic practice. More importantly, the presentation was found to be a reverberation of the lacking multimedia principles (Mayer, 2021); excessive use of slides might have played a role in the cognitive load (Sweller, 2021) and consequently decreased the impact. All in all, it demonstrated that I was developing in terms of informal learning (peer rehearsals); however, it pointed to the necessity of formal training on presentation skills to fit the requirements of HCPC (Health and Care Professions Council, 2023).</w:t>
      </w:r>
    </w:p>
    <w:p w14:paraId="348C7E28">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Action </w:t>
      </w:r>
    </w:p>
    <w:p w14:paraId="0CD09130">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To deal with them, SMART measures will be taken: </w:t>
      </w:r>
    </w:p>
    <w:p w14:paraId="385E8AF2">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Specific: Sign up for a workshop on how to speak publicly through the BDA and do a practice session every week with video records. </w:t>
      </w:r>
    </w:p>
    <w:p w14:paraId="1E053BB6">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Measurable: Evaluate three presentations on a rubric that follows the guidelines by Alley (2019) and hopes to make 80 percent or greater progress in maintaining eye contact and pacing. </w:t>
      </w:r>
    </w:p>
    <w:p w14:paraId="49D067C5">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Achievable: PS50 is the cost of workshops; free apps such as Loom are used to record it. </w:t>
      </w:r>
    </w:p>
    <w:p w14:paraId="5B29C250">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Relevant: Improves the communication of MDT meetings in my targeted dietitian position. </w:t>
      </w:r>
    </w:p>
    <w:p w14:paraId="6C10576B">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Time-specific: the workshop has to be finished by the year January 2026; the practice every week until March 2026. </w:t>
      </w:r>
    </w:p>
    <w:p w14:paraId="49F69457">
      <w:pPr>
        <w:spacing w:before="100" w:beforeAutospacing="1" w:after="100" w:afterAutospacing="1" w:line="360" w:lineRule="auto"/>
        <w:rPr>
          <w:rFonts w:ascii="Arial" w:hAnsi="Arial" w:eastAsia="Times New Roman" w:cs="Arial"/>
          <w:lang w:val="zh-CN" w:eastAsia="zh-CN"/>
        </w:rPr>
      </w:pPr>
      <w:r>
        <w:rPr>
          <w:rFonts w:ascii="Arial" w:hAnsi="Arial" w:eastAsia="Times New Roman" w:cs="Arial"/>
          <w:lang w:val="zh-CN" w:eastAsia="zh-CN"/>
        </w:rPr>
        <w:t>Also, use purposeful practice (Ericsson and Pool, 2016) to get feedback on presentations in the future. This will convert impulsiveness into planned excellence, which would lead to exclusive dietetic practice. This experience has been turned into a blueprint on professional development by the ERA process.</w:t>
      </w:r>
    </w:p>
    <w:p w14:paraId="2A5243F5">
      <w:pPr>
        <w:spacing w:before="100" w:beforeAutospacing="1" w:after="100" w:afterAutospacing="1" w:line="240" w:lineRule="auto"/>
        <w:rPr>
          <w:rFonts w:ascii="Times New Roman" w:hAnsi="Times New Roman" w:eastAsia="Times New Roman" w:cs="Times New Roman"/>
          <w:sz w:val="24"/>
          <w:szCs w:val="24"/>
          <w:lang w:val="zh-CN" w:eastAsia="zh-CN"/>
        </w:rPr>
      </w:pPr>
    </w:p>
    <w:p w14:paraId="4AA4BAC1">
      <w:pPr>
        <w:spacing w:before="100" w:beforeAutospacing="1" w:after="100" w:afterAutospacing="1" w:line="240" w:lineRule="auto"/>
        <w:rPr>
          <w:rFonts w:ascii="Times New Roman" w:hAnsi="Times New Roman" w:eastAsia="Times New Roman" w:cs="Times New Roman"/>
          <w:sz w:val="24"/>
          <w:szCs w:val="24"/>
          <w:lang w:val="zh-CN" w:eastAsia="zh-CN"/>
        </w:rPr>
      </w:pPr>
    </w:p>
    <w:p w14:paraId="2958736E">
      <w:pPr>
        <w:spacing w:before="100" w:beforeAutospacing="1" w:after="100" w:afterAutospacing="1" w:line="240" w:lineRule="auto"/>
        <w:rPr>
          <w:rFonts w:ascii="Times New Roman" w:hAnsi="Times New Roman" w:eastAsia="Times New Roman" w:cs="Times New Roman"/>
          <w:sz w:val="24"/>
          <w:szCs w:val="24"/>
          <w:lang w:val="zh-CN" w:eastAsia="zh-CN"/>
        </w:rPr>
      </w:pPr>
    </w:p>
    <w:p w14:paraId="5C1900B1">
      <w:pPr>
        <w:spacing w:before="100" w:beforeAutospacing="1" w:after="100" w:afterAutospacing="1" w:line="240" w:lineRule="auto"/>
        <w:rPr>
          <w:rFonts w:ascii="Times New Roman" w:hAnsi="Times New Roman" w:eastAsia="Times New Roman" w:cs="Times New Roman"/>
          <w:sz w:val="24"/>
          <w:szCs w:val="24"/>
          <w:lang w:val="zh-CN" w:eastAsia="zh-CN"/>
        </w:rPr>
      </w:pPr>
    </w:p>
    <w:p w14:paraId="1726E0E6">
      <w:pPr>
        <w:spacing w:before="100" w:beforeAutospacing="1" w:after="100" w:afterAutospacing="1" w:line="240" w:lineRule="auto"/>
        <w:rPr>
          <w:rFonts w:ascii="Times New Roman" w:hAnsi="Times New Roman" w:eastAsia="Times New Roman" w:cs="Times New Roman"/>
          <w:sz w:val="24"/>
          <w:szCs w:val="24"/>
          <w:lang w:val="zh-CN" w:eastAsia="zh-CN"/>
        </w:rPr>
      </w:pPr>
    </w:p>
    <w:p w14:paraId="2556FFD2">
      <w:pPr>
        <w:spacing w:before="100" w:beforeAutospacing="1" w:after="100" w:afterAutospacing="1" w:line="240" w:lineRule="auto"/>
        <w:rPr>
          <w:rFonts w:ascii="Times New Roman" w:hAnsi="Times New Roman" w:eastAsia="Times New Roman" w:cs="Times New Roman"/>
          <w:sz w:val="24"/>
          <w:szCs w:val="24"/>
          <w:lang w:val="zh-CN" w:eastAsia="zh-CN"/>
        </w:rPr>
      </w:pPr>
    </w:p>
    <w:p w14:paraId="552EC69E">
      <w:pPr>
        <w:spacing w:before="100" w:beforeAutospacing="1" w:after="100" w:afterAutospacing="1" w:line="240" w:lineRule="auto"/>
        <w:rPr>
          <w:rFonts w:ascii="Times New Roman" w:hAnsi="Times New Roman" w:eastAsia="Times New Roman" w:cs="Times New Roman"/>
          <w:sz w:val="24"/>
          <w:szCs w:val="24"/>
          <w:lang w:val="zh-CN" w:eastAsia="zh-CN"/>
        </w:rPr>
      </w:pPr>
    </w:p>
    <w:p w14:paraId="45708823">
      <w:pPr>
        <w:spacing w:before="100" w:beforeAutospacing="1" w:after="100" w:afterAutospacing="1" w:line="240" w:lineRule="auto"/>
        <w:rPr>
          <w:rFonts w:ascii="Times New Roman" w:hAnsi="Times New Roman" w:eastAsia="Times New Roman" w:cs="Times New Roman"/>
          <w:sz w:val="24"/>
          <w:szCs w:val="24"/>
          <w:lang w:val="zh-CN" w:eastAsia="zh-CN"/>
        </w:rPr>
      </w:pPr>
    </w:p>
    <w:p w14:paraId="2FC5D341">
      <w:pPr>
        <w:spacing w:before="100" w:beforeAutospacing="1" w:after="100" w:afterAutospacing="1" w:line="240" w:lineRule="auto"/>
        <w:rPr>
          <w:rFonts w:ascii="Times New Roman" w:hAnsi="Times New Roman" w:eastAsia="Times New Roman" w:cs="Times New Roman"/>
          <w:sz w:val="24"/>
          <w:szCs w:val="24"/>
          <w:lang w:val="zh-CN" w:eastAsia="zh-CN"/>
        </w:rPr>
      </w:pPr>
    </w:p>
    <w:p w14:paraId="13A599D0">
      <w:pPr>
        <w:spacing w:before="100" w:beforeAutospacing="1" w:after="100" w:afterAutospacing="1" w:line="360" w:lineRule="auto"/>
        <w:ind w:left="720" w:hanging="720"/>
        <w:rPr>
          <w:rFonts w:ascii="Arial" w:hAnsi="Arial" w:eastAsia="Times New Roman" w:cs="Arial"/>
          <w:lang w:val="zh-CN" w:eastAsia="zh-CN"/>
        </w:rPr>
      </w:pPr>
      <w:r>
        <w:rPr>
          <w:rFonts w:ascii="Arial" w:hAnsi="Arial" w:eastAsia="Times New Roman" w:cs="Arial"/>
          <w:lang w:val="zh-CN" w:eastAsia="zh-CN"/>
        </w:rPr>
        <w:t>References </w:t>
      </w:r>
    </w:p>
    <w:p w14:paraId="0232DAAA">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Alley, M. (2019) </w:t>
      </w:r>
      <w:r>
        <w:rPr>
          <w:rFonts w:ascii="Arial" w:hAnsi="Arial" w:eastAsia="Times New Roman" w:cs="Arial"/>
          <w:i/>
          <w:iCs/>
          <w:lang w:val="zh-CN" w:eastAsia="zh-CN"/>
        </w:rPr>
        <w:t>The Craft of Scientific Presentations</w:t>
      </w:r>
      <w:r>
        <w:rPr>
          <w:rFonts w:ascii="Arial" w:hAnsi="Arial" w:eastAsia="Times New Roman" w:cs="Arial"/>
          <w:lang w:val="zh-CN" w:eastAsia="zh-CN"/>
        </w:rPr>
        <w:t xml:space="preserve">. 2nd edn. New York: Springer. </w:t>
      </w:r>
    </w:p>
    <w:p w14:paraId="73FB4DD9">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British Dietetic Association (2021) </w:t>
      </w:r>
      <w:r>
        <w:rPr>
          <w:rFonts w:ascii="Arial" w:hAnsi="Arial" w:eastAsia="Times New Roman" w:cs="Arial"/>
          <w:i/>
          <w:iCs/>
          <w:lang w:val="zh-CN" w:eastAsia="zh-CN"/>
        </w:rPr>
        <w:t>Model and Process for Nutrition and Dietetic Practice</w:t>
      </w:r>
      <w:r>
        <w:rPr>
          <w:rFonts w:ascii="Arial" w:hAnsi="Arial" w:eastAsia="Times New Roman" w:cs="Arial"/>
          <w:lang w:val="zh-CN" w:eastAsia="zh-CN"/>
        </w:rPr>
        <w:t xml:space="preserve">. London: BDA. </w:t>
      </w:r>
    </w:p>
    <w:p w14:paraId="0AE6707A">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Ericsson, A. and Pool, R. (2016) </w:t>
      </w:r>
      <w:r>
        <w:rPr>
          <w:rFonts w:ascii="Arial" w:hAnsi="Arial" w:eastAsia="Times New Roman" w:cs="Arial"/>
          <w:i/>
          <w:iCs/>
          <w:lang w:val="zh-CN" w:eastAsia="zh-CN"/>
        </w:rPr>
        <w:t>Peak: Secrets from the New Science of Expertise</w:t>
      </w:r>
      <w:r>
        <w:rPr>
          <w:rFonts w:ascii="Arial" w:hAnsi="Arial" w:eastAsia="Times New Roman" w:cs="Arial"/>
          <w:lang w:val="zh-CN" w:eastAsia="zh-CN"/>
        </w:rPr>
        <w:t xml:space="preserve">. Boston: Houghton Mifflin Harcourt. </w:t>
      </w:r>
    </w:p>
    <w:p w14:paraId="4575BF6D">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Greaves, C. et al. (2021) ‘The National Health Service Diabetes Prevention Programme: Two-year outcomes’, </w:t>
      </w:r>
      <w:r>
        <w:rPr>
          <w:rFonts w:ascii="Arial" w:hAnsi="Arial" w:eastAsia="Times New Roman" w:cs="Arial"/>
          <w:i/>
          <w:iCs/>
          <w:lang w:val="zh-CN" w:eastAsia="zh-CN"/>
        </w:rPr>
        <w:t>The Lancet Diabetes &amp; Endocrinology</w:t>
      </w:r>
      <w:r>
        <w:rPr>
          <w:rFonts w:ascii="Arial" w:hAnsi="Arial" w:eastAsia="Times New Roman" w:cs="Arial"/>
          <w:lang w:val="zh-CN" w:eastAsia="zh-CN"/>
        </w:rPr>
        <w:t xml:space="preserve">, 9(8), pp. 508–518. doi:10.1016/S2213-8587(21)00159-8. </w:t>
      </w:r>
    </w:p>
    <w:p w14:paraId="513DA0E6">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Health and Care Professions Council (2023) </w:t>
      </w:r>
      <w:r>
        <w:rPr>
          <w:rFonts w:ascii="Arial" w:hAnsi="Arial" w:eastAsia="Times New Roman" w:cs="Arial"/>
          <w:i/>
          <w:iCs/>
          <w:lang w:val="zh-CN" w:eastAsia="zh-CN"/>
        </w:rPr>
        <w:t>Standards of Proficiency: Dietitians</w:t>
      </w:r>
      <w:r>
        <w:rPr>
          <w:rFonts w:ascii="Arial" w:hAnsi="Arial" w:eastAsia="Times New Roman" w:cs="Arial"/>
          <w:lang w:val="zh-CN" w:eastAsia="zh-CN"/>
        </w:rPr>
        <w:t xml:space="preserve">. London: HCPC. </w:t>
      </w:r>
    </w:p>
    <w:p w14:paraId="44526B66">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Ismail, K. et al. (2024) ‘Dietitian-delivered motivational interviewing in type 2 diabetes: A pragmatic trial’, </w:t>
      </w:r>
      <w:r>
        <w:rPr>
          <w:rFonts w:ascii="Arial" w:hAnsi="Arial" w:eastAsia="Times New Roman" w:cs="Arial"/>
          <w:i/>
          <w:iCs/>
          <w:lang w:val="zh-CN" w:eastAsia="zh-CN"/>
        </w:rPr>
        <w:t>Diabetic Medicine</w:t>
      </w:r>
      <w:r>
        <w:rPr>
          <w:rFonts w:ascii="Arial" w:hAnsi="Arial" w:eastAsia="Times New Roman" w:cs="Arial"/>
          <w:lang w:val="zh-CN" w:eastAsia="zh-CN"/>
        </w:rPr>
        <w:t xml:space="preserve">, 41(3), p. e15234. doi:10.1111/dme.15234. </w:t>
      </w:r>
    </w:p>
    <w:p w14:paraId="28EF0BB6">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Mayer, R.E. (2021) </w:t>
      </w:r>
      <w:r>
        <w:rPr>
          <w:rFonts w:ascii="Arial" w:hAnsi="Arial" w:eastAsia="Times New Roman" w:cs="Arial"/>
          <w:i/>
          <w:iCs/>
          <w:lang w:val="zh-CN" w:eastAsia="zh-CN"/>
        </w:rPr>
        <w:t>Multimedia Learning</w:t>
      </w:r>
      <w:r>
        <w:rPr>
          <w:rFonts w:ascii="Arial" w:hAnsi="Arial" w:eastAsia="Times New Roman" w:cs="Arial"/>
          <w:lang w:val="zh-CN" w:eastAsia="zh-CN"/>
        </w:rPr>
        <w:t xml:space="preserve">. 3rd edn. Cambridge: Cambridge University Press. </w:t>
      </w:r>
    </w:p>
    <w:p w14:paraId="75A10EEB">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McNulty, J.P. and Politis, Y. (2023) ‘Empathy, emotional intelligence, and interprofessional skills in healthcare education’, </w:t>
      </w:r>
      <w:r>
        <w:rPr>
          <w:rFonts w:ascii="Arial" w:hAnsi="Arial" w:eastAsia="Times New Roman" w:cs="Arial"/>
          <w:i/>
          <w:iCs/>
          <w:lang w:val="zh-CN" w:eastAsia="zh-CN"/>
        </w:rPr>
        <w:t>Journal of Medical Imaging and Radiation Sciences</w:t>
      </w:r>
      <w:r>
        <w:rPr>
          <w:rFonts w:ascii="Arial" w:hAnsi="Arial" w:eastAsia="Times New Roman" w:cs="Arial"/>
          <w:lang w:val="zh-CN" w:eastAsia="zh-CN"/>
        </w:rPr>
        <w:t xml:space="preserve">, 54(2), pp. 238–246. doi:10.1016/j.jmir.2023.02.003. </w:t>
      </w:r>
    </w:p>
    <w:p w14:paraId="3EC64A5A">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Miller, W.R. and Rollnick, S. (2013) </w:t>
      </w:r>
      <w:r>
        <w:rPr>
          <w:rFonts w:ascii="Arial" w:hAnsi="Arial" w:eastAsia="Times New Roman" w:cs="Arial"/>
          <w:i/>
          <w:iCs/>
          <w:lang w:val="zh-CN" w:eastAsia="zh-CN"/>
        </w:rPr>
        <w:t>Motivational Interviewing: Helping People Change</w:t>
      </w:r>
      <w:r>
        <w:rPr>
          <w:rFonts w:ascii="Arial" w:hAnsi="Arial" w:eastAsia="Times New Roman" w:cs="Arial"/>
          <w:lang w:val="zh-CN" w:eastAsia="zh-CN"/>
        </w:rPr>
        <w:t xml:space="preserve">. 3rd edn. New York: Guilford Press. </w:t>
      </w:r>
    </w:p>
    <w:p w14:paraId="581F37A2">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National Institute for Health and Care Excellence (2022) </w:t>
      </w:r>
      <w:r>
        <w:rPr>
          <w:rFonts w:ascii="Arial" w:hAnsi="Arial" w:eastAsia="Times New Roman" w:cs="Arial"/>
          <w:i/>
          <w:iCs/>
          <w:lang w:val="zh-CN" w:eastAsia="zh-CN"/>
        </w:rPr>
        <w:t>Type 2 Diabetes in Adults: Management</w:t>
      </w:r>
      <w:r>
        <w:rPr>
          <w:rFonts w:ascii="Arial" w:hAnsi="Arial" w:eastAsia="Times New Roman" w:cs="Arial"/>
          <w:lang w:val="zh-CN" w:eastAsia="zh-CN"/>
        </w:rPr>
        <w:t xml:space="preserve"> (NG28). London: NICE. </w:t>
      </w:r>
    </w:p>
    <w:p w14:paraId="40A632FE">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Prochaska, J.O. et al. (2022) ‘Transtheoretical model of behavior change’, in </w:t>
      </w:r>
      <w:r>
        <w:rPr>
          <w:rFonts w:ascii="Arial" w:hAnsi="Arial" w:eastAsia="Times New Roman" w:cs="Arial"/>
          <w:i/>
          <w:iCs/>
          <w:lang w:val="zh-CN" w:eastAsia="zh-CN"/>
        </w:rPr>
        <w:t>Encyclopedia of Behavioral Medicine</w:t>
      </w:r>
      <w:r>
        <w:rPr>
          <w:rFonts w:ascii="Arial" w:hAnsi="Arial" w:eastAsia="Times New Roman" w:cs="Arial"/>
          <w:lang w:val="zh-CN" w:eastAsia="zh-CN"/>
        </w:rPr>
        <w:t xml:space="preserve">. Cham: Springer, pp. 2266–2270. </w:t>
      </w:r>
    </w:p>
    <w:p w14:paraId="42FF1EC1">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Ryan, R.M. and Deci, E.L. (2020) ‘Intrinsic and extrinsic motivation from a self-determination theory perspective’, </w:t>
      </w:r>
      <w:r>
        <w:rPr>
          <w:rFonts w:ascii="Arial" w:hAnsi="Arial" w:eastAsia="Times New Roman" w:cs="Arial"/>
          <w:i/>
          <w:iCs/>
          <w:lang w:val="zh-CN" w:eastAsia="zh-CN"/>
        </w:rPr>
        <w:t>Contemporary Educational Psychology</w:t>
      </w:r>
      <w:r>
        <w:rPr>
          <w:rFonts w:ascii="Arial" w:hAnsi="Arial" w:eastAsia="Times New Roman" w:cs="Arial"/>
          <w:lang w:val="zh-CN" w:eastAsia="zh-CN"/>
        </w:rPr>
        <w:t xml:space="preserve">, 61, p. 101860. doi:10.1016/j.cedpsych.2020.101860. </w:t>
      </w:r>
    </w:p>
    <w:p w14:paraId="504B9BD8">
      <w:pPr>
        <w:spacing w:after="0" w:line="360" w:lineRule="auto"/>
        <w:ind w:left="720" w:hanging="720"/>
        <w:rPr>
          <w:rFonts w:ascii="Arial" w:hAnsi="Arial" w:eastAsia="Times New Roman" w:cs="Arial"/>
          <w:lang w:val="zh-CN" w:eastAsia="zh-CN"/>
        </w:rPr>
      </w:pPr>
      <w:r>
        <w:rPr>
          <w:rFonts w:ascii="Arial" w:hAnsi="Arial" w:eastAsia="Times New Roman" w:cs="Arial"/>
          <w:lang w:val="zh-CN" w:eastAsia="zh-CN"/>
        </w:rPr>
        <w:t xml:space="preserve">  Sweller, J. (2021) ‘Cognitive load theory’, in </w:t>
      </w:r>
      <w:r>
        <w:rPr>
          <w:rFonts w:ascii="Arial" w:hAnsi="Arial" w:eastAsia="Times New Roman" w:cs="Arial"/>
          <w:i/>
          <w:iCs/>
          <w:lang w:val="zh-CN" w:eastAsia="zh-CN"/>
        </w:rPr>
        <w:t>Handbook of Educational Psychology</w:t>
      </w:r>
      <w:r>
        <w:rPr>
          <w:rFonts w:ascii="Arial" w:hAnsi="Arial" w:eastAsia="Times New Roman" w:cs="Arial"/>
          <w:lang w:val="zh-CN" w:eastAsia="zh-CN"/>
        </w:rPr>
        <w:t xml:space="preserve">. London: Routledge. </w:t>
      </w:r>
    </w:p>
    <w:p w14:paraId="0B598C45">
      <w:pPr>
        <w:spacing w:line="360" w:lineRule="auto"/>
        <w:ind w:left="720" w:hanging="720"/>
        <w:rPr>
          <w:rFonts w:ascii="Arial" w:hAnsi="Arial" w:cs="Arial"/>
        </w:rPr>
      </w:pPr>
      <w:r>
        <w:rPr>
          <w:rFonts w:ascii="Arial" w:hAnsi="Arial" w:eastAsia="Times New Roman" w:cs="Arial"/>
          <w:lang w:val="zh-CN" w:eastAsia="zh-CN"/>
        </w:rPr>
        <w:t xml:space="preserve">  Thepwongsa, I. et al. (2023) ‘Effectiveness of motivational interviewing on glycaemic control’, </w:t>
      </w:r>
      <w:r>
        <w:rPr>
          <w:rFonts w:ascii="Arial" w:hAnsi="Arial" w:eastAsia="Times New Roman" w:cs="Arial"/>
          <w:i/>
          <w:iCs/>
          <w:lang w:val="zh-CN" w:eastAsia="zh-CN"/>
        </w:rPr>
        <w:t>Diabetic Medicine</w:t>
      </w:r>
      <w:r>
        <w:rPr>
          <w:rFonts w:ascii="Arial" w:hAnsi="Arial" w:eastAsia="Times New Roman" w:cs="Arial"/>
          <w:lang w:val="zh-CN" w:eastAsia="zh-CN"/>
        </w:rPr>
        <w:t>, 40(7), p. e15089. doi:10.1111/dme.15089.</w:t>
      </w:r>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7030617"/>
      <w:docPartObj>
        <w:docPartGallery w:val="AutoText"/>
      </w:docPartObj>
    </w:sdtPr>
    <w:sdtContent>
      <w:p w14:paraId="6DAB3ED3">
        <w:pPr>
          <w:pStyle w:val="6"/>
          <w:jc w:val="right"/>
        </w:pPr>
        <w:r>
          <w:fldChar w:fldCharType="begin"/>
        </w:r>
        <w:r>
          <w:instrText xml:space="preserve"> PAGE   \* MERGEFORMAT </w:instrText>
        </w:r>
        <w:r>
          <w:fldChar w:fldCharType="separate"/>
        </w:r>
        <w:r>
          <w:t>2</w:t>
        </w:r>
        <w:r>
          <w:fldChar w:fldCharType="end"/>
        </w:r>
      </w:p>
    </w:sdtContent>
  </w:sdt>
  <w:p w14:paraId="19FEEC5F">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CF4EB0"/>
    <w:multiLevelType w:val="multilevel"/>
    <w:tmpl w:val="03CF4EB0"/>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1">
    <w:nsid w:val="08136AD1"/>
    <w:multiLevelType w:val="multilevel"/>
    <w:tmpl w:val="08136AD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53871A4A"/>
    <w:multiLevelType w:val="multilevel"/>
    <w:tmpl w:val="53871A4A"/>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3">
    <w:nsid w:val="54B61901"/>
    <w:multiLevelType w:val="multilevel"/>
    <w:tmpl w:val="54B61901"/>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4">
    <w:nsid w:val="7D323830"/>
    <w:multiLevelType w:val="multilevel"/>
    <w:tmpl w:val="7D323830"/>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5E9"/>
    <w:rsid w:val="00196360"/>
    <w:rsid w:val="0026617A"/>
    <w:rsid w:val="00393577"/>
    <w:rsid w:val="004503F0"/>
    <w:rsid w:val="005835E9"/>
    <w:rsid w:val="005F09F9"/>
    <w:rsid w:val="006E31A4"/>
    <w:rsid w:val="008371B1"/>
    <w:rsid w:val="008D319D"/>
    <w:rsid w:val="008F7A6A"/>
    <w:rsid w:val="00AA3CEA"/>
    <w:rsid w:val="00BA0868"/>
    <w:rsid w:val="00C06F7E"/>
    <w:rsid w:val="00C67F35"/>
    <w:rsid w:val="00CC388B"/>
    <w:rsid w:val="00D3718A"/>
    <w:rsid w:val="00E07F95"/>
    <w:rsid w:val="00E80816"/>
    <w:rsid w:val="00F2022D"/>
    <w:rsid w:val="00F40DA2"/>
    <w:rsid w:val="18812495"/>
    <w:rsid w:val="31FA66A1"/>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Emphasis"/>
    <w:basedOn w:val="2"/>
    <w:qFormat/>
    <w:uiPriority w:val="20"/>
    <w:rPr>
      <w:i/>
      <w:iCs/>
    </w:rPr>
  </w:style>
  <w:style w:type="paragraph" w:styleId="5">
    <w:name w:val="footer"/>
    <w:basedOn w:val="1"/>
    <w:link w:val="11"/>
    <w:unhideWhenUsed/>
    <w:qFormat/>
    <w:uiPriority w:val="99"/>
    <w:pPr>
      <w:tabs>
        <w:tab w:val="center" w:pos="4513"/>
        <w:tab w:val="right" w:pos="9026"/>
      </w:tabs>
      <w:spacing w:after="0" w:line="240" w:lineRule="auto"/>
    </w:pPr>
  </w:style>
  <w:style w:type="paragraph" w:styleId="6">
    <w:name w:val="header"/>
    <w:basedOn w:val="1"/>
    <w:link w:val="10"/>
    <w:unhideWhenUsed/>
    <w:qFormat/>
    <w:uiPriority w:val="99"/>
    <w:pPr>
      <w:tabs>
        <w:tab w:val="center" w:pos="4513"/>
        <w:tab w:val="right" w:pos="9026"/>
      </w:tabs>
      <w:spacing w:after="0" w:line="240" w:lineRule="auto"/>
    </w:p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val="zh-CN" w:eastAsia="zh-CN"/>
    </w:rPr>
  </w:style>
  <w:style w:type="table" w:styleId="8">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ind w:left="720"/>
      <w:contextualSpacing/>
    </w:pPr>
  </w:style>
  <w:style w:type="character" w:customStyle="1" w:styleId="10">
    <w:name w:val="Header Char"/>
    <w:basedOn w:val="2"/>
    <w:link w:val="6"/>
    <w:qFormat/>
    <w:uiPriority w:val="99"/>
    <w:rPr>
      <w:lang w:val="en-GB"/>
    </w:rPr>
  </w:style>
  <w:style w:type="character" w:customStyle="1" w:styleId="11">
    <w:name w:val="Footer Char"/>
    <w:basedOn w:val="2"/>
    <w:link w:val="5"/>
    <w:qFormat/>
    <w:uiPriority w:val="99"/>
    <w:rPr>
      <w:lang w:val="en-G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Civic">
      <a:dk1>
        <a:sysClr val="windowText" lastClr="000000"/>
      </a:dk1>
      <a:lt1>
        <a:sysClr val="window" lastClr="FFFFFF"/>
      </a:lt1>
      <a:dk2>
        <a:srgbClr val="646B86"/>
      </a:dk2>
      <a:lt2>
        <a:srgbClr val="C5D1D7"/>
      </a:lt2>
      <a:accent1>
        <a:srgbClr val="D16349"/>
      </a:accent1>
      <a:accent2>
        <a:srgbClr val="CCB400"/>
      </a:accent2>
      <a:accent3>
        <a:srgbClr val="8CADAE"/>
      </a:accent3>
      <a:accent4>
        <a:srgbClr val="8C7B70"/>
      </a:accent4>
      <a:accent5>
        <a:srgbClr val="8FB08C"/>
      </a:accent5>
      <a:accent6>
        <a:srgbClr val="D19049"/>
      </a:accent6>
      <a:hlink>
        <a:srgbClr val="00A3D6"/>
      </a:hlink>
      <a:folHlink>
        <a:srgbClr val="694F07"/>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2632</Words>
  <Characters>15009</Characters>
  <Lines>125</Lines>
  <Paragraphs>35</Paragraphs>
  <TotalTime>26</TotalTime>
  <ScaleCrop>false</ScaleCrop>
  <LinksUpToDate>false</LinksUpToDate>
  <CharactersWithSpaces>17606</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2025-12-16T14:23:00Z</dcterms:created>
  <dc:creator>jose magero</dc:creator>
  <cp:lastModifiedBy>seli sequeira</cp:lastModifiedBy>
  <dcterms:modified xsi:type="dcterms:W3CDTF">2025-12-16T20:23:56Z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2057-12.2.0.23155</vt:lpwstr>
  </property>
  <property fmtid="{D5CDD505-2E9C-101B-9397-08002B2CF9AE}" pid="3" name="ICV">
    <vt:lpwstr>A40344EC5CD0441DABF65A1ACD8F89B6_12</vt:lpwstr>
  </property>
</Properties>
</file>