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C702CD" w14:textId="77777777" w:rsidR="00E14EC5" w:rsidRPr="00EE5BC3" w:rsidRDefault="00E14EC5" w:rsidP="00E14EC5">
      <w:pPr>
        <w:jc w:val="center"/>
        <w:rPr>
          <w:b/>
          <w:sz w:val="28"/>
          <w:szCs w:val="28"/>
        </w:rPr>
      </w:pPr>
      <w:r w:rsidRPr="00EE5BC3">
        <w:rPr>
          <w:b/>
          <w:sz w:val="28"/>
          <w:szCs w:val="28"/>
        </w:rPr>
        <w:t>Task 4</w:t>
      </w:r>
    </w:p>
    <w:p w14:paraId="48C33EAD" w14:textId="77777777" w:rsidR="00E14EC5" w:rsidRPr="00EE5BC3" w:rsidRDefault="00E14EC5" w:rsidP="00E14EC5">
      <w:pPr>
        <w:jc w:val="center"/>
        <w:rPr>
          <w:b/>
          <w:sz w:val="28"/>
          <w:szCs w:val="28"/>
        </w:rPr>
      </w:pPr>
    </w:p>
    <w:p w14:paraId="05484247" w14:textId="77777777" w:rsidR="00E14EC5" w:rsidRPr="00EE5BC3" w:rsidRDefault="00E14EC5" w:rsidP="00E14EC5">
      <w:pPr>
        <w:jc w:val="center"/>
        <w:rPr>
          <w:b/>
          <w:sz w:val="28"/>
          <w:szCs w:val="28"/>
        </w:rPr>
      </w:pPr>
      <w:r w:rsidRPr="00EE5BC3">
        <w:rPr>
          <w:b/>
          <w:sz w:val="28"/>
          <w:szCs w:val="28"/>
        </w:rPr>
        <w:t>Safeguarding</w:t>
      </w:r>
      <w:r>
        <w:rPr>
          <w:b/>
          <w:sz w:val="28"/>
          <w:szCs w:val="28"/>
        </w:rPr>
        <w:t xml:space="preserve"> in an area which is not your main area of work</w:t>
      </w:r>
    </w:p>
    <w:p w14:paraId="40233F96" w14:textId="77777777" w:rsidR="00E14EC5" w:rsidRPr="008B28E7" w:rsidRDefault="00E14EC5" w:rsidP="00E14EC5">
      <w:pPr>
        <w:jc w:val="both"/>
        <w:rPr>
          <w:b/>
          <w:sz w:val="24"/>
          <w:szCs w:val="24"/>
        </w:rPr>
      </w:pPr>
    </w:p>
    <w:p w14:paraId="234B3443" w14:textId="77777777" w:rsidR="00E14EC5" w:rsidRPr="00EE5BC3" w:rsidRDefault="00E14EC5" w:rsidP="00E14EC5">
      <w:pPr>
        <w:ind w:left="-90"/>
        <w:jc w:val="both"/>
        <w:rPr>
          <w:b/>
          <w:i/>
          <w:sz w:val="24"/>
          <w:szCs w:val="24"/>
        </w:rPr>
      </w:pPr>
      <w:r w:rsidRPr="00EE5BC3">
        <w:rPr>
          <w:b/>
          <w:i/>
          <w:sz w:val="24"/>
          <w:szCs w:val="24"/>
        </w:rPr>
        <w:t xml:space="preserve">Guidance: </w:t>
      </w:r>
    </w:p>
    <w:p w14:paraId="1720AEDB" w14:textId="77777777" w:rsidR="00E14EC5" w:rsidRPr="00706BB5" w:rsidRDefault="00E14EC5" w:rsidP="00E14EC5">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5BE0CA18" w14:textId="77777777" w:rsidR="00E14EC5" w:rsidRPr="008B28E7" w:rsidRDefault="00E14EC5" w:rsidP="00E14EC5">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14EC5" w:rsidRPr="008B28E7" w14:paraId="42AE8E25" w14:textId="77777777" w:rsidTr="00152155">
        <w:tc>
          <w:tcPr>
            <w:tcW w:w="10188" w:type="dxa"/>
            <w:shd w:val="clear" w:color="auto" w:fill="auto"/>
          </w:tcPr>
          <w:p w14:paraId="59B5DFF2" w14:textId="77777777" w:rsidR="00E14EC5" w:rsidRPr="00EB695F" w:rsidRDefault="00E14EC5" w:rsidP="00152155">
            <w:pPr>
              <w:jc w:val="both"/>
              <w:rPr>
                <w:b/>
                <w:sz w:val="24"/>
                <w:szCs w:val="24"/>
              </w:rPr>
            </w:pPr>
            <w:r w:rsidRPr="00EB695F">
              <w:rPr>
                <w:b/>
                <w:sz w:val="24"/>
                <w:szCs w:val="24"/>
              </w:rPr>
              <w:t>Question</w:t>
            </w:r>
            <w:r>
              <w:rPr>
                <w:b/>
                <w:sz w:val="24"/>
                <w:szCs w:val="24"/>
              </w:rPr>
              <w:t xml:space="preserve"> a:</w:t>
            </w:r>
          </w:p>
          <w:p w14:paraId="315D2FF7" w14:textId="77777777" w:rsidR="00E14EC5" w:rsidRDefault="00E14EC5" w:rsidP="00152155">
            <w:pPr>
              <w:jc w:val="both"/>
              <w:rPr>
                <w:sz w:val="24"/>
                <w:szCs w:val="24"/>
              </w:rPr>
            </w:pPr>
            <w:r>
              <w:rPr>
                <w:sz w:val="24"/>
                <w:szCs w:val="24"/>
              </w:rPr>
              <w:t xml:space="preserve">In an </w:t>
            </w:r>
            <w:proofErr w:type="gramStart"/>
            <w:r>
              <w:rPr>
                <w:sz w:val="24"/>
                <w:szCs w:val="24"/>
              </w:rPr>
              <w:t>area</w:t>
            </w:r>
            <w:proofErr w:type="gramEnd"/>
            <w:r>
              <w:rPr>
                <w:sz w:val="24"/>
                <w:szCs w:val="24"/>
              </w:rPr>
              <w:t xml:space="preserve">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5F05E388" w14:textId="77777777" w:rsidR="00E14EC5" w:rsidRDefault="00E14EC5" w:rsidP="00152155">
            <w:pPr>
              <w:jc w:val="both"/>
              <w:rPr>
                <w:sz w:val="24"/>
                <w:szCs w:val="24"/>
              </w:rPr>
            </w:pPr>
          </w:p>
          <w:p w14:paraId="7FF6B936" w14:textId="77777777" w:rsidR="00E14EC5" w:rsidRDefault="00E14EC5" w:rsidP="00152155">
            <w:pPr>
              <w:jc w:val="both"/>
              <w:rPr>
                <w:sz w:val="24"/>
                <w:szCs w:val="24"/>
              </w:rPr>
            </w:pPr>
          </w:p>
          <w:p w14:paraId="372C4088" w14:textId="77777777" w:rsidR="00E14EC5" w:rsidRPr="00871AB2" w:rsidRDefault="00E14EC5" w:rsidP="00152155">
            <w:pPr>
              <w:spacing w:line="360" w:lineRule="auto"/>
              <w:jc w:val="both"/>
              <w:rPr>
                <w:sz w:val="24"/>
                <w:szCs w:val="24"/>
              </w:rPr>
            </w:pPr>
            <w:r w:rsidRPr="00871AB2">
              <w:rPr>
                <w:sz w:val="24"/>
                <w:szCs w:val="24"/>
              </w:rPr>
              <w:t xml:space="preserve">Lane &amp; Pritzker (2017) discuss how social workers </w:t>
            </w:r>
            <w:proofErr w:type="gramStart"/>
            <w:r w:rsidRPr="00871AB2">
              <w:rPr>
                <w:sz w:val="24"/>
                <w:szCs w:val="24"/>
              </w:rPr>
              <w:t>are often employed</w:t>
            </w:r>
            <w:proofErr w:type="gramEnd"/>
            <w:r w:rsidRPr="00871AB2">
              <w:rPr>
                <w:sz w:val="24"/>
                <w:szCs w:val="24"/>
              </w:rPr>
              <w:t xml:space="preserve"> as government employees and are therefo</w:t>
            </w:r>
            <w:r>
              <w:rPr>
                <w:sz w:val="24"/>
                <w:szCs w:val="24"/>
              </w:rPr>
              <w:t>re civil servants. Given this, s</w:t>
            </w:r>
            <w:r w:rsidRPr="00871AB2">
              <w:rPr>
                <w:sz w:val="24"/>
                <w:szCs w:val="24"/>
              </w:rPr>
              <w:t xml:space="preserve">ocial workers would be legally obliged to follow legislation and directives from policy and procedure to safeguard. The Wales Safeguarding Procedures (2019) highlight safeguarding principles underpinning legislation, guidance and the procedures. Adults at risk of abuse and neglect </w:t>
            </w:r>
            <w:proofErr w:type="gramStart"/>
            <w:r>
              <w:rPr>
                <w:sz w:val="24"/>
                <w:szCs w:val="24"/>
              </w:rPr>
              <w:t>are</w:t>
            </w:r>
            <w:r w:rsidRPr="00871AB2">
              <w:rPr>
                <w:sz w:val="24"/>
                <w:szCs w:val="24"/>
              </w:rPr>
              <w:t xml:space="preserve"> outlined</w:t>
            </w:r>
            <w:proofErr w:type="gramEnd"/>
            <w:r w:rsidRPr="00871AB2">
              <w:rPr>
                <w:sz w:val="24"/>
                <w:szCs w:val="24"/>
              </w:rPr>
              <w:t xml:space="preserve"> in the Social Services Wellbeing Act (Wales) 2014 (SSWBA) Section 7. This places a duty to report adults (and children) at risk. Within the SSWBA, the National Independent Safeguarding </w:t>
            </w:r>
            <w:r>
              <w:rPr>
                <w:sz w:val="24"/>
                <w:szCs w:val="24"/>
              </w:rPr>
              <w:t>Board highlights objectives of s</w:t>
            </w:r>
            <w:r w:rsidRPr="00871AB2">
              <w:rPr>
                <w:sz w:val="24"/>
                <w:szCs w:val="24"/>
              </w:rPr>
              <w:t xml:space="preserve">afeguarding </w:t>
            </w:r>
            <w:r>
              <w:rPr>
                <w:sz w:val="24"/>
                <w:szCs w:val="24"/>
              </w:rPr>
              <w:t>adults as a</w:t>
            </w:r>
            <w:r w:rsidRPr="00871AB2">
              <w:rPr>
                <w:sz w:val="24"/>
                <w:szCs w:val="24"/>
              </w:rPr>
              <w:t xml:space="preserve">dults who have needs of care and support and/or are experiencing or are at risk </w:t>
            </w:r>
            <w:proofErr w:type="gramStart"/>
            <w:r w:rsidRPr="00871AB2">
              <w:rPr>
                <w:sz w:val="24"/>
                <w:szCs w:val="24"/>
              </w:rPr>
              <w:t>of abuse or neglect</w:t>
            </w:r>
            <w:r>
              <w:rPr>
                <w:sz w:val="24"/>
                <w:szCs w:val="24"/>
              </w:rPr>
              <w:t>,</w:t>
            </w:r>
            <w:r w:rsidRPr="00871AB2">
              <w:rPr>
                <w:sz w:val="24"/>
                <w:szCs w:val="24"/>
              </w:rPr>
              <w:t xml:space="preserve"> and to prevent adults from experienc</w:t>
            </w:r>
            <w:r>
              <w:rPr>
                <w:sz w:val="24"/>
                <w:szCs w:val="24"/>
              </w:rPr>
              <w:t>ing abuse and/or neglect</w:t>
            </w:r>
            <w:proofErr w:type="gramEnd"/>
            <w:r>
              <w:rPr>
                <w:sz w:val="24"/>
                <w:szCs w:val="24"/>
              </w:rPr>
              <w:t>. The Hu</w:t>
            </w:r>
            <w:r w:rsidRPr="00871AB2">
              <w:rPr>
                <w:sz w:val="24"/>
                <w:szCs w:val="24"/>
              </w:rPr>
              <w:t>man Rights Act (1989) offers protection for adults and children. One of these being prohibition of torture and inhumane treatment. This legislation prohibits abuse whilst the other policies mentioned above outline how to address and safeguard against abuse in adults.</w:t>
            </w:r>
          </w:p>
          <w:p w14:paraId="37B47B3F" w14:textId="77777777" w:rsidR="00E14EC5" w:rsidRPr="00871AB2" w:rsidRDefault="00E14EC5" w:rsidP="00152155">
            <w:pPr>
              <w:spacing w:line="360" w:lineRule="auto"/>
              <w:jc w:val="both"/>
              <w:rPr>
                <w:sz w:val="24"/>
                <w:szCs w:val="24"/>
              </w:rPr>
            </w:pPr>
          </w:p>
          <w:p w14:paraId="21E8F190" w14:textId="77777777" w:rsidR="00E14EC5" w:rsidRDefault="00E14EC5" w:rsidP="00152155">
            <w:pPr>
              <w:spacing w:line="360" w:lineRule="auto"/>
              <w:jc w:val="both"/>
              <w:rPr>
                <w:sz w:val="24"/>
                <w:szCs w:val="24"/>
              </w:rPr>
            </w:pPr>
            <w:r w:rsidRPr="00871AB2">
              <w:rPr>
                <w:sz w:val="24"/>
                <w:szCs w:val="24"/>
              </w:rPr>
              <w:t xml:space="preserve">Indicators are the main signs that a form of abuse may have occurred in adults. It </w:t>
            </w:r>
            <w:proofErr w:type="gramStart"/>
            <w:r w:rsidRPr="00871AB2">
              <w:rPr>
                <w:sz w:val="24"/>
                <w:szCs w:val="24"/>
              </w:rPr>
              <w:t>is suggested</w:t>
            </w:r>
            <w:proofErr w:type="gramEnd"/>
            <w:r w:rsidRPr="00871AB2">
              <w:rPr>
                <w:sz w:val="24"/>
                <w:szCs w:val="24"/>
              </w:rPr>
              <w:t xml:space="preserve"> that typically, an abusive situation will involve one or more indicators from a number of categ</w:t>
            </w:r>
            <w:r>
              <w:rPr>
                <w:sz w:val="24"/>
                <w:szCs w:val="24"/>
              </w:rPr>
              <w:t xml:space="preserve">ories. These categories </w:t>
            </w:r>
            <w:proofErr w:type="gramStart"/>
            <w:r>
              <w:rPr>
                <w:sz w:val="24"/>
                <w:szCs w:val="24"/>
              </w:rPr>
              <w:t>include:</w:t>
            </w:r>
            <w:proofErr w:type="gramEnd"/>
            <w:r w:rsidRPr="00871AB2">
              <w:rPr>
                <w:sz w:val="24"/>
                <w:szCs w:val="24"/>
              </w:rPr>
              <w:t xml:space="preserve"> physical abuse, psychological abuse, sexual abuse, domestic violence and abuse, financial abuse, neglect and acts of omission, self-neglect, discriminatory abuse, institutional abuse, human trafficking and modern slavery and hate crime. Each category covers a range of </w:t>
            </w:r>
            <w:r w:rsidRPr="00871AB2">
              <w:rPr>
                <w:sz w:val="24"/>
                <w:szCs w:val="24"/>
              </w:rPr>
              <w:lastRenderedPageBreak/>
              <w:t>indicators for a</w:t>
            </w:r>
            <w:r>
              <w:rPr>
                <w:sz w:val="24"/>
                <w:szCs w:val="24"/>
              </w:rPr>
              <w:t>buse. For example, neglect and a</w:t>
            </w:r>
            <w:r w:rsidRPr="00871AB2">
              <w:rPr>
                <w:sz w:val="24"/>
                <w:szCs w:val="24"/>
              </w:rPr>
              <w:t>cts of omission would include ignoring medical attention and advice including recommended med</w:t>
            </w:r>
            <w:r>
              <w:rPr>
                <w:sz w:val="24"/>
                <w:szCs w:val="24"/>
              </w:rPr>
              <w:t xml:space="preserve">ication, nutrition and heating. </w:t>
            </w:r>
            <w:r w:rsidRPr="00871AB2">
              <w:rPr>
                <w:sz w:val="24"/>
                <w:szCs w:val="24"/>
              </w:rPr>
              <w:t>Additionally, indicators of physical abuse include hitting, misu</w:t>
            </w:r>
            <w:r>
              <w:rPr>
                <w:sz w:val="24"/>
                <w:szCs w:val="24"/>
              </w:rPr>
              <w:t>se of medication and restraint.</w:t>
            </w:r>
          </w:p>
          <w:p w14:paraId="0087D458" w14:textId="77777777" w:rsidR="00E14EC5" w:rsidRDefault="00E14EC5" w:rsidP="00152155">
            <w:pPr>
              <w:spacing w:line="360" w:lineRule="auto"/>
              <w:jc w:val="both"/>
              <w:rPr>
                <w:sz w:val="24"/>
                <w:szCs w:val="24"/>
              </w:rPr>
            </w:pPr>
          </w:p>
          <w:p w14:paraId="75E9DBD4" w14:textId="77777777" w:rsidR="00E14EC5" w:rsidRPr="00871AB2" w:rsidRDefault="00E14EC5" w:rsidP="00152155">
            <w:pPr>
              <w:spacing w:line="360" w:lineRule="auto"/>
              <w:jc w:val="both"/>
              <w:rPr>
                <w:sz w:val="24"/>
                <w:szCs w:val="24"/>
              </w:rPr>
            </w:pPr>
            <w:r w:rsidRPr="00871AB2">
              <w:rPr>
                <w:sz w:val="24"/>
                <w:szCs w:val="24"/>
              </w:rPr>
              <w:t xml:space="preserve">Within each category, indicators of abuse </w:t>
            </w:r>
            <w:proofErr w:type="gramStart"/>
            <w:r w:rsidRPr="00871AB2">
              <w:rPr>
                <w:sz w:val="24"/>
                <w:szCs w:val="24"/>
              </w:rPr>
              <w:t>have been established</w:t>
            </w:r>
            <w:proofErr w:type="gramEnd"/>
            <w:r w:rsidRPr="00871AB2">
              <w:rPr>
                <w:sz w:val="24"/>
                <w:szCs w:val="24"/>
              </w:rPr>
              <w:t xml:space="preserve"> but the indicators by themselves cannot prove conclusive of abuse. </w:t>
            </w:r>
            <w:proofErr w:type="spellStart"/>
            <w:r w:rsidRPr="00871AB2">
              <w:rPr>
                <w:sz w:val="24"/>
                <w:szCs w:val="24"/>
              </w:rPr>
              <w:t>Brammer</w:t>
            </w:r>
            <w:proofErr w:type="spellEnd"/>
            <w:r w:rsidRPr="00871AB2">
              <w:rPr>
                <w:sz w:val="24"/>
                <w:szCs w:val="24"/>
              </w:rPr>
              <w:t xml:space="preserve"> (2020) suggests that certain medical conditions such as bruising and bedsores are common in elderly people. Although these conditions may not be a result of abusive behaviours, appropriate assessments would need to </w:t>
            </w:r>
            <w:proofErr w:type="gramStart"/>
            <w:r w:rsidRPr="00871AB2">
              <w:rPr>
                <w:sz w:val="24"/>
                <w:szCs w:val="24"/>
              </w:rPr>
              <w:t>be conducted</w:t>
            </w:r>
            <w:proofErr w:type="gramEnd"/>
            <w:r w:rsidRPr="00871AB2">
              <w:rPr>
                <w:sz w:val="24"/>
                <w:szCs w:val="24"/>
              </w:rPr>
              <w:t xml:space="preserve"> to rule this out in support of safeguarding adults.  </w:t>
            </w:r>
          </w:p>
          <w:p w14:paraId="27A34622" w14:textId="77777777" w:rsidR="00E14EC5" w:rsidRPr="00871AB2" w:rsidRDefault="00E14EC5" w:rsidP="00152155">
            <w:pPr>
              <w:spacing w:line="360" w:lineRule="auto"/>
              <w:jc w:val="both"/>
              <w:rPr>
                <w:sz w:val="24"/>
                <w:szCs w:val="24"/>
              </w:rPr>
            </w:pPr>
          </w:p>
          <w:p w14:paraId="3DC65DF1" w14:textId="77777777" w:rsidR="00E14EC5" w:rsidRPr="00871AB2" w:rsidRDefault="00E14EC5" w:rsidP="00152155">
            <w:pPr>
              <w:spacing w:line="360" w:lineRule="auto"/>
              <w:jc w:val="both"/>
              <w:rPr>
                <w:sz w:val="24"/>
                <w:szCs w:val="24"/>
              </w:rPr>
            </w:pPr>
            <w:r w:rsidRPr="00871AB2">
              <w:rPr>
                <w:sz w:val="24"/>
                <w:szCs w:val="24"/>
              </w:rPr>
              <w:t xml:space="preserve">Under the </w:t>
            </w:r>
            <w:r>
              <w:rPr>
                <w:sz w:val="24"/>
                <w:szCs w:val="24"/>
              </w:rPr>
              <w:t>Mental C</w:t>
            </w:r>
            <w:r w:rsidRPr="00871AB2">
              <w:rPr>
                <w:sz w:val="24"/>
                <w:szCs w:val="24"/>
              </w:rPr>
              <w:t xml:space="preserve">apacity Act (2005), capacity </w:t>
            </w:r>
            <w:proofErr w:type="gramStart"/>
            <w:r w:rsidRPr="00871AB2">
              <w:rPr>
                <w:sz w:val="24"/>
                <w:szCs w:val="24"/>
              </w:rPr>
              <w:t>must be assumed</w:t>
            </w:r>
            <w:proofErr w:type="gramEnd"/>
            <w:r w:rsidRPr="00871AB2">
              <w:rPr>
                <w:sz w:val="24"/>
                <w:szCs w:val="24"/>
              </w:rPr>
              <w:t>. One of the key principles within this legislation is that adults can make any decision even if it is unwise. Therefore, an adult with capacity can ch</w:t>
            </w:r>
            <w:r>
              <w:rPr>
                <w:sz w:val="24"/>
                <w:szCs w:val="24"/>
              </w:rPr>
              <w:t>o</w:t>
            </w:r>
            <w:r w:rsidRPr="00871AB2">
              <w:rPr>
                <w:sz w:val="24"/>
                <w:szCs w:val="24"/>
              </w:rPr>
              <w:t xml:space="preserve">ose to remain in a risky situation where they may experience abuse. When planning and safeguarding for adults, it is important that their voice, views and wishes </w:t>
            </w:r>
            <w:proofErr w:type="gramStart"/>
            <w:r>
              <w:rPr>
                <w:sz w:val="24"/>
                <w:szCs w:val="24"/>
              </w:rPr>
              <w:t>are</w:t>
            </w:r>
            <w:proofErr w:type="gramEnd"/>
            <w:r w:rsidRPr="00871AB2">
              <w:rPr>
                <w:sz w:val="24"/>
                <w:szCs w:val="24"/>
              </w:rPr>
              <w:t xml:space="preserve"> recognised. Individuals know their personal circumstances, resources and limitations and should work co-productively with professionals to create safety. This ensures that plans are more likely to succeed. </w:t>
            </w:r>
            <w:proofErr w:type="spellStart"/>
            <w:r>
              <w:rPr>
                <w:sz w:val="24"/>
                <w:szCs w:val="24"/>
              </w:rPr>
              <w:t>Chisnell</w:t>
            </w:r>
            <w:proofErr w:type="spellEnd"/>
            <w:r>
              <w:rPr>
                <w:sz w:val="24"/>
                <w:szCs w:val="24"/>
              </w:rPr>
              <w:t xml:space="preserve"> &amp; Kelly (2016) support this and explain</w:t>
            </w:r>
            <w:r w:rsidRPr="00871AB2">
              <w:rPr>
                <w:sz w:val="24"/>
                <w:szCs w:val="24"/>
              </w:rPr>
              <w:t xml:space="preserve"> that working towards adults preferred outcomes in all aspects of their care and support creates </w:t>
            </w:r>
            <w:proofErr w:type="gramStart"/>
            <w:r w:rsidRPr="00871AB2">
              <w:rPr>
                <w:sz w:val="24"/>
                <w:szCs w:val="24"/>
              </w:rPr>
              <w:t>more successful plans</w:t>
            </w:r>
            <w:proofErr w:type="gramEnd"/>
            <w:r w:rsidRPr="00871AB2">
              <w:rPr>
                <w:sz w:val="24"/>
                <w:szCs w:val="24"/>
              </w:rPr>
              <w:t xml:space="preserve">. </w:t>
            </w:r>
          </w:p>
          <w:p w14:paraId="7E0ECD59" w14:textId="77777777" w:rsidR="00E14EC5" w:rsidRPr="00871AB2" w:rsidRDefault="00E14EC5" w:rsidP="00152155">
            <w:pPr>
              <w:spacing w:line="360" w:lineRule="auto"/>
              <w:jc w:val="both"/>
              <w:rPr>
                <w:sz w:val="24"/>
                <w:szCs w:val="24"/>
              </w:rPr>
            </w:pPr>
          </w:p>
          <w:p w14:paraId="18E8D7A1" w14:textId="77777777" w:rsidR="00E14EC5" w:rsidRPr="00871AB2" w:rsidRDefault="00E14EC5" w:rsidP="00152155">
            <w:pPr>
              <w:spacing w:line="360" w:lineRule="auto"/>
              <w:jc w:val="both"/>
              <w:rPr>
                <w:sz w:val="24"/>
                <w:szCs w:val="24"/>
              </w:rPr>
            </w:pPr>
            <w:r>
              <w:rPr>
                <w:sz w:val="24"/>
                <w:szCs w:val="24"/>
              </w:rPr>
              <w:t>454</w:t>
            </w:r>
            <w:r w:rsidRPr="00871AB2">
              <w:rPr>
                <w:sz w:val="24"/>
                <w:szCs w:val="24"/>
              </w:rPr>
              <w:t xml:space="preserve"> words</w:t>
            </w:r>
          </w:p>
          <w:p w14:paraId="37A4FE8D" w14:textId="77777777" w:rsidR="00E14EC5" w:rsidRPr="00871AB2" w:rsidRDefault="00E14EC5" w:rsidP="00152155">
            <w:pPr>
              <w:spacing w:line="360" w:lineRule="auto"/>
              <w:jc w:val="both"/>
              <w:rPr>
                <w:sz w:val="24"/>
                <w:szCs w:val="24"/>
              </w:rPr>
            </w:pPr>
          </w:p>
          <w:p w14:paraId="4FC63080" w14:textId="77777777" w:rsidR="00E14EC5" w:rsidRPr="00871AB2" w:rsidRDefault="00E14EC5" w:rsidP="00152155">
            <w:pPr>
              <w:spacing w:line="360" w:lineRule="auto"/>
              <w:jc w:val="both"/>
              <w:rPr>
                <w:sz w:val="24"/>
                <w:szCs w:val="24"/>
              </w:rPr>
            </w:pPr>
            <w:r w:rsidRPr="00871AB2">
              <w:rPr>
                <w:sz w:val="24"/>
                <w:szCs w:val="24"/>
              </w:rPr>
              <w:t xml:space="preserve">Reference list </w:t>
            </w:r>
          </w:p>
          <w:p w14:paraId="013F9112" w14:textId="77777777" w:rsidR="00E14EC5" w:rsidRPr="00871AB2" w:rsidRDefault="00E14EC5" w:rsidP="00152155">
            <w:pPr>
              <w:spacing w:line="360" w:lineRule="auto"/>
              <w:jc w:val="both"/>
              <w:rPr>
                <w:sz w:val="24"/>
                <w:szCs w:val="24"/>
              </w:rPr>
            </w:pPr>
            <w:proofErr w:type="spellStart"/>
            <w:r w:rsidRPr="00871AB2">
              <w:rPr>
                <w:sz w:val="24"/>
                <w:szCs w:val="24"/>
              </w:rPr>
              <w:t>Brammer</w:t>
            </w:r>
            <w:proofErr w:type="spellEnd"/>
            <w:r w:rsidRPr="00871AB2">
              <w:rPr>
                <w:sz w:val="24"/>
                <w:szCs w:val="24"/>
              </w:rPr>
              <w:t xml:space="preserve">, A. 2020. </w:t>
            </w:r>
            <w:r w:rsidRPr="00871AB2">
              <w:rPr>
                <w:i/>
                <w:sz w:val="24"/>
                <w:szCs w:val="24"/>
              </w:rPr>
              <w:t>Social Work Law.</w:t>
            </w:r>
            <w:r w:rsidRPr="00871AB2">
              <w:rPr>
                <w:sz w:val="24"/>
                <w:szCs w:val="24"/>
              </w:rPr>
              <w:t xml:space="preserve"> Pearson: London</w:t>
            </w:r>
          </w:p>
          <w:p w14:paraId="7EAD0899" w14:textId="77777777" w:rsidR="00E14EC5" w:rsidRPr="00871AB2" w:rsidRDefault="00E14EC5" w:rsidP="00152155">
            <w:pPr>
              <w:spacing w:line="360" w:lineRule="auto"/>
              <w:jc w:val="both"/>
              <w:rPr>
                <w:sz w:val="24"/>
                <w:szCs w:val="24"/>
              </w:rPr>
            </w:pPr>
          </w:p>
          <w:p w14:paraId="4F2FC41A" w14:textId="77777777" w:rsidR="00E14EC5" w:rsidRPr="00871AB2" w:rsidRDefault="00E14EC5" w:rsidP="00152155">
            <w:pPr>
              <w:spacing w:line="360" w:lineRule="auto"/>
              <w:jc w:val="both"/>
              <w:rPr>
                <w:sz w:val="24"/>
                <w:szCs w:val="24"/>
              </w:rPr>
            </w:pPr>
            <w:r w:rsidRPr="00871AB2">
              <w:rPr>
                <w:rStyle w:val="ui-provider"/>
                <w:sz w:val="24"/>
                <w:szCs w:val="24"/>
              </w:rPr>
              <w:t xml:space="preserve">Great Britain (1989), </w:t>
            </w:r>
            <w:r w:rsidRPr="00871AB2">
              <w:rPr>
                <w:rStyle w:val="ui-provider"/>
                <w:i/>
                <w:iCs/>
                <w:sz w:val="24"/>
                <w:szCs w:val="24"/>
              </w:rPr>
              <w:t>Human Rights Act: Elizabeth II, </w:t>
            </w:r>
            <w:r w:rsidRPr="00871AB2">
              <w:rPr>
                <w:rStyle w:val="ui-provider"/>
                <w:sz w:val="24"/>
                <w:szCs w:val="24"/>
              </w:rPr>
              <w:t>London, HMRC</w:t>
            </w:r>
          </w:p>
          <w:p w14:paraId="7682FBD3" w14:textId="77777777" w:rsidR="00E14EC5" w:rsidRPr="00871AB2" w:rsidRDefault="00E14EC5" w:rsidP="00152155">
            <w:pPr>
              <w:spacing w:line="360" w:lineRule="auto"/>
              <w:jc w:val="both"/>
              <w:rPr>
                <w:sz w:val="24"/>
                <w:szCs w:val="24"/>
              </w:rPr>
            </w:pPr>
          </w:p>
          <w:p w14:paraId="1A03BA73" w14:textId="77777777" w:rsidR="00E14EC5" w:rsidRPr="00871AB2" w:rsidRDefault="00E14EC5" w:rsidP="00152155">
            <w:pPr>
              <w:spacing w:line="360" w:lineRule="auto"/>
              <w:jc w:val="both"/>
              <w:rPr>
                <w:sz w:val="24"/>
                <w:szCs w:val="24"/>
              </w:rPr>
            </w:pPr>
            <w:r w:rsidRPr="00871AB2">
              <w:rPr>
                <w:sz w:val="24"/>
                <w:szCs w:val="24"/>
              </w:rPr>
              <w:t xml:space="preserve">Lane. S &amp; Pritzker. S (2017), </w:t>
            </w:r>
            <w:r w:rsidRPr="00871AB2">
              <w:rPr>
                <w:i/>
                <w:sz w:val="24"/>
                <w:szCs w:val="24"/>
              </w:rPr>
              <w:t xml:space="preserve">Political social work: Using power to create social change, </w:t>
            </w:r>
            <w:r w:rsidRPr="00871AB2">
              <w:rPr>
                <w:sz w:val="24"/>
                <w:szCs w:val="24"/>
              </w:rPr>
              <w:t>Springer: New York</w:t>
            </w:r>
          </w:p>
          <w:p w14:paraId="1C149DBA" w14:textId="77777777" w:rsidR="00E14EC5" w:rsidRPr="00871AB2" w:rsidRDefault="00E14EC5" w:rsidP="00152155">
            <w:pPr>
              <w:spacing w:line="360" w:lineRule="auto"/>
              <w:jc w:val="both"/>
              <w:rPr>
                <w:sz w:val="24"/>
                <w:szCs w:val="24"/>
              </w:rPr>
            </w:pPr>
          </w:p>
          <w:p w14:paraId="5DF3BB24" w14:textId="77777777" w:rsidR="00E14EC5" w:rsidRPr="00871AB2" w:rsidRDefault="00E14EC5" w:rsidP="00152155">
            <w:pPr>
              <w:spacing w:line="360" w:lineRule="auto"/>
              <w:jc w:val="both"/>
              <w:rPr>
                <w:sz w:val="24"/>
                <w:szCs w:val="24"/>
              </w:rPr>
            </w:pPr>
            <w:proofErr w:type="spellStart"/>
            <w:r w:rsidRPr="00871AB2">
              <w:rPr>
                <w:sz w:val="24"/>
                <w:szCs w:val="24"/>
              </w:rPr>
              <w:lastRenderedPageBreak/>
              <w:t>Chisnell</w:t>
            </w:r>
            <w:proofErr w:type="spellEnd"/>
            <w:r w:rsidRPr="00871AB2">
              <w:rPr>
                <w:sz w:val="24"/>
                <w:szCs w:val="24"/>
              </w:rPr>
              <w:t xml:space="preserve">. C &amp; Kelly. C (2016), </w:t>
            </w:r>
            <w:r w:rsidRPr="00871AB2">
              <w:rPr>
                <w:i/>
                <w:sz w:val="24"/>
                <w:szCs w:val="24"/>
              </w:rPr>
              <w:t xml:space="preserve">Safeguarding in social work: A lifespan approach, </w:t>
            </w:r>
            <w:r w:rsidRPr="00871AB2">
              <w:rPr>
                <w:sz w:val="24"/>
                <w:szCs w:val="24"/>
              </w:rPr>
              <w:t>Sage: London</w:t>
            </w:r>
          </w:p>
          <w:p w14:paraId="6A5F345C" w14:textId="77777777" w:rsidR="00E14EC5" w:rsidRPr="00871AB2" w:rsidRDefault="00E14EC5" w:rsidP="00152155">
            <w:pPr>
              <w:spacing w:line="360" w:lineRule="auto"/>
              <w:jc w:val="both"/>
              <w:rPr>
                <w:sz w:val="24"/>
                <w:szCs w:val="24"/>
              </w:rPr>
            </w:pPr>
          </w:p>
          <w:p w14:paraId="616896EB" w14:textId="77777777" w:rsidR="00E14EC5" w:rsidRPr="00871AB2" w:rsidRDefault="00E14EC5" w:rsidP="00152155">
            <w:pPr>
              <w:pStyle w:val="NormalWeb"/>
              <w:spacing w:after="240" w:afterAutospacing="0" w:line="360" w:lineRule="auto"/>
              <w:rPr>
                <w:rFonts w:ascii="Arial" w:hAnsi="Arial" w:cs="Arial"/>
              </w:rPr>
            </w:pPr>
            <w:r w:rsidRPr="00871AB2">
              <w:rPr>
                <w:rFonts w:ascii="Arial" w:hAnsi="Arial" w:cs="Arial"/>
              </w:rPr>
              <w:t xml:space="preserve">Great Britain (2014), </w:t>
            </w:r>
            <w:r w:rsidRPr="00871AB2">
              <w:rPr>
                <w:rFonts w:ascii="Arial" w:hAnsi="Arial" w:cs="Arial"/>
                <w:i/>
                <w:iCs/>
              </w:rPr>
              <w:t>Social services &amp; Wellbeing Act: Elizabeth II, </w:t>
            </w:r>
            <w:r w:rsidRPr="00871AB2">
              <w:rPr>
                <w:rFonts w:ascii="Arial" w:hAnsi="Arial" w:cs="Arial"/>
              </w:rPr>
              <w:t>London, HMRC</w:t>
            </w:r>
          </w:p>
          <w:p w14:paraId="0472ABFD" w14:textId="77777777" w:rsidR="00E14EC5" w:rsidRPr="00871AB2" w:rsidRDefault="00E14EC5" w:rsidP="00152155">
            <w:pPr>
              <w:pStyle w:val="NormalWeb"/>
              <w:spacing w:after="240" w:afterAutospacing="0" w:line="360" w:lineRule="auto"/>
              <w:rPr>
                <w:rFonts w:ascii="Arial" w:hAnsi="Arial" w:cs="Arial"/>
              </w:rPr>
            </w:pPr>
            <w:r w:rsidRPr="00871AB2">
              <w:rPr>
                <w:rFonts w:ascii="Arial" w:hAnsi="Arial" w:cs="Arial"/>
              </w:rPr>
              <w:t xml:space="preserve">Welsh Government (2019), </w:t>
            </w:r>
            <w:r w:rsidRPr="00871AB2">
              <w:rPr>
                <w:rFonts w:ascii="Arial" w:hAnsi="Arial" w:cs="Arial"/>
                <w:i/>
                <w:iCs/>
              </w:rPr>
              <w:t>Wales Safeguarding procedures, </w:t>
            </w:r>
            <w:r w:rsidRPr="00871AB2">
              <w:rPr>
                <w:rFonts w:ascii="Arial" w:hAnsi="Arial" w:cs="Arial"/>
              </w:rPr>
              <w:t>Cardiff, Welsh Government</w:t>
            </w:r>
          </w:p>
          <w:p w14:paraId="3E3CAAA1" w14:textId="77777777" w:rsidR="00E14EC5" w:rsidRPr="00D96C4E" w:rsidRDefault="00E14EC5" w:rsidP="00152155">
            <w:pPr>
              <w:pStyle w:val="NormalWeb"/>
              <w:spacing w:after="240" w:afterAutospacing="0" w:line="360" w:lineRule="auto"/>
              <w:rPr>
                <w:rFonts w:ascii="Arial" w:hAnsi="Arial" w:cs="Arial"/>
              </w:rPr>
            </w:pPr>
            <w:r w:rsidRPr="00871AB2">
              <w:rPr>
                <w:rFonts w:ascii="Arial" w:hAnsi="Arial" w:cs="Arial"/>
              </w:rPr>
              <w:t xml:space="preserve">Great Britain (2005), </w:t>
            </w:r>
            <w:r w:rsidRPr="00871AB2">
              <w:rPr>
                <w:rFonts w:ascii="Arial" w:hAnsi="Arial" w:cs="Arial"/>
                <w:i/>
                <w:iCs/>
              </w:rPr>
              <w:t>Mental capacity Act: Elizabeth II,</w:t>
            </w:r>
            <w:r>
              <w:rPr>
                <w:rFonts w:ascii="Arial" w:hAnsi="Arial" w:cs="Arial"/>
              </w:rPr>
              <w:t xml:space="preserve"> London, HMRC</w:t>
            </w:r>
          </w:p>
          <w:p w14:paraId="386AB24A" w14:textId="77777777" w:rsidR="00E14EC5" w:rsidRPr="006108C9" w:rsidRDefault="00E14EC5" w:rsidP="00152155">
            <w:pPr>
              <w:jc w:val="both"/>
              <w:rPr>
                <w:sz w:val="24"/>
                <w:szCs w:val="24"/>
              </w:rPr>
            </w:pPr>
          </w:p>
          <w:p w14:paraId="70468584" w14:textId="77777777" w:rsidR="00E14EC5" w:rsidRDefault="00E14EC5" w:rsidP="00152155">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5C7D017A" w14:textId="77777777" w:rsidR="00E14EC5" w:rsidRPr="008B28E7" w:rsidRDefault="00E14EC5" w:rsidP="00152155">
            <w:pPr>
              <w:jc w:val="both"/>
              <w:rPr>
                <w:b/>
                <w:sz w:val="24"/>
                <w:szCs w:val="24"/>
              </w:rPr>
            </w:pPr>
          </w:p>
        </w:tc>
      </w:tr>
    </w:tbl>
    <w:p w14:paraId="3D8FFFB4" w14:textId="77777777" w:rsidR="00E14EC5" w:rsidRPr="008B28E7" w:rsidRDefault="00E14EC5" w:rsidP="00E14EC5">
      <w:pPr>
        <w:jc w:val="both"/>
        <w:rPr>
          <w:sz w:val="24"/>
          <w:szCs w:val="24"/>
        </w:rPr>
      </w:pPr>
    </w:p>
    <w:p w14:paraId="58516332" w14:textId="77777777" w:rsidR="00E14EC5" w:rsidRPr="008B28E7" w:rsidRDefault="00E14EC5" w:rsidP="00E14EC5">
      <w:pPr>
        <w:jc w:val="both"/>
        <w:rPr>
          <w:sz w:val="24"/>
          <w:szCs w:val="24"/>
        </w:rPr>
      </w:pPr>
    </w:p>
    <w:p w14:paraId="455767F4" w14:textId="77777777" w:rsidR="00E14EC5" w:rsidRDefault="00E14EC5" w:rsidP="00E14EC5">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14EC5" w:rsidRPr="008B28E7" w14:paraId="57823FF1" w14:textId="77777777" w:rsidTr="00152155">
        <w:tc>
          <w:tcPr>
            <w:tcW w:w="10278" w:type="dxa"/>
            <w:shd w:val="clear" w:color="auto" w:fill="auto"/>
          </w:tcPr>
          <w:p w14:paraId="453BDFF8" w14:textId="77777777" w:rsidR="00E14EC5" w:rsidRPr="00EB695F" w:rsidRDefault="00E14EC5" w:rsidP="00152155">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50C0F40" w14:textId="77777777" w:rsidR="00E14EC5" w:rsidRDefault="00E14EC5" w:rsidP="00152155">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14:paraId="5AB1E224" w14:textId="77777777" w:rsidR="00E14EC5" w:rsidRDefault="00E14EC5" w:rsidP="00152155">
            <w:pPr>
              <w:jc w:val="both"/>
              <w:rPr>
                <w:sz w:val="24"/>
                <w:szCs w:val="24"/>
              </w:rPr>
            </w:pPr>
          </w:p>
          <w:p w14:paraId="753D5B63" w14:textId="77777777" w:rsidR="00E14EC5" w:rsidRDefault="00E14EC5" w:rsidP="00152155">
            <w:pPr>
              <w:spacing w:line="360" w:lineRule="auto"/>
              <w:jc w:val="both"/>
              <w:rPr>
                <w:sz w:val="24"/>
                <w:szCs w:val="24"/>
              </w:rPr>
            </w:pPr>
            <w:r>
              <w:rPr>
                <w:sz w:val="24"/>
                <w:szCs w:val="24"/>
              </w:rPr>
              <w:t xml:space="preserve">The Wales Safeguarding Procedures (2019) highlights safeguarding measures for both children and adults. The Social Services and Wellbeing (Wales) Act 2014 (SSWBA) does provide protection for two wellbeing outcomes for children and two for adults. However, the act offers safeguarding for both children and adults. Most safeguarding legislation used within social work </w:t>
            </w:r>
            <w:proofErr w:type="gramStart"/>
            <w:r>
              <w:rPr>
                <w:sz w:val="24"/>
                <w:szCs w:val="24"/>
              </w:rPr>
              <w:t>is applied</w:t>
            </w:r>
            <w:proofErr w:type="gramEnd"/>
            <w:r>
              <w:rPr>
                <w:sz w:val="24"/>
                <w:szCs w:val="24"/>
              </w:rPr>
              <w:t xml:space="preserve"> to both adults and children including the Human Rights Act (1989) which prohibits abuse and unfair treatment. The key piece of legislation difference is the United Nations Convention on the Rights of the Child (1989). This only applies to children and offers protection from abuse under Article 19.</w:t>
            </w:r>
          </w:p>
          <w:p w14:paraId="4DE7DCC6" w14:textId="77777777" w:rsidR="00E14EC5" w:rsidRDefault="00E14EC5" w:rsidP="00152155">
            <w:pPr>
              <w:spacing w:line="360" w:lineRule="auto"/>
              <w:jc w:val="both"/>
              <w:rPr>
                <w:sz w:val="24"/>
                <w:szCs w:val="24"/>
              </w:rPr>
            </w:pPr>
          </w:p>
          <w:p w14:paraId="530D82DA" w14:textId="77777777" w:rsidR="00E14EC5" w:rsidRDefault="00E14EC5" w:rsidP="00152155">
            <w:pPr>
              <w:spacing w:line="360" w:lineRule="auto"/>
              <w:jc w:val="both"/>
              <w:rPr>
                <w:sz w:val="24"/>
                <w:szCs w:val="24"/>
              </w:rPr>
            </w:pPr>
            <w:r>
              <w:rPr>
                <w:sz w:val="24"/>
                <w:szCs w:val="24"/>
              </w:rPr>
              <w:t xml:space="preserve">When working to safeguard individuals, their input into plans is fundamental. Therefore, their consent is vital. Within social work, individuals who access services (individuals) may not wish to work with professionals. The primary difference between safeguarding children and adults is that adults </w:t>
            </w:r>
            <w:proofErr w:type="gramStart"/>
            <w:r>
              <w:rPr>
                <w:sz w:val="24"/>
                <w:szCs w:val="24"/>
              </w:rPr>
              <w:t>are recognised</w:t>
            </w:r>
            <w:proofErr w:type="gramEnd"/>
            <w:r>
              <w:rPr>
                <w:sz w:val="24"/>
                <w:szCs w:val="24"/>
              </w:rPr>
              <w:t xml:space="preserve"> as having a right to self-determination and can therefore choose to remain in a risky situation. Legislation, policy and procedure dictate that children </w:t>
            </w:r>
            <w:proofErr w:type="gramStart"/>
            <w:r>
              <w:rPr>
                <w:sz w:val="24"/>
                <w:szCs w:val="24"/>
              </w:rPr>
              <w:t>are not afforded</w:t>
            </w:r>
            <w:proofErr w:type="gramEnd"/>
            <w:r>
              <w:rPr>
                <w:sz w:val="24"/>
                <w:szCs w:val="24"/>
              </w:rPr>
              <w:t xml:space="preserve"> the same recognition and right. Children </w:t>
            </w:r>
            <w:proofErr w:type="gramStart"/>
            <w:r>
              <w:rPr>
                <w:sz w:val="24"/>
                <w:szCs w:val="24"/>
              </w:rPr>
              <w:t>must always be safeguarded</w:t>
            </w:r>
            <w:proofErr w:type="gramEnd"/>
            <w:r>
              <w:rPr>
                <w:sz w:val="24"/>
                <w:szCs w:val="24"/>
              </w:rPr>
              <w:t xml:space="preserve"> irrelevant of their wishes </w:t>
            </w:r>
            <w:r>
              <w:rPr>
                <w:sz w:val="24"/>
                <w:szCs w:val="24"/>
              </w:rPr>
              <w:lastRenderedPageBreak/>
              <w:t xml:space="preserve">to remain in risky situations. If consent </w:t>
            </w:r>
            <w:proofErr w:type="gramStart"/>
            <w:r>
              <w:rPr>
                <w:sz w:val="24"/>
                <w:szCs w:val="24"/>
              </w:rPr>
              <w:t>cannot be gained</w:t>
            </w:r>
            <w:proofErr w:type="gramEnd"/>
            <w:r>
              <w:rPr>
                <w:sz w:val="24"/>
                <w:szCs w:val="24"/>
              </w:rPr>
              <w:t xml:space="preserve"> when safeguarding a child, professionals can override this. However, if consent </w:t>
            </w:r>
            <w:proofErr w:type="gramStart"/>
            <w:r>
              <w:rPr>
                <w:sz w:val="24"/>
                <w:szCs w:val="24"/>
              </w:rPr>
              <w:t>was not provided</w:t>
            </w:r>
            <w:proofErr w:type="gramEnd"/>
            <w:r>
              <w:rPr>
                <w:sz w:val="24"/>
                <w:szCs w:val="24"/>
              </w:rPr>
              <w:t xml:space="preserve"> with an adult, they can choose to remain in a situation unless they have been deemed to not have capacity. </w:t>
            </w:r>
            <w:proofErr w:type="spellStart"/>
            <w:r>
              <w:rPr>
                <w:sz w:val="24"/>
                <w:szCs w:val="24"/>
              </w:rPr>
              <w:t>Starns</w:t>
            </w:r>
            <w:proofErr w:type="spellEnd"/>
            <w:r>
              <w:rPr>
                <w:sz w:val="24"/>
                <w:szCs w:val="24"/>
              </w:rPr>
              <w:t xml:space="preserve"> (2019) reports that when adults refuse intervention, this should be respected unless they are unable to understand, retain and make decisions on information provided, they are unconscious or the individual is in a life-threatening situation. </w:t>
            </w:r>
          </w:p>
          <w:p w14:paraId="4861C6C0" w14:textId="77777777" w:rsidR="00E14EC5" w:rsidRDefault="00E14EC5" w:rsidP="00152155">
            <w:pPr>
              <w:spacing w:line="360" w:lineRule="auto"/>
              <w:jc w:val="both"/>
              <w:rPr>
                <w:sz w:val="24"/>
                <w:szCs w:val="24"/>
              </w:rPr>
            </w:pPr>
          </w:p>
          <w:p w14:paraId="6A12A09E" w14:textId="77777777" w:rsidR="00E14EC5" w:rsidRDefault="00E14EC5" w:rsidP="00152155">
            <w:pPr>
              <w:spacing w:line="360" w:lineRule="auto"/>
              <w:jc w:val="both"/>
              <w:rPr>
                <w:sz w:val="24"/>
                <w:szCs w:val="24"/>
              </w:rPr>
            </w:pPr>
            <w:r>
              <w:rPr>
                <w:sz w:val="24"/>
                <w:szCs w:val="24"/>
              </w:rPr>
              <w:t xml:space="preserve">If an adult </w:t>
            </w:r>
            <w:proofErr w:type="gramStart"/>
            <w:r>
              <w:rPr>
                <w:sz w:val="24"/>
                <w:szCs w:val="24"/>
              </w:rPr>
              <w:t>were deemed</w:t>
            </w:r>
            <w:proofErr w:type="gramEnd"/>
            <w:r>
              <w:rPr>
                <w:sz w:val="24"/>
                <w:szCs w:val="24"/>
              </w:rPr>
              <w:t xml:space="preserve"> to not have capacity, the process for deprivation of liberty would need to be initiated. Unless this </w:t>
            </w:r>
            <w:proofErr w:type="gramStart"/>
            <w:r>
              <w:rPr>
                <w:sz w:val="24"/>
                <w:szCs w:val="24"/>
              </w:rPr>
              <w:t>was done</w:t>
            </w:r>
            <w:proofErr w:type="gramEnd"/>
            <w:r>
              <w:rPr>
                <w:sz w:val="24"/>
                <w:szCs w:val="24"/>
              </w:rPr>
              <w:t xml:space="preserve">, the adult could continue with their choice. This process is the opposite for children. As previously mentioned, children should always be safeguarded in legislation. One key concept when working with children and young people is </w:t>
            </w:r>
            <w:proofErr w:type="spellStart"/>
            <w:r>
              <w:rPr>
                <w:sz w:val="24"/>
                <w:szCs w:val="24"/>
              </w:rPr>
              <w:t>Gillick</w:t>
            </w:r>
            <w:proofErr w:type="spellEnd"/>
            <w:r>
              <w:rPr>
                <w:sz w:val="24"/>
                <w:szCs w:val="24"/>
              </w:rPr>
              <w:t xml:space="preserve"> competence. Lynch (2014) explains that </w:t>
            </w:r>
            <w:proofErr w:type="spellStart"/>
            <w:r>
              <w:rPr>
                <w:sz w:val="24"/>
                <w:szCs w:val="24"/>
              </w:rPr>
              <w:t>Gillick</w:t>
            </w:r>
            <w:proofErr w:type="spellEnd"/>
            <w:r>
              <w:rPr>
                <w:sz w:val="24"/>
                <w:szCs w:val="24"/>
              </w:rPr>
              <w:t xml:space="preserve"> competence is the recognition of a child or young person’s ability to make decisions. This </w:t>
            </w:r>
            <w:proofErr w:type="gramStart"/>
            <w:r>
              <w:rPr>
                <w:sz w:val="24"/>
                <w:szCs w:val="24"/>
              </w:rPr>
              <w:t>is determined</w:t>
            </w:r>
            <w:proofErr w:type="gramEnd"/>
            <w:r>
              <w:rPr>
                <w:sz w:val="24"/>
                <w:szCs w:val="24"/>
              </w:rPr>
              <w:t xml:space="preserve"> by numerous factors including their age and cognitive ability. Whilst with adults, capacity must be assumed and then assessed if doubted, with children it </w:t>
            </w:r>
            <w:proofErr w:type="gramStart"/>
            <w:r>
              <w:rPr>
                <w:sz w:val="24"/>
                <w:szCs w:val="24"/>
              </w:rPr>
              <w:t>is recognised</w:t>
            </w:r>
            <w:proofErr w:type="gramEnd"/>
            <w:r>
              <w:rPr>
                <w:sz w:val="24"/>
                <w:szCs w:val="24"/>
              </w:rPr>
              <w:t xml:space="preserve"> that they have more capacity as they grow and develop. However, </w:t>
            </w:r>
            <w:proofErr w:type="gramStart"/>
            <w:r>
              <w:rPr>
                <w:sz w:val="24"/>
                <w:szCs w:val="24"/>
              </w:rPr>
              <w:t>with regards to</w:t>
            </w:r>
            <w:proofErr w:type="gramEnd"/>
            <w:r>
              <w:rPr>
                <w:sz w:val="24"/>
                <w:szCs w:val="24"/>
              </w:rPr>
              <w:t xml:space="preserve"> safeguarding, </w:t>
            </w:r>
            <w:proofErr w:type="spellStart"/>
            <w:r>
              <w:rPr>
                <w:sz w:val="24"/>
                <w:szCs w:val="24"/>
              </w:rPr>
              <w:t>Gillick</w:t>
            </w:r>
            <w:proofErr w:type="spellEnd"/>
            <w:r>
              <w:rPr>
                <w:sz w:val="24"/>
                <w:szCs w:val="24"/>
              </w:rPr>
              <w:t xml:space="preserve"> competence does not remove the duty to safeguard. </w:t>
            </w:r>
            <w:proofErr w:type="spellStart"/>
            <w:r>
              <w:rPr>
                <w:sz w:val="24"/>
                <w:szCs w:val="24"/>
              </w:rPr>
              <w:t>Gillick</w:t>
            </w:r>
            <w:proofErr w:type="spellEnd"/>
            <w:r>
              <w:rPr>
                <w:sz w:val="24"/>
                <w:szCs w:val="24"/>
              </w:rPr>
              <w:t xml:space="preserve"> competence encourages practitioners to change the way that they safeguard to recognise the individuals’ ability to keep themselves safe. However, the duty </w:t>
            </w:r>
            <w:proofErr w:type="gramStart"/>
            <w:r>
              <w:rPr>
                <w:sz w:val="24"/>
                <w:szCs w:val="24"/>
              </w:rPr>
              <w:t>to not leave</w:t>
            </w:r>
            <w:proofErr w:type="gramEnd"/>
            <w:r>
              <w:rPr>
                <w:sz w:val="24"/>
                <w:szCs w:val="24"/>
              </w:rPr>
              <w:t xml:space="preserve"> them in risky situation remains. </w:t>
            </w:r>
          </w:p>
          <w:p w14:paraId="67A8CAAD" w14:textId="77777777" w:rsidR="00E14EC5" w:rsidRDefault="00E14EC5" w:rsidP="00152155">
            <w:pPr>
              <w:spacing w:line="360" w:lineRule="auto"/>
              <w:jc w:val="both"/>
              <w:rPr>
                <w:sz w:val="24"/>
                <w:szCs w:val="24"/>
              </w:rPr>
            </w:pPr>
          </w:p>
          <w:p w14:paraId="517443A9" w14:textId="77777777" w:rsidR="00E14EC5" w:rsidRDefault="00E14EC5" w:rsidP="00152155">
            <w:pPr>
              <w:spacing w:line="360" w:lineRule="auto"/>
              <w:jc w:val="both"/>
              <w:rPr>
                <w:sz w:val="24"/>
                <w:szCs w:val="24"/>
              </w:rPr>
            </w:pPr>
            <w:r>
              <w:rPr>
                <w:sz w:val="24"/>
                <w:szCs w:val="24"/>
              </w:rPr>
              <w:t>430 words</w:t>
            </w:r>
          </w:p>
          <w:p w14:paraId="74548B0D" w14:textId="77777777" w:rsidR="00E14EC5" w:rsidRDefault="00E14EC5" w:rsidP="00152155">
            <w:pPr>
              <w:spacing w:line="360" w:lineRule="auto"/>
              <w:jc w:val="both"/>
              <w:rPr>
                <w:sz w:val="24"/>
                <w:szCs w:val="24"/>
              </w:rPr>
            </w:pPr>
          </w:p>
          <w:p w14:paraId="6A6757B3" w14:textId="77777777" w:rsidR="00E14EC5" w:rsidRPr="00FF7888" w:rsidRDefault="00E14EC5" w:rsidP="00152155">
            <w:pPr>
              <w:spacing w:line="360" w:lineRule="auto"/>
              <w:jc w:val="both"/>
              <w:rPr>
                <w:sz w:val="24"/>
                <w:szCs w:val="24"/>
                <w:u w:val="single"/>
              </w:rPr>
            </w:pPr>
            <w:r w:rsidRPr="00FF7888">
              <w:rPr>
                <w:sz w:val="24"/>
                <w:szCs w:val="24"/>
                <w:u w:val="single"/>
              </w:rPr>
              <w:t>References</w:t>
            </w:r>
          </w:p>
          <w:p w14:paraId="199C501C" w14:textId="77777777" w:rsidR="00E14EC5" w:rsidRDefault="00E14EC5" w:rsidP="00152155">
            <w:pPr>
              <w:spacing w:line="360" w:lineRule="auto"/>
              <w:jc w:val="both"/>
              <w:rPr>
                <w:iCs/>
                <w:sz w:val="24"/>
                <w:szCs w:val="24"/>
              </w:rPr>
            </w:pPr>
            <w:r w:rsidRPr="005B2A74">
              <w:rPr>
                <w:iCs/>
                <w:sz w:val="24"/>
                <w:szCs w:val="24"/>
              </w:rPr>
              <w:t>Great Britain (1989)</w:t>
            </w:r>
            <w:r w:rsidRPr="005B2A74">
              <w:rPr>
                <w:i/>
                <w:iCs/>
                <w:sz w:val="24"/>
                <w:szCs w:val="24"/>
              </w:rPr>
              <w:t xml:space="preserve"> Children’s Act: Elizabeth II, </w:t>
            </w:r>
            <w:r w:rsidRPr="005B2A74">
              <w:rPr>
                <w:iCs/>
                <w:sz w:val="24"/>
                <w:szCs w:val="24"/>
              </w:rPr>
              <w:t>London: HMRC</w:t>
            </w:r>
          </w:p>
          <w:p w14:paraId="1CBA1319" w14:textId="77777777" w:rsidR="00E14EC5" w:rsidRDefault="00E14EC5" w:rsidP="00152155">
            <w:pPr>
              <w:spacing w:line="360" w:lineRule="auto"/>
              <w:jc w:val="both"/>
              <w:rPr>
                <w:rStyle w:val="ui-provider"/>
                <w:sz w:val="24"/>
              </w:rPr>
            </w:pPr>
            <w:r w:rsidRPr="00FF7888">
              <w:rPr>
                <w:rStyle w:val="ui-provider"/>
                <w:sz w:val="24"/>
              </w:rPr>
              <w:t xml:space="preserve">Great Britain (1989), </w:t>
            </w:r>
            <w:r w:rsidRPr="00FF7888">
              <w:rPr>
                <w:rStyle w:val="ui-provider"/>
                <w:i/>
                <w:iCs/>
                <w:sz w:val="24"/>
              </w:rPr>
              <w:t>Human Rights Act: Elizabeth II, </w:t>
            </w:r>
            <w:r w:rsidRPr="00FF7888">
              <w:rPr>
                <w:rStyle w:val="ui-provider"/>
                <w:sz w:val="24"/>
              </w:rPr>
              <w:t>London, HMRC</w:t>
            </w:r>
          </w:p>
          <w:p w14:paraId="297B6027" w14:textId="77777777" w:rsidR="00E14EC5" w:rsidRPr="005B2A74" w:rsidRDefault="00E14EC5" w:rsidP="00152155">
            <w:pPr>
              <w:spacing w:line="360" w:lineRule="auto"/>
              <w:rPr>
                <w:sz w:val="24"/>
                <w:szCs w:val="24"/>
              </w:rPr>
            </w:pPr>
            <w:r w:rsidRPr="005B2A74">
              <w:rPr>
                <w:sz w:val="24"/>
                <w:szCs w:val="24"/>
              </w:rPr>
              <w:t xml:space="preserve">Great Britain (2014), </w:t>
            </w:r>
            <w:r w:rsidRPr="005B2A74">
              <w:rPr>
                <w:i/>
                <w:iCs/>
                <w:sz w:val="24"/>
                <w:szCs w:val="24"/>
              </w:rPr>
              <w:t>Social services &amp; Wellbeing Act: Elizabeth II, </w:t>
            </w:r>
            <w:r w:rsidRPr="005B2A74">
              <w:rPr>
                <w:sz w:val="24"/>
                <w:szCs w:val="24"/>
              </w:rPr>
              <w:t>London: HMRC</w:t>
            </w:r>
          </w:p>
          <w:p w14:paraId="7D24893D" w14:textId="77777777" w:rsidR="00E14EC5" w:rsidRDefault="00E14EC5" w:rsidP="00152155">
            <w:pPr>
              <w:spacing w:line="360" w:lineRule="auto"/>
              <w:jc w:val="both"/>
              <w:rPr>
                <w:sz w:val="24"/>
                <w:szCs w:val="24"/>
              </w:rPr>
            </w:pPr>
            <w:r>
              <w:rPr>
                <w:sz w:val="24"/>
                <w:szCs w:val="24"/>
              </w:rPr>
              <w:t xml:space="preserve">Lynch. J (2014), </w:t>
            </w:r>
            <w:r>
              <w:rPr>
                <w:i/>
                <w:sz w:val="24"/>
                <w:szCs w:val="24"/>
              </w:rPr>
              <w:t xml:space="preserve">Consent to treatment, </w:t>
            </w:r>
            <w:r>
              <w:rPr>
                <w:sz w:val="24"/>
                <w:szCs w:val="24"/>
              </w:rPr>
              <w:t>CRC Press: Florida</w:t>
            </w:r>
          </w:p>
          <w:p w14:paraId="7DB1D787" w14:textId="77777777" w:rsidR="00E14EC5" w:rsidRDefault="00E14EC5" w:rsidP="00152155">
            <w:pPr>
              <w:spacing w:line="360" w:lineRule="auto"/>
              <w:jc w:val="both"/>
              <w:rPr>
                <w:sz w:val="24"/>
                <w:szCs w:val="24"/>
              </w:rPr>
            </w:pPr>
            <w:proofErr w:type="spellStart"/>
            <w:r>
              <w:rPr>
                <w:sz w:val="24"/>
                <w:szCs w:val="24"/>
              </w:rPr>
              <w:t>Starns</w:t>
            </w:r>
            <w:proofErr w:type="spellEnd"/>
            <w:r>
              <w:rPr>
                <w:sz w:val="24"/>
                <w:szCs w:val="24"/>
              </w:rPr>
              <w:t xml:space="preserve">. B (2019), </w:t>
            </w:r>
            <w:r>
              <w:rPr>
                <w:i/>
                <w:sz w:val="24"/>
                <w:szCs w:val="24"/>
              </w:rPr>
              <w:t xml:space="preserve">Safeguarding adults together under the care act 2014: multi-agency practice guide, </w:t>
            </w:r>
            <w:r>
              <w:rPr>
                <w:sz w:val="24"/>
                <w:szCs w:val="24"/>
              </w:rPr>
              <w:t>Critical publishing: St Albans</w:t>
            </w:r>
          </w:p>
          <w:p w14:paraId="2AA64550" w14:textId="77777777" w:rsidR="00E14EC5" w:rsidRPr="005B2A74" w:rsidRDefault="00E14EC5" w:rsidP="00152155">
            <w:pPr>
              <w:spacing w:line="360" w:lineRule="auto"/>
              <w:rPr>
                <w:color w:val="auto"/>
                <w:sz w:val="24"/>
                <w:szCs w:val="24"/>
              </w:rPr>
            </w:pPr>
            <w:r w:rsidRPr="005B2A74">
              <w:rPr>
                <w:color w:val="auto"/>
                <w:sz w:val="24"/>
                <w:szCs w:val="24"/>
              </w:rPr>
              <w:t xml:space="preserve">United Nations (1989), </w:t>
            </w:r>
            <w:r w:rsidRPr="005B2A74">
              <w:rPr>
                <w:i/>
                <w:color w:val="auto"/>
                <w:sz w:val="24"/>
                <w:szCs w:val="24"/>
              </w:rPr>
              <w:t xml:space="preserve">United Nations Convention on the Rights of the Child, </w:t>
            </w:r>
            <w:r w:rsidRPr="005B2A74">
              <w:rPr>
                <w:color w:val="auto"/>
                <w:sz w:val="24"/>
                <w:szCs w:val="24"/>
              </w:rPr>
              <w:t>Berlin, United Nations</w:t>
            </w:r>
          </w:p>
          <w:p w14:paraId="47BDDDDC" w14:textId="77777777" w:rsidR="00E14EC5" w:rsidRPr="00FF7888" w:rsidRDefault="00E14EC5" w:rsidP="00152155">
            <w:pPr>
              <w:spacing w:line="360" w:lineRule="auto"/>
              <w:jc w:val="both"/>
              <w:rPr>
                <w:sz w:val="40"/>
                <w:szCs w:val="24"/>
              </w:rPr>
            </w:pPr>
            <w:r w:rsidRPr="00FF7888">
              <w:rPr>
                <w:rStyle w:val="ui-provider"/>
                <w:sz w:val="24"/>
              </w:rPr>
              <w:lastRenderedPageBreak/>
              <w:t xml:space="preserve">Welsh Government (2019), </w:t>
            </w:r>
            <w:r w:rsidRPr="00FF7888">
              <w:rPr>
                <w:rStyle w:val="ui-provider"/>
                <w:i/>
                <w:iCs/>
                <w:sz w:val="24"/>
              </w:rPr>
              <w:t>Wales Safeguarding procedures, </w:t>
            </w:r>
            <w:r>
              <w:rPr>
                <w:rStyle w:val="ui-provider"/>
                <w:sz w:val="24"/>
              </w:rPr>
              <w:t>Cardiff, Welsh Government</w:t>
            </w:r>
          </w:p>
          <w:p w14:paraId="59F52BEB" w14:textId="77777777" w:rsidR="00E14EC5" w:rsidRPr="006108C9" w:rsidRDefault="00E14EC5" w:rsidP="00152155">
            <w:pPr>
              <w:jc w:val="both"/>
              <w:rPr>
                <w:sz w:val="24"/>
                <w:szCs w:val="24"/>
              </w:rPr>
            </w:pPr>
          </w:p>
          <w:p w14:paraId="2DA2BEE6" w14:textId="77777777" w:rsidR="00E14EC5" w:rsidRPr="006108C9" w:rsidRDefault="00E14EC5" w:rsidP="00152155">
            <w:pPr>
              <w:jc w:val="both"/>
              <w:rPr>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tc>
      </w:tr>
    </w:tbl>
    <w:p w14:paraId="3ADBD7D8" w14:textId="77777777" w:rsidR="001C2FAC" w:rsidRPr="009E55C1" w:rsidRDefault="001C2FAC">
      <w:pPr>
        <w:rPr>
          <w:sz w:val="24"/>
          <w:szCs w:val="24"/>
        </w:rPr>
      </w:pPr>
      <w:bookmarkStart w:id="0" w:name="_GoBack"/>
      <w:bookmarkEnd w:id="0"/>
    </w:p>
    <w:sectPr w:rsidR="001C2FAC" w:rsidRPr="009E5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4EC5"/>
    <w:rsid w:val="001C2FAC"/>
    <w:rsid w:val="0062420C"/>
    <w:rsid w:val="009E55C1"/>
    <w:rsid w:val="00D22E08"/>
    <w:rsid w:val="00E14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ADD0C"/>
  <w15:chartTrackingRefBased/>
  <w15:docId w15:val="{643E5106-5911-41D4-B6BA-4F218987C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4EC5"/>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basedOn w:val="DefaultParagraphFont"/>
    <w:rsid w:val="00E14EC5"/>
  </w:style>
  <w:style w:type="paragraph" w:styleId="NormalWeb">
    <w:name w:val="Normal (Web)"/>
    <w:basedOn w:val="Normal"/>
    <w:uiPriority w:val="99"/>
    <w:unhideWhenUsed/>
    <w:rsid w:val="00E14EC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2B28B66088844D870D4C1401D321F9" ma:contentTypeVersion="17" ma:contentTypeDescription="Create a new document." ma:contentTypeScope="" ma:versionID="ec63356270e8e27046d1ca226a607734">
  <xsd:schema xmlns:xsd="http://www.w3.org/2001/XMLSchema" xmlns:xs="http://www.w3.org/2001/XMLSchema" xmlns:p="http://schemas.microsoft.com/office/2006/metadata/properties" xmlns:ns3="1454201e-381a-402a-94ee-089c22ee2f1c" xmlns:ns4="7e1765a9-267c-45f0-bc43-a40bd2a61e3f" targetNamespace="http://schemas.microsoft.com/office/2006/metadata/properties" ma:root="true" ma:fieldsID="a6ddc8a2d9220eec051af37dc42fcca9" ns3:_="" ns4:_="">
    <xsd:import namespace="1454201e-381a-402a-94ee-089c22ee2f1c"/>
    <xsd:import namespace="7e1765a9-267c-45f0-bc43-a40bd2a61e3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ServiceLocation"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54201e-381a-402a-94ee-089c22ee2f1c"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1765a9-267c-45f0-bc43-a40bd2a61e3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element name="MediaServiceOCR" ma:index="24"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e1765a9-267c-45f0-bc43-a40bd2a61e3f" xsi:nil="true"/>
  </documentManagement>
</p:properties>
</file>

<file path=customXml/itemProps1.xml><?xml version="1.0" encoding="utf-8"?>
<ds:datastoreItem xmlns:ds="http://schemas.openxmlformats.org/officeDocument/2006/customXml" ds:itemID="{7AF937B9-8946-41F1-A15F-72E94ECDAE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54201e-381a-402a-94ee-089c22ee2f1c"/>
    <ds:schemaRef ds:uri="7e1765a9-267c-45f0-bc43-a40bd2a61e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BDBF8C-E228-4434-BDCF-B5324F9982DD}">
  <ds:schemaRefs>
    <ds:schemaRef ds:uri="http://schemas.microsoft.com/sharepoint/v3/contenttype/forms"/>
  </ds:schemaRefs>
</ds:datastoreItem>
</file>

<file path=customXml/itemProps3.xml><?xml version="1.0" encoding="utf-8"?>
<ds:datastoreItem xmlns:ds="http://schemas.openxmlformats.org/officeDocument/2006/customXml" ds:itemID="{A31D3DFF-6E79-4D35-B77B-D8C935D80F27}">
  <ds:schemaRefs>
    <ds:schemaRef ds:uri="http://schemas.microsoft.com/office/2006/metadata/properties"/>
    <ds:schemaRef ds:uri="http://purl.org/dc/terms/"/>
    <ds:schemaRef ds:uri="http://schemas.microsoft.com/office/2006/documentManagement/types"/>
    <ds:schemaRef ds:uri="7e1765a9-267c-45f0-bc43-a40bd2a61e3f"/>
    <ds:schemaRef ds:uri="http://purl.org/dc/elements/1.1/"/>
    <ds:schemaRef ds:uri="http://schemas.microsoft.com/office/infopath/2007/PartnerControls"/>
    <ds:schemaRef ds:uri="http://schemas.openxmlformats.org/package/2006/metadata/core-properties"/>
    <ds:schemaRef ds:uri="1454201e-381a-402a-94ee-089c22ee2f1c"/>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1204</Words>
  <Characters>6865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8053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Cotton</dc:creator>
  <cp:keywords/>
  <dc:description/>
  <cp:lastModifiedBy>Megan Cotton</cp:lastModifiedBy>
  <cp:revision>1</cp:revision>
  <dcterms:created xsi:type="dcterms:W3CDTF">2023-10-20T11:37:00Z</dcterms:created>
  <dcterms:modified xsi:type="dcterms:W3CDTF">2023-10-20T11:38:00Z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0x010100F92B28B66088844D870D4C1401D321F9</vt:lpwstr>
  </property>
</Properties>
</file>