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365A" w:rsidRDefault="00A1365A" w:rsidP="00A1365A">
      <w:pPr>
        <w:rPr>
          <w:color w:val="538135" w:themeColor="accent6" w:themeShade="BF"/>
        </w:rPr>
      </w:pPr>
    </w:p>
    <w:p w:rsidR="00A1365A" w:rsidRPr="00A1365A" w:rsidRDefault="00A1365A" w:rsidP="00A1365A">
      <w:r w:rsidRPr="00A1365A">
        <w:t xml:space="preserve">This essay sets out to critically examine policies on boundaries </w:t>
      </w:r>
      <w:r w:rsidR="001B591A">
        <w:t>in Women’s Aid in Swansea. This service</w:t>
      </w:r>
      <w:r>
        <w:t xml:space="preserve"> deal</w:t>
      </w:r>
      <w:r w:rsidR="001B591A">
        <w:t>s</w:t>
      </w:r>
      <w:r>
        <w:t xml:space="preserve"> with vulnerable people in a caring environment, so it is important to follow the</w:t>
      </w:r>
      <w:r w:rsidR="005643D3">
        <w:t xml:space="preserve"> policies on boundaries so that there are clear lines between the professional and the services user.  </w:t>
      </w:r>
    </w:p>
    <w:p w:rsidR="008700E6" w:rsidRDefault="008700E6" w:rsidP="00A1365A">
      <w:r w:rsidRPr="008700E6">
        <w:t xml:space="preserve">Professional boundaries are </w:t>
      </w:r>
      <w:r>
        <w:t>important</w:t>
      </w:r>
      <w:r w:rsidRPr="008700E6">
        <w:t xml:space="preserve"> in </w:t>
      </w:r>
      <w:r>
        <w:t xml:space="preserve">health and </w:t>
      </w:r>
      <w:r w:rsidRPr="008700E6">
        <w:t xml:space="preserve">social care </w:t>
      </w:r>
      <w:r>
        <w:t xml:space="preserve">settings </w:t>
      </w:r>
      <w:r w:rsidRPr="008700E6">
        <w:t xml:space="preserve">because </w:t>
      </w:r>
      <w:r>
        <w:t xml:space="preserve">the services users are vulnerable people.  Staff members working in this environment </w:t>
      </w:r>
      <w:r w:rsidRPr="008700E6">
        <w:t xml:space="preserve">have a responsibility to </w:t>
      </w:r>
      <w:r>
        <w:t xml:space="preserve">the services users to support them appropriately and </w:t>
      </w:r>
      <w:r w:rsidRPr="008700E6">
        <w:t xml:space="preserve">ensure that </w:t>
      </w:r>
      <w:r>
        <w:t>the help and support does not</w:t>
      </w:r>
      <w:r w:rsidRPr="008700E6">
        <w:t xml:space="preserve"> damage or marginalise them. Working </w:t>
      </w:r>
      <w:r>
        <w:t>in settings such as Women’s Aid</w:t>
      </w:r>
      <w:r w:rsidRPr="008700E6">
        <w:t xml:space="preserve"> can be very stressful and draining</w:t>
      </w:r>
      <w:r>
        <w:t xml:space="preserve"> for the staff members.  P</w:t>
      </w:r>
      <w:r w:rsidRPr="008700E6">
        <w:t xml:space="preserve">rofessional boundaries help </w:t>
      </w:r>
      <w:r>
        <w:t>staff members to</w:t>
      </w:r>
      <w:r w:rsidRPr="008700E6">
        <w:t xml:space="preserve"> manage </w:t>
      </w:r>
      <w:r>
        <w:t xml:space="preserve">themselves and their </w:t>
      </w:r>
      <w:r w:rsidR="00C807B2">
        <w:t xml:space="preserve">emotions </w:t>
      </w:r>
      <w:sdt>
        <w:sdtPr>
          <w:id w:val="829402950"/>
          <w:citation/>
        </w:sdtPr>
        <w:sdtContent>
          <w:r w:rsidR="00C807B2">
            <w:fldChar w:fldCharType="begin"/>
          </w:r>
          <w:r w:rsidR="00C807B2">
            <w:instrText xml:space="preserve"> CITATION Coo12 \l 2057 </w:instrText>
          </w:r>
          <w:r w:rsidR="00C807B2">
            <w:fldChar w:fldCharType="separate"/>
          </w:r>
          <w:r w:rsidR="00C807B2" w:rsidRPr="00C807B2">
            <w:rPr>
              <w:noProof/>
            </w:rPr>
            <w:t>(Cooper, 2012)</w:t>
          </w:r>
          <w:r w:rsidR="00C807B2">
            <w:fldChar w:fldCharType="end"/>
          </w:r>
        </w:sdtContent>
      </w:sdt>
      <w:r w:rsidR="00C807B2">
        <w:t xml:space="preserve">. </w:t>
      </w:r>
    </w:p>
    <w:p w:rsidR="00C807B2" w:rsidRPr="00C807B2" w:rsidRDefault="007D1401" w:rsidP="00A1365A">
      <w:r>
        <w:t>Applying, understanding and maintaining boundaries in health and social care settings is more complex than other workplaces, according to Cooper (2012).  “</w:t>
      </w:r>
      <w:r w:rsidRPr="007D1401">
        <w:t xml:space="preserve">The relationship that social care workers hold with their clients, the amount of time they spend with their clients, and the nature of </w:t>
      </w:r>
      <w:r>
        <w:t xml:space="preserve">the subjects they deal with all </w:t>
      </w:r>
      <w:r w:rsidRPr="007D1401">
        <w:t>complicate things</w:t>
      </w:r>
      <w:r>
        <w:t>” (Cooper, 2012</w:t>
      </w:r>
      <w:r w:rsidR="00C807B2">
        <w:t xml:space="preserve"> p.12</w:t>
      </w:r>
      <w:r>
        <w:t>)</w:t>
      </w:r>
      <w:r w:rsidRPr="007D1401">
        <w:t xml:space="preserve">. </w:t>
      </w:r>
      <w:r>
        <w:t xml:space="preserve"> Copper </w:t>
      </w:r>
      <w:r w:rsidR="00C807B2">
        <w:t xml:space="preserve">(2012) </w:t>
      </w:r>
      <w:r>
        <w:t>also says that “t</w:t>
      </w:r>
      <w:r w:rsidRPr="007D1401">
        <w:t>he most complex area of professional boundaries is managing the relationship between client and worker, and social care workers often have the most complex relationships with their clients</w:t>
      </w:r>
      <w:r>
        <w:t>”</w:t>
      </w:r>
      <w:r w:rsidR="00C807B2">
        <w:t xml:space="preserve"> (p,12)</w:t>
      </w:r>
      <w:r w:rsidRPr="007D1401">
        <w:t>.</w:t>
      </w:r>
    </w:p>
    <w:p w:rsidR="005643D3" w:rsidRDefault="001B591A" w:rsidP="00A1365A">
      <w:pPr>
        <w:rPr>
          <w:color w:val="FF0000"/>
        </w:rPr>
      </w:pPr>
      <w:r>
        <w:t>T</w:t>
      </w:r>
      <w:r w:rsidR="005643D3">
        <w:t xml:space="preserve">he staff members who provide help and support to services users are not allowed to give out their private phone numbers, social media pages, or their last name.  </w:t>
      </w:r>
      <w:r w:rsidR="00C807B2">
        <w:t>This is to maintain a professional distance.  Additionally, s</w:t>
      </w:r>
      <w:r w:rsidR="005643D3">
        <w:t>taff and volunteers at Women’s Aid who work in a residential home, do not wear name tags.  This is to keep their full identity confidential. This is to protect the staff as without these measures, the services users can find ways to contact staff and volunteers outside of work time and find out private information.  For example, most people have a Facebook account which shows photos and statuses that are meant for their friends and family to see. These profiles are not suitable as professional profiles so it is important to keep this separate from work</w:t>
      </w:r>
      <w:sdt>
        <w:sdtPr>
          <w:id w:val="1685792507"/>
          <w:citation/>
        </w:sdtPr>
        <w:sdtContent>
          <w:r w:rsidR="00716F1D">
            <w:fldChar w:fldCharType="begin"/>
          </w:r>
          <w:r w:rsidR="00716F1D">
            <w:instrText xml:space="preserve"> CITATION All19 \l 2057 </w:instrText>
          </w:r>
          <w:r w:rsidR="00716F1D">
            <w:fldChar w:fldCharType="separate"/>
          </w:r>
          <w:r w:rsidR="00716F1D">
            <w:rPr>
              <w:noProof/>
            </w:rPr>
            <w:t xml:space="preserve"> </w:t>
          </w:r>
          <w:r w:rsidR="00716F1D" w:rsidRPr="00716F1D">
            <w:rPr>
              <w:noProof/>
            </w:rPr>
            <w:t>(All Pyschology Careers, 2019)</w:t>
          </w:r>
          <w:r w:rsidR="00716F1D">
            <w:fldChar w:fldCharType="end"/>
          </w:r>
        </w:sdtContent>
      </w:sdt>
      <w:r w:rsidR="00716F1D">
        <w:t xml:space="preserve">.  </w:t>
      </w:r>
      <w:r w:rsidR="00716F1D">
        <w:t xml:space="preserve"> </w:t>
      </w:r>
      <w:r w:rsidR="005643D3">
        <w:t>Another reason for these policies is to prevent services getting too close as this is unprofessional.  It can also protect the services user as they are vulnerable adults.  Getting too close or seeing social media profiles could cause confusion and stress if they see a professional who is helping them act in a way that is different to how they behave in work.  For example, if a professional is helping a service user with an alcohol addiction, it could be a set-back for them if they see a photograph on social media of that professional having a drink at a party</w:t>
      </w:r>
      <w:r w:rsidR="00993FDA">
        <w:t xml:space="preserve"> </w:t>
      </w:r>
      <w:sdt>
        <w:sdtPr>
          <w:id w:val="-2118439303"/>
          <w:citation/>
        </w:sdtPr>
        <w:sdtContent>
          <w:r w:rsidR="00993FDA">
            <w:fldChar w:fldCharType="begin"/>
          </w:r>
          <w:r w:rsidR="00993FDA">
            <w:instrText xml:space="preserve"> CITATION Ben13 \l 2057 </w:instrText>
          </w:r>
          <w:r w:rsidR="00993FDA">
            <w:fldChar w:fldCharType="separate"/>
          </w:r>
          <w:r w:rsidR="00993FDA" w:rsidRPr="00993FDA">
            <w:rPr>
              <w:noProof/>
            </w:rPr>
            <w:t>(Bennet, 2013)</w:t>
          </w:r>
          <w:r w:rsidR="00993FDA">
            <w:fldChar w:fldCharType="end"/>
          </w:r>
        </w:sdtContent>
      </w:sdt>
      <w:r w:rsidR="00993FDA">
        <w:t xml:space="preserve">. </w:t>
      </w:r>
      <w:r>
        <w:t xml:space="preserve">There are other reasons to keep social media separate from services users, as a professional could be friends with someone the service user has had a history with or are related to.  </w:t>
      </w:r>
      <w:r w:rsidR="005643D3">
        <w:t xml:space="preserve"> </w:t>
      </w:r>
      <w:r>
        <w:t>In some extreme cases, if they look on a social media profile of someone who is helping them professionally, and they have a photo of a person who reminds them of someone who abused them or used drugs with could be enough to make them mistrust the professional</w:t>
      </w:r>
      <w:r w:rsidR="00C807B2">
        <w:t xml:space="preserve"> </w:t>
      </w:r>
      <w:sdt>
        <w:sdtPr>
          <w:id w:val="-413862205"/>
          <w:citation/>
        </w:sdtPr>
        <w:sdtContent>
          <w:r w:rsidR="00C807B2">
            <w:fldChar w:fldCharType="begin"/>
          </w:r>
          <w:r w:rsidR="00C807B2">
            <w:instrText xml:space="preserve"> CITATION Wom19 \l 2057 </w:instrText>
          </w:r>
          <w:r w:rsidR="00C807B2">
            <w:fldChar w:fldCharType="separate"/>
          </w:r>
          <w:r w:rsidR="00C807B2" w:rsidRPr="00C807B2">
            <w:rPr>
              <w:noProof/>
            </w:rPr>
            <w:t>(Women's Aid, 2019)</w:t>
          </w:r>
          <w:r w:rsidR="00C807B2">
            <w:fldChar w:fldCharType="end"/>
          </w:r>
        </w:sdtContent>
      </w:sdt>
      <w:r w:rsidR="00C807B2">
        <w:t xml:space="preserve">. </w:t>
      </w:r>
    </w:p>
    <w:p w:rsidR="001B591A" w:rsidRDefault="001B591A" w:rsidP="00A1365A">
      <w:r w:rsidRPr="001B591A">
        <w:t xml:space="preserve">In Women’s Aid, there is a policy that staff and volunteers are not allowed to touch the services users </w:t>
      </w:r>
      <w:r>
        <w:t>under any circumstances.  This is to protect the service users, as some may be uncomfortable with physical contact, especially if they have been physically abused</w:t>
      </w:r>
      <w:r w:rsidR="00716F1D">
        <w:t xml:space="preserve"> </w:t>
      </w:r>
      <w:sdt>
        <w:sdtPr>
          <w:id w:val="-643662640"/>
          <w:citation/>
        </w:sdtPr>
        <w:sdtContent>
          <w:r w:rsidR="00716F1D">
            <w:fldChar w:fldCharType="begin"/>
          </w:r>
          <w:r w:rsidR="00716F1D">
            <w:instrText xml:space="preserve"> CITATION Smi18 \l 2057 </w:instrText>
          </w:r>
          <w:r w:rsidR="00716F1D">
            <w:fldChar w:fldCharType="separate"/>
          </w:r>
          <w:r w:rsidR="00716F1D" w:rsidRPr="00716F1D">
            <w:rPr>
              <w:noProof/>
            </w:rPr>
            <w:t>(Smith &amp; Segal, 2018)</w:t>
          </w:r>
          <w:r w:rsidR="00716F1D">
            <w:fldChar w:fldCharType="end"/>
          </w:r>
        </w:sdtContent>
      </w:sdt>
      <w:r w:rsidR="00716F1D">
        <w:t>.</w:t>
      </w:r>
      <w:r w:rsidRPr="001B591A">
        <w:rPr>
          <w:color w:val="FF0000"/>
        </w:rPr>
        <w:t xml:space="preserve">  </w:t>
      </w:r>
      <w:r w:rsidRPr="001B591A">
        <w:t xml:space="preserve">This means that if a </w:t>
      </w:r>
      <w:r w:rsidR="000E3D3E">
        <w:t>woman is upset and crying, the staff and volunteers are not allowed to provide comfort with any kind of touch such as hugging or a pat on the shoulder.  Instead, the staff member would take them not a private room to sit and talk with them in private, can make them a hot drink, but cannot touch in any way</w:t>
      </w:r>
      <w:r w:rsidR="00716F1D">
        <w:t xml:space="preserve"> </w:t>
      </w:r>
      <w:sdt>
        <w:sdtPr>
          <w:id w:val="-1066328632"/>
          <w:citation/>
        </w:sdtPr>
        <w:sdtContent>
          <w:r w:rsidR="00716F1D">
            <w:fldChar w:fldCharType="begin"/>
          </w:r>
          <w:r w:rsidR="00716F1D">
            <w:instrText xml:space="preserve"> CITATION Wom191 \l 2057 </w:instrText>
          </w:r>
          <w:r w:rsidR="00716F1D">
            <w:fldChar w:fldCharType="separate"/>
          </w:r>
          <w:r w:rsidR="00716F1D" w:rsidRPr="00716F1D">
            <w:rPr>
              <w:noProof/>
            </w:rPr>
            <w:t>(Women's Aid , 2019)</w:t>
          </w:r>
          <w:r w:rsidR="00716F1D">
            <w:fldChar w:fldCharType="end"/>
          </w:r>
        </w:sdtContent>
      </w:sdt>
      <w:r w:rsidR="000E3D3E">
        <w:t xml:space="preserve">.  </w:t>
      </w:r>
    </w:p>
    <w:p w:rsidR="00EF3EC8" w:rsidRPr="00EF3EC8" w:rsidRDefault="000E3D3E" w:rsidP="00A1365A">
      <w:pPr>
        <w:rPr>
          <w:color w:val="FF0000"/>
        </w:rPr>
      </w:pPr>
      <w:r>
        <w:t xml:space="preserve">Other boundaries include helping them with childcare.  For example, if a service user is a situation that is causing distress and has to deal with a crying baby on top of that, the staff member is not </w:t>
      </w:r>
      <w:r>
        <w:lastRenderedPageBreak/>
        <w:t xml:space="preserve">allowed to look after the baby while the mother deals with the stressful situation.  In certain situations, the staff member can hold the baby for a short while, but only in the presence of the mother.  The staff member is not allowed to be alone with the baby or a child.  This safeguards the staff member because if they were left alone with the child, they could be accused of causing harm to the child.  If the staff member holds a child for too long, the child could become attached, which can be distressing for the mother and confusing for the child.  For some mothers who are vulnerable, or have postnatal depression, seeing their child bond with another adults could cause them to feel anxious, jealous, </w:t>
      </w:r>
      <w:r w:rsidR="00EF3EC8">
        <w:t xml:space="preserve">or depressed, </w:t>
      </w:r>
      <w:r w:rsidR="00EF3EC8" w:rsidRPr="00716F1D">
        <w:t xml:space="preserve">even suicidal in extreme cases </w:t>
      </w:r>
      <w:sdt>
        <w:sdtPr>
          <w:id w:val="-1488164791"/>
          <w:citation/>
        </w:sdtPr>
        <w:sdtContent>
          <w:r w:rsidR="00716F1D" w:rsidRPr="00716F1D">
            <w:fldChar w:fldCharType="begin"/>
          </w:r>
          <w:r w:rsidR="00716F1D" w:rsidRPr="00716F1D">
            <w:instrText xml:space="preserve"> CITATION Fir13 \l 2057 </w:instrText>
          </w:r>
          <w:r w:rsidR="00716F1D" w:rsidRPr="00716F1D">
            <w:fldChar w:fldCharType="separate"/>
          </w:r>
          <w:r w:rsidR="00716F1D" w:rsidRPr="00716F1D">
            <w:rPr>
              <w:noProof/>
            </w:rPr>
            <w:t>(Firestone, 2013)</w:t>
          </w:r>
          <w:r w:rsidR="00716F1D" w:rsidRPr="00716F1D">
            <w:fldChar w:fldCharType="end"/>
          </w:r>
        </w:sdtContent>
      </w:sdt>
      <w:r w:rsidR="0003220D">
        <w:t xml:space="preserve">. </w:t>
      </w:r>
    </w:p>
    <w:p w:rsidR="00A33D92" w:rsidRDefault="00EF3EC8" w:rsidP="00A1365A">
      <w:r>
        <w:t>Staff members cannot discuss their past experiences with services users.  If a staff member has had similar experiences to a service user, they are not allowed to share their stories because the help and support must be focused on the service user</w:t>
      </w:r>
      <w:sdt>
        <w:sdtPr>
          <w:id w:val="238916387"/>
          <w:citation/>
        </w:sdtPr>
        <w:sdtContent>
          <w:r w:rsidR="0003220D">
            <w:fldChar w:fldCharType="begin"/>
          </w:r>
          <w:r w:rsidR="0003220D">
            <w:instrText xml:space="preserve"> CITATION Wom18 \l 2057 </w:instrText>
          </w:r>
          <w:r w:rsidR="0003220D">
            <w:fldChar w:fldCharType="separate"/>
          </w:r>
          <w:r w:rsidR="0003220D">
            <w:rPr>
              <w:noProof/>
            </w:rPr>
            <w:t xml:space="preserve"> </w:t>
          </w:r>
          <w:r w:rsidR="0003220D" w:rsidRPr="0003220D">
            <w:rPr>
              <w:noProof/>
            </w:rPr>
            <w:t>(Women's Aid, 2018)</w:t>
          </w:r>
          <w:r w:rsidR="0003220D">
            <w:fldChar w:fldCharType="end"/>
          </w:r>
        </w:sdtContent>
      </w:sdt>
      <w:r>
        <w:t xml:space="preserve">.  </w:t>
      </w:r>
      <w:r w:rsidR="00A33D92">
        <w:t xml:space="preserve">This can help safeguard the services user because if they are made aware of a time where the person helping them was vulnerable, they may see them in a different light.  </w:t>
      </w:r>
      <w:r w:rsidR="008700E6">
        <w:t>Boundaries are put in place to protect the service user but also the staff members.  Service users could manipulate staff members.  For example, if they know that the staff member used to be a drug user or was once abused, they could use it against them.  It could also lead to them not trusting the person who is helping them</w:t>
      </w:r>
      <w:r w:rsidR="0003220D">
        <w:t xml:space="preserve"> </w:t>
      </w:r>
      <w:sdt>
        <w:sdtPr>
          <w:id w:val="-999650384"/>
          <w:citation/>
        </w:sdtPr>
        <w:sdtContent>
          <w:r w:rsidR="0003220D">
            <w:fldChar w:fldCharType="begin"/>
          </w:r>
          <w:r w:rsidR="0003220D">
            <w:instrText xml:space="preserve"> CITATION Wom18 \l 2057 </w:instrText>
          </w:r>
          <w:r w:rsidR="0003220D">
            <w:fldChar w:fldCharType="separate"/>
          </w:r>
          <w:r w:rsidR="0003220D" w:rsidRPr="0003220D">
            <w:rPr>
              <w:noProof/>
            </w:rPr>
            <w:t>(Women's Aid, 2018)</w:t>
          </w:r>
          <w:r w:rsidR="0003220D">
            <w:fldChar w:fldCharType="end"/>
          </w:r>
        </w:sdtContent>
      </w:sdt>
      <w:r w:rsidR="008700E6">
        <w:t xml:space="preserve">.  </w:t>
      </w:r>
    </w:p>
    <w:p w:rsidR="00A33D92" w:rsidRDefault="00A33D92" w:rsidP="00A1365A">
      <w:r>
        <w:t>Services users might trust a volunteer more than a paid member of staff.  For example, they may see a volunteer as someone they can confide in.  They may tell a volunteer that they have met with their abuser or spoken to someone who they are not allowed contact with, but asked the volunteer not to tell the paid members of staff.  However, the volunteer has the same duty of care and the same boundaries as the other staff members.  No staff member, whether they are paid or a volunteer, can form the kind of relationship where secrets can be kept if there is a safety issue.  If a service user tell a volunteer something and have been asked not to tell, the volunteer is bound by their duty to inform the worker they are assigned to</w:t>
      </w:r>
      <w:sdt>
        <w:sdtPr>
          <w:id w:val="138080735"/>
          <w:citation/>
        </w:sdtPr>
        <w:sdtContent>
          <w:r w:rsidR="0003220D">
            <w:fldChar w:fldCharType="begin"/>
          </w:r>
          <w:r w:rsidR="0003220D">
            <w:instrText xml:space="preserve"> CITATION Wom191 \l 2057 </w:instrText>
          </w:r>
          <w:r w:rsidR="0003220D">
            <w:fldChar w:fldCharType="separate"/>
          </w:r>
          <w:r w:rsidR="0003220D">
            <w:rPr>
              <w:noProof/>
            </w:rPr>
            <w:t xml:space="preserve"> </w:t>
          </w:r>
          <w:r w:rsidR="0003220D" w:rsidRPr="0003220D">
            <w:rPr>
              <w:noProof/>
            </w:rPr>
            <w:t>(Women's Aid , 2019)</w:t>
          </w:r>
          <w:r w:rsidR="0003220D">
            <w:fldChar w:fldCharType="end"/>
          </w:r>
        </w:sdtContent>
      </w:sdt>
      <w:r>
        <w:t xml:space="preserve">.  </w:t>
      </w:r>
    </w:p>
    <w:p w:rsidR="001B591A" w:rsidRDefault="00A33D92" w:rsidP="00A33D92">
      <w:r>
        <w:t xml:space="preserve">Other boundaries include possessions.  A staff member or volunteer cannot lend or give money to a service user or give them a cigarette.  </w:t>
      </w:r>
      <w:r w:rsidR="007D1401">
        <w:t>Service users can sometimes try to manipulate staff members by playing on their emotions.  They could tell an upsetting story and say they have lost money to try to their key worker or volunteer to feel sorry for them and give them somethin</w:t>
      </w:r>
      <w:bookmarkStart w:id="0" w:name="_GoBack"/>
      <w:bookmarkEnd w:id="0"/>
      <w:r w:rsidR="007D1401">
        <w:t>g</w:t>
      </w:r>
      <w:r w:rsidR="0003220D">
        <w:t xml:space="preserve"> </w:t>
      </w:r>
      <w:sdt>
        <w:sdtPr>
          <w:id w:val="-269171724"/>
          <w:citation/>
        </w:sdtPr>
        <w:sdtContent>
          <w:r w:rsidR="0003220D">
            <w:fldChar w:fldCharType="begin"/>
          </w:r>
          <w:r w:rsidR="0003220D">
            <w:instrText xml:space="preserve"> CITATION Jon17 \l 2057 </w:instrText>
          </w:r>
          <w:r w:rsidR="0003220D">
            <w:fldChar w:fldCharType="separate"/>
          </w:r>
          <w:r w:rsidR="0003220D" w:rsidRPr="0003220D">
            <w:rPr>
              <w:noProof/>
            </w:rPr>
            <w:t>(Jones, 2017)</w:t>
          </w:r>
          <w:r w:rsidR="0003220D">
            <w:fldChar w:fldCharType="end"/>
          </w:r>
        </w:sdtContent>
      </w:sdt>
      <w:r w:rsidR="0003220D">
        <w:t xml:space="preserve">. </w:t>
      </w:r>
    </w:p>
    <w:p w:rsidR="005643D3" w:rsidRDefault="007D1401" w:rsidP="005643D3">
      <w:r>
        <w:t xml:space="preserve">By not maintaining </w:t>
      </w:r>
      <w:r w:rsidRPr="007D1401">
        <w:t>boundaries</w:t>
      </w:r>
      <w:r>
        <w:t xml:space="preserve">, it could </w:t>
      </w:r>
      <w:r w:rsidRPr="007D1401">
        <w:t xml:space="preserve">lead to issues neglect and abuse with clients, </w:t>
      </w:r>
      <w:r>
        <w:t>“</w:t>
      </w:r>
      <w:r w:rsidRPr="007D1401">
        <w:t>either through the failure to offer necessary support or by the relationship slipping into deeply inappropriate areas</w:t>
      </w:r>
      <w:r>
        <w:t>” (Cooper, 2012</w:t>
      </w:r>
      <w:r w:rsidR="0003220D">
        <w:t xml:space="preserve"> p.32</w:t>
      </w:r>
      <w:r>
        <w:t>). On the other hand, not maintaining boundaries could make a service user</w:t>
      </w:r>
      <w:r w:rsidRPr="007D1401">
        <w:t xml:space="preserve"> feel that they have a ‘special’ relationship</w:t>
      </w:r>
      <w:r>
        <w:t xml:space="preserve"> with the staff member.  This could lead to an over-reliance on that staff member. </w:t>
      </w:r>
      <w:r w:rsidRPr="007D1401">
        <w:t xml:space="preserve"> </w:t>
      </w:r>
      <w:r>
        <w:t xml:space="preserve">This could be damaging for the independence of the services user and could have negative consequences if the staff member changes jobs or moved away.   </w:t>
      </w:r>
    </w:p>
    <w:p w:rsidR="00A1365A" w:rsidRDefault="00993FDA" w:rsidP="00A1365A">
      <w:r>
        <w:t>The main recommendation</w:t>
      </w:r>
      <w:r w:rsidR="0003220D" w:rsidRPr="0003220D">
        <w:t xml:space="preserve"> for </w:t>
      </w:r>
      <w:r w:rsidR="005643D3" w:rsidRPr="0003220D">
        <w:t>improvemen</w:t>
      </w:r>
      <w:r w:rsidR="0003220D">
        <w:t xml:space="preserve">t to practice for professionals include being aware and remembering the importance of boundaries and why they are in place. </w:t>
      </w:r>
      <w:r w:rsidR="004C7883" w:rsidRPr="004C7883">
        <w:t xml:space="preserve">Cooper, (2012) states that it is very easy for workers to slip over the line without noticing.  This is especially true if the services user brings up strong feelings or memories.  Being self-aware is essential for avoiding this.  </w:t>
      </w:r>
    </w:p>
    <w:p w:rsidR="00993FDA" w:rsidRDefault="00993FDA" w:rsidP="00A1365A"/>
    <w:sdt>
      <w:sdtPr>
        <w:id w:val="-170624945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93FDA" w:rsidRDefault="00993FDA">
          <w:pPr>
            <w:pStyle w:val="Heading1"/>
          </w:pPr>
          <w:r>
            <w:t>References</w:t>
          </w:r>
        </w:p>
        <w:sdt>
          <w:sdtPr>
            <w:id w:val="-573587230"/>
            <w:bibliography/>
          </w:sdtPr>
          <w:sdtContent>
            <w:p w:rsidR="00993FDA" w:rsidRDefault="00993FDA" w:rsidP="00993FDA">
              <w:pPr>
                <w:pStyle w:val="Bibliography"/>
                <w:rPr>
                  <w:noProof/>
                  <w:sz w:val="24"/>
                  <w:szCs w:val="24"/>
                  <w:lang w:val="en-US"/>
                </w:rPr>
              </w:pPr>
              <w:r>
                <w:fldChar w:fldCharType="begin"/>
              </w:r>
              <w:r>
                <w:instrText xml:space="preserve"> BIBLIOGRAPHY </w:instrText>
              </w:r>
              <w:r>
                <w:fldChar w:fldCharType="separate"/>
              </w:r>
              <w:r>
                <w:rPr>
                  <w:noProof/>
                  <w:lang w:val="en-US"/>
                </w:rPr>
                <w:t xml:space="preserve">All Pyschology Careers, (2019) </w:t>
              </w:r>
              <w:r>
                <w:rPr>
                  <w:i/>
                  <w:iCs/>
                  <w:noProof/>
                  <w:lang w:val="en-US"/>
                </w:rPr>
                <w:t xml:space="preserve">Addiction Social Worker. </w:t>
              </w:r>
              <w:r>
                <w:rPr>
                  <w:noProof/>
                  <w:lang w:val="en-US"/>
                </w:rPr>
                <w:t xml:space="preserve">[Online] </w:t>
              </w:r>
              <w:r>
                <w:rPr>
                  <w:noProof/>
                  <w:lang w:val="en-US"/>
                </w:rPr>
                <w:br/>
                <w:t xml:space="preserve">Available at: </w:t>
              </w:r>
              <w:r>
                <w:rPr>
                  <w:noProof/>
                  <w:u w:val="single"/>
                  <w:lang w:val="en-US"/>
                </w:rPr>
                <w:t>https://www.allpsychologycareers.com/career/addiction-social-worker.html</w:t>
              </w:r>
              <w:r>
                <w:rPr>
                  <w:noProof/>
                  <w:lang w:val="en-US"/>
                </w:rPr>
                <w:br/>
                <w:t>[Accessed 23 April 2019].</w:t>
              </w:r>
            </w:p>
            <w:p w:rsidR="00993FDA" w:rsidRDefault="00993FDA" w:rsidP="00993FDA">
              <w:pPr>
                <w:pStyle w:val="Bibliography"/>
                <w:rPr>
                  <w:noProof/>
                  <w:lang w:val="en-US"/>
                </w:rPr>
              </w:pPr>
              <w:r>
                <w:rPr>
                  <w:noProof/>
                  <w:lang w:val="en-US"/>
                </w:rPr>
                <w:t>Bennet, V., (2013</w:t>
              </w:r>
              <w:r>
                <w:rPr>
                  <w:noProof/>
                  <w:lang w:val="en-US"/>
                </w:rPr>
                <w:t xml:space="preserve">) </w:t>
              </w:r>
              <w:r>
                <w:rPr>
                  <w:i/>
                  <w:iCs/>
                  <w:noProof/>
                  <w:lang w:val="en-US"/>
                </w:rPr>
                <w:t xml:space="preserve">Breaking down the boundaries in health and social care. </w:t>
              </w:r>
              <w:r>
                <w:rPr>
                  <w:noProof/>
                  <w:lang w:val="en-US"/>
                </w:rPr>
                <w:t xml:space="preserve">[Online] </w:t>
              </w:r>
              <w:r>
                <w:rPr>
                  <w:noProof/>
                  <w:lang w:val="en-US"/>
                </w:rPr>
                <w:br/>
                <w:t xml:space="preserve">Available at: </w:t>
              </w:r>
              <w:r>
                <w:rPr>
                  <w:noProof/>
                  <w:u w:val="single"/>
                  <w:lang w:val="en-US"/>
                </w:rPr>
                <w:t>https://www.kingsfund.org.uk/blog/2013/02/breaking-down-boundaries-health-and-social-care</w:t>
              </w:r>
              <w:r>
                <w:rPr>
                  <w:noProof/>
                  <w:lang w:val="en-US"/>
                </w:rPr>
                <w:br/>
                <w:t>[Accessed 23 April 2019].</w:t>
              </w:r>
            </w:p>
            <w:p w:rsidR="00993FDA" w:rsidRDefault="00993FDA" w:rsidP="00993FDA">
              <w:pPr>
                <w:pStyle w:val="Bibliography"/>
                <w:rPr>
                  <w:noProof/>
                  <w:lang w:val="en-US"/>
                </w:rPr>
              </w:pPr>
              <w:r>
                <w:rPr>
                  <w:noProof/>
                  <w:lang w:val="en-US"/>
                </w:rPr>
                <w:t>Cooper, F., (2012</w:t>
              </w:r>
              <w:r>
                <w:rPr>
                  <w:noProof/>
                  <w:lang w:val="en-US"/>
                </w:rPr>
                <w:t xml:space="preserve">) </w:t>
              </w:r>
              <w:r>
                <w:rPr>
                  <w:noProof/>
                  <w:lang w:val="en-US"/>
                </w:rPr>
                <w:t xml:space="preserve"> </w:t>
              </w:r>
              <w:r>
                <w:rPr>
                  <w:i/>
                  <w:iCs/>
                  <w:noProof/>
                  <w:lang w:val="en-US"/>
                </w:rPr>
                <w:t xml:space="preserve">Professional Boundaries in Social Work and Social Care: A Practical Guide to Understanding, Maintaining and Managing Your Professional Boundaries. </w:t>
              </w:r>
              <w:r>
                <w:rPr>
                  <w:noProof/>
                  <w:lang w:val="en-US"/>
                </w:rPr>
                <w:t>London: Jessica Kingsley Publishers.</w:t>
              </w:r>
            </w:p>
            <w:p w:rsidR="00993FDA" w:rsidRDefault="00993FDA" w:rsidP="00993FDA">
              <w:pPr>
                <w:pStyle w:val="Bibliography"/>
                <w:rPr>
                  <w:noProof/>
                  <w:lang w:val="en-US"/>
                </w:rPr>
              </w:pPr>
              <w:r>
                <w:rPr>
                  <w:noProof/>
                  <w:lang w:val="en-US"/>
                </w:rPr>
                <w:t>Firestone, L., (2013</w:t>
              </w:r>
              <w:r>
                <w:rPr>
                  <w:noProof/>
                  <w:lang w:val="en-US"/>
                </w:rPr>
                <w:t xml:space="preserve">) </w:t>
              </w:r>
              <w:r>
                <w:rPr>
                  <w:noProof/>
                  <w:lang w:val="en-US"/>
                </w:rPr>
                <w:t xml:space="preserve"> Depression in Mothers. </w:t>
              </w:r>
              <w:r>
                <w:rPr>
                  <w:i/>
                  <w:iCs/>
                  <w:noProof/>
                  <w:lang w:val="en-US"/>
                </w:rPr>
                <w:t>Psych Alive</w:t>
              </w:r>
              <w:r>
                <w:rPr>
                  <w:noProof/>
                  <w:lang w:val="en-US"/>
                </w:rPr>
                <w:t xml:space="preserve">, 22 September. </w:t>
              </w:r>
            </w:p>
            <w:p w:rsidR="00993FDA" w:rsidRDefault="00993FDA" w:rsidP="00993FDA">
              <w:pPr>
                <w:pStyle w:val="Bibliography"/>
                <w:rPr>
                  <w:noProof/>
                  <w:lang w:val="en-US"/>
                </w:rPr>
              </w:pPr>
              <w:r>
                <w:rPr>
                  <w:noProof/>
                  <w:lang w:val="en-US"/>
                </w:rPr>
                <w:t>Jones, H., (2017</w:t>
              </w:r>
              <w:r>
                <w:rPr>
                  <w:noProof/>
                  <w:lang w:val="en-US"/>
                </w:rPr>
                <w:t xml:space="preserve">) </w:t>
              </w:r>
              <w:r>
                <w:rPr>
                  <w:noProof/>
                  <w:lang w:val="en-US"/>
                </w:rPr>
                <w:t xml:space="preserve"> Blurring the boundaries between health and social care. </w:t>
              </w:r>
              <w:r>
                <w:rPr>
                  <w:i/>
                  <w:iCs/>
                  <w:noProof/>
                  <w:lang w:val="en-US"/>
                </w:rPr>
                <w:t xml:space="preserve">The Health Foundation </w:t>
              </w:r>
              <w:r>
                <w:rPr>
                  <w:noProof/>
                  <w:lang w:val="en-US"/>
                </w:rPr>
                <w:t xml:space="preserve">, 15 February. </w:t>
              </w:r>
            </w:p>
            <w:p w:rsidR="00993FDA" w:rsidRDefault="00993FDA" w:rsidP="00993FDA">
              <w:pPr>
                <w:pStyle w:val="Bibliography"/>
                <w:rPr>
                  <w:noProof/>
                  <w:lang w:val="en-US"/>
                </w:rPr>
              </w:pPr>
              <w:r>
                <w:rPr>
                  <w:noProof/>
                  <w:lang w:val="en-US"/>
                </w:rPr>
                <w:t>Smith, M. &amp; Segal, J., (2018</w:t>
              </w:r>
              <w:r>
                <w:rPr>
                  <w:noProof/>
                  <w:lang w:val="en-US"/>
                </w:rPr>
                <w:t xml:space="preserve">) </w:t>
              </w:r>
              <w:r>
                <w:rPr>
                  <w:noProof/>
                  <w:lang w:val="en-US"/>
                </w:rPr>
                <w:t xml:space="preserve"> </w:t>
              </w:r>
              <w:r>
                <w:rPr>
                  <w:i/>
                  <w:iCs/>
                  <w:noProof/>
                  <w:lang w:val="en-US"/>
                </w:rPr>
                <w:t xml:space="preserve">Domestic Violence and Abuse, </w:t>
              </w:r>
              <w:r>
                <w:rPr>
                  <w:noProof/>
                  <w:lang w:val="en-US"/>
                </w:rPr>
                <w:t>Santa Monica: Help guide.org.</w:t>
              </w:r>
            </w:p>
            <w:p w:rsidR="00993FDA" w:rsidRDefault="00993FDA" w:rsidP="00993FDA">
              <w:pPr>
                <w:pStyle w:val="Bibliography"/>
                <w:rPr>
                  <w:noProof/>
                  <w:lang w:val="en-US"/>
                </w:rPr>
              </w:pPr>
              <w:r>
                <w:rPr>
                  <w:noProof/>
                  <w:lang w:val="en-US"/>
                </w:rPr>
                <w:t>Women's Aid , (2019</w:t>
              </w:r>
              <w:r>
                <w:rPr>
                  <w:noProof/>
                  <w:lang w:val="en-US"/>
                </w:rPr>
                <w:t xml:space="preserve">) </w:t>
              </w:r>
              <w:r>
                <w:rPr>
                  <w:noProof/>
                  <w:lang w:val="en-US"/>
                </w:rPr>
                <w:t xml:space="preserve"> </w:t>
              </w:r>
              <w:r>
                <w:rPr>
                  <w:i/>
                  <w:iCs/>
                  <w:noProof/>
                  <w:lang w:val="en-US"/>
                </w:rPr>
                <w:t xml:space="preserve">The Domestic Abuse Report 2019: The Economics of Abuse, </w:t>
              </w:r>
              <w:r>
                <w:rPr>
                  <w:noProof/>
                  <w:lang w:val="en-US"/>
                </w:rPr>
                <w:t>Bristol: Women's Aid.</w:t>
              </w:r>
            </w:p>
            <w:p w:rsidR="00993FDA" w:rsidRDefault="00993FDA" w:rsidP="00993FDA">
              <w:pPr>
                <w:pStyle w:val="Bibliography"/>
                <w:rPr>
                  <w:noProof/>
                  <w:lang w:val="en-US"/>
                </w:rPr>
              </w:pPr>
              <w:r>
                <w:rPr>
                  <w:noProof/>
                  <w:lang w:val="en-US"/>
                </w:rPr>
                <w:t>Women's Aid, (2018</w:t>
              </w:r>
              <w:r>
                <w:rPr>
                  <w:noProof/>
                  <w:lang w:val="en-US"/>
                </w:rPr>
                <w:t xml:space="preserve">) </w:t>
              </w:r>
              <w:r>
                <w:rPr>
                  <w:noProof/>
                  <w:lang w:val="en-US"/>
                </w:rPr>
                <w:t xml:space="preserve"> </w:t>
              </w:r>
              <w:r>
                <w:rPr>
                  <w:i/>
                  <w:iCs/>
                  <w:noProof/>
                  <w:lang w:val="en-US"/>
                </w:rPr>
                <w:t xml:space="preserve">APPG 2018 Report: Creating a Truly Transformative Domestic Abuse Bill, </w:t>
              </w:r>
              <w:r>
                <w:rPr>
                  <w:noProof/>
                  <w:lang w:val="en-US"/>
                </w:rPr>
                <w:t>Bristol: Women's Aid.</w:t>
              </w:r>
            </w:p>
            <w:p w:rsidR="00993FDA" w:rsidRDefault="00993FDA" w:rsidP="00993FDA">
              <w:pPr>
                <w:pStyle w:val="Bibliography"/>
                <w:rPr>
                  <w:noProof/>
                  <w:lang w:val="en-US"/>
                </w:rPr>
              </w:pPr>
              <w:r>
                <w:rPr>
                  <w:noProof/>
                  <w:lang w:val="en-US"/>
                </w:rPr>
                <w:t>Women's Aid,</w:t>
              </w:r>
              <w:r w:rsidRPr="00993FDA">
                <w:rPr>
                  <w:noProof/>
                  <w:lang w:val="en-US"/>
                </w:rPr>
                <w:t xml:space="preserve"> </w:t>
              </w:r>
              <w:r>
                <w:rPr>
                  <w:noProof/>
                  <w:lang w:val="en-US"/>
                </w:rPr>
                <w:t xml:space="preserve">(2019) </w:t>
              </w:r>
              <w:r>
                <w:rPr>
                  <w:noProof/>
                  <w:lang w:val="en-US"/>
                </w:rPr>
                <w:t xml:space="preserve"> </w:t>
              </w:r>
              <w:r>
                <w:rPr>
                  <w:i/>
                  <w:iCs/>
                  <w:noProof/>
                  <w:lang w:val="en-US"/>
                </w:rPr>
                <w:t xml:space="preserve">Online and digital abuse. </w:t>
              </w:r>
              <w:r>
                <w:rPr>
                  <w:noProof/>
                  <w:lang w:val="en-US"/>
                </w:rPr>
                <w:t xml:space="preserve">[Online] </w:t>
              </w:r>
              <w:r>
                <w:rPr>
                  <w:noProof/>
                  <w:lang w:val="en-US"/>
                </w:rPr>
                <w:br/>
                <w:t xml:space="preserve">Available at: </w:t>
              </w:r>
              <w:r>
                <w:rPr>
                  <w:noProof/>
                  <w:u w:val="single"/>
                  <w:lang w:val="en-US"/>
                </w:rPr>
                <w:t>https://www.womensaid.org.uk/information-support/what-is-domestic-abuse/onlinesafety/</w:t>
              </w:r>
              <w:r>
                <w:rPr>
                  <w:noProof/>
                  <w:lang w:val="en-US"/>
                </w:rPr>
                <w:br/>
                <w:t>[Accessed 23 April 2019].</w:t>
              </w:r>
            </w:p>
            <w:p w:rsidR="00993FDA" w:rsidRDefault="00993FDA" w:rsidP="00993FDA">
              <w:r>
                <w:rPr>
                  <w:b/>
                  <w:bCs/>
                  <w:noProof/>
                </w:rPr>
                <w:fldChar w:fldCharType="end"/>
              </w:r>
            </w:p>
          </w:sdtContent>
        </w:sdt>
      </w:sdtContent>
    </w:sdt>
    <w:p w:rsidR="00993FDA" w:rsidRPr="0003220D" w:rsidRDefault="00993FDA" w:rsidP="00A1365A">
      <w:pPr>
        <w:rPr>
          <w:color w:val="538135" w:themeColor="accent6" w:themeShade="BF"/>
        </w:rPr>
      </w:pPr>
    </w:p>
    <w:p w:rsidR="00C807B2" w:rsidRDefault="00C807B2" w:rsidP="00A1365A"/>
    <w:p w:rsidR="00C807B2" w:rsidRPr="004C7883" w:rsidRDefault="00C807B2" w:rsidP="00A1365A"/>
    <w:sectPr w:rsidR="00C807B2" w:rsidRPr="004C78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365A"/>
    <w:rsid w:val="0003220D"/>
    <w:rsid w:val="000E3D3E"/>
    <w:rsid w:val="001B591A"/>
    <w:rsid w:val="003E24B8"/>
    <w:rsid w:val="004C7883"/>
    <w:rsid w:val="005643D3"/>
    <w:rsid w:val="00716F1D"/>
    <w:rsid w:val="007D1401"/>
    <w:rsid w:val="008700E6"/>
    <w:rsid w:val="00993FDA"/>
    <w:rsid w:val="00A1365A"/>
    <w:rsid w:val="00A33D92"/>
    <w:rsid w:val="00C807B2"/>
    <w:rsid w:val="00DF00C2"/>
    <w:rsid w:val="00EF3E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DB719"/>
  <w15:chartTrackingRefBased/>
  <w15:docId w15:val="{00DF9B14-1607-4FEC-9BBE-6278A8BDC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3FD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365A"/>
    <w:rPr>
      <w:color w:val="0563C1" w:themeColor="hyperlink"/>
      <w:u w:val="single"/>
    </w:rPr>
  </w:style>
  <w:style w:type="character" w:styleId="FollowedHyperlink">
    <w:name w:val="FollowedHyperlink"/>
    <w:basedOn w:val="DefaultParagraphFont"/>
    <w:uiPriority w:val="99"/>
    <w:semiHidden/>
    <w:unhideWhenUsed/>
    <w:rsid w:val="008700E6"/>
    <w:rPr>
      <w:color w:val="954F72" w:themeColor="followedHyperlink"/>
      <w:u w:val="single"/>
    </w:rPr>
  </w:style>
  <w:style w:type="paragraph" w:styleId="ListParagraph">
    <w:name w:val="List Paragraph"/>
    <w:basedOn w:val="Normal"/>
    <w:uiPriority w:val="34"/>
    <w:qFormat/>
    <w:rsid w:val="00716F1D"/>
    <w:pPr>
      <w:ind w:left="720"/>
      <w:contextualSpacing/>
    </w:pPr>
  </w:style>
  <w:style w:type="character" w:customStyle="1" w:styleId="Heading1Char">
    <w:name w:val="Heading 1 Char"/>
    <w:basedOn w:val="DefaultParagraphFont"/>
    <w:link w:val="Heading1"/>
    <w:uiPriority w:val="9"/>
    <w:rsid w:val="00993FD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93F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697763">
      <w:bodyDiv w:val="1"/>
      <w:marLeft w:val="0"/>
      <w:marRight w:val="0"/>
      <w:marTop w:val="0"/>
      <w:marBottom w:val="0"/>
      <w:divBdr>
        <w:top w:val="none" w:sz="0" w:space="0" w:color="auto"/>
        <w:left w:val="none" w:sz="0" w:space="0" w:color="auto"/>
        <w:bottom w:val="none" w:sz="0" w:space="0" w:color="auto"/>
        <w:right w:val="none" w:sz="0" w:space="0" w:color="auto"/>
      </w:divBdr>
    </w:div>
    <w:div w:id="69039812">
      <w:bodyDiv w:val="1"/>
      <w:marLeft w:val="0"/>
      <w:marRight w:val="0"/>
      <w:marTop w:val="0"/>
      <w:marBottom w:val="0"/>
      <w:divBdr>
        <w:top w:val="none" w:sz="0" w:space="0" w:color="auto"/>
        <w:left w:val="none" w:sz="0" w:space="0" w:color="auto"/>
        <w:bottom w:val="none" w:sz="0" w:space="0" w:color="auto"/>
        <w:right w:val="none" w:sz="0" w:space="0" w:color="auto"/>
      </w:divBdr>
    </w:div>
    <w:div w:id="212470771">
      <w:bodyDiv w:val="1"/>
      <w:marLeft w:val="0"/>
      <w:marRight w:val="0"/>
      <w:marTop w:val="0"/>
      <w:marBottom w:val="0"/>
      <w:divBdr>
        <w:top w:val="none" w:sz="0" w:space="0" w:color="auto"/>
        <w:left w:val="none" w:sz="0" w:space="0" w:color="auto"/>
        <w:bottom w:val="none" w:sz="0" w:space="0" w:color="auto"/>
        <w:right w:val="none" w:sz="0" w:space="0" w:color="auto"/>
      </w:divBdr>
    </w:div>
    <w:div w:id="214397815">
      <w:bodyDiv w:val="1"/>
      <w:marLeft w:val="0"/>
      <w:marRight w:val="0"/>
      <w:marTop w:val="0"/>
      <w:marBottom w:val="0"/>
      <w:divBdr>
        <w:top w:val="none" w:sz="0" w:space="0" w:color="auto"/>
        <w:left w:val="none" w:sz="0" w:space="0" w:color="auto"/>
        <w:bottom w:val="none" w:sz="0" w:space="0" w:color="auto"/>
        <w:right w:val="none" w:sz="0" w:space="0" w:color="auto"/>
      </w:divBdr>
    </w:div>
    <w:div w:id="406925232">
      <w:bodyDiv w:val="1"/>
      <w:marLeft w:val="0"/>
      <w:marRight w:val="0"/>
      <w:marTop w:val="0"/>
      <w:marBottom w:val="0"/>
      <w:divBdr>
        <w:top w:val="none" w:sz="0" w:space="0" w:color="auto"/>
        <w:left w:val="none" w:sz="0" w:space="0" w:color="auto"/>
        <w:bottom w:val="none" w:sz="0" w:space="0" w:color="auto"/>
        <w:right w:val="none" w:sz="0" w:space="0" w:color="auto"/>
      </w:divBdr>
    </w:div>
    <w:div w:id="723676494">
      <w:bodyDiv w:val="1"/>
      <w:marLeft w:val="0"/>
      <w:marRight w:val="0"/>
      <w:marTop w:val="0"/>
      <w:marBottom w:val="0"/>
      <w:divBdr>
        <w:top w:val="none" w:sz="0" w:space="0" w:color="auto"/>
        <w:left w:val="none" w:sz="0" w:space="0" w:color="auto"/>
        <w:bottom w:val="none" w:sz="0" w:space="0" w:color="auto"/>
        <w:right w:val="none" w:sz="0" w:space="0" w:color="auto"/>
      </w:divBdr>
    </w:div>
    <w:div w:id="921835820">
      <w:bodyDiv w:val="1"/>
      <w:marLeft w:val="0"/>
      <w:marRight w:val="0"/>
      <w:marTop w:val="0"/>
      <w:marBottom w:val="0"/>
      <w:divBdr>
        <w:top w:val="none" w:sz="0" w:space="0" w:color="auto"/>
        <w:left w:val="none" w:sz="0" w:space="0" w:color="auto"/>
        <w:bottom w:val="none" w:sz="0" w:space="0" w:color="auto"/>
        <w:right w:val="none" w:sz="0" w:space="0" w:color="auto"/>
      </w:divBdr>
    </w:div>
    <w:div w:id="1087504780">
      <w:bodyDiv w:val="1"/>
      <w:marLeft w:val="0"/>
      <w:marRight w:val="0"/>
      <w:marTop w:val="0"/>
      <w:marBottom w:val="0"/>
      <w:divBdr>
        <w:top w:val="none" w:sz="0" w:space="0" w:color="auto"/>
        <w:left w:val="none" w:sz="0" w:space="0" w:color="auto"/>
        <w:bottom w:val="none" w:sz="0" w:space="0" w:color="auto"/>
        <w:right w:val="none" w:sz="0" w:space="0" w:color="auto"/>
      </w:divBdr>
    </w:div>
    <w:div w:id="1177039434">
      <w:bodyDiv w:val="1"/>
      <w:marLeft w:val="0"/>
      <w:marRight w:val="0"/>
      <w:marTop w:val="0"/>
      <w:marBottom w:val="0"/>
      <w:divBdr>
        <w:top w:val="none" w:sz="0" w:space="0" w:color="auto"/>
        <w:left w:val="none" w:sz="0" w:space="0" w:color="auto"/>
        <w:bottom w:val="none" w:sz="0" w:space="0" w:color="auto"/>
        <w:right w:val="none" w:sz="0" w:space="0" w:color="auto"/>
      </w:divBdr>
    </w:div>
    <w:div w:id="1407529078">
      <w:bodyDiv w:val="1"/>
      <w:marLeft w:val="0"/>
      <w:marRight w:val="0"/>
      <w:marTop w:val="0"/>
      <w:marBottom w:val="0"/>
      <w:divBdr>
        <w:top w:val="none" w:sz="0" w:space="0" w:color="auto"/>
        <w:left w:val="none" w:sz="0" w:space="0" w:color="auto"/>
        <w:bottom w:val="none" w:sz="0" w:space="0" w:color="auto"/>
        <w:right w:val="none" w:sz="0" w:space="0" w:color="auto"/>
      </w:divBdr>
    </w:div>
    <w:div w:id="1681928729">
      <w:bodyDiv w:val="1"/>
      <w:marLeft w:val="0"/>
      <w:marRight w:val="0"/>
      <w:marTop w:val="0"/>
      <w:marBottom w:val="0"/>
      <w:divBdr>
        <w:top w:val="none" w:sz="0" w:space="0" w:color="auto"/>
        <w:left w:val="none" w:sz="0" w:space="0" w:color="auto"/>
        <w:bottom w:val="none" w:sz="0" w:space="0" w:color="auto"/>
        <w:right w:val="none" w:sz="0" w:space="0" w:color="auto"/>
      </w:divBdr>
    </w:div>
    <w:div w:id="1740327039">
      <w:bodyDiv w:val="1"/>
      <w:marLeft w:val="0"/>
      <w:marRight w:val="0"/>
      <w:marTop w:val="0"/>
      <w:marBottom w:val="0"/>
      <w:divBdr>
        <w:top w:val="none" w:sz="0" w:space="0" w:color="auto"/>
        <w:left w:val="none" w:sz="0" w:space="0" w:color="auto"/>
        <w:bottom w:val="none" w:sz="0" w:space="0" w:color="auto"/>
        <w:right w:val="none" w:sz="0" w:space="0" w:color="auto"/>
      </w:divBdr>
    </w:div>
    <w:div w:id="1860971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Coo12</b:Tag>
    <b:SourceType>Book</b:SourceType>
    <b:Guid>{4375C94E-EB03-47EB-AD78-82CF68F40A22}</b:Guid>
    <b:Title>Professional Boundaries in Social Work and Social Care: A Practical Guide to Understanding, Maintaining and Managing Your Professional Boundaries</b:Title>
    <b:Year>2012</b:Year>
    <b:Author>
      <b:Author>
        <b:NameList>
          <b:Person>
            <b:Last>Cooper</b:Last>
            <b:First>F.</b:First>
          </b:Person>
        </b:NameList>
      </b:Author>
    </b:Author>
    <b:City>London</b:City>
    <b:Publisher>Jessica Kingsley Publishers</b:Publisher>
    <b:RefOrder>1</b:RefOrder>
  </b:Source>
  <b:Source>
    <b:Tag>Wom19</b:Tag>
    <b:SourceType>InternetSite</b:SourceType>
    <b:Guid>{DF9BA30A-7DC7-4788-8E98-1A97C64313D7}</b:Guid>
    <b:Title>Online and digital abuse</b:Title>
    <b:Year>2019</b:Year>
    <b:Author>
      <b:Author>
        <b:Corporate>Women's Aid</b:Corporate>
      </b:Author>
    </b:Author>
    <b:YearAccessed>2019</b:YearAccessed>
    <b:MonthAccessed>April </b:MonthAccessed>
    <b:DayAccessed>23</b:DayAccessed>
    <b:URL>https://www.womensaid.org.uk/information-support/what-is-domestic-abuse/onlinesafety/</b:URL>
    <b:RefOrder>4</b:RefOrder>
  </b:Source>
  <b:Source>
    <b:Tag>All19</b:Tag>
    <b:SourceType>InternetSite</b:SourceType>
    <b:Guid>{E9B3A2C7-AB4F-4831-97E6-2D60724E759F}</b:Guid>
    <b:Author>
      <b:Author>
        <b:Corporate>All Pyschology Careers</b:Corporate>
      </b:Author>
    </b:Author>
    <b:Title>Addiction Social Worker</b:Title>
    <b:Year>2019</b:Year>
    <b:YearAccessed>2019</b:YearAccessed>
    <b:MonthAccessed>April </b:MonthAccessed>
    <b:DayAccessed>23</b:DayAccessed>
    <b:URL>https://www.allpsychologycareers.com/career/addiction-social-worker.html</b:URL>
    <b:RefOrder>2</b:RefOrder>
  </b:Source>
  <b:Source>
    <b:Tag>Smi18</b:Tag>
    <b:SourceType>Report</b:SourceType>
    <b:Guid>{DF0FE3D2-69E7-4B55-8801-299999718624}</b:Guid>
    <b:Author>
      <b:Author>
        <b:NameList>
          <b:Person>
            <b:Last>Smith</b:Last>
            <b:First>M</b:First>
          </b:Person>
          <b:Person>
            <b:Last>Segal</b:Last>
            <b:First>J.</b:First>
          </b:Person>
        </b:NameList>
      </b:Author>
    </b:Author>
    <b:Title>Domestic Violence and Abuse</b:Title>
    <b:Year>2018</b:Year>
    <b:URL>https://www.helpguide.org/articles/abuse/domestic-violence-and-abuse.htm?pdf=12325</b:URL>
    <b:City>Santa Monica</b:City>
    <b:Publisher>Help guide.org</b:Publisher>
    <b:RefOrder>5</b:RefOrder>
  </b:Source>
  <b:Source>
    <b:Tag>Wom191</b:Tag>
    <b:SourceType>Report</b:SourceType>
    <b:Guid>{FEC2C070-A25E-4BCD-B281-99FF9383918B}</b:Guid>
    <b:Author>
      <b:Author>
        <b:Corporate>Women's Aid </b:Corporate>
      </b:Author>
    </b:Author>
    <b:Title>The Domestic Abuse Report 2019: The Economics of Abuse</b:Title>
    <b:Year>2019</b:Year>
    <b:Publisher>Women's Aid</b:Publisher>
    <b:City>Bristol</b:City>
    <b:RefOrder>6</b:RefOrder>
  </b:Source>
  <b:Source>
    <b:Tag>Fir13</b:Tag>
    <b:SourceType>ArticleInAPeriodical</b:SourceType>
    <b:Guid>{14F02BAB-9581-4281-B66F-DEBD5AA71522}</b:Guid>
    <b:Title>Depression in Mothers</b:Title>
    <b:Year>2013</b:Year>
    <b:JournalName>Psych Alive</b:JournalName>
    <b:Author>
      <b:Author>
        <b:NameList>
          <b:Person>
            <b:Last>Firestone</b:Last>
            <b:First>L.</b:First>
          </b:Person>
        </b:NameList>
      </b:Author>
    </b:Author>
    <b:PeriodicalTitle>Psych Alive</b:PeriodicalTitle>
    <b:Month>September</b:Month>
    <b:Day>22</b:Day>
    <b:RefOrder>7</b:RefOrder>
  </b:Source>
  <b:Source>
    <b:Tag>Wom18</b:Tag>
    <b:SourceType>Report</b:SourceType>
    <b:Guid>{2283F6B1-076A-4B66-BA05-8D6A43CF98C3}</b:Guid>
    <b:Title>APPG 2018 Report: Creating a Truly Transformative Domestic Abuse Bill</b:Title>
    <b:Year>2018</b:Year>
    <b:Author>
      <b:Author>
        <b:Corporate>Women's Aid</b:Corporate>
      </b:Author>
    </b:Author>
    <b:Publisher>Women's Aid</b:Publisher>
    <b:City>Bristol</b:City>
    <b:RefOrder>8</b:RefOrder>
  </b:Source>
  <b:Source>
    <b:Tag>Jon17</b:Tag>
    <b:SourceType>ArticleInAPeriodical</b:SourceType>
    <b:Guid>{03314267-30CA-48B9-A4E2-BE3DAF076B0A}</b:Guid>
    <b:Title>Blurring the boundaries between health and social care </b:Title>
    <b:Year>2017</b:Year>
    <b:Author>
      <b:Author>
        <b:NameList>
          <b:Person>
            <b:Last>Jones</b:Last>
            <b:First>H.</b:First>
          </b:Person>
        </b:NameList>
      </b:Author>
    </b:Author>
    <b:PeriodicalTitle>The Health Foundation </b:PeriodicalTitle>
    <b:Month>February</b:Month>
    <b:Day>15</b:Day>
    <b:RefOrder>9</b:RefOrder>
  </b:Source>
  <b:Source>
    <b:Tag>Ben13</b:Tag>
    <b:SourceType>InternetSite</b:SourceType>
    <b:Guid>{6966AE46-4021-4D62-B660-C8DBC795FD39}</b:Guid>
    <b:Title>Breaking down the boundaries in health and social care </b:Title>
    <b:Year>2013</b:Year>
    <b:Author>
      <b:Author>
        <b:NameList>
          <b:Person>
            <b:Last>Bennet</b:Last>
            <b:First>V.</b:First>
          </b:Person>
        </b:NameList>
      </b:Author>
    </b:Author>
    <b:YearAccessed>2019</b:YearAccessed>
    <b:MonthAccessed>April</b:MonthAccessed>
    <b:DayAccessed>23</b:DayAccessed>
    <b:URL>https://www.kingsfund.org.uk/blog/2013/02/breaking-down-boundaries-health-and-social-care</b:URL>
    <b:RefOrder>3</b:RefOrder>
  </b:Source>
</b:Sources>
</file>

<file path=customXml/itemProps1.xml><?xml version="1.0" encoding="utf-8"?>
<ds:datastoreItem xmlns:ds="http://schemas.openxmlformats.org/officeDocument/2006/customXml" ds:itemID="{0AF156B4-EB43-4F31-AC2E-CC28289DCC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1408</Words>
  <Characters>8032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Dyson (P152052)</dc:creator>
  <cp:keywords/>
  <dc:description/>
  <cp:lastModifiedBy>Hannah Meiklejohn</cp:lastModifiedBy>
  <cp:revision>2</cp:revision>
  <dcterms:created xsi:type="dcterms:W3CDTF">2019-05-07T14:02:00Z</dcterms:created>
  <dcterms:modified xsi:type="dcterms:W3CDTF">2019-05-07T14:02:00Z</dcterms:modified>
</cp:coreProperties>
</file>