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1ECCF" w14:textId="77777777" w:rsidR="00E36CCE" w:rsidRPr="00474B5A" w:rsidRDefault="00E36CCE" w:rsidP="00E36CCE">
      <w:pPr>
        <w:spacing w:line="360" w:lineRule="auto"/>
        <w:jc w:val="center"/>
        <w:rPr>
          <w:rFonts w:ascii="Arial" w:hAnsi="Arial" w:cs="Arial"/>
          <w:b/>
          <w:bCs/>
        </w:rPr>
      </w:pPr>
      <w:r w:rsidRPr="00474B5A">
        <w:rPr>
          <w:rFonts w:ascii="Arial" w:hAnsi="Arial" w:cs="Arial"/>
          <w:b/>
          <w:bCs/>
          <w:noProof/>
        </w:rPr>
        <w:drawing>
          <wp:inline distT="0" distB="0" distL="85723" distR="85723" wp14:anchorId="070E4EA7" wp14:editId="4AEC2247">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5"/>
                    <a:stretch>
                      <a:fillRect/>
                    </a:stretch>
                  </pic:blipFill>
                  <pic:spPr>
                    <a:xfrm>
                      <a:off x="0" y="0"/>
                      <a:ext cx="2650417" cy="969560"/>
                    </a:xfrm>
                    <a:prstGeom prst="rect">
                      <a:avLst/>
                    </a:prstGeom>
                    <a:noFill/>
                    <a:ln w="12700" cap="flat" cmpd="sng">
                      <a:noFill/>
                      <a:prstDash val="solid"/>
                      <a:miter/>
                    </a:ln>
                  </pic:spPr>
                </pic:pic>
              </a:graphicData>
            </a:graphic>
          </wp:inline>
        </w:drawing>
      </w:r>
    </w:p>
    <w:p w14:paraId="52068469" w14:textId="77777777" w:rsidR="00E36CCE" w:rsidRPr="00474B5A" w:rsidRDefault="00E36CCE" w:rsidP="00E36CCE">
      <w:pPr>
        <w:spacing w:line="360" w:lineRule="auto"/>
        <w:jc w:val="center"/>
        <w:rPr>
          <w:rFonts w:ascii="Arial" w:hAnsi="Arial" w:cs="Arial"/>
          <w:b/>
          <w:bCs/>
        </w:rPr>
      </w:pPr>
    </w:p>
    <w:p w14:paraId="5F12875C" w14:textId="77777777" w:rsidR="00E36CCE" w:rsidRPr="00474B5A" w:rsidRDefault="00E36CCE" w:rsidP="00E36CCE">
      <w:pPr>
        <w:spacing w:line="360" w:lineRule="auto"/>
        <w:jc w:val="center"/>
        <w:rPr>
          <w:rFonts w:ascii="Arial" w:hAnsi="Arial" w:cs="Arial"/>
          <w:b/>
          <w:bCs/>
        </w:rPr>
      </w:pPr>
      <w:r w:rsidRPr="00474B5A">
        <w:rPr>
          <w:rFonts w:ascii="Arial" w:hAnsi="Arial" w:cs="Arial"/>
          <w:b/>
          <w:bCs/>
        </w:rPr>
        <w:t>Social Epidemiology and Public Health Development</w:t>
      </w:r>
    </w:p>
    <w:p w14:paraId="64DFBEBE" w14:textId="77777777" w:rsidR="00E36CCE" w:rsidRPr="00474B5A" w:rsidRDefault="00E36CCE" w:rsidP="00E36CCE">
      <w:pPr>
        <w:spacing w:line="360" w:lineRule="auto"/>
        <w:jc w:val="center"/>
        <w:rPr>
          <w:rFonts w:ascii="Arial" w:hAnsi="Arial" w:cs="Arial"/>
          <w:b/>
          <w:bCs/>
          <w:lang w:val="en-GB"/>
        </w:rPr>
      </w:pPr>
      <w:r w:rsidRPr="00474B5A">
        <w:rPr>
          <w:rFonts w:ascii="Arial" w:hAnsi="Arial" w:cs="Arial"/>
          <w:b/>
          <w:bCs/>
          <w:lang w:val="en-GB"/>
        </w:rPr>
        <w:t>Component 2 Analytical Report</w:t>
      </w:r>
    </w:p>
    <w:p w14:paraId="76A5758F" w14:textId="77777777" w:rsidR="00E36CCE" w:rsidRPr="00474B5A" w:rsidRDefault="00E36CCE" w:rsidP="00E36CCE">
      <w:pPr>
        <w:spacing w:line="360" w:lineRule="auto"/>
        <w:jc w:val="center"/>
        <w:rPr>
          <w:rFonts w:ascii="Arial" w:hAnsi="Arial" w:cs="Arial"/>
          <w:b/>
          <w:bCs/>
        </w:rPr>
      </w:pPr>
    </w:p>
    <w:p w14:paraId="449BD66D" w14:textId="77777777" w:rsidR="00E36CCE" w:rsidRPr="00474B5A" w:rsidRDefault="00E36CCE" w:rsidP="00E36CCE">
      <w:pPr>
        <w:spacing w:line="360" w:lineRule="auto"/>
        <w:jc w:val="center"/>
        <w:rPr>
          <w:rFonts w:ascii="Arial" w:hAnsi="Arial" w:cs="Arial"/>
          <w:b/>
          <w:bCs/>
        </w:rPr>
      </w:pPr>
    </w:p>
    <w:p w14:paraId="297DE798" w14:textId="77777777" w:rsidR="00E36CCE" w:rsidRPr="00474B5A" w:rsidRDefault="00E36CCE" w:rsidP="00E36CCE">
      <w:pPr>
        <w:spacing w:line="360" w:lineRule="auto"/>
        <w:jc w:val="center"/>
        <w:rPr>
          <w:rFonts w:ascii="Arial" w:hAnsi="Arial" w:cs="Arial"/>
          <w:b/>
          <w:bCs/>
        </w:rPr>
      </w:pPr>
    </w:p>
    <w:p w14:paraId="5E2A7D72" w14:textId="77777777" w:rsidR="00E36CCE" w:rsidRPr="00474B5A" w:rsidRDefault="00E36CCE" w:rsidP="00E36CCE">
      <w:pPr>
        <w:spacing w:line="360" w:lineRule="auto"/>
        <w:jc w:val="center"/>
        <w:rPr>
          <w:rFonts w:ascii="Arial" w:hAnsi="Arial" w:cs="Arial"/>
          <w:b/>
          <w:bCs/>
        </w:rPr>
      </w:pPr>
    </w:p>
    <w:p w14:paraId="1F1B6658" w14:textId="77777777" w:rsidR="00E36CCE" w:rsidRPr="00474B5A" w:rsidRDefault="00E36CCE" w:rsidP="00E36CCE">
      <w:pPr>
        <w:spacing w:line="360" w:lineRule="auto"/>
        <w:jc w:val="center"/>
        <w:rPr>
          <w:rFonts w:ascii="Arial" w:hAnsi="Arial" w:cs="Arial"/>
          <w:b/>
          <w:bCs/>
        </w:rPr>
      </w:pPr>
    </w:p>
    <w:p w14:paraId="7931EEF8" w14:textId="77777777" w:rsidR="00E36CCE" w:rsidRPr="00474B5A" w:rsidRDefault="00E36CCE" w:rsidP="00E36CCE">
      <w:pPr>
        <w:jc w:val="center"/>
        <w:rPr>
          <w:rFonts w:ascii="Arial" w:hAnsi="Arial" w:cs="Arial"/>
          <w:b/>
          <w:bCs/>
        </w:rPr>
      </w:pPr>
      <w:r w:rsidRPr="00474B5A">
        <w:rPr>
          <w:rFonts w:ascii="Arial" w:hAnsi="Arial" w:cs="Arial"/>
          <w:b/>
          <w:bCs/>
        </w:rPr>
        <w:t>Programme: MSc Public Health and Social Care in Practice</w:t>
      </w:r>
    </w:p>
    <w:p w14:paraId="0BA9985B" w14:textId="77777777" w:rsidR="00E36CCE" w:rsidRPr="00474B5A" w:rsidRDefault="00E36CCE" w:rsidP="00E36CCE">
      <w:pPr>
        <w:jc w:val="center"/>
        <w:rPr>
          <w:rFonts w:ascii="Arial" w:hAnsi="Arial" w:cs="Arial"/>
          <w:b/>
          <w:bCs/>
        </w:rPr>
      </w:pPr>
      <w:r w:rsidRPr="00474B5A">
        <w:rPr>
          <w:rFonts w:ascii="Arial" w:hAnsi="Arial" w:cs="Arial"/>
          <w:b/>
          <w:bCs/>
        </w:rPr>
        <w:t>Module name: Social Epidemiology and Public Health Development</w:t>
      </w:r>
    </w:p>
    <w:p w14:paraId="0446A312" w14:textId="3D73823E" w:rsidR="00E36CCE" w:rsidRPr="00474B5A" w:rsidRDefault="00E36CCE" w:rsidP="00E36CCE">
      <w:pPr>
        <w:jc w:val="center"/>
        <w:rPr>
          <w:rFonts w:ascii="Arial" w:hAnsi="Arial" w:cs="Arial"/>
          <w:b/>
          <w:bCs/>
        </w:rPr>
      </w:pPr>
      <w:r w:rsidRPr="00474B5A">
        <w:rPr>
          <w:rFonts w:ascii="Arial" w:hAnsi="Arial" w:cs="Arial"/>
          <w:b/>
          <w:bCs/>
        </w:rPr>
        <w:t>Module code: LCHS</w:t>
      </w:r>
      <w:r>
        <w:rPr>
          <w:rFonts w:ascii="Arial" w:hAnsi="Arial" w:cs="Arial"/>
          <w:b/>
          <w:bCs/>
        </w:rPr>
        <w:t>7000</w:t>
      </w:r>
    </w:p>
    <w:p w14:paraId="24EA8C02" w14:textId="05F216E5" w:rsidR="00E36CCE" w:rsidRPr="00474B5A" w:rsidRDefault="00E36CCE" w:rsidP="00E36CCE">
      <w:pPr>
        <w:jc w:val="center"/>
        <w:rPr>
          <w:rFonts w:ascii="Arial" w:hAnsi="Arial" w:cs="Arial"/>
          <w:b/>
          <w:bCs/>
        </w:rPr>
      </w:pPr>
      <w:r w:rsidRPr="00474B5A">
        <w:rPr>
          <w:rFonts w:ascii="Arial" w:hAnsi="Arial" w:cs="Arial"/>
          <w:b/>
          <w:bCs/>
        </w:rPr>
        <w:t xml:space="preserve">Student name: </w:t>
      </w:r>
      <w:r>
        <w:rPr>
          <w:rFonts w:ascii="Arial" w:hAnsi="Arial" w:cs="Arial"/>
          <w:b/>
          <w:bCs/>
        </w:rPr>
        <w:t xml:space="preserve">Vaidehi </w:t>
      </w:r>
      <w:proofErr w:type="spellStart"/>
      <w:r>
        <w:rPr>
          <w:rFonts w:ascii="Arial" w:hAnsi="Arial" w:cs="Arial"/>
          <w:b/>
          <w:bCs/>
        </w:rPr>
        <w:t>jaymin</w:t>
      </w:r>
      <w:proofErr w:type="spellEnd"/>
      <w:r>
        <w:rPr>
          <w:rFonts w:ascii="Arial" w:hAnsi="Arial" w:cs="Arial"/>
          <w:b/>
          <w:bCs/>
        </w:rPr>
        <w:t xml:space="preserve"> </w:t>
      </w:r>
      <w:proofErr w:type="spellStart"/>
      <w:r>
        <w:rPr>
          <w:rFonts w:ascii="Arial" w:hAnsi="Arial" w:cs="Arial"/>
          <w:b/>
          <w:bCs/>
        </w:rPr>
        <w:t>patel</w:t>
      </w:r>
      <w:proofErr w:type="spellEnd"/>
      <w:r>
        <w:rPr>
          <w:rFonts w:ascii="Arial" w:hAnsi="Arial" w:cs="Arial"/>
          <w:b/>
          <w:bCs/>
        </w:rPr>
        <w:t xml:space="preserve"> </w:t>
      </w:r>
    </w:p>
    <w:p w14:paraId="5509F17B" w14:textId="749AB818" w:rsidR="00E36CCE" w:rsidRPr="00474B5A" w:rsidRDefault="00E36CCE" w:rsidP="00E36CCE">
      <w:pPr>
        <w:jc w:val="center"/>
        <w:rPr>
          <w:rFonts w:ascii="Arial" w:hAnsi="Arial" w:cs="Arial"/>
          <w:b/>
          <w:bCs/>
        </w:rPr>
      </w:pPr>
      <w:r w:rsidRPr="00474B5A">
        <w:rPr>
          <w:rFonts w:ascii="Arial" w:hAnsi="Arial" w:cs="Arial"/>
          <w:b/>
          <w:bCs/>
        </w:rPr>
        <w:t xml:space="preserve">Student ID: </w:t>
      </w:r>
      <w:r w:rsidRPr="00474B5A">
        <w:rPr>
          <w:rFonts w:ascii="Arial" w:hAnsi="Arial" w:cs="Arial"/>
          <w:b/>
          <w:bCs/>
          <w:lang w:val="en-US"/>
        </w:rPr>
        <w:t>25</w:t>
      </w:r>
      <w:r>
        <w:rPr>
          <w:rFonts w:ascii="Arial" w:hAnsi="Arial" w:cs="Arial"/>
          <w:b/>
          <w:bCs/>
          <w:lang w:val="en-US"/>
        </w:rPr>
        <w:t>34274</w:t>
      </w:r>
    </w:p>
    <w:p w14:paraId="37F268EA" w14:textId="5B54C227" w:rsidR="00E36CCE" w:rsidRDefault="00E36CCE" w:rsidP="00E36CCE">
      <w:pPr>
        <w:spacing w:line="360" w:lineRule="auto"/>
        <w:jc w:val="center"/>
        <w:rPr>
          <w:rFonts w:ascii="Arial" w:hAnsi="Arial" w:cs="Arial"/>
          <w:b/>
          <w:bCs/>
        </w:rPr>
      </w:pPr>
      <w:r w:rsidRPr="00474B5A">
        <w:rPr>
          <w:rFonts w:ascii="Arial" w:hAnsi="Arial" w:cs="Arial"/>
          <w:b/>
          <w:bCs/>
        </w:rPr>
        <w:t xml:space="preserve">Lecturer: </w:t>
      </w:r>
      <w:r w:rsidRPr="00E36CCE">
        <w:rPr>
          <w:rFonts w:ascii="Arial" w:hAnsi="Arial" w:cs="Arial"/>
          <w:b/>
          <w:bCs/>
        </w:rPr>
        <w:t xml:space="preserve">Dr </w:t>
      </w:r>
      <w:proofErr w:type="spellStart"/>
      <w:r w:rsidRPr="00E36CCE">
        <w:rPr>
          <w:rFonts w:ascii="Arial" w:hAnsi="Arial" w:cs="Arial"/>
          <w:b/>
          <w:bCs/>
        </w:rPr>
        <w:t>Itse</w:t>
      </w:r>
      <w:proofErr w:type="spellEnd"/>
      <w:r w:rsidRPr="00E36CCE">
        <w:rPr>
          <w:rFonts w:ascii="Arial" w:hAnsi="Arial" w:cs="Arial"/>
          <w:b/>
          <w:bCs/>
        </w:rPr>
        <w:t xml:space="preserve"> Olaoye</w:t>
      </w:r>
    </w:p>
    <w:p w14:paraId="14D47BDA" w14:textId="77777777" w:rsidR="00E36CCE" w:rsidRDefault="00E36CCE" w:rsidP="00E36CCE">
      <w:pPr>
        <w:spacing w:line="360" w:lineRule="auto"/>
        <w:rPr>
          <w:rFonts w:ascii="Arial" w:hAnsi="Arial" w:cs="Arial"/>
          <w:b/>
          <w:bCs/>
        </w:rPr>
      </w:pPr>
    </w:p>
    <w:p w14:paraId="35EB8924" w14:textId="77777777" w:rsidR="00E36CCE" w:rsidRDefault="00E36CCE" w:rsidP="00E36CCE">
      <w:pPr>
        <w:spacing w:line="360" w:lineRule="auto"/>
        <w:rPr>
          <w:rFonts w:ascii="Arial" w:hAnsi="Arial" w:cs="Arial"/>
          <w:b/>
          <w:bCs/>
        </w:rPr>
      </w:pPr>
    </w:p>
    <w:p w14:paraId="133B4C89" w14:textId="77777777" w:rsidR="00E36CCE" w:rsidRDefault="00E36CCE" w:rsidP="00E36CCE">
      <w:pPr>
        <w:spacing w:line="360" w:lineRule="auto"/>
        <w:rPr>
          <w:rFonts w:ascii="Arial" w:hAnsi="Arial" w:cs="Arial"/>
          <w:b/>
          <w:bCs/>
        </w:rPr>
      </w:pPr>
    </w:p>
    <w:p w14:paraId="793F216F" w14:textId="77777777" w:rsidR="00E36CCE" w:rsidRDefault="00E36CCE" w:rsidP="00E36CCE">
      <w:pPr>
        <w:spacing w:line="360" w:lineRule="auto"/>
        <w:rPr>
          <w:rFonts w:ascii="Arial" w:hAnsi="Arial" w:cs="Arial"/>
          <w:b/>
          <w:bCs/>
        </w:rPr>
      </w:pPr>
    </w:p>
    <w:p w14:paraId="491541D3" w14:textId="77777777" w:rsidR="00E36CCE" w:rsidRDefault="00E36CCE" w:rsidP="00E36CCE">
      <w:pPr>
        <w:spacing w:line="360" w:lineRule="auto"/>
        <w:rPr>
          <w:rFonts w:ascii="Arial" w:hAnsi="Arial" w:cs="Arial"/>
          <w:b/>
          <w:bCs/>
        </w:rPr>
      </w:pPr>
    </w:p>
    <w:p w14:paraId="23491107" w14:textId="77777777" w:rsidR="00E36CCE" w:rsidRDefault="00E36CCE" w:rsidP="00E36CCE">
      <w:pPr>
        <w:spacing w:line="360" w:lineRule="auto"/>
        <w:rPr>
          <w:rFonts w:ascii="Arial" w:hAnsi="Arial" w:cs="Arial"/>
          <w:b/>
          <w:bCs/>
        </w:rPr>
      </w:pPr>
    </w:p>
    <w:p w14:paraId="52A7DA40" w14:textId="77777777" w:rsidR="00E36CCE" w:rsidRDefault="00E36CCE" w:rsidP="00E36CCE">
      <w:pPr>
        <w:spacing w:line="360" w:lineRule="auto"/>
        <w:rPr>
          <w:rFonts w:ascii="Arial" w:hAnsi="Arial" w:cs="Arial"/>
          <w:b/>
          <w:bCs/>
        </w:rPr>
      </w:pPr>
    </w:p>
    <w:p w14:paraId="3E43A055" w14:textId="77777777" w:rsidR="00E36CCE" w:rsidRDefault="00E36CCE" w:rsidP="00E36CCE">
      <w:pPr>
        <w:spacing w:line="360" w:lineRule="auto"/>
        <w:rPr>
          <w:rFonts w:ascii="Arial" w:hAnsi="Arial" w:cs="Arial"/>
          <w:b/>
          <w:bCs/>
        </w:rPr>
      </w:pPr>
    </w:p>
    <w:p w14:paraId="6C728ABC" w14:textId="77777777" w:rsidR="00E36CCE" w:rsidRDefault="00E36CCE" w:rsidP="00E36CCE">
      <w:pPr>
        <w:spacing w:line="360" w:lineRule="auto"/>
        <w:rPr>
          <w:rFonts w:ascii="Arial" w:hAnsi="Arial" w:cs="Arial"/>
          <w:b/>
          <w:bCs/>
        </w:rPr>
      </w:pPr>
    </w:p>
    <w:p w14:paraId="3DF51E49" w14:textId="77777777" w:rsidR="00E36CCE" w:rsidRDefault="00E36CCE" w:rsidP="00E36CCE">
      <w:pPr>
        <w:spacing w:line="360" w:lineRule="auto"/>
        <w:rPr>
          <w:rFonts w:ascii="Arial" w:hAnsi="Arial" w:cs="Arial"/>
          <w:b/>
          <w:bCs/>
        </w:rPr>
      </w:pPr>
    </w:p>
    <w:p w14:paraId="76B7D4B0" w14:textId="77777777" w:rsidR="00E36CCE" w:rsidRDefault="00E36CCE" w:rsidP="00E36CCE">
      <w:pPr>
        <w:spacing w:line="360" w:lineRule="auto"/>
        <w:rPr>
          <w:rFonts w:ascii="Arial" w:hAnsi="Arial" w:cs="Arial"/>
          <w:b/>
          <w:bCs/>
        </w:rPr>
      </w:pPr>
    </w:p>
    <w:p w14:paraId="6965973D" w14:textId="77777777" w:rsidR="00E36CCE" w:rsidRDefault="00E36CCE" w:rsidP="00E36CCE">
      <w:pPr>
        <w:spacing w:line="360" w:lineRule="auto"/>
        <w:rPr>
          <w:rFonts w:ascii="Arial" w:hAnsi="Arial" w:cs="Arial"/>
          <w:b/>
          <w:bCs/>
        </w:rPr>
      </w:pPr>
    </w:p>
    <w:p w14:paraId="22C2A6BB" w14:textId="77777777" w:rsidR="00E36CCE" w:rsidRDefault="00E36CCE" w:rsidP="00E36CCE">
      <w:pPr>
        <w:spacing w:line="360" w:lineRule="auto"/>
        <w:rPr>
          <w:rFonts w:ascii="Arial" w:hAnsi="Arial" w:cs="Arial"/>
          <w:b/>
          <w:bCs/>
        </w:rPr>
      </w:pPr>
    </w:p>
    <w:p w14:paraId="6060BA8D" w14:textId="77777777" w:rsidR="00E36CCE" w:rsidRDefault="00E36CCE" w:rsidP="00E36CCE">
      <w:pPr>
        <w:spacing w:line="360" w:lineRule="auto"/>
        <w:rPr>
          <w:rFonts w:ascii="Arial" w:hAnsi="Arial" w:cs="Arial"/>
          <w:b/>
          <w:bCs/>
        </w:rPr>
      </w:pPr>
    </w:p>
    <w:p w14:paraId="61D2B819" w14:textId="77777777" w:rsidR="00E36CCE" w:rsidRDefault="00E36CCE" w:rsidP="00E36CCE">
      <w:pPr>
        <w:spacing w:line="360" w:lineRule="auto"/>
        <w:rPr>
          <w:rFonts w:ascii="Arial" w:hAnsi="Arial" w:cs="Arial"/>
          <w:b/>
          <w:bCs/>
        </w:rPr>
      </w:pPr>
    </w:p>
    <w:p w14:paraId="0FF7D510" w14:textId="77777777" w:rsidR="00E36CCE" w:rsidRDefault="00E36CCE" w:rsidP="00E36CCE">
      <w:pPr>
        <w:spacing w:line="360" w:lineRule="auto"/>
        <w:rPr>
          <w:rFonts w:ascii="Arial" w:hAnsi="Arial" w:cs="Arial"/>
          <w:b/>
          <w:bCs/>
        </w:rPr>
      </w:pPr>
    </w:p>
    <w:p w14:paraId="1C6BA02D" w14:textId="77777777" w:rsidR="00E36CCE" w:rsidRDefault="00E36CCE" w:rsidP="00E36CCE">
      <w:pPr>
        <w:spacing w:line="360" w:lineRule="auto"/>
        <w:rPr>
          <w:rFonts w:ascii="Arial" w:hAnsi="Arial" w:cs="Arial"/>
          <w:b/>
          <w:bCs/>
        </w:rPr>
      </w:pPr>
    </w:p>
    <w:p w14:paraId="7A105868" w14:textId="77777777" w:rsidR="00E36CCE" w:rsidRDefault="00E36CCE" w:rsidP="00E36CCE">
      <w:pPr>
        <w:spacing w:line="360" w:lineRule="auto"/>
        <w:rPr>
          <w:rFonts w:ascii="Arial" w:hAnsi="Arial" w:cs="Arial"/>
          <w:b/>
          <w:bCs/>
        </w:rPr>
      </w:pPr>
    </w:p>
    <w:p w14:paraId="41F5D480" w14:textId="77777777" w:rsidR="00E36CCE" w:rsidRDefault="00E36CCE" w:rsidP="00E36CCE">
      <w:pPr>
        <w:spacing w:line="360" w:lineRule="auto"/>
        <w:rPr>
          <w:rFonts w:ascii="Arial" w:hAnsi="Arial" w:cs="Arial"/>
          <w:b/>
          <w:bCs/>
        </w:rPr>
      </w:pPr>
    </w:p>
    <w:p w14:paraId="2C5441AE" w14:textId="77777777" w:rsidR="00E36CCE" w:rsidRDefault="00E36CCE" w:rsidP="00E36CCE">
      <w:pPr>
        <w:spacing w:line="360" w:lineRule="auto"/>
        <w:rPr>
          <w:rFonts w:ascii="Arial" w:hAnsi="Arial" w:cs="Arial"/>
          <w:b/>
          <w:bCs/>
        </w:rPr>
      </w:pPr>
    </w:p>
    <w:p w14:paraId="40CCC329" w14:textId="77777777" w:rsidR="00E36CCE" w:rsidRDefault="00E36CCE" w:rsidP="00E36CCE">
      <w:pPr>
        <w:spacing w:line="360" w:lineRule="auto"/>
        <w:rPr>
          <w:rFonts w:ascii="Arial" w:hAnsi="Arial" w:cs="Arial"/>
          <w:b/>
          <w:bCs/>
        </w:rPr>
      </w:pPr>
    </w:p>
    <w:p w14:paraId="4E3CEAEC" w14:textId="77777777" w:rsidR="00E36CCE" w:rsidRDefault="00E36CCE" w:rsidP="00E36CCE">
      <w:pPr>
        <w:spacing w:line="360" w:lineRule="auto"/>
        <w:rPr>
          <w:rFonts w:ascii="Arial" w:hAnsi="Arial" w:cs="Arial"/>
          <w:b/>
          <w:bCs/>
        </w:rPr>
      </w:pPr>
    </w:p>
    <w:p w14:paraId="2BE76CE9" w14:textId="77777777" w:rsidR="00E36CCE" w:rsidRDefault="00E36CCE" w:rsidP="00E36CCE">
      <w:pPr>
        <w:spacing w:line="360" w:lineRule="auto"/>
        <w:rPr>
          <w:rFonts w:ascii="Arial" w:hAnsi="Arial" w:cs="Arial"/>
          <w:b/>
          <w:bCs/>
        </w:rPr>
      </w:pPr>
    </w:p>
    <w:p w14:paraId="547CDD0A" w14:textId="6DDBFF8B" w:rsidR="00E36CCE" w:rsidRPr="00E36CCE" w:rsidRDefault="00E36CCE" w:rsidP="00E36CCE">
      <w:pPr>
        <w:spacing w:line="360" w:lineRule="auto"/>
        <w:rPr>
          <w:rFonts w:ascii="Arial" w:hAnsi="Arial" w:cs="Arial"/>
          <w:b/>
          <w:bCs/>
        </w:rPr>
      </w:pPr>
      <w:r w:rsidRPr="00E36CCE">
        <w:rPr>
          <w:rFonts w:ascii="Arial" w:hAnsi="Arial" w:cs="Arial"/>
          <w:b/>
          <w:bCs/>
        </w:rPr>
        <w:t>TASK 1: SOCIAL EPIDEMIOLOGICAL ANALYSIS</w:t>
      </w:r>
    </w:p>
    <w:p w14:paraId="5538BA86" w14:textId="77777777" w:rsidR="00E36CCE" w:rsidRPr="00E36CCE" w:rsidRDefault="00E36CCE" w:rsidP="00E36CCE">
      <w:pPr>
        <w:spacing w:line="360" w:lineRule="auto"/>
        <w:rPr>
          <w:rFonts w:ascii="Arial" w:hAnsi="Arial" w:cs="Arial"/>
          <w:b/>
          <w:bCs/>
        </w:rPr>
      </w:pPr>
      <w:r w:rsidRPr="00E36CCE">
        <w:rPr>
          <w:rFonts w:ascii="Arial" w:hAnsi="Arial" w:cs="Arial"/>
          <w:b/>
          <w:bCs/>
        </w:rPr>
        <w:t>Title: Investigating Gendered Health Inequality: An Intersectional Social Epidemiological Assessment of Structural Vulnerability, Morbidity Profiles, and Health Disparities in the United Kingdom</w:t>
      </w:r>
    </w:p>
    <w:p w14:paraId="7C58841D" w14:textId="77777777" w:rsidR="00E36CCE" w:rsidRPr="00E36CCE" w:rsidRDefault="00E36CCE" w:rsidP="00E36CCE">
      <w:pPr>
        <w:spacing w:line="360" w:lineRule="auto"/>
        <w:rPr>
          <w:rFonts w:ascii="Arial" w:hAnsi="Arial" w:cs="Arial"/>
          <w:b/>
          <w:bCs/>
        </w:rPr>
      </w:pPr>
      <w:r w:rsidRPr="00E36CCE">
        <w:rPr>
          <w:rFonts w:ascii="Arial" w:hAnsi="Arial" w:cs="Arial"/>
          <w:b/>
          <w:bCs/>
        </w:rPr>
        <w:t>Introduction</w:t>
      </w:r>
    </w:p>
    <w:p w14:paraId="6AD139C7" w14:textId="77777777" w:rsidR="00E36CCE" w:rsidRPr="00E36CCE" w:rsidRDefault="00E36CCE" w:rsidP="00E36CCE">
      <w:pPr>
        <w:spacing w:line="360" w:lineRule="auto"/>
        <w:rPr>
          <w:rFonts w:ascii="Arial" w:hAnsi="Arial" w:cs="Arial"/>
        </w:rPr>
      </w:pPr>
      <w:r w:rsidRPr="00E36CCE">
        <w:rPr>
          <w:rFonts w:ascii="Arial" w:hAnsi="Arial" w:cs="Arial"/>
        </w:rPr>
        <w:t xml:space="preserve">In social epidemiology, gender functions as an institutionalized system of social practices that organizes power, opportunities, and vulnerability across human populations. Rather than operating merely as biological sex, gender establishes structured patterns of </w:t>
      </w:r>
      <w:proofErr w:type="spellStart"/>
      <w:r w:rsidRPr="00E36CCE">
        <w:rPr>
          <w:rFonts w:ascii="Arial" w:hAnsi="Arial" w:cs="Arial"/>
        </w:rPr>
        <w:t>behavioral</w:t>
      </w:r>
      <w:proofErr w:type="spellEnd"/>
      <w:r w:rsidRPr="00E36CCE">
        <w:rPr>
          <w:rFonts w:ascii="Arial" w:hAnsi="Arial" w:cs="Arial"/>
        </w:rPr>
        <w:t xml:space="preserve"> expectation, division of domestic </w:t>
      </w:r>
      <w:proofErr w:type="spellStart"/>
      <w:r w:rsidRPr="00E36CCE">
        <w:rPr>
          <w:rFonts w:ascii="Arial" w:hAnsi="Arial" w:cs="Arial"/>
        </w:rPr>
        <w:t>labor</w:t>
      </w:r>
      <w:proofErr w:type="spellEnd"/>
      <w:r w:rsidRPr="00E36CCE">
        <w:rPr>
          <w:rFonts w:ascii="Arial" w:hAnsi="Arial" w:cs="Arial"/>
        </w:rPr>
        <w:t>, economic independence, and exposure to toxic environmental stressors throughout the human life course (Dahlgren and Whitehead, 2021).</w:t>
      </w:r>
    </w:p>
    <w:p w14:paraId="77A28133" w14:textId="77777777" w:rsidR="00E36CCE" w:rsidRPr="00E36CCE" w:rsidRDefault="00E36CCE" w:rsidP="00E36CCE">
      <w:pPr>
        <w:spacing w:line="360" w:lineRule="auto"/>
        <w:rPr>
          <w:rFonts w:ascii="Arial" w:hAnsi="Arial" w:cs="Arial"/>
        </w:rPr>
      </w:pPr>
      <w:r w:rsidRPr="00E36CCE">
        <w:rPr>
          <w:rFonts w:ascii="Arial" w:hAnsi="Arial" w:cs="Arial"/>
        </w:rPr>
        <w:lastRenderedPageBreak/>
        <w:t xml:space="preserve">Within the United Kingdom, gendered health inequality presents a stark epidemiological dilemma often recognized as the morbidity-mortality paradox: female life expectancy remains approximately 3.7 years longer than that of males (83.1 versus 79.4 years), yet women systematically survive a far higher percentage of their later lifespan living with debilitating, non-fatal chronic illness and limitation in daily activities (Office for National Statistics [ONS], 2024). In parallel, men suffer accelerated premature mortality from preventable clinical conditions and external risks, heavily </w:t>
      </w:r>
      <w:proofErr w:type="spellStart"/>
      <w:r w:rsidRPr="00E36CCE">
        <w:rPr>
          <w:rFonts w:ascii="Arial" w:hAnsi="Arial" w:cs="Arial"/>
        </w:rPr>
        <w:t>fueled</w:t>
      </w:r>
      <w:proofErr w:type="spellEnd"/>
      <w:r w:rsidRPr="00E36CCE">
        <w:rPr>
          <w:rFonts w:ascii="Arial" w:hAnsi="Arial" w:cs="Arial"/>
        </w:rPr>
        <w:t xml:space="preserve"> by masculine norms that deter prompt clinical consultation. Simultaneously, women navigate institutional barriers including diagnostic dismissals in clinical encounters, research underrepresentation, caregiving strain, and persistent income inequality (Department of Health and Social Care [DHSC], 2022). These disparities reflect cumulative structural injustice across socioeconomic, spatial, and intersectional demographic divides (Marmot et al., 2020).</w:t>
      </w:r>
    </w:p>
    <w:p w14:paraId="30436FC0" w14:textId="77777777" w:rsidR="00E36CCE" w:rsidRPr="00E36CCE" w:rsidRDefault="00E36CCE" w:rsidP="00E36CCE">
      <w:pPr>
        <w:spacing w:line="360" w:lineRule="auto"/>
        <w:rPr>
          <w:rFonts w:ascii="Arial" w:hAnsi="Arial" w:cs="Arial"/>
          <w:b/>
          <w:bCs/>
        </w:rPr>
      </w:pPr>
      <w:r w:rsidRPr="00E36CCE">
        <w:rPr>
          <w:rFonts w:ascii="Arial" w:hAnsi="Arial" w:cs="Arial"/>
          <w:b/>
          <w:bCs/>
        </w:rPr>
        <w:t>Contextual Background and Underlying Factors</w:t>
      </w:r>
    </w:p>
    <w:p w14:paraId="2622D3B8" w14:textId="77777777" w:rsidR="00E36CCE" w:rsidRPr="00E36CCE" w:rsidRDefault="00E36CCE" w:rsidP="00E36CCE">
      <w:pPr>
        <w:spacing w:line="360" w:lineRule="auto"/>
        <w:rPr>
          <w:rFonts w:ascii="Arial" w:hAnsi="Arial" w:cs="Arial"/>
          <w:b/>
          <w:bCs/>
        </w:rPr>
      </w:pPr>
      <w:r w:rsidRPr="00E36CCE">
        <w:rPr>
          <w:rFonts w:ascii="Arial" w:hAnsi="Arial" w:cs="Arial"/>
          <w:b/>
          <w:bCs/>
        </w:rPr>
        <w:t>1. Disproportionate Incidence and Mortality of Alzheimer’s Disease and Dementia Among Women</w:t>
      </w:r>
    </w:p>
    <w:p w14:paraId="212111D0" w14:textId="77777777" w:rsidR="00E36CCE" w:rsidRPr="00E36CCE" w:rsidRDefault="00E36CCE" w:rsidP="00E36CCE">
      <w:pPr>
        <w:spacing w:line="360" w:lineRule="auto"/>
        <w:rPr>
          <w:rFonts w:ascii="Arial" w:hAnsi="Arial" w:cs="Arial"/>
        </w:rPr>
      </w:pPr>
      <w:r w:rsidRPr="00E36CCE">
        <w:rPr>
          <w:rFonts w:ascii="Arial" w:hAnsi="Arial" w:cs="Arial"/>
        </w:rPr>
        <w:t>Dementia and related neurodegenerative disorders now represent the foremost cause of death among females in the UK, accounting for over 46,000 deaths each year—nearly double the absolute toll recorded among males (ONS, 2024). Women constitute almost two-thirds (65%) of the 980,000 individuals living with a formal dementia diagnosis nationwide (Alzheimer’s Research UK, 2024).</w:t>
      </w:r>
    </w:p>
    <w:p w14:paraId="0CB5157C" w14:textId="77777777" w:rsidR="00E36CCE" w:rsidRPr="00E36CCE" w:rsidRDefault="00E36CCE" w:rsidP="00E36CCE">
      <w:pPr>
        <w:spacing w:line="360" w:lineRule="auto"/>
        <w:rPr>
          <w:rFonts w:ascii="Arial" w:hAnsi="Arial" w:cs="Arial"/>
        </w:rPr>
      </w:pPr>
      <w:r w:rsidRPr="00E36CCE">
        <w:rPr>
          <w:rFonts w:ascii="Arial" w:hAnsi="Arial" w:cs="Arial"/>
        </w:rPr>
        <w:t xml:space="preserve">This disparity extends beyond female survival into advanced old age; it is driven by an interaction between post-menopausal endocrine changes (loss of neuroprotective </w:t>
      </w:r>
      <w:proofErr w:type="spellStart"/>
      <w:r w:rsidRPr="00E36CCE">
        <w:rPr>
          <w:rFonts w:ascii="Arial" w:hAnsi="Arial" w:cs="Arial"/>
        </w:rPr>
        <w:t>estrogen</w:t>
      </w:r>
      <w:proofErr w:type="spellEnd"/>
      <w:r w:rsidRPr="00E36CCE">
        <w:rPr>
          <w:rFonts w:ascii="Arial" w:hAnsi="Arial" w:cs="Arial"/>
        </w:rPr>
        <w:t>), lower baseline cerebral reserve attributable to historic educational inequalities, and lifelong systemic inflammation (World Health Organization [WHO], 2022).</w:t>
      </w:r>
    </w:p>
    <w:p w14:paraId="1A05DD03" w14:textId="77777777" w:rsidR="00E36CCE" w:rsidRPr="00E36CCE" w:rsidRDefault="00E36CCE" w:rsidP="00E36CCE">
      <w:pPr>
        <w:spacing w:line="360" w:lineRule="auto"/>
        <w:rPr>
          <w:rFonts w:ascii="Arial" w:hAnsi="Arial" w:cs="Arial"/>
        </w:rPr>
      </w:pPr>
      <w:r w:rsidRPr="00E36CCE">
        <w:rPr>
          <w:rFonts w:ascii="Arial" w:hAnsi="Arial" w:cs="Arial"/>
        </w:rPr>
        <w:t>Addressing this crisis requires expanding dedicated sex-stratified neuro-epidemiological research, institutionalizing early cognitive screening in primary care for post-menopausal women, and promoting mid-life cardiovascular-brain health interventions across diverse community settings.</w:t>
      </w:r>
    </w:p>
    <w:p w14:paraId="6DFC80F2" w14:textId="77777777" w:rsidR="00E36CCE" w:rsidRPr="00E36CCE" w:rsidRDefault="00E36CCE" w:rsidP="00E36CCE">
      <w:pPr>
        <w:spacing w:line="360" w:lineRule="auto"/>
        <w:rPr>
          <w:rFonts w:ascii="Arial" w:hAnsi="Arial" w:cs="Arial"/>
          <w:b/>
          <w:bCs/>
        </w:rPr>
      </w:pPr>
      <w:r w:rsidRPr="00E36CCE">
        <w:rPr>
          <w:rFonts w:ascii="Arial" w:hAnsi="Arial" w:cs="Arial"/>
          <w:b/>
          <w:bCs/>
        </w:rPr>
        <w:lastRenderedPageBreak/>
        <w:t>2. Excessive Premature Alcohol-Induced Mortality and Chronic Liver Disease in Men</w:t>
      </w:r>
    </w:p>
    <w:p w14:paraId="0AEBC159" w14:textId="77777777" w:rsidR="00E36CCE" w:rsidRPr="00E36CCE" w:rsidRDefault="00E36CCE" w:rsidP="00E36CCE">
      <w:pPr>
        <w:spacing w:line="360" w:lineRule="auto"/>
        <w:rPr>
          <w:rFonts w:ascii="Arial" w:hAnsi="Arial" w:cs="Arial"/>
        </w:rPr>
      </w:pPr>
      <w:r w:rsidRPr="00E36CCE">
        <w:rPr>
          <w:rFonts w:ascii="Arial" w:hAnsi="Arial" w:cs="Arial"/>
        </w:rPr>
        <w:t>Surveillance records indicate a sharp gender divide in alcohol-related physical trauma and chronic organ failure. Men account for roughly 67% of all recorded alcohol-specific fatalities in the UK, sustaining an age-standardized mortality rate of 20.1 per 100,000 compared to 9.8 per 100,000 among females (ONS, 2024).</w:t>
      </w:r>
    </w:p>
    <w:p w14:paraId="11652982" w14:textId="77777777" w:rsidR="00E36CCE" w:rsidRPr="00E36CCE" w:rsidRDefault="00E36CCE" w:rsidP="00E36CCE">
      <w:pPr>
        <w:spacing w:line="360" w:lineRule="auto"/>
        <w:rPr>
          <w:rFonts w:ascii="Arial" w:hAnsi="Arial" w:cs="Arial"/>
        </w:rPr>
      </w:pPr>
      <w:r w:rsidRPr="00E36CCE">
        <w:rPr>
          <w:rFonts w:ascii="Arial" w:hAnsi="Arial" w:cs="Arial"/>
        </w:rPr>
        <w:t>This public health issue is reinforced by traditional masculine cultural scripts that endorse risk-taking, normalize hazardous binge drinking as male camaraderie, and frame psychological vulnerability as a personal deficiency, leading men to use heavy ethanol consumption as an emotional coping mechanism (Robertson et al., 2018).</w:t>
      </w:r>
    </w:p>
    <w:p w14:paraId="70F62036" w14:textId="77777777" w:rsidR="00E36CCE" w:rsidRPr="00E36CCE" w:rsidRDefault="00E36CCE" w:rsidP="00E36CCE">
      <w:pPr>
        <w:spacing w:line="360" w:lineRule="auto"/>
        <w:rPr>
          <w:rFonts w:ascii="Arial" w:hAnsi="Arial" w:cs="Arial"/>
        </w:rPr>
      </w:pPr>
      <w:r w:rsidRPr="00E36CCE">
        <w:rPr>
          <w:rFonts w:ascii="Arial" w:hAnsi="Arial" w:cs="Arial"/>
        </w:rPr>
        <w:t>Tackling this mortality disparity necessitates structural fiscal measures—such as minimum unit pricing across all home nations—strict restrictions on alcohol sponsorship in competitive sporting leagues, and male-focused community recovery networks embedded outside traditional medical clinics.</w:t>
      </w:r>
    </w:p>
    <w:p w14:paraId="2D3EBC77" w14:textId="77777777" w:rsidR="00E36CCE" w:rsidRPr="00E36CCE" w:rsidRDefault="00E36CCE" w:rsidP="00E36CCE">
      <w:pPr>
        <w:spacing w:line="360" w:lineRule="auto"/>
        <w:rPr>
          <w:rFonts w:ascii="Arial" w:hAnsi="Arial" w:cs="Arial"/>
          <w:b/>
          <w:bCs/>
        </w:rPr>
      </w:pPr>
      <w:r w:rsidRPr="00E36CCE">
        <w:rPr>
          <w:rFonts w:ascii="Arial" w:hAnsi="Arial" w:cs="Arial"/>
          <w:b/>
          <w:bCs/>
        </w:rPr>
        <w:t>3. Post-Menopausal Osteoporosis and Fracture-Induced Physical Disability in Women</w:t>
      </w:r>
    </w:p>
    <w:p w14:paraId="5AD0FD04" w14:textId="77777777" w:rsidR="00E36CCE" w:rsidRPr="00E36CCE" w:rsidRDefault="00E36CCE" w:rsidP="00E36CCE">
      <w:pPr>
        <w:spacing w:line="360" w:lineRule="auto"/>
        <w:rPr>
          <w:rFonts w:ascii="Arial" w:hAnsi="Arial" w:cs="Arial"/>
        </w:rPr>
      </w:pPr>
      <w:r w:rsidRPr="00E36CCE">
        <w:rPr>
          <w:rFonts w:ascii="Arial" w:hAnsi="Arial" w:cs="Arial"/>
        </w:rPr>
        <w:t>Osteoporosis reflects severe structural inequality in female musculoskeletal health: one in two women over 50 in the UK will experience a fragility fracture during their remaining lifetime, compared to one in five men (Royal Osteoporosis Society [ROS], 2023). Women account for more than 75% of the 3.5 million UK citizens living with diagnosed skeletal fragility.</w:t>
      </w:r>
    </w:p>
    <w:p w14:paraId="1E876FDA" w14:textId="77777777" w:rsidR="00E36CCE" w:rsidRPr="00E36CCE" w:rsidRDefault="00E36CCE" w:rsidP="00E36CCE">
      <w:pPr>
        <w:spacing w:line="360" w:lineRule="auto"/>
        <w:rPr>
          <w:rFonts w:ascii="Arial" w:hAnsi="Arial" w:cs="Arial"/>
        </w:rPr>
      </w:pPr>
      <w:r w:rsidRPr="00E36CCE">
        <w:rPr>
          <w:rFonts w:ascii="Arial" w:hAnsi="Arial" w:cs="Arial"/>
        </w:rPr>
        <w:t xml:space="preserve">The biological vulnerability stemming from rapid bone demineralization following menopausal cessation of </w:t>
      </w:r>
      <w:proofErr w:type="spellStart"/>
      <w:r w:rsidRPr="00E36CCE">
        <w:rPr>
          <w:rFonts w:ascii="Arial" w:hAnsi="Arial" w:cs="Arial"/>
        </w:rPr>
        <w:t>estrogen</w:t>
      </w:r>
      <w:proofErr w:type="spellEnd"/>
      <w:r w:rsidRPr="00E36CCE">
        <w:rPr>
          <w:rFonts w:ascii="Arial" w:hAnsi="Arial" w:cs="Arial"/>
        </w:rPr>
        <w:t xml:space="preserve"> is intensified by systemic clinical neglect; bone loss is frequently left unmonitored until an acute hip or vertebral fracture occurs, resulting in prolonged inpatient stays, institutional admission, loss of independent mobility, and elevated secondary mortality (DHSC, 2022).</w:t>
      </w:r>
    </w:p>
    <w:p w14:paraId="4CDAB92A" w14:textId="77777777" w:rsidR="00E36CCE" w:rsidRPr="00E36CCE" w:rsidRDefault="00E36CCE" w:rsidP="00E36CCE">
      <w:pPr>
        <w:spacing w:line="360" w:lineRule="auto"/>
        <w:rPr>
          <w:rFonts w:ascii="Arial" w:hAnsi="Arial" w:cs="Arial"/>
        </w:rPr>
      </w:pPr>
      <w:r w:rsidRPr="00E36CCE">
        <w:rPr>
          <w:rFonts w:ascii="Arial" w:hAnsi="Arial" w:cs="Arial"/>
        </w:rPr>
        <w:t>Preventative solutions mandate universal, proactive bone densitometry (DEXA) access for all women aged 65 and older (and younger cohorts presenting secondary risk markers), coupled with local authority investments in community-based progressive resistance exercise initiatives.</w:t>
      </w:r>
    </w:p>
    <w:p w14:paraId="7DFE5838" w14:textId="77777777" w:rsidR="00E36CCE" w:rsidRPr="00E36CCE" w:rsidRDefault="00E36CCE" w:rsidP="00E36CCE">
      <w:pPr>
        <w:spacing w:line="360" w:lineRule="auto"/>
        <w:rPr>
          <w:rFonts w:ascii="Arial" w:hAnsi="Arial" w:cs="Arial"/>
          <w:b/>
          <w:bCs/>
        </w:rPr>
      </w:pPr>
      <w:r w:rsidRPr="00E36CCE">
        <w:rPr>
          <w:rFonts w:ascii="Arial" w:hAnsi="Arial" w:cs="Arial"/>
          <w:b/>
          <w:bCs/>
        </w:rPr>
        <w:lastRenderedPageBreak/>
        <w:t>4. Occupational Stratification, Industrial Hazards, and Work-Related Fatalities Among Men</w:t>
      </w:r>
    </w:p>
    <w:p w14:paraId="218B65FD" w14:textId="77777777" w:rsidR="00E36CCE" w:rsidRPr="00E36CCE" w:rsidRDefault="00E36CCE" w:rsidP="00E36CCE">
      <w:pPr>
        <w:spacing w:line="360" w:lineRule="auto"/>
        <w:rPr>
          <w:rFonts w:ascii="Arial" w:hAnsi="Arial" w:cs="Arial"/>
        </w:rPr>
      </w:pPr>
      <w:r w:rsidRPr="00E36CCE">
        <w:rPr>
          <w:rFonts w:ascii="Arial" w:hAnsi="Arial" w:cs="Arial"/>
        </w:rPr>
        <w:t>Occupational epidemiology highlights severe gender divergence in workplace trauma. Statistics from the Health and Safety Executive (HSE, 2023) confirm that men sustain 95% of all fatal workplace injuries in Great Britain, overwhelmingly concentrated across agriculture, civil construction, heavy logistics, and commercial manufacturing.</w:t>
      </w:r>
    </w:p>
    <w:p w14:paraId="7BD4684F" w14:textId="77777777" w:rsidR="00E36CCE" w:rsidRPr="00E36CCE" w:rsidRDefault="00E36CCE" w:rsidP="00E36CCE">
      <w:pPr>
        <w:spacing w:line="360" w:lineRule="auto"/>
        <w:rPr>
          <w:rFonts w:ascii="Arial" w:hAnsi="Arial" w:cs="Arial"/>
        </w:rPr>
      </w:pPr>
      <w:r w:rsidRPr="00E36CCE">
        <w:rPr>
          <w:rFonts w:ascii="Arial" w:hAnsi="Arial" w:cs="Arial"/>
        </w:rPr>
        <w:t xml:space="preserve">This social disparity arises from entrenched occupational gender segregation, whereby working-class men are disproportionately </w:t>
      </w:r>
      <w:proofErr w:type="spellStart"/>
      <w:r w:rsidRPr="00E36CCE">
        <w:rPr>
          <w:rFonts w:ascii="Arial" w:hAnsi="Arial" w:cs="Arial"/>
        </w:rPr>
        <w:t>funneled</w:t>
      </w:r>
      <w:proofErr w:type="spellEnd"/>
      <w:r w:rsidRPr="00E36CCE">
        <w:rPr>
          <w:rFonts w:ascii="Arial" w:hAnsi="Arial" w:cs="Arial"/>
        </w:rPr>
        <w:t xml:space="preserve"> into dangerous manual trades characterized by hazardous machinery, toxic particulates, and physical strain.</w:t>
      </w:r>
    </w:p>
    <w:p w14:paraId="1EB290E4" w14:textId="77777777" w:rsidR="00E36CCE" w:rsidRPr="00E36CCE" w:rsidRDefault="00E36CCE" w:rsidP="00E36CCE">
      <w:pPr>
        <w:spacing w:line="360" w:lineRule="auto"/>
        <w:rPr>
          <w:rFonts w:ascii="Arial" w:hAnsi="Arial" w:cs="Arial"/>
        </w:rPr>
      </w:pPr>
      <w:r w:rsidRPr="00E36CCE">
        <w:rPr>
          <w:rFonts w:ascii="Arial" w:hAnsi="Arial" w:cs="Arial"/>
        </w:rPr>
        <w:t>Remediating this pattern demands aggressive statutory enforcement of health and safety standards by regulatory bodies, the introduction of mandatory peer-led mental health and hazard awareness training across industrial worksites, and public investments in industrial robotics to replace high-risk manual tasks.</w:t>
      </w:r>
    </w:p>
    <w:p w14:paraId="436D4DC6" w14:textId="77777777" w:rsidR="00E36CCE" w:rsidRPr="00E36CCE" w:rsidRDefault="00E36CCE" w:rsidP="00E36CCE">
      <w:pPr>
        <w:spacing w:line="360" w:lineRule="auto"/>
        <w:rPr>
          <w:rFonts w:ascii="Arial" w:hAnsi="Arial" w:cs="Arial"/>
          <w:b/>
          <w:bCs/>
        </w:rPr>
      </w:pPr>
      <w:r w:rsidRPr="00E36CCE">
        <w:rPr>
          <w:rFonts w:ascii="Arial" w:hAnsi="Arial" w:cs="Arial"/>
          <w:b/>
          <w:bCs/>
        </w:rPr>
        <w:t>5. Menstrual Deprivation (Period Poverty) and Healthcare Inaccessibility</w:t>
      </w:r>
    </w:p>
    <w:p w14:paraId="534D81B1" w14:textId="77777777" w:rsidR="00E36CCE" w:rsidRPr="00E36CCE" w:rsidRDefault="00E36CCE" w:rsidP="00E36CCE">
      <w:pPr>
        <w:spacing w:line="360" w:lineRule="auto"/>
        <w:rPr>
          <w:rFonts w:ascii="Arial" w:hAnsi="Arial" w:cs="Arial"/>
        </w:rPr>
      </w:pPr>
      <w:r w:rsidRPr="00E36CCE">
        <w:rPr>
          <w:rFonts w:ascii="Arial" w:hAnsi="Arial" w:cs="Arial"/>
        </w:rPr>
        <w:t>The combination of low income, inflation, and retail pricing markups produces persistent reproductive deprivation for women. National survey data indicates that 21% of women and girls in the UK have experienced period poverty—an inability to afford basic menstrual hygiene supplies—rising to 35% among households in the lowest income quintile (Plan International UK, 2023).</w:t>
      </w:r>
    </w:p>
    <w:p w14:paraId="5F753831" w14:textId="77777777" w:rsidR="00E36CCE" w:rsidRPr="00E36CCE" w:rsidRDefault="00E36CCE" w:rsidP="00E36CCE">
      <w:pPr>
        <w:spacing w:line="360" w:lineRule="auto"/>
        <w:rPr>
          <w:rFonts w:ascii="Arial" w:hAnsi="Arial" w:cs="Arial"/>
        </w:rPr>
      </w:pPr>
      <w:r w:rsidRPr="00E36CCE">
        <w:rPr>
          <w:rFonts w:ascii="Arial" w:hAnsi="Arial" w:cs="Arial"/>
        </w:rPr>
        <w:t>This deprivation forces vulnerable individuals to rely on unhygienic alternatives (such as torn cloth or extended tampon usage), increasing clinical risks of bacterial vaginosis and pelvic infections, while triggering school absenteeism and severe social embarrassment.</w:t>
      </w:r>
    </w:p>
    <w:p w14:paraId="2EF9A849" w14:textId="77777777" w:rsidR="00E36CCE" w:rsidRPr="00E36CCE" w:rsidRDefault="00E36CCE" w:rsidP="00E36CCE">
      <w:pPr>
        <w:spacing w:line="360" w:lineRule="auto"/>
        <w:rPr>
          <w:rFonts w:ascii="Arial" w:hAnsi="Arial" w:cs="Arial"/>
        </w:rPr>
      </w:pPr>
      <w:r w:rsidRPr="00E36CCE">
        <w:rPr>
          <w:rFonts w:ascii="Arial" w:hAnsi="Arial" w:cs="Arial"/>
        </w:rPr>
        <w:t>Resolving this structural failure requires legislative action across England and Wales to mirror Scotland’s Period Products (Free Provision) Act, ensuring universal, free access to menstrual essentials across schools, universities, community hubs, and healthcare facilities.</w:t>
      </w:r>
    </w:p>
    <w:p w14:paraId="3AB9D55B" w14:textId="77777777" w:rsidR="00E36CCE" w:rsidRPr="00E36CCE" w:rsidRDefault="00E36CCE" w:rsidP="00E36CCE">
      <w:pPr>
        <w:spacing w:line="360" w:lineRule="auto"/>
        <w:rPr>
          <w:rFonts w:ascii="Arial" w:hAnsi="Arial" w:cs="Arial"/>
          <w:b/>
          <w:bCs/>
        </w:rPr>
      </w:pPr>
      <w:r w:rsidRPr="00E36CCE">
        <w:rPr>
          <w:rFonts w:ascii="Arial" w:hAnsi="Arial" w:cs="Arial"/>
          <w:b/>
          <w:bCs/>
        </w:rPr>
        <w:t>6. Pension Poverty, Late-Life Solitary Living, and Housing Deprivation in Older Women</w:t>
      </w:r>
    </w:p>
    <w:p w14:paraId="063ADFED" w14:textId="77777777" w:rsidR="00E36CCE" w:rsidRPr="00E36CCE" w:rsidRDefault="00E36CCE" w:rsidP="00E36CCE">
      <w:pPr>
        <w:spacing w:line="360" w:lineRule="auto"/>
        <w:rPr>
          <w:rFonts w:ascii="Arial" w:hAnsi="Arial" w:cs="Arial"/>
        </w:rPr>
      </w:pPr>
      <w:r w:rsidRPr="00E36CCE">
        <w:rPr>
          <w:rFonts w:ascii="Arial" w:hAnsi="Arial" w:cs="Arial"/>
        </w:rPr>
        <w:lastRenderedPageBreak/>
        <w:t>A critical structural determinant of poor health in older age is the gender pension gap, which currently stands at 37.9% in the UK (Prospect, 2023). Because women take disproportionate career breaks for unpaid informal child and elder care, work extensively in low-wage part-time sectors, and suffer a persistent lifetime wage gap, they reach retirement with a fraction of male private pension capital.</w:t>
      </w:r>
    </w:p>
    <w:p w14:paraId="1BAD2EBD" w14:textId="77777777" w:rsidR="00E36CCE" w:rsidRPr="00E36CCE" w:rsidRDefault="00E36CCE" w:rsidP="00E36CCE">
      <w:pPr>
        <w:spacing w:line="360" w:lineRule="auto"/>
        <w:rPr>
          <w:rFonts w:ascii="Arial" w:hAnsi="Arial" w:cs="Arial"/>
        </w:rPr>
      </w:pPr>
      <w:r w:rsidRPr="00E36CCE">
        <w:rPr>
          <w:rFonts w:ascii="Arial" w:hAnsi="Arial" w:cs="Arial"/>
        </w:rPr>
        <w:t>Consequently, older women are far more likely to live alone in cold, damp, fuel-poor housing, dramatically elevating their vulnerability to chronic arthritic pain, respiratory illnesses, hypothermia, and loneliness (Marmot et al., 2020).</w:t>
      </w:r>
    </w:p>
    <w:p w14:paraId="5DE6BF82" w14:textId="77777777" w:rsidR="00E36CCE" w:rsidRPr="00E36CCE" w:rsidRDefault="00E36CCE" w:rsidP="00E36CCE">
      <w:pPr>
        <w:spacing w:line="360" w:lineRule="auto"/>
        <w:rPr>
          <w:rFonts w:ascii="Arial" w:hAnsi="Arial" w:cs="Arial"/>
        </w:rPr>
      </w:pPr>
      <w:r w:rsidRPr="00E36CCE">
        <w:rPr>
          <w:rFonts w:ascii="Arial" w:hAnsi="Arial" w:cs="Arial"/>
        </w:rPr>
        <w:t>Overcoming this socioeconomic disadvantage demands pension crediting for unpaid care periods, targeted municipal insulation and heating subsidies for single elderly female tenants, and funded community social cohesion services.</w:t>
      </w:r>
    </w:p>
    <w:p w14:paraId="784DB690" w14:textId="77777777" w:rsidR="00E36CCE" w:rsidRPr="00E36CCE" w:rsidRDefault="00E36CCE" w:rsidP="00E36CCE">
      <w:pPr>
        <w:spacing w:line="360" w:lineRule="auto"/>
        <w:rPr>
          <w:rFonts w:ascii="Arial" w:hAnsi="Arial" w:cs="Arial"/>
          <w:b/>
          <w:bCs/>
        </w:rPr>
      </w:pPr>
      <w:r w:rsidRPr="00E36CCE">
        <w:rPr>
          <w:rFonts w:ascii="Arial" w:hAnsi="Arial" w:cs="Arial"/>
          <w:b/>
          <w:bCs/>
        </w:rPr>
        <w:t>National Response to Reduce Health Inequalities in the Chosen Group</w:t>
      </w:r>
    </w:p>
    <w:p w14:paraId="5861B86F" w14:textId="77777777" w:rsidR="00E36CCE" w:rsidRPr="00E36CCE" w:rsidRDefault="00E36CCE" w:rsidP="00E36CCE">
      <w:pPr>
        <w:numPr>
          <w:ilvl w:val="0"/>
          <w:numId w:val="1"/>
        </w:numPr>
        <w:spacing w:line="360" w:lineRule="auto"/>
        <w:rPr>
          <w:rFonts w:ascii="Arial" w:hAnsi="Arial" w:cs="Arial"/>
        </w:rPr>
      </w:pPr>
      <w:r w:rsidRPr="00E36CCE">
        <w:rPr>
          <w:rFonts w:ascii="Arial" w:hAnsi="Arial" w:cs="Arial"/>
          <w:b/>
          <w:bCs/>
        </w:rPr>
        <w:t>The Women's Health Strategy for England (2022–2032):</w:t>
      </w:r>
      <w:r w:rsidRPr="00E36CCE">
        <w:rPr>
          <w:rFonts w:ascii="Arial" w:hAnsi="Arial" w:cs="Arial"/>
        </w:rPr>
        <w:t xml:space="preserve"> This landmark 10-year policy marks the first dedicated national commitment to eliminating structural gender bias across the NHS (DHSC, 2022). It prioritizes key female health domains, including menopause support, osteoporosis, menstrual health, and dementia risk mitigation. Structural milestones include establishing integrated primary care Women's Health Hubs, enacting the reduced-cost Hormone Replacement Therapy (HRT) prescription prepayment certificate, and mandating women’s health learning outcomes across all undergraduate medical education.</w:t>
      </w:r>
    </w:p>
    <w:p w14:paraId="37ED598F" w14:textId="77777777" w:rsidR="00E36CCE" w:rsidRPr="00E36CCE" w:rsidRDefault="00E36CCE" w:rsidP="00E36CCE">
      <w:pPr>
        <w:numPr>
          <w:ilvl w:val="0"/>
          <w:numId w:val="1"/>
        </w:numPr>
        <w:spacing w:line="360" w:lineRule="auto"/>
        <w:rPr>
          <w:rFonts w:ascii="Arial" w:hAnsi="Arial" w:cs="Arial"/>
        </w:rPr>
      </w:pPr>
      <w:r w:rsidRPr="00E36CCE">
        <w:rPr>
          <w:rFonts w:ascii="Arial" w:hAnsi="Arial" w:cs="Arial"/>
          <w:b/>
          <w:bCs/>
        </w:rPr>
        <w:t>The 10-Year UK Drug and Alcohol Strategy ("From Harm to Hope", 2021–2031):</w:t>
      </w:r>
      <w:r w:rsidRPr="00E36CCE">
        <w:rPr>
          <w:rFonts w:ascii="Arial" w:hAnsi="Arial" w:cs="Arial"/>
        </w:rPr>
        <w:t xml:space="preserve"> Formulated partly to combat high male mortality from chronic substance dependence, this national cross-departmental initiative invests £780 million to rebuild community addiction treatment systems. It integrates dedicated mental health support with clinical detox pathways, funds non-stigmatizing community outreach to engage isolated men, and provides stable recovery housing to mitigate relapses.</w:t>
      </w:r>
    </w:p>
    <w:p w14:paraId="2791979F" w14:textId="77777777" w:rsidR="00E36CCE" w:rsidRPr="00E36CCE" w:rsidRDefault="00E36CCE" w:rsidP="00E36CCE">
      <w:pPr>
        <w:spacing w:line="360" w:lineRule="auto"/>
        <w:rPr>
          <w:rFonts w:ascii="Arial" w:hAnsi="Arial" w:cs="Arial"/>
          <w:b/>
          <w:bCs/>
        </w:rPr>
      </w:pPr>
      <w:r w:rsidRPr="00E36CCE">
        <w:rPr>
          <w:rFonts w:ascii="Arial" w:hAnsi="Arial" w:cs="Arial"/>
          <w:b/>
          <w:bCs/>
        </w:rPr>
        <w:t>Organisations That Support Chosen Group</w:t>
      </w:r>
    </w:p>
    <w:p w14:paraId="17726BFB" w14:textId="77777777" w:rsidR="00E36CCE" w:rsidRPr="00E36CCE" w:rsidRDefault="00E36CCE" w:rsidP="00E36CCE">
      <w:pPr>
        <w:spacing w:line="360" w:lineRule="auto"/>
        <w:rPr>
          <w:rFonts w:ascii="Arial" w:hAnsi="Arial" w:cs="Arial"/>
        </w:rPr>
      </w:pPr>
      <w:r w:rsidRPr="00E36CCE">
        <w:rPr>
          <w:rFonts w:ascii="Arial" w:hAnsi="Arial" w:cs="Arial"/>
        </w:rPr>
        <w:lastRenderedPageBreak/>
        <w:t xml:space="preserve">The </w:t>
      </w:r>
      <w:r w:rsidRPr="00E36CCE">
        <w:rPr>
          <w:rFonts w:ascii="Arial" w:hAnsi="Arial" w:cs="Arial"/>
          <w:b/>
          <w:bCs/>
        </w:rPr>
        <w:t>Royal Osteoporosis Society (ROS)</w:t>
      </w:r>
      <w:r w:rsidRPr="00E36CCE">
        <w:rPr>
          <w:rFonts w:ascii="Arial" w:hAnsi="Arial" w:cs="Arial"/>
        </w:rPr>
        <w:t xml:space="preserve"> is the foremost UK charity dedicated to ending the silent epidemic of bone demineralization and eliminating the gender health gap in musculoskeletal medicine.</w:t>
      </w:r>
    </w:p>
    <w:p w14:paraId="1BA53F06" w14:textId="77777777" w:rsidR="00E36CCE" w:rsidRPr="00E36CCE" w:rsidRDefault="00E36CCE" w:rsidP="00E36CCE">
      <w:pPr>
        <w:numPr>
          <w:ilvl w:val="0"/>
          <w:numId w:val="2"/>
        </w:numPr>
        <w:spacing w:line="360" w:lineRule="auto"/>
        <w:rPr>
          <w:rFonts w:ascii="Arial" w:hAnsi="Arial" w:cs="Arial"/>
        </w:rPr>
      </w:pPr>
      <w:r w:rsidRPr="00E36CCE">
        <w:rPr>
          <w:rFonts w:ascii="Arial" w:hAnsi="Arial" w:cs="Arial"/>
          <w:b/>
          <w:bCs/>
        </w:rPr>
        <w:t>Strategic Purpose and Health Advocacy:</w:t>
      </w:r>
      <w:r w:rsidRPr="00E36CCE">
        <w:rPr>
          <w:rFonts w:ascii="Arial" w:hAnsi="Arial" w:cs="Arial"/>
        </w:rPr>
        <w:t xml:space="preserve"> The ROS works to reframe osteoporosis from an inevitable consequence of female ageing into a preventable, treatable chronic condition. It campaigns to eradicate gendered diagnostic delays by lobbying Integrated Care Boards (ICBs) to commission specialized diagnostic equipment in socioeconomically deprived regions.</w:t>
      </w:r>
    </w:p>
    <w:p w14:paraId="2D6F7D8E" w14:textId="77777777" w:rsidR="00E36CCE" w:rsidRPr="00E36CCE" w:rsidRDefault="00E36CCE" w:rsidP="00E36CCE">
      <w:pPr>
        <w:numPr>
          <w:ilvl w:val="0"/>
          <w:numId w:val="2"/>
        </w:numPr>
        <w:spacing w:line="360" w:lineRule="auto"/>
        <w:rPr>
          <w:rFonts w:ascii="Arial" w:hAnsi="Arial" w:cs="Arial"/>
        </w:rPr>
      </w:pPr>
      <w:r w:rsidRPr="00E36CCE">
        <w:rPr>
          <w:rFonts w:ascii="Arial" w:hAnsi="Arial" w:cs="Arial"/>
          <w:b/>
          <w:bCs/>
        </w:rPr>
        <w:t>Direct Community and Patient Services:</w:t>
      </w:r>
      <w:r w:rsidRPr="00E36CCE">
        <w:rPr>
          <w:rFonts w:ascii="Arial" w:hAnsi="Arial" w:cs="Arial"/>
        </w:rPr>
        <w:t xml:space="preserve"> The charity maintains a clinical helpline staffed by specialist nurses that answers tens of thousands of inquiries each year, distributes evidence-based nutritional guides, and organizes local volunteer networks to combat physical isolation and fear of falling among affected women.</w:t>
      </w:r>
    </w:p>
    <w:p w14:paraId="29308927" w14:textId="77777777" w:rsidR="00E36CCE" w:rsidRPr="00E36CCE" w:rsidRDefault="00E36CCE" w:rsidP="00E36CCE">
      <w:pPr>
        <w:numPr>
          <w:ilvl w:val="0"/>
          <w:numId w:val="2"/>
        </w:numPr>
        <w:spacing w:line="360" w:lineRule="auto"/>
        <w:rPr>
          <w:rFonts w:ascii="Arial" w:hAnsi="Arial" w:cs="Arial"/>
        </w:rPr>
      </w:pPr>
      <w:r w:rsidRPr="00E36CCE">
        <w:rPr>
          <w:rFonts w:ascii="Arial" w:hAnsi="Arial" w:cs="Arial"/>
          <w:b/>
          <w:bCs/>
        </w:rPr>
        <w:t>Research and Policy Benchmarking:</w:t>
      </w:r>
      <w:r w:rsidRPr="00E36CCE">
        <w:rPr>
          <w:rFonts w:ascii="Arial" w:hAnsi="Arial" w:cs="Arial"/>
        </w:rPr>
        <w:t xml:space="preserve"> The ROS funds innovative biomedical research on bone tissue regeneration and championed the national mandate requiring Fracture Liaison Services (FLS) in 100% of NHS trusts across England and Wales, ensuring any woman presenting with a first-time fracture is automatically screened before irreversible disability occurs.</w:t>
      </w:r>
    </w:p>
    <w:p w14:paraId="460A6B78" w14:textId="77777777" w:rsidR="00E36CCE" w:rsidRPr="00E36CCE" w:rsidRDefault="00E36CCE" w:rsidP="00E36CCE">
      <w:pPr>
        <w:spacing w:line="360" w:lineRule="auto"/>
        <w:rPr>
          <w:rFonts w:ascii="Arial" w:hAnsi="Arial" w:cs="Arial"/>
          <w:b/>
          <w:bCs/>
        </w:rPr>
      </w:pPr>
      <w:r w:rsidRPr="00E36CCE">
        <w:rPr>
          <w:rFonts w:ascii="Arial" w:hAnsi="Arial" w:cs="Arial"/>
          <w:b/>
          <w:bCs/>
        </w:rPr>
        <w:t>Conclusion</w:t>
      </w:r>
    </w:p>
    <w:p w14:paraId="18C9AD51" w14:textId="77777777" w:rsidR="00E36CCE" w:rsidRPr="00E36CCE" w:rsidRDefault="00E36CCE" w:rsidP="00E36CCE">
      <w:pPr>
        <w:spacing w:line="360" w:lineRule="auto"/>
        <w:rPr>
          <w:rFonts w:ascii="Arial" w:hAnsi="Arial" w:cs="Arial"/>
        </w:rPr>
      </w:pPr>
      <w:r w:rsidRPr="00E36CCE">
        <w:rPr>
          <w:rFonts w:ascii="Arial" w:hAnsi="Arial" w:cs="Arial"/>
        </w:rPr>
        <w:t>Gender-based health inequalities across the UK reflect a complex interplay between biological factors, institutional medical paradigms, and unequal socioeconomic structures. Men experience high premature mortality driven by hazardous occupational exposures, delayed healthcare engagement, and substance-related trauma, whereas women shoulder an unequal burden of chronic neurodegenerative and musculoskeletal disability, diagnostic latency, and lifetime pension poverty. Creating an equitable health system requires institutionalizing gender-disaggregated epidemiological surveillance, implementing targeted social safety nets, and ensuring equal access to community-based clinical care.</w:t>
      </w:r>
    </w:p>
    <w:p w14:paraId="0C0AC449" w14:textId="77777777" w:rsidR="00E36CCE" w:rsidRPr="00E36CCE" w:rsidRDefault="00E36CCE" w:rsidP="00E36CCE">
      <w:pPr>
        <w:spacing w:line="360" w:lineRule="auto"/>
        <w:rPr>
          <w:rFonts w:ascii="Arial" w:hAnsi="Arial" w:cs="Arial"/>
          <w:b/>
          <w:bCs/>
        </w:rPr>
      </w:pPr>
      <w:r w:rsidRPr="00E36CCE">
        <w:rPr>
          <w:rFonts w:ascii="Arial" w:hAnsi="Arial" w:cs="Arial"/>
          <w:b/>
          <w:bCs/>
        </w:rPr>
        <w:t>TASK 2: EPIDEMIOLOGICAL ANALYSIS</w:t>
      </w:r>
    </w:p>
    <w:p w14:paraId="1418DF6B" w14:textId="77777777" w:rsidR="00E36CCE" w:rsidRPr="00E36CCE" w:rsidRDefault="00E36CCE" w:rsidP="00E36CCE">
      <w:pPr>
        <w:spacing w:line="360" w:lineRule="auto"/>
        <w:rPr>
          <w:rFonts w:ascii="Arial" w:hAnsi="Arial" w:cs="Arial"/>
        </w:rPr>
      </w:pPr>
      <w:r w:rsidRPr="00E36CCE">
        <w:rPr>
          <w:rFonts w:ascii="Arial" w:hAnsi="Arial" w:cs="Arial"/>
          <w:b/>
          <w:bCs/>
        </w:rPr>
        <w:t>Role:</w:t>
      </w:r>
      <w:r w:rsidRPr="00E36CCE">
        <w:rPr>
          <w:rFonts w:ascii="Arial" w:hAnsi="Arial" w:cs="Arial"/>
        </w:rPr>
        <w:t xml:space="preserve"> Regional Epidemiologist</w:t>
      </w:r>
    </w:p>
    <w:p w14:paraId="193FB682" w14:textId="77777777" w:rsidR="00E36CCE" w:rsidRPr="00E36CCE" w:rsidRDefault="00E36CCE" w:rsidP="00E36CCE">
      <w:pPr>
        <w:spacing w:line="360" w:lineRule="auto"/>
        <w:rPr>
          <w:rFonts w:ascii="Arial" w:hAnsi="Arial" w:cs="Arial"/>
        </w:rPr>
      </w:pPr>
      <w:r w:rsidRPr="00E36CCE">
        <w:rPr>
          <w:rFonts w:ascii="Arial" w:hAnsi="Arial" w:cs="Arial"/>
          <w:b/>
          <w:bCs/>
        </w:rPr>
        <w:lastRenderedPageBreak/>
        <w:t>Subject:</w:t>
      </w:r>
      <w:r w:rsidRPr="00E36CCE">
        <w:rPr>
          <w:rFonts w:ascii="Arial" w:hAnsi="Arial" w:cs="Arial"/>
        </w:rPr>
        <w:t xml:space="preserve"> Epidemiological Identification, Assessment, and Strategic Management of Hypertensive Heart Disease and Cardiovascular Inequalities in the London Borough of Newham</w:t>
      </w:r>
    </w:p>
    <w:p w14:paraId="3C495A44" w14:textId="77777777" w:rsidR="00E36CCE" w:rsidRPr="00E36CCE" w:rsidRDefault="00E36CCE" w:rsidP="00E36CCE">
      <w:pPr>
        <w:spacing w:line="360" w:lineRule="auto"/>
        <w:rPr>
          <w:rFonts w:ascii="Arial" w:hAnsi="Arial" w:cs="Arial"/>
          <w:b/>
          <w:bCs/>
        </w:rPr>
      </w:pPr>
      <w:r w:rsidRPr="00E36CCE">
        <w:rPr>
          <w:rFonts w:ascii="Arial" w:hAnsi="Arial" w:cs="Arial"/>
          <w:b/>
          <w:bCs/>
        </w:rPr>
        <w:t>Introduction</w:t>
      </w:r>
    </w:p>
    <w:p w14:paraId="6518AFA7" w14:textId="77777777" w:rsidR="00E36CCE" w:rsidRPr="00E36CCE" w:rsidRDefault="00E36CCE" w:rsidP="00E36CCE">
      <w:pPr>
        <w:spacing w:line="360" w:lineRule="auto"/>
        <w:rPr>
          <w:rFonts w:ascii="Arial" w:hAnsi="Arial" w:cs="Arial"/>
        </w:rPr>
      </w:pPr>
      <w:r w:rsidRPr="00E36CCE">
        <w:rPr>
          <w:rFonts w:ascii="Arial" w:hAnsi="Arial" w:cs="Arial"/>
        </w:rPr>
        <w:t>Hypertensive Heart Disease (HHD) refers to a constellation of anatomical and physiological cardiac alterations—including left ventricular hypertrophy, myocardial fibrosis, coronary microvascular disease, and diastolic/systolic heart failure—caused by sustained, unmanaged systemic arterial hypertension (WHO, 2023). Epidemiologically, elevated blood pressure serves as the single greatest modifiable contributor to cardiovascular morbidity, ischemic strokes, vascular dementia, and end-stage chronic kidney disease (Wild et al., 2004). The social and economic repercussions of HHD are extensive: premature strokes and congestive heart failure precipitate long-term disability, abrupt loss of household employment capacity, and acute emotional and financial strain on families.</w:t>
      </w:r>
    </w:p>
    <w:p w14:paraId="7F178869" w14:textId="77777777" w:rsidR="00E36CCE" w:rsidRPr="00E36CCE" w:rsidRDefault="00E36CCE" w:rsidP="00E36CCE">
      <w:pPr>
        <w:spacing w:line="360" w:lineRule="auto"/>
        <w:rPr>
          <w:rFonts w:ascii="Arial" w:hAnsi="Arial" w:cs="Arial"/>
        </w:rPr>
      </w:pPr>
      <w:r w:rsidRPr="00E36CCE">
        <w:rPr>
          <w:rFonts w:ascii="Arial" w:hAnsi="Arial" w:cs="Arial"/>
        </w:rPr>
        <w:t>On a global scale, hypertension affects an estimated 1.28 billion adults aged 30–79, with two-thirds residing in low- and middle-income nations or socioeconomically deprived urban enclaves (WHO, 2023). In the United Kingdom, approximately 14.4 million adults live with high blood pressure, of whom an estimated 5 million remain completely undiagnosed and untreated (British Heart Foundation [BHF], 2023). The national recorded adult prevalence on general practice registers stands at 14.0% (Office for Health Improvement and Disparities [OHID], 2024).</w:t>
      </w:r>
    </w:p>
    <w:p w14:paraId="44D90FD1" w14:textId="77777777" w:rsidR="00E36CCE" w:rsidRPr="00E36CCE" w:rsidRDefault="00E36CCE" w:rsidP="00E36CCE">
      <w:pPr>
        <w:spacing w:line="360" w:lineRule="auto"/>
        <w:rPr>
          <w:rFonts w:ascii="Arial" w:hAnsi="Arial" w:cs="Arial"/>
        </w:rPr>
      </w:pPr>
      <w:r w:rsidRPr="00E36CCE">
        <w:rPr>
          <w:rFonts w:ascii="Arial" w:hAnsi="Arial" w:cs="Arial"/>
        </w:rPr>
        <w:t xml:space="preserve">However, deep geographical and ethnic gradients persist. Within our regional focus—the </w:t>
      </w:r>
      <w:r w:rsidRPr="00E36CCE">
        <w:rPr>
          <w:rFonts w:ascii="Arial" w:hAnsi="Arial" w:cs="Arial"/>
          <w:b/>
          <w:bCs/>
        </w:rPr>
        <w:t>London Borough of Newham</w:t>
      </w:r>
      <w:r w:rsidRPr="00E36CCE">
        <w:rPr>
          <w:rFonts w:ascii="Arial" w:hAnsi="Arial" w:cs="Arial"/>
        </w:rPr>
        <w:t xml:space="preserve"> (population approximately 351,000)—hypertensive disease represents a pressing clinical emergency. While recorded adult prevalence is 12.1%, </w:t>
      </w:r>
      <w:proofErr w:type="spellStart"/>
      <w:r w:rsidRPr="00E36CCE">
        <w:rPr>
          <w:rFonts w:ascii="Arial" w:hAnsi="Arial" w:cs="Arial"/>
        </w:rPr>
        <w:t>modeled</w:t>
      </w:r>
      <w:proofErr w:type="spellEnd"/>
      <w:r w:rsidRPr="00E36CCE">
        <w:rPr>
          <w:rFonts w:ascii="Arial" w:hAnsi="Arial" w:cs="Arial"/>
        </w:rPr>
        <w:t xml:space="preserve"> true epidemiological prevalence exceeds 17.5%, indicating a massive hidden cohort of undiagnosed cases (Newham Joint Strategic Needs Assessment [JSNA], 2023). Newham suffers from one of the highest age-standardized rates of premature cardiovascular mortality under age 75 in Greater London, characterized by severe complications developing up to a decade earlier than the national average.</w:t>
      </w:r>
    </w:p>
    <w:p w14:paraId="56409F83" w14:textId="77777777" w:rsidR="00E36CCE" w:rsidRPr="00E36CCE" w:rsidRDefault="00E36CCE" w:rsidP="00E36CCE">
      <w:pPr>
        <w:spacing w:line="360" w:lineRule="auto"/>
        <w:rPr>
          <w:rFonts w:ascii="Arial" w:hAnsi="Arial" w:cs="Arial"/>
          <w:b/>
          <w:bCs/>
        </w:rPr>
      </w:pPr>
      <w:r w:rsidRPr="00E36CCE">
        <w:rPr>
          <w:rFonts w:ascii="Arial" w:hAnsi="Arial" w:cs="Arial"/>
          <w:b/>
          <w:bCs/>
        </w:rPr>
        <w:t>Main Body</w:t>
      </w:r>
    </w:p>
    <w:p w14:paraId="08345596" w14:textId="77777777" w:rsidR="00E36CCE" w:rsidRPr="00E36CCE" w:rsidRDefault="00E36CCE" w:rsidP="00E36CCE">
      <w:pPr>
        <w:spacing w:line="360" w:lineRule="auto"/>
        <w:rPr>
          <w:rFonts w:ascii="Arial" w:hAnsi="Arial" w:cs="Arial"/>
          <w:b/>
          <w:bCs/>
        </w:rPr>
      </w:pPr>
      <w:r w:rsidRPr="00E36CCE">
        <w:rPr>
          <w:rFonts w:ascii="Arial" w:hAnsi="Arial" w:cs="Arial"/>
          <w:b/>
          <w:bCs/>
        </w:rPr>
        <w:lastRenderedPageBreak/>
        <w:t>1. Public Health Measures Framework: The Three P's</w:t>
      </w:r>
    </w:p>
    <w:p w14:paraId="5AC40BAB" w14:textId="77777777" w:rsidR="00E36CCE" w:rsidRPr="00E36CCE" w:rsidRDefault="00E36CCE" w:rsidP="00E36CCE">
      <w:pPr>
        <w:spacing w:line="360" w:lineRule="auto"/>
        <w:rPr>
          <w:rFonts w:ascii="Arial" w:hAnsi="Arial" w:cs="Arial"/>
        </w:rPr>
      </w:pPr>
      <w:r w:rsidRPr="00E36CCE">
        <w:rPr>
          <w:rFonts w:ascii="Arial" w:hAnsi="Arial" w:cs="Arial"/>
        </w:rPr>
        <w:t>To mitigate and manage the burden of HHD across Newham, our epidemiological strategy adopts the classic Three P's model:</w:t>
      </w:r>
    </w:p>
    <w:p w14:paraId="2E009775" w14:textId="77777777" w:rsidR="00E36CCE" w:rsidRPr="00E36CCE" w:rsidRDefault="00E36CCE" w:rsidP="00E36CCE">
      <w:pPr>
        <w:numPr>
          <w:ilvl w:val="0"/>
          <w:numId w:val="3"/>
        </w:numPr>
        <w:spacing w:line="360" w:lineRule="auto"/>
        <w:rPr>
          <w:rFonts w:ascii="Arial" w:hAnsi="Arial" w:cs="Arial"/>
        </w:rPr>
      </w:pPr>
      <w:r w:rsidRPr="00E36CCE">
        <w:rPr>
          <w:rFonts w:ascii="Arial" w:hAnsi="Arial" w:cs="Arial"/>
          <w:b/>
          <w:bCs/>
        </w:rPr>
        <w:t>Prevention (Primary Prevention):</w:t>
      </w:r>
      <w:r w:rsidRPr="00E36CCE">
        <w:rPr>
          <w:rFonts w:ascii="Arial" w:hAnsi="Arial" w:cs="Arial"/>
        </w:rPr>
        <w:t xml:space="preserve"> Targets the root environmental and lifestyle causes of arterial stiffness prior to clinical disease manifestation. In Newham, local initiatives focus on reducing excessive population salt intake through partnership compacts with local takeaway restaurants and bakeries, enforcing strict planning limits on fast-food density near schools, and expanding municipal outdoor green gym networks alongside segregated cycling corridors to promote daily active travel.</w:t>
      </w:r>
    </w:p>
    <w:p w14:paraId="67BF3267" w14:textId="77777777" w:rsidR="00E36CCE" w:rsidRPr="00E36CCE" w:rsidRDefault="00E36CCE" w:rsidP="00E36CCE">
      <w:pPr>
        <w:numPr>
          <w:ilvl w:val="0"/>
          <w:numId w:val="3"/>
        </w:numPr>
        <w:spacing w:line="360" w:lineRule="auto"/>
        <w:rPr>
          <w:rFonts w:ascii="Arial" w:hAnsi="Arial" w:cs="Arial"/>
        </w:rPr>
      </w:pPr>
      <w:r w:rsidRPr="00E36CCE">
        <w:rPr>
          <w:rFonts w:ascii="Arial" w:hAnsi="Arial" w:cs="Arial"/>
          <w:b/>
          <w:bCs/>
        </w:rPr>
        <w:t>Protection (Secondary Prevention):</w:t>
      </w:r>
      <w:r w:rsidRPr="00E36CCE">
        <w:rPr>
          <w:rFonts w:ascii="Arial" w:hAnsi="Arial" w:cs="Arial"/>
        </w:rPr>
        <w:t xml:space="preserve"> Focuses on aggressive early case identification, risk stratification, and timely pharmacotherapy to arrest cardiac </w:t>
      </w:r>
      <w:proofErr w:type="spellStart"/>
      <w:r w:rsidRPr="00E36CCE">
        <w:rPr>
          <w:rFonts w:ascii="Arial" w:hAnsi="Arial" w:cs="Arial"/>
        </w:rPr>
        <w:t>remodeling</w:t>
      </w:r>
      <w:proofErr w:type="spellEnd"/>
      <w:r w:rsidRPr="00E36CCE">
        <w:rPr>
          <w:rFonts w:ascii="Arial" w:hAnsi="Arial" w:cs="Arial"/>
        </w:rPr>
        <w:t>. This involves scaling up community blood pressure checks in non-clinical settings (such as high-street pharmacies, libraries, and places of worship), systematic delivery of the NHS Health Check programme (with the eligibility age lowered to 25 for high-risk ethnic groups), and standardizing automated electronic recall systems across primary care to monitor antihypertensive medication adherence.</w:t>
      </w:r>
    </w:p>
    <w:p w14:paraId="2CFD7D86" w14:textId="7B285B37" w:rsidR="00E36CCE" w:rsidRPr="00E36CCE" w:rsidRDefault="00E36CCE" w:rsidP="00E36CCE">
      <w:pPr>
        <w:numPr>
          <w:ilvl w:val="0"/>
          <w:numId w:val="3"/>
        </w:numPr>
        <w:spacing w:line="360" w:lineRule="auto"/>
        <w:rPr>
          <w:rFonts w:ascii="Arial" w:hAnsi="Arial" w:cs="Arial"/>
        </w:rPr>
      </w:pPr>
      <w:r w:rsidRPr="00E36CCE">
        <w:rPr>
          <w:rFonts w:ascii="Arial" w:hAnsi="Arial" w:cs="Arial"/>
          <w:b/>
          <w:bCs/>
        </w:rPr>
        <w:t>Promotion (Tertiary Prevention):</w:t>
      </w:r>
      <w:r w:rsidRPr="00E36CCE">
        <w:rPr>
          <w:rFonts w:ascii="Arial" w:hAnsi="Arial" w:cs="Arial"/>
        </w:rPr>
        <w:t xml:space="preserve"> Empowers diagnosed patients to achieve optimal blood pressure targets (clinic reading </w:t>
      </w:r>
      <m:oMath>
        <m:r>
          <m:rPr>
            <m:sty m:val="p"/>
          </m:rPr>
          <w:rPr>
            <w:rFonts w:ascii="Cambria Math" w:hAnsi="Cambria Math" w:cs="Arial"/>
          </w:rPr>
          <m:t>&lt;130/80</m:t>
        </m:r>
      </m:oMath>
      <w:r w:rsidRPr="00E36CCE">
        <w:rPr>
          <w:rFonts w:ascii="Arial" w:hAnsi="Arial" w:cs="Arial"/>
        </w:rPr>
        <w:t xml:space="preserve"> mmHg or home average </w:t>
      </w:r>
      <m:oMath>
        <m:r>
          <m:rPr>
            <m:sty m:val="p"/>
          </m:rPr>
          <w:rPr>
            <w:rFonts w:ascii="Cambria Math" w:hAnsi="Cambria Math" w:cs="Arial"/>
          </w:rPr>
          <m:t>&lt;135/85</m:t>
        </m:r>
      </m:oMath>
      <w:r w:rsidRPr="00E36CCE">
        <w:rPr>
          <w:rFonts w:ascii="Arial" w:hAnsi="Arial" w:cs="Arial"/>
        </w:rPr>
        <w:t xml:space="preserve"> mmHg) to prevent heart failure decompensation and stroke recurrence. This encompasses multilingual cardiovascular education programmes, home blood pressure telemonitoring initiatives (such as the NHS @home BP initiative), and the deployment of primary care social prescribing link workers to connect patients with culturally competent dietary cooking circles and low-impact exercise clubs.</w:t>
      </w:r>
    </w:p>
    <w:p w14:paraId="13C54AEF" w14:textId="77777777" w:rsidR="00E36CCE" w:rsidRPr="00E36CCE" w:rsidRDefault="00E36CCE" w:rsidP="00E36CCE">
      <w:pPr>
        <w:spacing w:line="360" w:lineRule="auto"/>
        <w:rPr>
          <w:rFonts w:ascii="Arial" w:hAnsi="Arial" w:cs="Arial"/>
          <w:b/>
          <w:bCs/>
        </w:rPr>
      </w:pPr>
      <w:r w:rsidRPr="00E36CCE">
        <w:rPr>
          <w:rFonts w:ascii="Arial" w:hAnsi="Arial" w:cs="Arial"/>
          <w:b/>
          <w:bCs/>
        </w:rPr>
        <w:t>2. Key Determinants and Risk Factors</w:t>
      </w:r>
    </w:p>
    <w:p w14:paraId="12D870B8" w14:textId="77777777" w:rsidR="00E36CCE" w:rsidRPr="00E36CCE" w:rsidRDefault="00E36CCE" w:rsidP="00E36CCE">
      <w:pPr>
        <w:spacing w:line="360" w:lineRule="auto"/>
        <w:rPr>
          <w:rFonts w:ascii="Arial" w:hAnsi="Arial" w:cs="Arial"/>
        </w:rPr>
      </w:pPr>
      <w:r w:rsidRPr="00E36CCE">
        <w:rPr>
          <w:rFonts w:ascii="Arial" w:hAnsi="Arial" w:cs="Arial"/>
        </w:rPr>
        <w:t xml:space="preserve">The excessive burden of hypertensive pathology in Newham is </w:t>
      </w:r>
      <w:proofErr w:type="spellStart"/>
      <w:r w:rsidRPr="00E36CCE">
        <w:rPr>
          <w:rFonts w:ascii="Arial" w:hAnsi="Arial" w:cs="Arial"/>
        </w:rPr>
        <w:t>fueled</w:t>
      </w:r>
      <w:proofErr w:type="spellEnd"/>
      <w:r w:rsidRPr="00E36CCE">
        <w:rPr>
          <w:rFonts w:ascii="Arial" w:hAnsi="Arial" w:cs="Arial"/>
        </w:rPr>
        <w:t xml:space="preserve"> by an intersection of biological vulnerabilities, cultural dynamics, and socioeconomic deprivation:</w:t>
      </w:r>
    </w:p>
    <w:p w14:paraId="1468F7AC" w14:textId="77777777" w:rsidR="00E36CCE" w:rsidRPr="00E36CCE" w:rsidRDefault="00E36CCE" w:rsidP="00E36CCE">
      <w:pPr>
        <w:numPr>
          <w:ilvl w:val="0"/>
          <w:numId w:val="4"/>
        </w:numPr>
        <w:spacing w:line="360" w:lineRule="auto"/>
        <w:rPr>
          <w:rFonts w:ascii="Arial" w:hAnsi="Arial" w:cs="Arial"/>
        </w:rPr>
      </w:pPr>
      <w:r w:rsidRPr="00E36CCE">
        <w:rPr>
          <w:rFonts w:ascii="Arial" w:hAnsi="Arial" w:cs="Arial"/>
          <w:b/>
          <w:bCs/>
        </w:rPr>
        <w:lastRenderedPageBreak/>
        <w:t>Demographic and Genetic Susceptibility:</w:t>
      </w:r>
      <w:r w:rsidRPr="00E36CCE">
        <w:rPr>
          <w:rFonts w:ascii="Arial" w:hAnsi="Arial" w:cs="Arial"/>
        </w:rPr>
        <w:t xml:space="preserve"> Newham is one of the most ethnically diverse local authority districts in the UK; over 70% of residents belong to Black, Asian, and minoritised ethnic backgrounds (Census 2021). Populations of Black African and Black Caribbean heritage exhibit elevated sensitivity to dietary sodium, early endothelial stiffness, and advanced renin-angiotensin-aldosterone axis dysregulation, driving accelerated hypertension onset with higher risks of left ventricular hypertrophy and stroke. Similarly, South Asian residents display significant susceptibility to premature coronary atherosclerosis and metabolic syndrome (Chowdhury et al., 2018).</w:t>
      </w:r>
    </w:p>
    <w:p w14:paraId="19F23723" w14:textId="77777777" w:rsidR="00E36CCE" w:rsidRPr="00E36CCE" w:rsidRDefault="00E36CCE" w:rsidP="00E36CCE">
      <w:pPr>
        <w:numPr>
          <w:ilvl w:val="0"/>
          <w:numId w:val="4"/>
        </w:numPr>
        <w:spacing w:line="360" w:lineRule="auto"/>
        <w:rPr>
          <w:rFonts w:ascii="Arial" w:hAnsi="Arial" w:cs="Arial"/>
        </w:rPr>
      </w:pPr>
      <w:r w:rsidRPr="00E36CCE">
        <w:rPr>
          <w:rFonts w:ascii="Arial" w:hAnsi="Arial" w:cs="Arial"/>
          <w:b/>
          <w:bCs/>
        </w:rPr>
        <w:t>Socioeconomic Deprivation and Nutrition Environments:</w:t>
      </w:r>
      <w:r w:rsidRPr="00E36CCE">
        <w:rPr>
          <w:rFonts w:ascii="Arial" w:hAnsi="Arial" w:cs="Arial"/>
        </w:rPr>
        <w:t xml:space="preserve"> Newham consistently ranks among the most deprived boroughs in London, with 49% of children living in poverty after housing costs (Trust for London, 2023). High poverty restricts access to fresh, whole foods, leading to heavy dependence on cheap, ultra-processed, sodium-dense foods that directly aggravate arterial hypertension.</w:t>
      </w:r>
    </w:p>
    <w:p w14:paraId="7C39EF49" w14:textId="77777777" w:rsidR="00E36CCE" w:rsidRPr="00E36CCE" w:rsidRDefault="00E36CCE" w:rsidP="00E36CCE">
      <w:pPr>
        <w:numPr>
          <w:ilvl w:val="0"/>
          <w:numId w:val="4"/>
        </w:numPr>
        <w:spacing w:line="360" w:lineRule="auto"/>
        <w:rPr>
          <w:rFonts w:ascii="Arial" w:hAnsi="Arial" w:cs="Arial"/>
        </w:rPr>
      </w:pPr>
      <w:r w:rsidRPr="00E36CCE">
        <w:rPr>
          <w:rFonts w:ascii="Arial" w:hAnsi="Arial" w:cs="Arial"/>
          <w:b/>
          <w:bCs/>
        </w:rPr>
        <w:t>Psychosocial Stress and Built Environment:</w:t>
      </w:r>
      <w:r w:rsidRPr="00E36CCE">
        <w:rPr>
          <w:rFonts w:ascii="Arial" w:hAnsi="Arial" w:cs="Arial"/>
        </w:rPr>
        <w:t xml:space="preserve"> Severe residential overcrowding, insecure employment in the gig economy, high acoustic pollution from major traffic corridors (e.g., A13, Newham Way), and limited access to secure public green spaces generate sustained physiological allostatic stress, continuously elevating sympathetic nervous tone and blood pressure.</w:t>
      </w:r>
    </w:p>
    <w:p w14:paraId="559DBEDA" w14:textId="77777777" w:rsidR="00E36CCE" w:rsidRPr="00E36CCE" w:rsidRDefault="00E36CCE" w:rsidP="00E36CCE">
      <w:pPr>
        <w:spacing w:line="360" w:lineRule="auto"/>
        <w:rPr>
          <w:rFonts w:ascii="Arial" w:hAnsi="Arial" w:cs="Arial"/>
          <w:b/>
          <w:bCs/>
        </w:rPr>
      </w:pPr>
      <w:r w:rsidRPr="00E36CCE">
        <w:rPr>
          <w:rFonts w:ascii="Arial" w:hAnsi="Arial" w:cs="Arial"/>
          <w:b/>
          <w:bCs/>
        </w:rPr>
        <w:t>3. Health Needs Assessment and Target Population Profiling</w:t>
      </w:r>
    </w:p>
    <w:p w14:paraId="1FAF8A70" w14:textId="77777777" w:rsidR="00E36CCE" w:rsidRPr="00E36CCE" w:rsidRDefault="00E36CCE" w:rsidP="00E36CCE">
      <w:pPr>
        <w:spacing w:line="360" w:lineRule="auto"/>
        <w:rPr>
          <w:rFonts w:ascii="Arial" w:hAnsi="Arial" w:cs="Arial"/>
        </w:rPr>
      </w:pPr>
      <w:r w:rsidRPr="00E36CCE">
        <w:rPr>
          <w:rFonts w:ascii="Arial" w:hAnsi="Arial" w:cs="Arial"/>
        </w:rPr>
        <w:t>A comprehensive borough-wide Health Needs Assessment (HNA) linking primary care clinical registries, the National Cardiac Audit Programme, and Census demographics classifies Newham's population into distinct risk tiers:</w:t>
      </w:r>
    </w:p>
    <w:tbl>
      <w:tblPr>
        <w:tblStyle w:val="TableGrid"/>
        <w:tblW w:w="0" w:type="auto"/>
        <w:tblLook w:val="04A0" w:firstRow="1" w:lastRow="0" w:firstColumn="1" w:lastColumn="0" w:noHBand="0" w:noVBand="1"/>
      </w:tblPr>
      <w:tblGrid>
        <w:gridCol w:w="2436"/>
        <w:gridCol w:w="3022"/>
        <w:gridCol w:w="3558"/>
      </w:tblGrid>
      <w:tr w:rsidR="00E36CCE" w:rsidRPr="00E36CCE" w14:paraId="282EB518" w14:textId="77777777" w:rsidTr="00E36CCE">
        <w:tc>
          <w:tcPr>
            <w:tcW w:w="0" w:type="auto"/>
            <w:hideMark/>
          </w:tcPr>
          <w:p w14:paraId="2C5EAAFA" w14:textId="77777777" w:rsidR="00E36CCE" w:rsidRPr="00E36CCE" w:rsidRDefault="00E36CCE" w:rsidP="00E36CCE">
            <w:pPr>
              <w:spacing w:after="160" w:line="360" w:lineRule="auto"/>
              <w:rPr>
                <w:rFonts w:ascii="Arial" w:hAnsi="Arial" w:cs="Arial"/>
              </w:rPr>
            </w:pPr>
            <w:r w:rsidRPr="00E36CCE">
              <w:rPr>
                <w:rFonts w:ascii="Arial" w:hAnsi="Arial" w:cs="Arial"/>
                <w:b/>
                <w:bCs/>
              </w:rPr>
              <w:t>Vulnerable Demographic Segment</w:t>
            </w:r>
          </w:p>
        </w:tc>
        <w:tc>
          <w:tcPr>
            <w:tcW w:w="0" w:type="auto"/>
            <w:hideMark/>
          </w:tcPr>
          <w:p w14:paraId="46D20CD1" w14:textId="77777777" w:rsidR="00E36CCE" w:rsidRPr="00E36CCE" w:rsidRDefault="00E36CCE" w:rsidP="00E36CCE">
            <w:pPr>
              <w:spacing w:after="160" w:line="360" w:lineRule="auto"/>
              <w:rPr>
                <w:rFonts w:ascii="Arial" w:hAnsi="Arial" w:cs="Arial"/>
              </w:rPr>
            </w:pPr>
            <w:r w:rsidRPr="00E36CCE">
              <w:rPr>
                <w:rFonts w:ascii="Arial" w:hAnsi="Arial" w:cs="Arial"/>
                <w:b/>
                <w:bCs/>
              </w:rPr>
              <w:t>Risk Level &amp; Epidemiological Characteristics</w:t>
            </w:r>
          </w:p>
        </w:tc>
        <w:tc>
          <w:tcPr>
            <w:tcW w:w="0" w:type="auto"/>
            <w:hideMark/>
          </w:tcPr>
          <w:p w14:paraId="03427928" w14:textId="77777777" w:rsidR="00E36CCE" w:rsidRPr="00E36CCE" w:rsidRDefault="00E36CCE" w:rsidP="00E36CCE">
            <w:pPr>
              <w:spacing w:after="160" w:line="360" w:lineRule="auto"/>
              <w:rPr>
                <w:rFonts w:ascii="Arial" w:hAnsi="Arial" w:cs="Arial"/>
              </w:rPr>
            </w:pPr>
            <w:r w:rsidRPr="00E36CCE">
              <w:rPr>
                <w:rFonts w:ascii="Arial" w:hAnsi="Arial" w:cs="Arial"/>
                <w:b/>
                <w:bCs/>
              </w:rPr>
              <w:t>Primary Clinical and Social Considerations</w:t>
            </w:r>
          </w:p>
        </w:tc>
      </w:tr>
      <w:tr w:rsidR="00E36CCE" w:rsidRPr="00E36CCE" w14:paraId="616B9B35" w14:textId="77777777" w:rsidTr="00E36CCE">
        <w:tc>
          <w:tcPr>
            <w:tcW w:w="0" w:type="auto"/>
            <w:hideMark/>
          </w:tcPr>
          <w:p w14:paraId="22E63117" w14:textId="77777777" w:rsidR="00E36CCE" w:rsidRPr="00E36CCE" w:rsidRDefault="00E36CCE" w:rsidP="00E36CCE">
            <w:pPr>
              <w:spacing w:after="160" w:line="360" w:lineRule="auto"/>
              <w:rPr>
                <w:rFonts w:ascii="Arial" w:hAnsi="Arial" w:cs="Arial"/>
              </w:rPr>
            </w:pPr>
            <w:r w:rsidRPr="00E36CCE">
              <w:rPr>
                <w:rFonts w:ascii="Arial" w:hAnsi="Arial" w:cs="Arial"/>
                <w:b/>
                <w:bCs/>
              </w:rPr>
              <w:t xml:space="preserve">Black African &amp; Black Caribbean </w:t>
            </w:r>
            <w:r w:rsidRPr="00E36CCE">
              <w:rPr>
                <w:rFonts w:ascii="Arial" w:hAnsi="Arial" w:cs="Arial"/>
                <w:b/>
                <w:bCs/>
              </w:rPr>
              <w:lastRenderedPageBreak/>
              <w:t>Adults (Aged 30–65)</w:t>
            </w:r>
          </w:p>
        </w:tc>
        <w:tc>
          <w:tcPr>
            <w:tcW w:w="0" w:type="auto"/>
            <w:hideMark/>
          </w:tcPr>
          <w:p w14:paraId="73F601E4" w14:textId="77777777" w:rsidR="00E36CCE" w:rsidRPr="00E36CCE" w:rsidRDefault="00E36CCE" w:rsidP="00E36CCE">
            <w:pPr>
              <w:spacing w:after="160" w:line="360" w:lineRule="auto"/>
              <w:rPr>
                <w:rFonts w:ascii="Arial" w:hAnsi="Arial" w:cs="Arial"/>
              </w:rPr>
            </w:pPr>
            <w:r w:rsidRPr="00E36CCE">
              <w:rPr>
                <w:rFonts w:ascii="Arial" w:hAnsi="Arial" w:cs="Arial"/>
                <w:b/>
                <w:bCs/>
              </w:rPr>
              <w:lastRenderedPageBreak/>
              <w:t>Highest Stroke and Renal Risk:</w:t>
            </w:r>
            <w:r w:rsidRPr="00E36CCE">
              <w:rPr>
                <w:rFonts w:ascii="Arial" w:hAnsi="Arial" w:cs="Arial"/>
              </w:rPr>
              <w:t xml:space="preserve"> 3-fold higher </w:t>
            </w:r>
            <w:r w:rsidRPr="00E36CCE">
              <w:rPr>
                <w:rFonts w:ascii="Arial" w:hAnsi="Arial" w:cs="Arial"/>
              </w:rPr>
              <w:lastRenderedPageBreak/>
              <w:t>rate of early malignant hypertension.</w:t>
            </w:r>
          </w:p>
        </w:tc>
        <w:tc>
          <w:tcPr>
            <w:tcW w:w="0" w:type="auto"/>
            <w:hideMark/>
          </w:tcPr>
          <w:p w14:paraId="3FB36D0E" w14:textId="77777777" w:rsidR="00E36CCE" w:rsidRPr="00E36CCE" w:rsidRDefault="00E36CCE" w:rsidP="00E36CCE">
            <w:pPr>
              <w:spacing w:after="160" w:line="360" w:lineRule="auto"/>
              <w:rPr>
                <w:rFonts w:ascii="Arial" w:hAnsi="Arial" w:cs="Arial"/>
              </w:rPr>
            </w:pPr>
            <w:r w:rsidRPr="00E36CCE">
              <w:rPr>
                <w:rFonts w:ascii="Arial" w:hAnsi="Arial" w:cs="Arial"/>
              </w:rPr>
              <w:lastRenderedPageBreak/>
              <w:t xml:space="preserve">Severe vascular end-organ damage; low engagement with routine primary care; higher </w:t>
            </w:r>
            <w:r w:rsidRPr="00E36CCE">
              <w:rPr>
                <w:rFonts w:ascii="Arial" w:hAnsi="Arial" w:cs="Arial"/>
              </w:rPr>
              <w:lastRenderedPageBreak/>
              <w:t>medication titration requirements (e.g., CCBs + Diuretics).</w:t>
            </w:r>
          </w:p>
        </w:tc>
      </w:tr>
      <w:tr w:rsidR="00E36CCE" w:rsidRPr="00E36CCE" w14:paraId="62BC6555" w14:textId="77777777" w:rsidTr="00E36CCE">
        <w:tc>
          <w:tcPr>
            <w:tcW w:w="0" w:type="auto"/>
            <w:hideMark/>
          </w:tcPr>
          <w:p w14:paraId="782E3A62" w14:textId="77777777" w:rsidR="00E36CCE" w:rsidRPr="00E36CCE" w:rsidRDefault="00E36CCE" w:rsidP="00E36CCE">
            <w:pPr>
              <w:spacing w:after="160" w:line="360" w:lineRule="auto"/>
              <w:rPr>
                <w:rFonts w:ascii="Arial" w:hAnsi="Arial" w:cs="Arial"/>
              </w:rPr>
            </w:pPr>
            <w:r w:rsidRPr="00E36CCE">
              <w:rPr>
                <w:rFonts w:ascii="Arial" w:hAnsi="Arial" w:cs="Arial"/>
                <w:b/>
                <w:bCs/>
              </w:rPr>
              <w:lastRenderedPageBreak/>
              <w:t>South Asian Men (Aged 35–60)</w:t>
            </w:r>
          </w:p>
        </w:tc>
        <w:tc>
          <w:tcPr>
            <w:tcW w:w="0" w:type="auto"/>
            <w:hideMark/>
          </w:tcPr>
          <w:p w14:paraId="2082C4A7" w14:textId="77777777" w:rsidR="00E36CCE" w:rsidRPr="00E36CCE" w:rsidRDefault="00E36CCE" w:rsidP="00E36CCE">
            <w:pPr>
              <w:spacing w:after="160" w:line="360" w:lineRule="auto"/>
              <w:rPr>
                <w:rFonts w:ascii="Arial" w:hAnsi="Arial" w:cs="Arial"/>
              </w:rPr>
            </w:pPr>
            <w:r w:rsidRPr="00E36CCE">
              <w:rPr>
                <w:rFonts w:ascii="Arial" w:hAnsi="Arial" w:cs="Arial"/>
                <w:b/>
                <w:bCs/>
              </w:rPr>
              <w:t>Highest CAD and Heart Failure Comorbidity:</w:t>
            </w:r>
            <w:r w:rsidRPr="00E36CCE">
              <w:rPr>
                <w:rFonts w:ascii="Arial" w:hAnsi="Arial" w:cs="Arial"/>
              </w:rPr>
              <w:t xml:space="preserve"> Accelerated onset of ischemic cardiomyopathy.</w:t>
            </w:r>
          </w:p>
        </w:tc>
        <w:tc>
          <w:tcPr>
            <w:tcW w:w="0" w:type="auto"/>
            <w:hideMark/>
          </w:tcPr>
          <w:p w14:paraId="53BF08AB" w14:textId="77777777" w:rsidR="00E36CCE" w:rsidRPr="00E36CCE" w:rsidRDefault="00E36CCE" w:rsidP="00E36CCE">
            <w:pPr>
              <w:spacing w:after="160" w:line="360" w:lineRule="auto"/>
              <w:rPr>
                <w:rFonts w:ascii="Arial" w:hAnsi="Arial" w:cs="Arial"/>
              </w:rPr>
            </w:pPr>
            <w:r w:rsidRPr="00E36CCE">
              <w:rPr>
                <w:rFonts w:ascii="Arial" w:hAnsi="Arial" w:cs="Arial"/>
              </w:rPr>
              <w:t>High prevalence of concurrent Type 2 diabetes; shift-work schedules; high dietary sodium and saturated fat intake.</w:t>
            </w:r>
          </w:p>
        </w:tc>
      </w:tr>
      <w:tr w:rsidR="00E36CCE" w:rsidRPr="00E36CCE" w14:paraId="7B95DDE0" w14:textId="77777777" w:rsidTr="00E36CCE">
        <w:tc>
          <w:tcPr>
            <w:tcW w:w="0" w:type="auto"/>
            <w:hideMark/>
          </w:tcPr>
          <w:p w14:paraId="70884637" w14:textId="77777777" w:rsidR="00E36CCE" w:rsidRPr="00E36CCE" w:rsidRDefault="00E36CCE" w:rsidP="00E36CCE">
            <w:pPr>
              <w:spacing w:after="160" w:line="360" w:lineRule="auto"/>
              <w:rPr>
                <w:rFonts w:ascii="Arial" w:hAnsi="Arial" w:cs="Arial"/>
              </w:rPr>
            </w:pPr>
            <w:r w:rsidRPr="00E36CCE">
              <w:rPr>
                <w:rFonts w:ascii="Arial" w:hAnsi="Arial" w:cs="Arial"/>
                <w:b/>
                <w:bCs/>
              </w:rPr>
              <w:t>Deprived Working-Class Communities in Private Rented Housing</w:t>
            </w:r>
          </w:p>
        </w:tc>
        <w:tc>
          <w:tcPr>
            <w:tcW w:w="0" w:type="auto"/>
            <w:hideMark/>
          </w:tcPr>
          <w:p w14:paraId="36FAB21A" w14:textId="77777777" w:rsidR="00E36CCE" w:rsidRPr="00E36CCE" w:rsidRDefault="00E36CCE" w:rsidP="00E36CCE">
            <w:pPr>
              <w:spacing w:after="160" w:line="360" w:lineRule="auto"/>
              <w:rPr>
                <w:rFonts w:ascii="Arial" w:hAnsi="Arial" w:cs="Arial"/>
              </w:rPr>
            </w:pPr>
            <w:r w:rsidRPr="00E36CCE">
              <w:rPr>
                <w:rFonts w:ascii="Arial" w:hAnsi="Arial" w:cs="Arial"/>
                <w:b/>
                <w:bCs/>
              </w:rPr>
              <w:t>Elevated Undiagnosed Latency:</w:t>
            </w:r>
            <w:r w:rsidRPr="00E36CCE">
              <w:rPr>
                <w:rFonts w:ascii="Arial" w:hAnsi="Arial" w:cs="Arial"/>
              </w:rPr>
              <w:t xml:space="preserve"> Lowest rates of routine health check attendance.</w:t>
            </w:r>
          </w:p>
        </w:tc>
        <w:tc>
          <w:tcPr>
            <w:tcW w:w="0" w:type="auto"/>
            <w:hideMark/>
          </w:tcPr>
          <w:p w14:paraId="4A8F6EAE" w14:textId="77777777" w:rsidR="00E36CCE" w:rsidRPr="00E36CCE" w:rsidRDefault="00E36CCE" w:rsidP="00E36CCE">
            <w:pPr>
              <w:spacing w:after="160" w:line="360" w:lineRule="auto"/>
              <w:rPr>
                <w:rFonts w:ascii="Arial" w:hAnsi="Arial" w:cs="Arial"/>
              </w:rPr>
            </w:pPr>
            <w:r w:rsidRPr="00E36CCE">
              <w:rPr>
                <w:rFonts w:ascii="Arial" w:hAnsi="Arial" w:cs="Arial"/>
              </w:rPr>
              <w:t>Precarious employment; transient tenancy limiting GP registration; low baseline health literacy regarding asymptomatic hypertension.</w:t>
            </w:r>
          </w:p>
        </w:tc>
      </w:tr>
    </w:tbl>
    <w:p w14:paraId="3F6DE451" w14:textId="77777777" w:rsidR="00E36CCE" w:rsidRPr="00E36CCE" w:rsidRDefault="00E36CCE" w:rsidP="00E36CCE">
      <w:pPr>
        <w:spacing w:line="360" w:lineRule="auto"/>
        <w:rPr>
          <w:rFonts w:ascii="Arial" w:hAnsi="Arial" w:cs="Arial"/>
        </w:rPr>
      </w:pPr>
      <w:r w:rsidRPr="00E36CCE">
        <w:rPr>
          <w:rFonts w:ascii="Arial" w:hAnsi="Arial" w:cs="Arial"/>
        </w:rPr>
        <w:t>This needs assessment confirms that standard general practice models fail to reach the most vulnerable cohorts; interventions must be decentralized and culturally tailored.</w:t>
      </w:r>
    </w:p>
    <w:p w14:paraId="75DCE0B2" w14:textId="77777777" w:rsidR="00E36CCE" w:rsidRPr="00E36CCE" w:rsidRDefault="00E36CCE" w:rsidP="00E36CCE">
      <w:pPr>
        <w:spacing w:line="360" w:lineRule="auto"/>
        <w:rPr>
          <w:rFonts w:ascii="Arial" w:hAnsi="Arial" w:cs="Arial"/>
          <w:b/>
          <w:bCs/>
        </w:rPr>
      </w:pPr>
      <w:r w:rsidRPr="00E36CCE">
        <w:rPr>
          <w:rFonts w:ascii="Arial" w:hAnsi="Arial" w:cs="Arial"/>
          <w:b/>
          <w:bCs/>
        </w:rPr>
        <w:t>4. Monitoring and Public Health Surveillance Systems</w:t>
      </w:r>
    </w:p>
    <w:p w14:paraId="35A514BC" w14:textId="77777777" w:rsidR="00E36CCE" w:rsidRPr="00E36CCE" w:rsidRDefault="00E36CCE" w:rsidP="00E36CCE">
      <w:pPr>
        <w:spacing w:line="360" w:lineRule="auto"/>
        <w:rPr>
          <w:rFonts w:ascii="Arial" w:hAnsi="Arial" w:cs="Arial"/>
        </w:rPr>
      </w:pPr>
      <w:r w:rsidRPr="00E36CCE">
        <w:rPr>
          <w:rFonts w:ascii="Arial" w:hAnsi="Arial" w:cs="Arial"/>
        </w:rPr>
        <w:t>Epidemiological monitoring of HHD in Newham relies on an integrated, multi-source public health surveillance architecture:</w:t>
      </w:r>
    </w:p>
    <w:p w14:paraId="191944BE" w14:textId="77777777" w:rsidR="00E36CCE" w:rsidRPr="00E36CCE" w:rsidRDefault="00E36CCE" w:rsidP="00E36CCE">
      <w:pPr>
        <w:numPr>
          <w:ilvl w:val="0"/>
          <w:numId w:val="5"/>
        </w:numPr>
        <w:spacing w:line="360" w:lineRule="auto"/>
        <w:rPr>
          <w:rFonts w:ascii="Arial" w:hAnsi="Arial" w:cs="Arial"/>
        </w:rPr>
      </w:pPr>
      <w:r w:rsidRPr="00E36CCE">
        <w:rPr>
          <w:rFonts w:ascii="Arial" w:hAnsi="Arial" w:cs="Arial"/>
          <w:b/>
          <w:bCs/>
        </w:rPr>
        <w:t xml:space="preserve">Primary Care Electronic Health Records (EMIS Web / </w:t>
      </w:r>
      <w:proofErr w:type="spellStart"/>
      <w:r w:rsidRPr="00E36CCE">
        <w:rPr>
          <w:rFonts w:ascii="Arial" w:hAnsi="Arial" w:cs="Arial"/>
          <w:b/>
          <w:bCs/>
        </w:rPr>
        <w:t>SystmOne</w:t>
      </w:r>
      <w:proofErr w:type="spellEnd"/>
      <w:r w:rsidRPr="00E36CCE">
        <w:rPr>
          <w:rFonts w:ascii="Arial" w:hAnsi="Arial" w:cs="Arial"/>
          <w:b/>
          <w:bCs/>
        </w:rPr>
        <w:t>):</w:t>
      </w:r>
      <w:r w:rsidRPr="00E36CCE">
        <w:rPr>
          <w:rFonts w:ascii="Arial" w:hAnsi="Arial" w:cs="Arial"/>
        </w:rPr>
        <w:t xml:space="preserve"> Continuous passive surveillance captures clinical readings, prescriptions, and biochemical kidney panels (eGFR, serum creatinine, ACR). Disease registers maintained under the Quality and Outcomes Framework (QOF) track local achievement against blood pressure clinical control standards across all Primary Care Networks (PCNs).</w:t>
      </w:r>
    </w:p>
    <w:p w14:paraId="796EFBB2" w14:textId="77777777" w:rsidR="00E36CCE" w:rsidRPr="00E36CCE" w:rsidRDefault="00E36CCE" w:rsidP="00E36CCE">
      <w:pPr>
        <w:numPr>
          <w:ilvl w:val="0"/>
          <w:numId w:val="5"/>
        </w:numPr>
        <w:spacing w:line="360" w:lineRule="auto"/>
        <w:rPr>
          <w:rFonts w:ascii="Arial" w:hAnsi="Arial" w:cs="Arial"/>
        </w:rPr>
      </w:pPr>
      <w:r w:rsidRPr="00E36CCE">
        <w:rPr>
          <w:rFonts w:ascii="Arial" w:hAnsi="Arial" w:cs="Arial"/>
          <w:b/>
          <w:bCs/>
        </w:rPr>
        <w:t>The National Cardiac Audit Programme (NCAP):</w:t>
      </w:r>
      <w:r w:rsidRPr="00E36CCE">
        <w:rPr>
          <w:rFonts w:ascii="Arial" w:hAnsi="Arial" w:cs="Arial"/>
        </w:rPr>
        <w:t xml:space="preserve"> A statutory national audit registry linking primary care data with Hospital Episode Statistics (HES). NCAP monitors clinical outcomes, tracking hospital admissions for acute coronary syndromes, decompensated heart failure, Percutaneous Coronary Interventions (PCI), and 30-day post-infarct survival rates across Barts Health NHS Trust.</w:t>
      </w:r>
    </w:p>
    <w:p w14:paraId="31BAD13A" w14:textId="77777777" w:rsidR="00E36CCE" w:rsidRPr="00E36CCE" w:rsidRDefault="00E36CCE" w:rsidP="00E36CCE">
      <w:pPr>
        <w:numPr>
          <w:ilvl w:val="0"/>
          <w:numId w:val="5"/>
        </w:numPr>
        <w:spacing w:line="360" w:lineRule="auto"/>
        <w:rPr>
          <w:rFonts w:ascii="Arial" w:hAnsi="Arial" w:cs="Arial"/>
        </w:rPr>
      </w:pPr>
      <w:r w:rsidRPr="00E36CCE">
        <w:rPr>
          <w:rFonts w:ascii="Arial" w:hAnsi="Arial" w:cs="Arial"/>
          <w:b/>
          <w:bCs/>
        </w:rPr>
        <w:lastRenderedPageBreak/>
        <w:t>Office for Health Improvement and Disparities (OHID) Cardiovascular Fingertips:</w:t>
      </w:r>
      <w:r w:rsidRPr="00E36CCE">
        <w:rPr>
          <w:rFonts w:ascii="Arial" w:hAnsi="Arial" w:cs="Arial"/>
        </w:rPr>
        <w:t xml:space="preserve"> Compiles population-level health indicator metrics, allowing epidemiologists to benchmark Newham against other London boroughs and demographically matched statistical </w:t>
      </w:r>
      <w:proofErr w:type="spellStart"/>
      <w:r w:rsidRPr="00E36CCE">
        <w:rPr>
          <w:rFonts w:ascii="Arial" w:hAnsi="Arial" w:cs="Arial"/>
        </w:rPr>
        <w:t>neighbors</w:t>
      </w:r>
      <w:proofErr w:type="spellEnd"/>
      <w:r w:rsidRPr="00E36CCE">
        <w:rPr>
          <w:rFonts w:ascii="Arial" w:hAnsi="Arial" w:cs="Arial"/>
        </w:rPr>
        <w:t>.</w:t>
      </w:r>
    </w:p>
    <w:p w14:paraId="66F977C2" w14:textId="77777777" w:rsidR="00E36CCE" w:rsidRPr="00E36CCE" w:rsidRDefault="00E36CCE" w:rsidP="00E36CCE">
      <w:pPr>
        <w:numPr>
          <w:ilvl w:val="0"/>
          <w:numId w:val="5"/>
        </w:numPr>
        <w:spacing w:line="360" w:lineRule="auto"/>
        <w:rPr>
          <w:rFonts w:ascii="Arial" w:hAnsi="Arial" w:cs="Arial"/>
        </w:rPr>
      </w:pPr>
      <w:r w:rsidRPr="00E36CCE">
        <w:rPr>
          <w:rFonts w:ascii="Arial" w:hAnsi="Arial" w:cs="Arial"/>
          <w:b/>
          <w:bCs/>
        </w:rPr>
        <w:t>Secondary Care Sentinel Emergency Surveillance:</w:t>
      </w:r>
      <w:r w:rsidRPr="00E36CCE">
        <w:rPr>
          <w:rFonts w:ascii="Arial" w:hAnsi="Arial" w:cs="Arial"/>
        </w:rPr>
        <w:t xml:space="preserve"> Inpatient admissions for acute hypertensive encephalopathy, </w:t>
      </w:r>
      <w:proofErr w:type="spellStart"/>
      <w:r w:rsidRPr="00E36CCE">
        <w:rPr>
          <w:rFonts w:ascii="Arial" w:hAnsi="Arial" w:cs="Arial"/>
        </w:rPr>
        <w:t>hemorrhagic</w:t>
      </w:r>
      <w:proofErr w:type="spellEnd"/>
      <w:r w:rsidRPr="00E36CCE">
        <w:rPr>
          <w:rFonts w:ascii="Arial" w:hAnsi="Arial" w:cs="Arial"/>
        </w:rPr>
        <w:t xml:space="preserve"> strokes, and non-elective cardiology admissions at Newham University Hospital serve as real-time sentinel signals pointing to failures in primary care management and detection.</w:t>
      </w:r>
    </w:p>
    <w:p w14:paraId="0B743794" w14:textId="77777777" w:rsidR="00E36CCE" w:rsidRPr="00E36CCE" w:rsidRDefault="00E36CCE" w:rsidP="00E36CCE">
      <w:pPr>
        <w:spacing w:line="360" w:lineRule="auto"/>
        <w:rPr>
          <w:rFonts w:ascii="Arial" w:hAnsi="Arial" w:cs="Arial"/>
          <w:b/>
          <w:bCs/>
        </w:rPr>
      </w:pPr>
      <w:r w:rsidRPr="00E36CCE">
        <w:rPr>
          <w:rFonts w:ascii="Arial" w:hAnsi="Arial" w:cs="Arial"/>
          <w:b/>
          <w:bCs/>
        </w:rPr>
        <w:t>5. Short- and Long-Term Public Health Impacts</w:t>
      </w:r>
    </w:p>
    <w:p w14:paraId="0484E40A" w14:textId="77777777" w:rsidR="00E36CCE" w:rsidRPr="00E36CCE" w:rsidRDefault="00E36CCE" w:rsidP="00E36CCE">
      <w:pPr>
        <w:spacing w:line="360" w:lineRule="auto"/>
        <w:rPr>
          <w:rFonts w:ascii="Arial" w:hAnsi="Arial" w:cs="Arial"/>
        </w:rPr>
      </w:pPr>
      <w:r w:rsidRPr="00E36CCE">
        <w:rPr>
          <w:rFonts w:ascii="Arial" w:hAnsi="Arial" w:cs="Arial"/>
        </w:rPr>
        <w:t>Epidemiological projections indicate significant public health consequences across Newham if blood pressure control is not optimized:</w:t>
      </w:r>
    </w:p>
    <w:p w14:paraId="792CFABE" w14:textId="77777777" w:rsidR="00E36CCE" w:rsidRPr="00E36CCE" w:rsidRDefault="00E36CCE" w:rsidP="00E36CCE">
      <w:pPr>
        <w:numPr>
          <w:ilvl w:val="0"/>
          <w:numId w:val="6"/>
        </w:numPr>
        <w:spacing w:line="360" w:lineRule="auto"/>
        <w:rPr>
          <w:rFonts w:ascii="Arial" w:hAnsi="Arial" w:cs="Arial"/>
        </w:rPr>
      </w:pPr>
      <w:r w:rsidRPr="00E36CCE">
        <w:rPr>
          <w:rFonts w:ascii="Arial" w:hAnsi="Arial" w:cs="Arial"/>
          <w:b/>
          <w:bCs/>
        </w:rPr>
        <w:t>Short-Term Impacts (1–3 Years):</w:t>
      </w:r>
      <w:r w:rsidRPr="00E36CCE">
        <w:rPr>
          <w:rFonts w:ascii="Arial" w:hAnsi="Arial" w:cs="Arial"/>
        </w:rPr>
        <w:t xml:space="preserve"> Increased strain on emergency medical services, high acute bed occupancy for transient ischemic attacks (TIAs) and strokes, and escalating prescribing expenditures for multi-drug antihypertensive regimens (</w:t>
      </w:r>
      <w:proofErr w:type="spellStart"/>
      <w:r w:rsidRPr="00E36CCE">
        <w:rPr>
          <w:rFonts w:ascii="Arial" w:hAnsi="Arial" w:cs="Arial"/>
        </w:rPr>
        <w:t>ACEi</w:t>
      </w:r>
      <w:proofErr w:type="spellEnd"/>
      <w:r w:rsidRPr="00E36CCE">
        <w:rPr>
          <w:rFonts w:ascii="Arial" w:hAnsi="Arial" w:cs="Arial"/>
        </w:rPr>
        <w:t>/ARBs, Calcium Channel Blockers, and Thiazide-like diuretics).</w:t>
      </w:r>
    </w:p>
    <w:p w14:paraId="4D9C442F" w14:textId="77777777" w:rsidR="00E36CCE" w:rsidRPr="00E36CCE" w:rsidRDefault="00E36CCE" w:rsidP="00E36CCE">
      <w:pPr>
        <w:numPr>
          <w:ilvl w:val="0"/>
          <w:numId w:val="6"/>
        </w:numPr>
        <w:spacing w:line="360" w:lineRule="auto"/>
        <w:rPr>
          <w:rFonts w:ascii="Arial" w:hAnsi="Arial" w:cs="Arial"/>
        </w:rPr>
      </w:pPr>
      <w:r w:rsidRPr="00E36CCE">
        <w:rPr>
          <w:rFonts w:ascii="Arial" w:hAnsi="Arial" w:cs="Arial"/>
          <w:b/>
          <w:bCs/>
        </w:rPr>
        <w:t>Long-Term Impacts (5–20 Years):</w:t>
      </w:r>
      <w:r w:rsidRPr="00E36CCE">
        <w:rPr>
          <w:rFonts w:ascii="Arial" w:hAnsi="Arial" w:cs="Arial"/>
        </w:rPr>
        <w:t xml:space="preserve"> Substantial increases in premature cardiovascular mortality, high prevalence of vascular dementia, irreversible end-stage renal disease requiring long-term dialysis at the Royal London Hospital, and thousands of years of working life lost. Health economic models forecast that without population-level blood pressure control, local NHS and adult social care costs associated with cardiovascular disability will rise by 41% over the next two decades (Newham JSNA, 2023).</w:t>
      </w:r>
    </w:p>
    <w:p w14:paraId="7EF08DF8" w14:textId="77777777" w:rsidR="00E36CCE" w:rsidRPr="00E36CCE" w:rsidRDefault="00E36CCE" w:rsidP="00E36CCE">
      <w:pPr>
        <w:spacing w:line="360" w:lineRule="auto"/>
        <w:rPr>
          <w:rFonts w:ascii="Arial" w:hAnsi="Arial" w:cs="Arial"/>
          <w:b/>
          <w:bCs/>
        </w:rPr>
      </w:pPr>
      <w:r w:rsidRPr="00E36CCE">
        <w:rPr>
          <w:rFonts w:ascii="Arial" w:hAnsi="Arial" w:cs="Arial"/>
          <w:b/>
          <w:bCs/>
        </w:rPr>
        <w:t>6. Intervention Programme Design and Evaluation</w:t>
      </w:r>
    </w:p>
    <w:p w14:paraId="6D836D8F" w14:textId="77777777" w:rsidR="00E36CCE" w:rsidRPr="00E36CCE" w:rsidRDefault="00E36CCE" w:rsidP="00E36CCE">
      <w:pPr>
        <w:spacing w:line="360" w:lineRule="auto"/>
        <w:rPr>
          <w:rFonts w:ascii="Arial" w:hAnsi="Arial" w:cs="Arial"/>
        </w:rPr>
      </w:pPr>
      <w:r w:rsidRPr="00E36CCE">
        <w:rPr>
          <w:rFonts w:ascii="Arial" w:hAnsi="Arial" w:cs="Arial"/>
        </w:rPr>
        <w:t xml:space="preserve">To address these epidemiological challenges, we propose the </w:t>
      </w:r>
      <w:r w:rsidRPr="00E36CCE">
        <w:rPr>
          <w:rFonts w:ascii="Arial" w:hAnsi="Arial" w:cs="Arial"/>
          <w:b/>
          <w:bCs/>
        </w:rPr>
        <w:t>Newham Community Blood Pressure and Heart Health (NCBP-HH) Programme</w:t>
      </w:r>
      <w:r w:rsidRPr="00E36CCE">
        <w:rPr>
          <w:rFonts w:ascii="Arial" w:hAnsi="Arial" w:cs="Arial"/>
        </w:rPr>
        <w:t>.</w:t>
      </w:r>
    </w:p>
    <w:p w14:paraId="660EFA90" w14:textId="77777777" w:rsidR="00E36CCE" w:rsidRPr="00E36CCE" w:rsidRDefault="00E36CCE" w:rsidP="00E36CCE">
      <w:pPr>
        <w:numPr>
          <w:ilvl w:val="0"/>
          <w:numId w:val="7"/>
        </w:numPr>
        <w:spacing w:line="360" w:lineRule="auto"/>
        <w:rPr>
          <w:rFonts w:ascii="Arial" w:hAnsi="Arial" w:cs="Arial"/>
        </w:rPr>
      </w:pPr>
      <w:r w:rsidRPr="00E36CCE">
        <w:rPr>
          <w:rFonts w:ascii="Arial" w:hAnsi="Arial" w:cs="Arial"/>
          <w:b/>
          <w:bCs/>
        </w:rPr>
        <w:t>Target Population:</w:t>
      </w:r>
      <w:r w:rsidRPr="00E36CCE">
        <w:rPr>
          <w:rFonts w:ascii="Arial" w:hAnsi="Arial" w:cs="Arial"/>
        </w:rPr>
        <w:t xml:space="preserve"> Adults aged 30–70 residing in Newham’s most deprived wards, with a specific focus on Black, South Asian, and low-income working-</w:t>
      </w:r>
      <w:r w:rsidRPr="00E36CCE">
        <w:rPr>
          <w:rFonts w:ascii="Arial" w:hAnsi="Arial" w:cs="Arial"/>
        </w:rPr>
        <w:lastRenderedPageBreak/>
        <w:t>class residents with diagnosed hypertension or unassessed cardiovascular risk.</w:t>
      </w:r>
    </w:p>
    <w:p w14:paraId="67AF4AA4" w14:textId="77777777" w:rsidR="00E36CCE" w:rsidRPr="00E36CCE" w:rsidRDefault="00E36CCE" w:rsidP="00E36CCE">
      <w:pPr>
        <w:numPr>
          <w:ilvl w:val="0"/>
          <w:numId w:val="7"/>
        </w:numPr>
        <w:spacing w:line="360" w:lineRule="auto"/>
        <w:rPr>
          <w:rFonts w:ascii="Arial" w:hAnsi="Arial" w:cs="Arial"/>
        </w:rPr>
      </w:pPr>
      <w:r w:rsidRPr="00E36CCE">
        <w:rPr>
          <w:rFonts w:ascii="Arial" w:hAnsi="Arial" w:cs="Arial"/>
          <w:b/>
          <w:bCs/>
        </w:rPr>
        <w:t>Key Components:</w:t>
      </w:r>
    </w:p>
    <w:p w14:paraId="4ACF57BC" w14:textId="77777777" w:rsidR="00E36CCE" w:rsidRPr="00E36CCE" w:rsidRDefault="00E36CCE" w:rsidP="00E36CCE">
      <w:pPr>
        <w:numPr>
          <w:ilvl w:val="1"/>
          <w:numId w:val="7"/>
        </w:numPr>
        <w:spacing w:line="360" w:lineRule="auto"/>
        <w:rPr>
          <w:rFonts w:ascii="Arial" w:hAnsi="Arial" w:cs="Arial"/>
        </w:rPr>
      </w:pPr>
      <w:r w:rsidRPr="00E36CCE">
        <w:rPr>
          <w:rFonts w:ascii="Arial" w:hAnsi="Arial" w:cs="Arial"/>
        </w:rPr>
        <w:t xml:space="preserve">Decentralized Community Screening Hubs: Deploying trained Community Health Champions and pharmacy technicians to perform rapid blood pressure checks in mosques, churches, community </w:t>
      </w:r>
      <w:proofErr w:type="spellStart"/>
      <w:r w:rsidRPr="00E36CCE">
        <w:rPr>
          <w:rFonts w:ascii="Arial" w:hAnsi="Arial" w:cs="Arial"/>
        </w:rPr>
        <w:t>centers</w:t>
      </w:r>
      <w:proofErr w:type="spellEnd"/>
      <w:r w:rsidRPr="00E36CCE">
        <w:rPr>
          <w:rFonts w:ascii="Arial" w:hAnsi="Arial" w:cs="Arial"/>
        </w:rPr>
        <w:t>, barbershops, and local markets (e.g., Queens Market, Upton Park).</w:t>
      </w:r>
    </w:p>
    <w:p w14:paraId="0F659F31" w14:textId="77777777" w:rsidR="00E36CCE" w:rsidRPr="00E36CCE" w:rsidRDefault="00E36CCE" w:rsidP="00E36CCE">
      <w:pPr>
        <w:numPr>
          <w:ilvl w:val="1"/>
          <w:numId w:val="7"/>
        </w:numPr>
        <w:spacing w:line="360" w:lineRule="auto"/>
        <w:rPr>
          <w:rFonts w:ascii="Arial" w:hAnsi="Arial" w:cs="Arial"/>
        </w:rPr>
      </w:pPr>
      <w:r w:rsidRPr="00E36CCE">
        <w:rPr>
          <w:rFonts w:ascii="Arial" w:hAnsi="Arial" w:cs="Arial"/>
        </w:rPr>
        <w:t>Digital Home Telemonitoring and Clinical Pharmacist Titration: Supplying validated, Bluetooth-enabled home blood pressure monitors linked to GP electronic records (NHS @home), paired with proactive medication optimization led by PCN clinical pharmacists.</w:t>
      </w:r>
    </w:p>
    <w:p w14:paraId="4898D0C0" w14:textId="77777777" w:rsidR="00E36CCE" w:rsidRPr="00E36CCE" w:rsidRDefault="00E36CCE" w:rsidP="00E36CCE">
      <w:pPr>
        <w:numPr>
          <w:ilvl w:val="1"/>
          <w:numId w:val="7"/>
        </w:numPr>
        <w:spacing w:line="360" w:lineRule="auto"/>
        <w:rPr>
          <w:rFonts w:ascii="Arial" w:hAnsi="Arial" w:cs="Arial"/>
        </w:rPr>
      </w:pPr>
      <w:r w:rsidRPr="00E36CCE">
        <w:rPr>
          <w:rFonts w:ascii="Arial" w:hAnsi="Arial" w:cs="Arial"/>
        </w:rPr>
        <w:t>Culturally Tailored Dietary and Lifestyle Coaching: Establishing bilingual dietary education workshops (focusing on low-sodium West African, Caribbean, and South Asian culinary adaptations) combined with free, council-subsidized exercise passes.</w:t>
      </w:r>
    </w:p>
    <w:p w14:paraId="298D2733" w14:textId="77777777" w:rsidR="00E36CCE" w:rsidRPr="00E36CCE" w:rsidRDefault="00E36CCE" w:rsidP="00E36CCE">
      <w:pPr>
        <w:numPr>
          <w:ilvl w:val="0"/>
          <w:numId w:val="7"/>
        </w:numPr>
        <w:spacing w:line="360" w:lineRule="auto"/>
        <w:rPr>
          <w:rFonts w:ascii="Arial" w:hAnsi="Arial" w:cs="Arial"/>
        </w:rPr>
      </w:pPr>
      <w:r w:rsidRPr="00E36CCE">
        <w:rPr>
          <w:rFonts w:ascii="Arial" w:hAnsi="Arial" w:cs="Arial"/>
          <w:b/>
          <w:bCs/>
        </w:rPr>
        <w:t>Evaluation Framework:</w:t>
      </w:r>
      <w:r w:rsidRPr="00E36CCE">
        <w:rPr>
          <w:rFonts w:ascii="Arial" w:hAnsi="Arial" w:cs="Arial"/>
        </w:rPr>
        <w:t xml:space="preserve"> A mixed-methods epidemiological evaluation design will assess:</w:t>
      </w:r>
    </w:p>
    <w:p w14:paraId="27259403" w14:textId="77777777" w:rsidR="00E36CCE" w:rsidRPr="00E36CCE" w:rsidRDefault="00E36CCE" w:rsidP="00E36CCE">
      <w:pPr>
        <w:numPr>
          <w:ilvl w:val="1"/>
          <w:numId w:val="8"/>
        </w:numPr>
        <w:spacing w:line="360" w:lineRule="auto"/>
        <w:rPr>
          <w:rFonts w:ascii="Arial" w:hAnsi="Arial" w:cs="Arial"/>
        </w:rPr>
      </w:pPr>
      <w:r w:rsidRPr="00E36CCE">
        <w:rPr>
          <w:rFonts w:ascii="Arial" w:hAnsi="Arial" w:cs="Arial"/>
        </w:rPr>
        <w:t>Process Metrics: Total number of individuals screened, rate of newly identified hypertensive cases, and retention rates across coaching pathways.</w:t>
      </w:r>
    </w:p>
    <w:p w14:paraId="67AC11AD" w14:textId="7C98AD56" w:rsidR="00E36CCE" w:rsidRPr="00E36CCE" w:rsidRDefault="00E36CCE" w:rsidP="00E36CCE">
      <w:pPr>
        <w:numPr>
          <w:ilvl w:val="1"/>
          <w:numId w:val="8"/>
        </w:numPr>
        <w:spacing w:line="360" w:lineRule="auto"/>
        <w:rPr>
          <w:rFonts w:ascii="Arial" w:hAnsi="Arial" w:cs="Arial"/>
        </w:rPr>
      </w:pPr>
      <w:r w:rsidRPr="00E36CCE">
        <w:rPr>
          <w:rFonts w:ascii="Arial" w:hAnsi="Arial" w:cs="Arial"/>
        </w:rPr>
        <w:t xml:space="preserve">Intermediate Clinical Outcomes (6–12 months): Mean reduction in systolic and diastolic blood pressure (target </w:t>
      </w:r>
      <m:oMath>
        <m:r>
          <m:rPr>
            <m:sty m:val="p"/>
          </m:rPr>
          <w:rPr>
            <w:rFonts w:ascii="Cambria Math" w:hAnsi="Cambria Math" w:cs="Arial"/>
          </w:rPr>
          <m:t>&lt;135/85</m:t>
        </m:r>
      </m:oMath>
      <w:r w:rsidRPr="00E36CCE">
        <w:rPr>
          <w:rFonts w:ascii="Arial" w:hAnsi="Arial" w:cs="Arial"/>
        </w:rPr>
        <w:t xml:space="preserve"> mmHg), proportion of diagnosed patients achieving target control, and improved medication adherence rates.</w:t>
      </w:r>
    </w:p>
    <w:p w14:paraId="4F2F0AD7" w14:textId="77777777" w:rsidR="00E36CCE" w:rsidRPr="00E36CCE" w:rsidRDefault="00E36CCE" w:rsidP="00E36CCE">
      <w:pPr>
        <w:numPr>
          <w:ilvl w:val="1"/>
          <w:numId w:val="8"/>
        </w:numPr>
        <w:spacing w:line="360" w:lineRule="auto"/>
        <w:rPr>
          <w:rFonts w:ascii="Arial" w:hAnsi="Arial" w:cs="Arial"/>
        </w:rPr>
      </w:pPr>
      <w:r w:rsidRPr="00E36CCE">
        <w:rPr>
          <w:rFonts w:ascii="Arial" w:hAnsi="Arial" w:cs="Arial"/>
        </w:rPr>
        <w:t>Long-Term Epidemiological Outcomes (3–5 years): Reductions in emergency stroke admissions and acute heart failure hospitalizations (HES data), evaluated through a quasi-experimental difference-in-differences analysis comparing Newham with an adjacent control borough (e.g., the London Borough of Waltham Forest).</w:t>
      </w:r>
    </w:p>
    <w:p w14:paraId="5ABFB0A5" w14:textId="77777777" w:rsidR="00E36CCE" w:rsidRPr="00E36CCE" w:rsidRDefault="00E36CCE" w:rsidP="00E36CCE">
      <w:pPr>
        <w:spacing w:line="360" w:lineRule="auto"/>
        <w:rPr>
          <w:rFonts w:ascii="Arial" w:hAnsi="Arial" w:cs="Arial"/>
          <w:b/>
          <w:bCs/>
        </w:rPr>
      </w:pPr>
      <w:r w:rsidRPr="00E36CCE">
        <w:rPr>
          <w:rFonts w:ascii="Arial" w:hAnsi="Arial" w:cs="Arial"/>
          <w:b/>
          <w:bCs/>
        </w:rPr>
        <w:lastRenderedPageBreak/>
        <w:t>7. Strengths and Weaknesses of the Epidemiological Approach</w:t>
      </w:r>
    </w:p>
    <w:p w14:paraId="06E8A248" w14:textId="77777777" w:rsidR="00E36CCE" w:rsidRPr="00E36CCE" w:rsidRDefault="00E36CCE" w:rsidP="00E36CCE">
      <w:pPr>
        <w:numPr>
          <w:ilvl w:val="0"/>
          <w:numId w:val="9"/>
        </w:numPr>
        <w:spacing w:line="360" w:lineRule="auto"/>
        <w:rPr>
          <w:rFonts w:ascii="Arial" w:hAnsi="Arial" w:cs="Arial"/>
        </w:rPr>
      </w:pPr>
      <w:r w:rsidRPr="00E36CCE">
        <w:rPr>
          <w:rFonts w:ascii="Arial" w:hAnsi="Arial" w:cs="Arial"/>
          <w:b/>
          <w:bCs/>
        </w:rPr>
        <w:t>Strengths:</w:t>
      </w:r>
    </w:p>
    <w:p w14:paraId="25A64CB2" w14:textId="77777777" w:rsidR="00E36CCE" w:rsidRPr="00E36CCE" w:rsidRDefault="00E36CCE" w:rsidP="00E36CCE">
      <w:pPr>
        <w:numPr>
          <w:ilvl w:val="1"/>
          <w:numId w:val="9"/>
        </w:numPr>
        <w:spacing w:line="360" w:lineRule="auto"/>
        <w:rPr>
          <w:rFonts w:ascii="Arial" w:hAnsi="Arial" w:cs="Arial"/>
        </w:rPr>
      </w:pPr>
      <w:r w:rsidRPr="00E36CCE">
        <w:rPr>
          <w:rFonts w:ascii="Arial" w:hAnsi="Arial" w:cs="Arial"/>
        </w:rPr>
        <w:t>Leveraging high-volume primary care (QOF) and hospital administrative datasets (HES/NCAP) provides comprehensive population-level data, minimizing selection bias and identifying micro-geographic hotspots of cardiovascular risk.</w:t>
      </w:r>
    </w:p>
    <w:p w14:paraId="77D90667" w14:textId="77777777" w:rsidR="00E36CCE" w:rsidRPr="00E36CCE" w:rsidRDefault="00E36CCE" w:rsidP="00E36CCE">
      <w:pPr>
        <w:numPr>
          <w:ilvl w:val="1"/>
          <w:numId w:val="9"/>
        </w:numPr>
        <w:spacing w:line="360" w:lineRule="auto"/>
        <w:rPr>
          <w:rFonts w:ascii="Arial" w:hAnsi="Arial" w:cs="Arial"/>
        </w:rPr>
      </w:pPr>
      <w:r w:rsidRPr="00E36CCE">
        <w:rPr>
          <w:rFonts w:ascii="Arial" w:hAnsi="Arial" w:cs="Arial"/>
        </w:rPr>
        <w:t>It facilitates targeted risk stratification, ensuring public health resources and clinical staff are deployed upstream where clinical return on investment is maximized.</w:t>
      </w:r>
    </w:p>
    <w:p w14:paraId="5BD79108" w14:textId="77777777" w:rsidR="00E36CCE" w:rsidRPr="00E36CCE" w:rsidRDefault="00E36CCE" w:rsidP="00E36CCE">
      <w:pPr>
        <w:numPr>
          <w:ilvl w:val="0"/>
          <w:numId w:val="9"/>
        </w:numPr>
        <w:spacing w:line="360" w:lineRule="auto"/>
        <w:rPr>
          <w:rFonts w:ascii="Arial" w:hAnsi="Arial" w:cs="Arial"/>
        </w:rPr>
      </w:pPr>
      <w:r w:rsidRPr="00E36CCE">
        <w:rPr>
          <w:rFonts w:ascii="Arial" w:hAnsi="Arial" w:cs="Arial"/>
          <w:b/>
          <w:bCs/>
        </w:rPr>
        <w:t>Weaknesses and Limitations:</w:t>
      </w:r>
    </w:p>
    <w:p w14:paraId="77E3C43B" w14:textId="77777777" w:rsidR="00E36CCE" w:rsidRPr="00E36CCE" w:rsidRDefault="00E36CCE" w:rsidP="00E36CCE">
      <w:pPr>
        <w:numPr>
          <w:ilvl w:val="1"/>
          <w:numId w:val="9"/>
        </w:numPr>
        <w:spacing w:line="360" w:lineRule="auto"/>
        <w:rPr>
          <w:rFonts w:ascii="Arial" w:hAnsi="Arial" w:cs="Arial"/>
        </w:rPr>
      </w:pPr>
      <w:r w:rsidRPr="00E36CCE">
        <w:rPr>
          <w:rFonts w:ascii="Arial" w:hAnsi="Arial" w:cs="Arial"/>
        </w:rPr>
        <w:t>Routine primary care registries capture only diagnosed hypertension, systematically undercounting undiagnosed individuals, asymptomatic young adults, and unregistered migrant populations.</w:t>
      </w:r>
    </w:p>
    <w:p w14:paraId="77EC13F3" w14:textId="77777777" w:rsidR="00E36CCE" w:rsidRPr="00E36CCE" w:rsidRDefault="00E36CCE" w:rsidP="00E36CCE">
      <w:pPr>
        <w:numPr>
          <w:ilvl w:val="1"/>
          <w:numId w:val="9"/>
        </w:numPr>
        <w:spacing w:line="360" w:lineRule="auto"/>
        <w:rPr>
          <w:rFonts w:ascii="Arial" w:hAnsi="Arial" w:cs="Arial"/>
        </w:rPr>
      </w:pPr>
      <w:r w:rsidRPr="00E36CCE">
        <w:rPr>
          <w:rFonts w:ascii="Arial" w:hAnsi="Arial" w:cs="Arial"/>
        </w:rPr>
        <w:t xml:space="preserve">Observational epidemiological studies remain subject to residual confounding (such as unmeasured variations in dietary sodium, psychological stress, or sleep </w:t>
      </w:r>
      <w:proofErr w:type="spellStart"/>
      <w:r w:rsidRPr="00E36CCE">
        <w:rPr>
          <w:rFonts w:ascii="Arial" w:hAnsi="Arial" w:cs="Arial"/>
        </w:rPr>
        <w:t>apnea</w:t>
      </w:r>
      <w:proofErr w:type="spellEnd"/>
      <w:r w:rsidRPr="00E36CCE">
        <w:rPr>
          <w:rFonts w:ascii="Arial" w:hAnsi="Arial" w:cs="Arial"/>
        </w:rPr>
        <w:t xml:space="preserve">) and carry the risk of ecological fallacy when applying borough-wide statistics to specific </w:t>
      </w:r>
      <w:proofErr w:type="spellStart"/>
      <w:r w:rsidRPr="00E36CCE">
        <w:rPr>
          <w:rFonts w:ascii="Arial" w:hAnsi="Arial" w:cs="Arial"/>
        </w:rPr>
        <w:t>neighborhood</w:t>
      </w:r>
      <w:proofErr w:type="spellEnd"/>
      <w:r w:rsidRPr="00E36CCE">
        <w:rPr>
          <w:rFonts w:ascii="Arial" w:hAnsi="Arial" w:cs="Arial"/>
        </w:rPr>
        <w:t xml:space="preserve"> pockets.</w:t>
      </w:r>
    </w:p>
    <w:p w14:paraId="36C64FAF" w14:textId="77777777" w:rsidR="00E36CCE" w:rsidRPr="00E36CCE" w:rsidRDefault="00E36CCE" w:rsidP="00E36CCE">
      <w:pPr>
        <w:numPr>
          <w:ilvl w:val="1"/>
          <w:numId w:val="9"/>
        </w:numPr>
        <w:spacing w:line="360" w:lineRule="auto"/>
        <w:rPr>
          <w:rFonts w:ascii="Arial" w:hAnsi="Arial" w:cs="Arial"/>
        </w:rPr>
      </w:pPr>
      <w:r w:rsidRPr="00E36CCE">
        <w:rPr>
          <w:rFonts w:ascii="Arial" w:hAnsi="Arial" w:cs="Arial"/>
        </w:rPr>
        <w:t xml:space="preserve">Administrative healthcare datasets frequently suffer from incomplete recording of non-pharmacological lifestyle variables (such as exact dietary patterns or physical activity levels), limiting multivariable causal </w:t>
      </w:r>
      <w:proofErr w:type="spellStart"/>
      <w:r w:rsidRPr="00E36CCE">
        <w:rPr>
          <w:rFonts w:ascii="Arial" w:hAnsi="Arial" w:cs="Arial"/>
        </w:rPr>
        <w:t>modeling</w:t>
      </w:r>
      <w:proofErr w:type="spellEnd"/>
      <w:r w:rsidRPr="00E36CCE">
        <w:rPr>
          <w:rFonts w:ascii="Arial" w:hAnsi="Arial" w:cs="Arial"/>
        </w:rPr>
        <w:t>.</w:t>
      </w:r>
    </w:p>
    <w:p w14:paraId="70EBB088" w14:textId="77777777" w:rsidR="00E36CCE" w:rsidRPr="00E36CCE" w:rsidRDefault="00E36CCE" w:rsidP="00E36CCE">
      <w:pPr>
        <w:spacing w:line="360" w:lineRule="auto"/>
        <w:rPr>
          <w:rFonts w:ascii="Arial" w:hAnsi="Arial" w:cs="Arial"/>
          <w:b/>
          <w:bCs/>
        </w:rPr>
      </w:pPr>
      <w:r w:rsidRPr="00E36CCE">
        <w:rPr>
          <w:rFonts w:ascii="Arial" w:hAnsi="Arial" w:cs="Arial"/>
          <w:b/>
          <w:bCs/>
        </w:rPr>
        <w:t>References</w:t>
      </w:r>
    </w:p>
    <w:p w14:paraId="1CE047F2"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Alzheimer’s Research UK, 2024. Sex, Gender and Dementia: The Disproportionate Burden on Women. Cambridge: Alzheimer's Research UK.</w:t>
      </w:r>
    </w:p>
    <w:p w14:paraId="6334D02D"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British Heart Foundation [BHF], 2023. High Blood Pressure: How Diagnosis and Management Disparities Cost Lives. London: BHF.</w:t>
      </w:r>
    </w:p>
    <w:p w14:paraId="7C233033"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lastRenderedPageBreak/>
        <w:t>Chowdhury, T.A., Wahid, S.T. and Frost, G., 2018. Type 2 diabetes in South Asians: Similarities and differences with White populations. British Journal of General Practice, 68(672), pp.341–342.</w:t>
      </w:r>
    </w:p>
    <w:p w14:paraId="6CFD1D45"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Dahlgren, G. and Whitehead, M., 2021. The Dahlgren-Whitehead model of health determinants: 30 years on and still relevant. Scandinavian Journal of Public Health, 49(1), pp.10–16.</w:t>
      </w:r>
    </w:p>
    <w:p w14:paraId="4558CCF0"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Department of Health and Social Care [DHSC], 2022. Women's Health Strategy for England. London: HM Government.</w:t>
      </w:r>
    </w:p>
    <w:p w14:paraId="7ABAEA2D"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Health and Safety Executive [HSE], 2023. Workplace Fatal Injuries in Great Britain, 2023. Bootle: HSE.</w:t>
      </w:r>
    </w:p>
    <w:p w14:paraId="6FB6BC20"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Marmot, M., Allen, J., Boyce, T., Goldblatt, P. and Morrison, J., 2020. Health Equity in England: The Marmot Review 10 Years On. London: Institute of Health Equity.</w:t>
      </w:r>
    </w:p>
    <w:p w14:paraId="505C1A86"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Newham Joint Strategic Needs Assessment [JSNA], 2023. Cardiovascular Disease and Hypertension Health Needs Assessment. London: London Borough of Newham.</w:t>
      </w:r>
    </w:p>
    <w:p w14:paraId="78726D1B"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Office for Health Improvement and Disparities [OHID], 2024. Public Health Profiles: Cardiovascular Disease Indicators. London: OHID.</w:t>
      </w:r>
    </w:p>
    <w:p w14:paraId="58D08A43"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Office for National Statistics [ONS], 2024. Alcohol-Specific Deaths in the UK: Registered in 2022 and 2023. London: ONS.</w:t>
      </w:r>
    </w:p>
    <w:p w14:paraId="53550414"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Plan International UK, 2023. The State of Period Poverty and Shame in the UK. London: Plan International UK.</w:t>
      </w:r>
    </w:p>
    <w:p w14:paraId="7F8A6800"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Prospect, 2023. The Gender Pension Gap: Tackling the 37.9% Disparity in Retirement Incomes. London: Prospect Trade Union.</w:t>
      </w:r>
    </w:p>
    <w:p w14:paraId="7BC4C80D"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 xml:space="preserve">Robertson, S., Witty, K., </w:t>
      </w:r>
      <w:proofErr w:type="spellStart"/>
      <w:r w:rsidRPr="00E36CCE">
        <w:rPr>
          <w:rFonts w:ascii="Arial" w:hAnsi="Arial" w:cs="Arial"/>
        </w:rPr>
        <w:t>Zwolinsky</w:t>
      </w:r>
      <w:proofErr w:type="spellEnd"/>
      <w:r w:rsidRPr="00E36CCE">
        <w:rPr>
          <w:rFonts w:ascii="Arial" w:hAnsi="Arial" w:cs="Arial"/>
        </w:rPr>
        <w:t>, S. and Day, R., 2018. Men's health promotion in the UK: A hidden history. Health Promotion International, 33(3), pp.480–490.</w:t>
      </w:r>
    </w:p>
    <w:p w14:paraId="473B84E5"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Royal Osteoporosis Society [ROS], 2023. Life with Osteoporosis: The UK National Bone Health Audit. Bath: Royal Osteoporosis Society.</w:t>
      </w:r>
    </w:p>
    <w:p w14:paraId="51662DDE"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lastRenderedPageBreak/>
        <w:t>Trust for London, 2023. London's Poverty Profile 2023: Borough Inequality Indices. London: Trust for London.</w:t>
      </w:r>
    </w:p>
    <w:p w14:paraId="57FA6DF8"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 xml:space="preserve">Wild, S., </w:t>
      </w:r>
      <w:proofErr w:type="spellStart"/>
      <w:r w:rsidRPr="00E36CCE">
        <w:rPr>
          <w:rFonts w:ascii="Arial" w:hAnsi="Arial" w:cs="Arial"/>
        </w:rPr>
        <w:t>Roglic</w:t>
      </w:r>
      <w:proofErr w:type="spellEnd"/>
      <w:r w:rsidRPr="00E36CCE">
        <w:rPr>
          <w:rFonts w:ascii="Arial" w:hAnsi="Arial" w:cs="Arial"/>
        </w:rPr>
        <w:t xml:space="preserve">, G., Green, A., </w:t>
      </w:r>
      <w:proofErr w:type="spellStart"/>
      <w:r w:rsidRPr="00E36CCE">
        <w:rPr>
          <w:rFonts w:ascii="Arial" w:hAnsi="Arial" w:cs="Arial"/>
        </w:rPr>
        <w:t>Sicree</w:t>
      </w:r>
      <w:proofErr w:type="spellEnd"/>
      <w:r w:rsidRPr="00E36CCE">
        <w:rPr>
          <w:rFonts w:ascii="Arial" w:hAnsi="Arial" w:cs="Arial"/>
        </w:rPr>
        <w:t>, R. and King, H., 2004. Global prevalence of diabetes: Estimates for the year 2000 and projections for 2030. Diabetes Care, 27(5), pp.1047–1053.</w:t>
      </w:r>
    </w:p>
    <w:p w14:paraId="3D59B882"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World Health Organization [WHO], 2022. Gender and Health: Integrating Gender Perspectives into Non-Communicable Disease Surveillance. Geneva: World Health Organization.</w:t>
      </w:r>
    </w:p>
    <w:p w14:paraId="36081EE8" w14:textId="77777777" w:rsidR="00E36CCE" w:rsidRPr="00E36CCE" w:rsidRDefault="00E36CCE" w:rsidP="00E36CCE">
      <w:pPr>
        <w:numPr>
          <w:ilvl w:val="0"/>
          <w:numId w:val="10"/>
        </w:numPr>
        <w:spacing w:line="360" w:lineRule="auto"/>
        <w:rPr>
          <w:rFonts w:ascii="Arial" w:hAnsi="Arial" w:cs="Arial"/>
        </w:rPr>
      </w:pPr>
      <w:r w:rsidRPr="00E36CCE">
        <w:rPr>
          <w:rFonts w:ascii="Arial" w:hAnsi="Arial" w:cs="Arial"/>
        </w:rPr>
        <w:t>World Health Organization [WHO], 2023. Global Report on Hypertension: The Race Against a Silent Killer. Geneva: World Health Organization.</w:t>
      </w:r>
    </w:p>
    <w:p w14:paraId="4332A852" w14:textId="77777777" w:rsidR="00A251F5" w:rsidRPr="00E36CCE" w:rsidRDefault="00A251F5" w:rsidP="00E36CCE">
      <w:pPr>
        <w:spacing w:line="360" w:lineRule="auto"/>
        <w:rPr>
          <w:rFonts w:ascii="Arial" w:hAnsi="Arial" w:cs="Arial"/>
        </w:rPr>
      </w:pPr>
    </w:p>
    <w:sectPr w:rsidR="00A251F5" w:rsidRPr="00E36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D762F"/>
    <w:multiLevelType w:val="multilevel"/>
    <w:tmpl w:val="63E49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9A0842"/>
    <w:multiLevelType w:val="multilevel"/>
    <w:tmpl w:val="195EAA3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93A97"/>
    <w:multiLevelType w:val="multilevel"/>
    <w:tmpl w:val="D124D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7D3772"/>
    <w:multiLevelType w:val="multilevel"/>
    <w:tmpl w:val="7ACEC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283ABC"/>
    <w:multiLevelType w:val="multilevel"/>
    <w:tmpl w:val="D8BE8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062F3C"/>
    <w:multiLevelType w:val="multilevel"/>
    <w:tmpl w:val="B9428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BF65F0"/>
    <w:multiLevelType w:val="multilevel"/>
    <w:tmpl w:val="F858F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8A12AC"/>
    <w:multiLevelType w:val="multilevel"/>
    <w:tmpl w:val="EA787A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9D05A4"/>
    <w:multiLevelType w:val="multilevel"/>
    <w:tmpl w:val="1AC6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4743894">
    <w:abstractNumId w:val="5"/>
  </w:num>
  <w:num w:numId="2" w16cid:durableId="535508914">
    <w:abstractNumId w:val="4"/>
  </w:num>
  <w:num w:numId="3" w16cid:durableId="827133246">
    <w:abstractNumId w:val="6"/>
  </w:num>
  <w:num w:numId="4" w16cid:durableId="82992411">
    <w:abstractNumId w:val="2"/>
  </w:num>
  <w:num w:numId="5" w16cid:durableId="370157119">
    <w:abstractNumId w:val="0"/>
  </w:num>
  <w:num w:numId="6" w16cid:durableId="1332953085">
    <w:abstractNumId w:val="8"/>
  </w:num>
  <w:num w:numId="7" w16cid:durableId="856891465">
    <w:abstractNumId w:val="1"/>
  </w:num>
  <w:num w:numId="8" w16cid:durableId="1289815970">
    <w:abstractNumId w:val="1"/>
    <w:lvlOverride w:ilvl="1">
      <w:lvl w:ilvl="1">
        <w:numFmt w:val="bullet"/>
        <w:lvlText w:val="o"/>
        <w:lvlJc w:val="left"/>
        <w:pPr>
          <w:tabs>
            <w:tab w:val="num" w:pos="1440"/>
          </w:tabs>
          <w:ind w:left="1440" w:hanging="360"/>
        </w:pPr>
        <w:rPr>
          <w:rFonts w:ascii="Courier New" w:hAnsi="Courier New" w:hint="default"/>
          <w:sz w:val="20"/>
        </w:rPr>
      </w:lvl>
    </w:lvlOverride>
  </w:num>
  <w:num w:numId="9" w16cid:durableId="1757630716">
    <w:abstractNumId w:val="7"/>
  </w:num>
  <w:num w:numId="10" w16cid:durableId="1082145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CCE"/>
    <w:rsid w:val="002E79BF"/>
    <w:rsid w:val="008606B4"/>
    <w:rsid w:val="00A251F5"/>
    <w:rsid w:val="00E36C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E4BFA"/>
  <w15:chartTrackingRefBased/>
  <w15:docId w15:val="{F7AEE5FE-7C87-4E0E-BC9E-49D60369B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CCE"/>
    <w:rPr>
      <w:rFonts w:eastAsiaTheme="majorEastAsia" w:cstheme="majorBidi"/>
      <w:color w:val="272727" w:themeColor="text1" w:themeTint="D8"/>
    </w:rPr>
  </w:style>
  <w:style w:type="paragraph" w:styleId="Title">
    <w:name w:val="Title"/>
    <w:basedOn w:val="Normal"/>
    <w:next w:val="Normal"/>
    <w:link w:val="TitleChar"/>
    <w:uiPriority w:val="10"/>
    <w:qFormat/>
    <w:rsid w:val="00E36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CCE"/>
    <w:pPr>
      <w:spacing w:before="160"/>
      <w:jc w:val="center"/>
    </w:pPr>
    <w:rPr>
      <w:i/>
      <w:iCs/>
      <w:color w:val="404040" w:themeColor="text1" w:themeTint="BF"/>
    </w:rPr>
  </w:style>
  <w:style w:type="character" w:customStyle="1" w:styleId="QuoteChar">
    <w:name w:val="Quote Char"/>
    <w:basedOn w:val="DefaultParagraphFont"/>
    <w:link w:val="Quote"/>
    <w:uiPriority w:val="29"/>
    <w:rsid w:val="00E36CCE"/>
    <w:rPr>
      <w:i/>
      <w:iCs/>
      <w:color w:val="404040" w:themeColor="text1" w:themeTint="BF"/>
    </w:rPr>
  </w:style>
  <w:style w:type="paragraph" w:styleId="ListParagraph">
    <w:name w:val="List Paragraph"/>
    <w:basedOn w:val="Normal"/>
    <w:uiPriority w:val="34"/>
    <w:qFormat/>
    <w:rsid w:val="00E36CCE"/>
    <w:pPr>
      <w:ind w:left="720"/>
      <w:contextualSpacing/>
    </w:pPr>
  </w:style>
  <w:style w:type="character" w:styleId="IntenseEmphasis">
    <w:name w:val="Intense Emphasis"/>
    <w:basedOn w:val="DefaultParagraphFont"/>
    <w:uiPriority w:val="21"/>
    <w:qFormat/>
    <w:rsid w:val="00E36CCE"/>
    <w:rPr>
      <w:i/>
      <w:iCs/>
      <w:color w:val="0F4761" w:themeColor="accent1" w:themeShade="BF"/>
    </w:rPr>
  </w:style>
  <w:style w:type="paragraph" w:styleId="IntenseQuote">
    <w:name w:val="Intense Quote"/>
    <w:basedOn w:val="Normal"/>
    <w:next w:val="Normal"/>
    <w:link w:val="IntenseQuoteChar"/>
    <w:uiPriority w:val="30"/>
    <w:qFormat/>
    <w:rsid w:val="00E36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CCE"/>
    <w:rPr>
      <w:i/>
      <w:iCs/>
      <w:color w:val="0F4761" w:themeColor="accent1" w:themeShade="BF"/>
    </w:rPr>
  </w:style>
  <w:style w:type="character" w:styleId="IntenseReference">
    <w:name w:val="Intense Reference"/>
    <w:basedOn w:val="DefaultParagraphFont"/>
    <w:uiPriority w:val="32"/>
    <w:qFormat/>
    <w:rsid w:val="00E36CCE"/>
    <w:rPr>
      <w:b/>
      <w:bCs/>
      <w:smallCaps/>
      <w:color w:val="0F4761" w:themeColor="accent1" w:themeShade="BF"/>
      <w:spacing w:val="5"/>
    </w:rPr>
  </w:style>
  <w:style w:type="table" w:styleId="TableGrid">
    <w:name w:val="Table Grid"/>
    <w:basedOn w:val="TableNormal"/>
    <w:uiPriority w:val="39"/>
    <w:rsid w:val="00E36C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3965</Words>
  <Characters>22606</Characters>
  <Application>Microsoft Office Word</Application>
  <DocSecurity>0</DocSecurity>
  <Lines>188</Lines>
  <Paragraphs>53</Paragraphs>
  <ScaleCrop>false</ScaleCrop>
  <Company/>
  <LinksUpToDate>false</LinksUpToDate>
  <CharactersWithSpaces>26518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shanipatel29@outlook.com</dc:creator>
  <cp:keywords/>
  <dc:description/>
  <cp:lastModifiedBy>shanipatel29@outlook.com</cp:lastModifiedBy>
  <cp:revision>1</cp:revision>
  <dcterms:created xsi:type="dcterms:W3CDTF">2026-08-19T06:25:00Z</dcterms:created>
  <dcterms:modified xsi:type="dcterms:W3CDTF">2026-08-19T06:31:00Z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cf60f74d-8563-46bd-80ab-2d6528a96168</vt:lpwstr>
  </property>
</Properties>
</file>