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55BAC" w14:textId="09AAFCDF" w:rsidR="006E5929" w:rsidRPr="00B1569A" w:rsidRDefault="006E5929" w:rsidP="00070BA9">
      <w:pPr>
        <w:spacing w:line="360" w:lineRule="auto"/>
        <w:jc w:val="both"/>
        <w:rPr>
          <w:rFonts w:asciiTheme="minorBidi" w:hAnsiTheme="minorBidi"/>
          <w:sz w:val="24"/>
          <w:szCs w:val="24"/>
        </w:rPr>
      </w:pPr>
    </w:p>
    <w:p w14:paraId="0BDA85A2" w14:textId="1B904130" w:rsidR="00070BA9" w:rsidRPr="00B1569A" w:rsidRDefault="0005486D" w:rsidP="0005486D">
      <w:pPr>
        <w:spacing w:line="360" w:lineRule="auto"/>
        <w:jc w:val="center"/>
        <w:rPr>
          <w:rFonts w:asciiTheme="minorBidi" w:hAnsiTheme="minorBidi"/>
          <w:sz w:val="24"/>
          <w:szCs w:val="24"/>
        </w:rPr>
      </w:pPr>
      <w:r w:rsidRPr="00B1569A">
        <w:rPr>
          <w:rFonts w:asciiTheme="minorBidi" w:hAnsiTheme="minorBidi"/>
          <w:noProof/>
          <w:sz w:val="24"/>
          <w:szCs w:val="24"/>
        </w:rPr>
        <w:drawing>
          <wp:inline distT="0" distB="0" distL="0" distR="0" wp14:anchorId="7A8841F1" wp14:editId="5BE72EFA">
            <wp:extent cx="2957534" cy="1079500"/>
            <wp:effectExtent l="0" t="0" r="0" b="6350"/>
            <wp:docPr id="72635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413" t="12793" r="8080" b="12481"/>
                    <a:stretch>
                      <a:fillRect/>
                    </a:stretch>
                  </pic:blipFill>
                  <pic:spPr bwMode="auto">
                    <a:xfrm>
                      <a:off x="0" y="0"/>
                      <a:ext cx="2999188" cy="1094704"/>
                    </a:xfrm>
                    <a:prstGeom prst="rect">
                      <a:avLst/>
                    </a:prstGeom>
                    <a:noFill/>
                    <a:ln>
                      <a:noFill/>
                    </a:ln>
                    <a:extLst>
                      <a:ext uri="{53640926-AAD7-44D8-BBD7-CCE9431645EC}">
                        <a14:shadowObscured xmlns:a14="http://schemas.microsoft.com/office/drawing/2010/main"/>
                      </a:ext>
                    </a:extLst>
                  </pic:spPr>
                </pic:pic>
              </a:graphicData>
            </a:graphic>
          </wp:inline>
        </w:drawing>
      </w:r>
    </w:p>
    <w:p w14:paraId="1A1DFD84" w14:textId="77777777" w:rsidR="0005486D" w:rsidRPr="00B1569A" w:rsidRDefault="0005486D" w:rsidP="00070BA9">
      <w:pPr>
        <w:spacing w:line="360" w:lineRule="auto"/>
        <w:jc w:val="both"/>
        <w:rPr>
          <w:rFonts w:asciiTheme="minorBidi" w:hAnsiTheme="minorBidi"/>
          <w:sz w:val="24"/>
          <w:szCs w:val="24"/>
        </w:rPr>
      </w:pPr>
    </w:p>
    <w:p w14:paraId="34159861" w14:textId="44288996"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Student Name:</w:t>
      </w:r>
      <w:r w:rsidR="00C26F6B">
        <w:rPr>
          <w:rFonts w:asciiTheme="minorBidi" w:hAnsiTheme="minorBidi"/>
          <w:b/>
          <w:bCs/>
          <w:sz w:val="24"/>
          <w:szCs w:val="24"/>
        </w:rPr>
        <w:t xml:space="preserve"> Misbah Khatoon</w:t>
      </w:r>
      <w:r w:rsidR="00C26F6B">
        <w:rPr>
          <w:rFonts w:asciiTheme="minorBidi" w:hAnsiTheme="minorBidi"/>
          <w:b/>
          <w:bCs/>
          <w:sz w:val="24"/>
          <w:szCs w:val="24"/>
        </w:rPr>
        <w:tab/>
      </w:r>
      <w:r w:rsidR="00C26F6B">
        <w:rPr>
          <w:rFonts w:asciiTheme="minorBidi" w:hAnsiTheme="minorBidi"/>
          <w:b/>
          <w:bCs/>
          <w:sz w:val="24"/>
          <w:szCs w:val="24"/>
        </w:rPr>
        <w:tab/>
      </w:r>
    </w:p>
    <w:p w14:paraId="04492033" w14:textId="0053094E"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Student ID:</w:t>
      </w:r>
      <w:r w:rsidR="00C26F6B">
        <w:rPr>
          <w:rFonts w:asciiTheme="minorBidi" w:hAnsiTheme="minorBidi"/>
          <w:b/>
          <w:bCs/>
          <w:sz w:val="24"/>
          <w:szCs w:val="24"/>
        </w:rPr>
        <w:t xml:space="preserve"> 2425425</w:t>
      </w:r>
    </w:p>
    <w:p w14:paraId="5157D302" w14:textId="5BC86F4D" w:rsidR="0005486D"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Module: Introduction to Health and Social Care</w:t>
      </w:r>
    </w:p>
    <w:p w14:paraId="56B96EEF" w14:textId="39018A6E" w:rsidR="00C26F6B" w:rsidRPr="00B1569A" w:rsidRDefault="00C26F6B" w:rsidP="00070BA9">
      <w:pPr>
        <w:spacing w:line="360" w:lineRule="auto"/>
        <w:jc w:val="both"/>
        <w:rPr>
          <w:rFonts w:asciiTheme="minorBidi" w:hAnsiTheme="minorBidi"/>
          <w:b/>
          <w:bCs/>
          <w:sz w:val="24"/>
          <w:szCs w:val="24"/>
        </w:rPr>
      </w:pPr>
      <w:r>
        <w:rPr>
          <w:rFonts w:asciiTheme="minorBidi" w:hAnsiTheme="minorBidi"/>
          <w:b/>
          <w:bCs/>
          <w:sz w:val="24"/>
          <w:szCs w:val="24"/>
        </w:rPr>
        <w:t>Module Number: LCH4003</w:t>
      </w:r>
    </w:p>
    <w:p w14:paraId="6F989DE0" w14:textId="6935C8D9"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 xml:space="preserve">Assignment Title: </w:t>
      </w:r>
      <w:r w:rsidR="000A5153">
        <w:rPr>
          <w:rFonts w:asciiTheme="minorBidi" w:hAnsiTheme="minorBidi"/>
          <w:b/>
          <w:bCs/>
          <w:sz w:val="24"/>
          <w:szCs w:val="24"/>
        </w:rPr>
        <w:t>Written Report</w:t>
      </w:r>
    </w:p>
    <w:p w14:paraId="320A52C4" w14:textId="19F09AF1"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 xml:space="preserve">Wordcounts: 1,500 words </w:t>
      </w:r>
    </w:p>
    <w:p w14:paraId="6C057F16" w14:textId="77777777" w:rsidR="0005486D" w:rsidRPr="00B1569A" w:rsidRDefault="0005486D" w:rsidP="00070BA9">
      <w:pPr>
        <w:spacing w:line="360" w:lineRule="auto"/>
        <w:jc w:val="both"/>
        <w:rPr>
          <w:rFonts w:asciiTheme="minorBidi" w:hAnsiTheme="minorBidi"/>
          <w:sz w:val="24"/>
          <w:szCs w:val="24"/>
        </w:rPr>
      </w:pPr>
    </w:p>
    <w:p w14:paraId="25BBB241" w14:textId="77777777" w:rsidR="00070BA9" w:rsidRPr="00B1569A" w:rsidRDefault="00070BA9" w:rsidP="00070BA9">
      <w:pPr>
        <w:spacing w:line="360" w:lineRule="auto"/>
        <w:jc w:val="both"/>
        <w:rPr>
          <w:rFonts w:asciiTheme="minorBidi" w:hAnsiTheme="minorBidi"/>
          <w:sz w:val="24"/>
          <w:szCs w:val="24"/>
        </w:rPr>
      </w:pPr>
    </w:p>
    <w:p w14:paraId="480B0FEC" w14:textId="77777777" w:rsidR="00070BA9" w:rsidRPr="00B1569A" w:rsidRDefault="00070BA9" w:rsidP="00070BA9">
      <w:pPr>
        <w:spacing w:line="360" w:lineRule="auto"/>
        <w:jc w:val="both"/>
        <w:rPr>
          <w:rFonts w:asciiTheme="minorBidi" w:hAnsiTheme="minorBidi"/>
          <w:sz w:val="24"/>
          <w:szCs w:val="24"/>
        </w:rPr>
      </w:pPr>
    </w:p>
    <w:p w14:paraId="11EE3FEB" w14:textId="77777777" w:rsidR="00070BA9" w:rsidRPr="00B1569A" w:rsidRDefault="00070BA9" w:rsidP="00070BA9">
      <w:pPr>
        <w:spacing w:line="360" w:lineRule="auto"/>
        <w:jc w:val="both"/>
        <w:rPr>
          <w:rFonts w:asciiTheme="minorBidi" w:hAnsiTheme="minorBidi"/>
          <w:sz w:val="24"/>
          <w:szCs w:val="24"/>
        </w:rPr>
      </w:pPr>
    </w:p>
    <w:p w14:paraId="145C330E" w14:textId="77777777" w:rsidR="00070BA9" w:rsidRPr="00B1569A" w:rsidRDefault="00070BA9" w:rsidP="00070BA9">
      <w:pPr>
        <w:spacing w:line="360" w:lineRule="auto"/>
        <w:jc w:val="both"/>
        <w:rPr>
          <w:rFonts w:asciiTheme="minorBidi" w:hAnsiTheme="minorBidi"/>
          <w:sz w:val="24"/>
          <w:szCs w:val="24"/>
        </w:rPr>
      </w:pPr>
    </w:p>
    <w:p w14:paraId="3EE67530" w14:textId="77777777" w:rsidR="00070BA9" w:rsidRPr="00B1569A" w:rsidRDefault="00070BA9" w:rsidP="00070BA9">
      <w:pPr>
        <w:spacing w:line="360" w:lineRule="auto"/>
        <w:jc w:val="both"/>
        <w:rPr>
          <w:rFonts w:asciiTheme="minorBidi" w:hAnsiTheme="minorBidi"/>
          <w:sz w:val="24"/>
          <w:szCs w:val="24"/>
        </w:rPr>
      </w:pPr>
    </w:p>
    <w:p w14:paraId="3E9C02B9" w14:textId="77777777" w:rsidR="00070BA9" w:rsidRPr="00B1569A" w:rsidRDefault="00070BA9" w:rsidP="00070BA9">
      <w:pPr>
        <w:spacing w:line="360" w:lineRule="auto"/>
        <w:jc w:val="both"/>
        <w:rPr>
          <w:rFonts w:asciiTheme="minorBidi" w:hAnsiTheme="minorBidi"/>
          <w:sz w:val="24"/>
          <w:szCs w:val="24"/>
        </w:rPr>
      </w:pPr>
    </w:p>
    <w:p w14:paraId="511A281A" w14:textId="77777777" w:rsidR="00070BA9" w:rsidRPr="00B1569A" w:rsidRDefault="00070BA9" w:rsidP="00070BA9">
      <w:pPr>
        <w:spacing w:line="360" w:lineRule="auto"/>
        <w:jc w:val="both"/>
        <w:rPr>
          <w:rFonts w:asciiTheme="minorBidi" w:hAnsiTheme="minorBidi"/>
          <w:sz w:val="24"/>
          <w:szCs w:val="24"/>
        </w:rPr>
      </w:pPr>
    </w:p>
    <w:p w14:paraId="428FD913" w14:textId="77777777" w:rsidR="00070BA9" w:rsidRPr="00B1569A" w:rsidRDefault="00070BA9" w:rsidP="00070BA9">
      <w:pPr>
        <w:spacing w:line="360" w:lineRule="auto"/>
        <w:jc w:val="both"/>
        <w:rPr>
          <w:rFonts w:asciiTheme="minorBidi" w:hAnsiTheme="minorBidi"/>
          <w:sz w:val="24"/>
          <w:szCs w:val="24"/>
        </w:rPr>
      </w:pPr>
    </w:p>
    <w:p w14:paraId="1EA675C5" w14:textId="77777777" w:rsidR="00070BA9" w:rsidRPr="00B1569A" w:rsidRDefault="00070BA9" w:rsidP="00070BA9">
      <w:pPr>
        <w:spacing w:line="360" w:lineRule="auto"/>
        <w:jc w:val="both"/>
        <w:rPr>
          <w:rFonts w:asciiTheme="minorBidi" w:hAnsiTheme="minorBidi"/>
          <w:sz w:val="24"/>
          <w:szCs w:val="24"/>
        </w:rPr>
      </w:pPr>
    </w:p>
    <w:p w14:paraId="018BA007" w14:textId="77777777" w:rsidR="00070BA9" w:rsidRPr="00B1569A" w:rsidRDefault="00070BA9" w:rsidP="00070BA9">
      <w:pPr>
        <w:spacing w:line="360" w:lineRule="auto"/>
        <w:jc w:val="both"/>
        <w:rPr>
          <w:rFonts w:asciiTheme="minorBidi" w:hAnsiTheme="minorBidi"/>
          <w:sz w:val="24"/>
          <w:szCs w:val="24"/>
        </w:rPr>
      </w:pPr>
    </w:p>
    <w:sdt>
      <w:sdtPr>
        <w:rPr>
          <w:rFonts w:asciiTheme="minorHAnsi" w:eastAsiaTheme="minorHAnsi" w:hAnsiTheme="minorHAnsi" w:cstheme="minorBidi"/>
          <w:color w:val="auto"/>
          <w:kern w:val="2"/>
          <w:sz w:val="22"/>
          <w:szCs w:val="22"/>
          <w:lang w:val="en-GB"/>
          <w14:ligatures w14:val="standardContextual"/>
        </w:rPr>
        <w:id w:val="-1642569343"/>
        <w:docPartObj>
          <w:docPartGallery w:val="Table of Contents"/>
          <w:docPartUnique/>
        </w:docPartObj>
      </w:sdtPr>
      <w:sdtEndPr>
        <w:rPr>
          <w:b/>
          <w:bCs/>
          <w:noProof/>
        </w:rPr>
      </w:sdtEndPr>
      <w:sdtContent>
        <w:p w14:paraId="22134813" w14:textId="7EAAC05C" w:rsidR="002F6806" w:rsidRPr="002F6806" w:rsidRDefault="002F6806" w:rsidP="002F6806">
          <w:pPr>
            <w:pStyle w:val="TOCHeading"/>
            <w:pBdr>
              <w:bottom w:val="single" w:sz="4" w:space="1" w:color="auto"/>
            </w:pBdr>
            <w:jc w:val="center"/>
            <w:rPr>
              <w:rFonts w:asciiTheme="minorBidi" w:hAnsiTheme="minorBidi" w:cstheme="minorBidi"/>
              <w:b/>
              <w:bCs/>
            </w:rPr>
          </w:pPr>
          <w:r w:rsidRPr="002F6806">
            <w:rPr>
              <w:rFonts w:asciiTheme="minorBidi" w:hAnsiTheme="minorBidi" w:cstheme="minorBidi"/>
              <w:b/>
              <w:bCs/>
            </w:rPr>
            <w:t>Table of Contents</w:t>
          </w:r>
        </w:p>
        <w:p w14:paraId="1FAA54E5" w14:textId="5B8C1E6B" w:rsidR="002F6806" w:rsidRPr="002F6806" w:rsidRDefault="002F6806" w:rsidP="002F6806">
          <w:pPr>
            <w:pStyle w:val="TOC1"/>
            <w:tabs>
              <w:tab w:val="right" w:leader="dot" w:pos="9350"/>
            </w:tabs>
            <w:spacing w:line="360" w:lineRule="auto"/>
            <w:rPr>
              <w:noProof/>
              <w:sz w:val="24"/>
              <w:szCs w:val="24"/>
            </w:rPr>
          </w:pPr>
          <w:r>
            <w:fldChar w:fldCharType="begin"/>
          </w:r>
          <w:r>
            <w:instrText xml:space="preserve"> TOC \o "1-3" \h \z \u </w:instrText>
          </w:r>
          <w:r>
            <w:fldChar w:fldCharType="separate"/>
          </w:r>
          <w:hyperlink w:anchor="_Toc212595708" w:history="1">
            <w:r w:rsidRPr="002F6806">
              <w:rPr>
                <w:rStyle w:val="Hyperlink"/>
                <w:rFonts w:asciiTheme="minorBidi" w:hAnsiTheme="minorBidi"/>
                <w:b/>
                <w:bCs/>
                <w:noProof/>
                <w:sz w:val="24"/>
                <w:szCs w:val="24"/>
              </w:rPr>
              <w:t>1. Introduction</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_Toc212595708 \h </w:instrText>
            </w:r>
            <w:r w:rsidRPr="002F6806">
              <w:rPr>
                <w:noProof/>
                <w:webHidden/>
                <w:sz w:val="24"/>
                <w:szCs w:val="24"/>
              </w:rPr>
            </w:r>
            <w:r w:rsidRPr="002F6806">
              <w:rPr>
                <w:noProof/>
                <w:webHidden/>
                <w:sz w:val="24"/>
                <w:szCs w:val="24"/>
              </w:rPr>
              <w:fldChar w:fldCharType="separate"/>
            </w:r>
            <w:r w:rsidR="000A5153">
              <w:rPr>
                <w:noProof/>
                <w:webHidden/>
                <w:sz w:val="24"/>
                <w:szCs w:val="24"/>
              </w:rPr>
              <w:t>3</w:t>
            </w:r>
            <w:r w:rsidRPr="002F6806">
              <w:rPr>
                <w:noProof/>
                <w:webHidden/>
                <w:sz w:val="24"/>
                <w:szCs w:val="24"/>
              </w:rPr>
              <w:fldChar w:fldCharType="end"/>
            </w:r>
          </w:hyperlink>
        </w:p>
        <w:p w14:paraId="6487916F" w14:textId="749231D2" w:rsidR="002F6806" w:rsidRPr="002F6806" w:rsidRDefault="002F6806" w:rsidP="002F6806">
          <w:pPr>
            <w:pStyle w:val="TOC1"/>
            <w:tabs>
              <w:tab w:val="right" w:leader="dot" w:pos="9350"/>
            </w:tabs>
            <w:spacing w:line="360" w:lineRule="auto"/>
            <w:rPr>
              <w:noProof/>
              <w:sz w:val="24"/>
              <w:szCs w:val="24"/>
            </w:rPr>
          </w:pPr>
          <w:hyperlink w:anchor="_Toc212595709" w:history="1">
            <w:r w:rsidRPr="002F6806">
              <w:rPr>
                <w:rStyle w:val="Hyperlink"/>
                <w:rFonts w:asciiTheme="minorBidi" w:hAnsiTheme="minorBidi"/>
                <w:b/>
                <w:bCs/>
                <w:noProof/>
                <w:sz w:val="24"/>
                <w:szCs w:val="24"/>
              </w:rPr>
              <w:t>2. Effective Communication in Mrs Mann’s Care</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_Toc212595709 \h </w:instrText>
            </w:r>
            <w:r w:rsidRPr="002F6806">
              <w:rPr>
                <w:noProof/>
                <w:webHidden/>
                <w:sz w:val="24"/>
                <w:szCs w:val="24"/>
              </w:rPr>
            </w:r>
            <w:r w:rsidRPr="002F6806">
              <w:rPr>
                <w:noProof/>
                <w:webHidden/>
                <w:sz w:val="24"/>
                <w:szCs w:val="24"/>
              </w:rPr>
              <w:fldChar w:fldCharType="separate"/>
            </w:r>
            <w:r w:rsidR="000A5153">
              <w:rPr>
                <w:noProof/>
                <w:webHidden/>
                <w:sz w:val="24"/>
                <w:szCs w:val="24"/>
              </w:rPr>
              <w:t>3</w:t>
            </w:r>
            <w:r w:rsidRPr="002F6806">
              <w:rPr>
                <w:noProof/>
                <w:webHidden/>
                <w:sz w:val="24"/>
                <w:szCs w:val="24"/>
              </w:rPr>
              <w:fldChar w:fldCharType="end"/>
            </w:r>
          </w:hyperlink>
        </w:p>
        <w:p w14:paraId="3FE32AAA" w14:textId="14862D22" w:rsidR="002F6806" w:rsidRPr="002F6806" w:rsidRDefault="002F6806" w:rsidP="002F6806">
          <w:pPr>
            <w:pStyle w:val="TOC2"/>
            <w:tabs>
              <w:tab w:val="right" w:leader="dot" w:pos="9350"/>
            </w:tabs>
            <w:spacing w:line="360" w:lineRule="auto"/>
            <w:rPr>
              <w:noProof/>
              <w:sz w:val="24"/>
              <w:szCs w:val="24"/>
            </w:rPr>
          </w:pPr>
          <w:hyperlink w:anchor="_Toc212595710" w:history="1">
            <w:r w:rsidRPr="002F6806">
              <w:rPr>
                <w:rStyle w:val="Hyperlink"/>
                <w:rFonts w:asciiTheme="minorBidi" w:hAnsiTheme="minorBidi"/>
                <w:b/>
                <w:bCs/>
                <w:noProof/>
                <w:sz w:val="24"/>
                <w:szCs w:val="24"/>
              </w:rPr>
              <w:t>2.1 Context, Barriers and Risks</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_Toc212595710 \h </w:instrText>
            </w:r>
            <w:r w:rsidRPr="002F6806">
              <w:rPr>
                <w:noProof/>
                <w:webHidden/>
                <w:sz w:val="24"/>
                <w:szCs w:val="24"/>
              </w:rPr>
            </w:r>
            <w:r w:rsidRPr="002F6806">
              <w:rPr>
                <w:noProof/>
                <w:webHidden/>
                <w:sz w:val="24"/>
                <w:szCs w:val="24"/>
              </w:rPr>
              <w:fldChar w:fldCharType="separate"/>
            </w:r>
            <w:r w:rsidR="000A5153">
              <w:rPr>
                <w:noProof/>
                <w:webHidden/>
                <w:sz w:val="24"/>
                <w:szCs w:val="24"/>
              </w:rPr>
              <w:t>3</w:t>
            </w:r>
            <w:r w:rsidRPr="002F6806">
              <w:rPr>
                <w:noProof/>
                <w:webHidden/>
                <w:sz w:val="24"/>
                <w:szCs w:val="24"/>
              </w:rPr>
              <w:fldChar w:fldCharType="end"/>
            </w:r>
          </w:hyperlink>
        </w:p>
        <w:p w14:paraId="08E87F59" w14:textId="53C51148" w:rsidR="002F6806" w:rsidRPr="002F6806" w:rsidRDefault="002F6806" w:rsidP="002F6806">
          <w:pPr>
            <w:pStyle w:val="TOC2"/>
            <w:tabs>
              <w:tab w:val="right" w:leader="dot" w:pos="9350"/>
            </w:tabs>
            <w:spacing w:line="360" w:lineRule="auto"/>
            <w:rPr>
              <w:noProof/>
              <w:sz w:val="24"/>
              <w:szCs w:val="24"/>
            </w:rPr>
          </w:pPr>
          <w:hyperlink w:anchor="_Toc212595711" w:history="1">
            <w:r w:rsidRPr="002F6806">
              <w:rPr>
                <w:rStyle w:val="Hyperlink"/>
                <w:rFonts w:asciiTheme="minorBidi" w:hAnsiTheme="minorBidi"/>
                <w:b/>
                <w:bCs/>
                <w:noProof/>
                <w:sz w:val="24"/>
                <w:szCs w:val="24"/>
              </w:rPr>
              <w:t>2.2 Equality Act 2010: Core Principles Applied</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_Toc212595711 \h </w:instrText>
            </w:r>
            <w:r w:rsidRPr="002F6806">
              <w:rPr>
                <w:noProof/>
                <w:webHidden/>
                <w:sz w:val="24"/>
                <w:szCs w:val="24"/>
              </w:rPr>
            </w:r>
            <w:r w:rsidRPr="002F6806">
              <w:rPr>
                <w:noProof/>
                <w:webHidden/>
                <w:sz w:val="24"/>
                <w:szCs w:val="24"/>
              </w:rPr>
              <w:fldChar w:fldCharType="separate"/>
            </w:r>
            <w:r w:rsidR="000A5153">
              <w:rPr>
                <w:noProof/>
                <w:webHidden/>
                <w:sz w:val="24"/>
                <w:szCs w:val="24"/>
              </w:rPr>
              <w:t>4</w:t>
            </w:r>
            <w:r w:rsidRPr="002F6806">
              <w:rPr>
                <w:noProof/>
                <w:webHidden/>
                <w:sz w:val="24"/>
                <w:szCs w:val="24"/>
              </w:rPr>
              <w:fldChar w:fldCharType="end"/>
            </w:r>
          </w:hyperlink>
        </w:p>
        <w:p w14:paraId="5A6A26AA" w14:textId="69F47945" w:rsidR="002F6806" w:rsidRPr="002F6806" w:rsidRDefault="002F6806" w:rsidP="002F6806">
          <w:pPr>
            <w:pStyle w:val="TOC2"/>
            <w:tabs>
              <w:tab w:val="right" w:leader="dot" w:pos="9350"/>
            </w:tabs>
            <w:spacing w:line="360" w:lineRule="auto"/>
            <w:rPr>
              <w:noProof/>
              <w:sz w:val="24"/>
              <w:szCs w:val="24"/>
            </w:rPr>
          </w:pPr>
          <w:hyperlink w:anchor="_Toc212595712" w:history="1">
            <w:r w:rsidRPr="002F6806">
              <w:rPr>
                <w:rStyle w:val="Hyperlink"/>
                <w:rFonts w:asciiTheme="minorBidi" w:hAnsiTheme="minorBidi"/>
                <w:b/>
                <w:bCs/>
                <w:noProof/>
                <w:sz w:val="24"/>
                <w:szCs w:val="24"/>
              </w:rPr>
              <w:t>2.3 Communication Model in Practice (Teach-Back)</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_Toc212595712 \h </w:instrText>
            </w:r>
            <w:r w:rsidRPr="002F6806">
              <w:rPr>
                <w:noProof/>
                <w:webHidden/>
                <w:sz w:val="24"/>
                <w:szCs w:val="24"/>
              </w:rPr>
            </w:r>
            <w:r w:rsidRPr="002F6806">
              <w:rPr>
                <w:noProof/>
                <w:webHidden/>
                <w:sz w:val="24"/>
                <w:szCs w:val="24"/>
              </w:rPr>
              <w:fldChar w:fldCharType="separate"/>
            </w:r>
            <w:r w:rsidR="000A5153">
              <w:rPr>
                <w:noProof/>
                <w:webHidden/>
                <w:sz w:val="24"/>
                <w:szCs w:val="24"/>
              </w:rPr>
              <w:t>4</w:t>
            </w:r>
            <w:r w:rsidRPr="002F6806">
              <w:rPr>
                <w:noProof/>
                <w:webHidden/>
                <w:sz w:val="24"/>
                <w:szCs w:val="24"/>
              </w:rPr>
              <w:fldChar w:fldCharType="end"/>
            </w:r>
          </w:hyperlink>
        </w:p>
        <w:p w14:paraId="355A1D7A" w14:textId="5A34B93E" w:rsidR="002F6806" w:rsidRPr="002F6806" w:rsidRDefault="002F6806" w:rsidP="002F6806">
          <w:pPr>
            <w:pStyle w:val="TOC2"/>
            <w:tabs>
              <w:tab w:val="right" w:leader="dot" w:pos="9350"/>
            </w:tabs>
            <w:spacing w:line="360" w:lineRule="auto"/>
            <w:rPr>
              <w:noProof/>
              <w:sz w:val="24"/>
              <w:szCs w:val="24"/>
            </w:rPr>
          </w:pPr>
          <w:hyperlink w:anchor="_Toc212595713" w:history="1">
            <w:r w:rsidRPr="002F6806">
              <w:rPr>
                <w:rStyle w:val="Hyperlink"/>
                <w:rFonts w:asciiTheme="minorBidi" w:hAnsiTheme="minorBidi"/>
                <w:b/>
                <w:bCs/>
                <w:noProof/>
                <w:sz w:val="24"/>
                <w:szCs w:val="24"/>
              </w:rPr>
              <w:t>2.4 Safe Use of Interpreters and Cultural Competence</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_Toc212595713 \h </w:instrText>
            </w:r>
            <w:r w:rsidRPr="002F6806">
              <w:rPr>
                <w:noProof/>
                <w:webHidden/>
                <w:sz w:val="24"/>
                <w:szCs w:val="24"/>
              </w:rPr>
            </w:r>
            <w:r w:rsidRPr="002F6806">
              <w:rPr>
                <w:noProof/>
                <w:webHidden/>
                <w:sz w:val="24"/>
                <w:szCs w:val="24"/>
              </w:rPr>
              <w:fldChar w:fldCharType="separate"/>
            </w:r>
            <w:r w:rsidR="000A5153">
              <w:rPr>
                <w:noProof/>
                <w:webHidden/>
                <w:sz w:val="24"/>
                <w:szCs w:val="24"/>
              </w:rPr>
              <w:t>5</w:t>
            </w:r>
            <w:r w:rsidRPr="002F6806">
              <w:rPr>
                <w:noProof/>
                <w:webHidden/>
                <w:sz w:val="24"/>
                <w:szCs w:val="24"/>
              </w:rPr>
              <w:fldChar w:fldCharType="end"/>
            </w:r>
          </w:hyperlink>
        </w:p>
        <w:p w14:paraId="5D29A35E" w14:textId="05ED6EA1" w:rsidR="002F6806" w:rsidRPr="002F6806" w:rsidRDefault="002F6806" w:rsidP="002F6806">
          <w:pPr>
            <w:pStyle w:val="TOC1"/>
            <w:tabs>
              <w:tab w:val="right" w:leader="dot" w:pos="9350"/>
            </w:tabs>
            <w:spacing w:line="360" w:lineRule="auto"/>
            <w:rPr>
              <w:noProof/>
              <w:sz w:val="24"/>
              <w:szCs w:val="24"/>
            </w:rPr>
          </w:pPr>
          <w:hyperlink w:anchor="_Toc212595714" w:history="1">
            <w:r w:rsidRPr="002F6806">
              <w:rPr>
                <w:rStyle w:val="Hyperlink"/>
                <w:rFonts w:asciiTheme="minorBidi" w:hAnsiTheme="minorBidi"/>
                <w:b/>
                <w:bCs/>
                <w:noProof/>
                <w:sz w:val="24"/>
                <w:szCs w:val="24"/>
              </w:rPr>
              <w:t>3. Administrative Skills and Record-Keeping</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_Toc212595714 \h </w:instrText>
            </w:r>
            <w:r w:rsidRPr="002F6806">
              <w:rPr>
                <w:noProof/>
                <w:webHidden/>
                <w:sz w:val="24"/>
                <w:szCs w:val="24"/>
              </w:rPr>
            </w:r>
            <w:r w:rsidRPr="002F6806">
              <w:rPr>
                <w:noProof/>
                <w:webHidden/>
                <w:sz w:val="24"/>
                <w:szCs w:val="24"/>
              </w:rPr>
              <w:fldChar w:fldCharType="separate"/>
            </w:r>
            <w:r w:rsidR="000A5153">
              <w:rPr>
                <w:noProof/>
                <w:webHidden/>
                <w:sz w:val="24"/>
                <w:szCs w:val="24"/>
              </w:rPr>
              <w:t>5</w:t>
            </w:r>
            <w:r w:rsidRPr="002F6806">
              <w:rPr>
                <w:noProof/>
                <w:webHidden/>
                <w:sz w:val="24"/>
                <w:szCs w:val="24"/>
              </w:rPr>
              <w:fldChar w:fldCharType="end"/>
            </w:r>
          </w:hyperlink>
        </w:p>
        <w:p w14:paraId="216D2305" w14:textId="71F620DE" w:rsidR="002F6806" w:rsidRPr="002F6806" w:rsidRDefault="002F6806" w:rsidP="002F6806">
          <w:pPr>
            <w:pStyle w:val="TOC2"/>
            <w:tabs>
              <w:tab w:val="right" w:leader="dot" w:pos="9350"/>
            </w:tabs>
            <w:spacing w:line="360" w:lineRule="auto"/>
            <w:rPr>
              <w:noProof/>
              <w:sz w:val="24"/>
              <w:szCs w:val="24"/>
            </w:rPr>
          </w:pPr>
          <w:hyperlink w:anchor="_Toc212595715" w:history="1">
            <w:r w:rsidRPr="002F6806">
              <w:rPr>
                <w:rStyle w:val="Hyperlink"/>
                <w:rFonts w:asciiTheme="minorBidi" w:hAnsiTheme="minorBidi"/>
                <w:b/>
                <w:bCs/>
                <w:noProof/>
                <w:sz w:val="24"/>
                <w:szCs w:val="24"/>
              </w:rPr>
              <w:t>3.1 Why Accurate Records Matter in This Case</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_Toc212595715 \h </w:instrText>
            </w:r>
            <w:r w:rsidRPr="002F6806">
              <w:rPr>
                <w:noProof/>
                <w:webHidden/>
                <w:sz w:val="24"/>
                <w:szCs w:val="24"/>
              </w:rPr>
            </w:r>
            <w:r w:rsidRPr="002F6806">
              <w:rPr>
                <w:noProof/>
                <w:webHidden/>
                <w:sz w:val="24"/>
                <w:szCs w:val="24"/>
              </w:rPr>
              <w:fldChar w:fldCharType="separate"/>
            </w:r>
            <w:r w:rsidR="000A5153">
              <w:rPr>
                <w:noProof/>
                <w:webHidden/>
                <w:sz w:val="24"/>
                <w:szCs w:val="24"/>
              </w:rPr>
              <w:t>5</w:t>
            </w:r>
            <w:r w:rsidRPr="002F6806">
              <w:rPr>
                <w:noProof/>
                <w:webHidden/>
                <w:sz w:val="24"/>
                <w:szCs w:val="24"/>
              </w:rPr>
              <w:fldChar w:fldCharType="end"/>
            </w:r>
          </w:hyperlink>
        </w:p>
        <w:p w14:paraId="72E5306F" w14:textId="654486E6" w:rsidR="002F6806" w:rsidRPr="002F6806" w:rsidRDefault="002F6806" w:rsidP="002F6806">
          <w:pPr>
            <w:pStyle w:val="TOC2"/>
            <w:tabs>
              <w:tab w:val="right" w:leader="dot" w:pos="9350"/>
            </w:tabs>
            <w:spacing w:line="360" w:lineRule="auto"/>
            <w:rPr>
              <w:noProof/>
              <w:sz w:val="24"/>
              <w:szCs w:val="24"/>
            </w:rPr>
          </w:pPr>
          <w:hyperlink w:anchor="_Toc212595716" w:history="1">
            <w:r w:rsidRPr="002F6806">
              <w:rPr>
                <w:rStyle w:val="Hyperlink"/>
                <w:rFonts w:asciiTheme="minorBidi" w:hAnsiTheme="minorBidi"/>
                <w:b/>
                <w:bCs/>
                <w:noProof/>
                <w:sz w:val="24"/>
                <w:szCs w:val="24"/>
              </w:rPr>
              <w:t>3.2 Legal and Policy Frameworks (Data Protection Act 2018 and UK GDPR)</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_Toc212595716 \h </w:instrText>
            </w:r>
            <w:r w:rsidRPr="002F6806">
              <w:rPr>
                <w:noProof/>
                <w:webHidden/>
                <w:sz w:val="24"/>
                <w:szCs w:val="24"/>
              </w:rPr>
            </w:r>
            <w:r w:rsidRPr="002F6806">
              <w:rPr>
                <w:noProof/>
                <w:webHidden/>
                <w:sz w:val="24"/>
                <w:szCs w:val="24"/>
              </w:rPr>
              <w:fldChar w:fldCharType="separate"/>
            </w:r>
            <w:r w:rsidR="000A5153">
              <w:rPr>
                <w:noProof/>
                <w:webHidden/>
                <w:sz w:val="24"/>
                <w:szCs w:val="24"/>
              </w:rPr>
              <w:t>5</w:t>
            </w:r>
            <w:r w:rsidRPr="002F6806">
              <w:rPr>
                <w:noProof/>
                <w:webHidden/>
                <w:sz w:val="24"/>
                <w:szCs w:val="24"/>
              </w:rPr>
              <w:fldChar w:fldCharType="end"/>
            </w:r>
          </w:hyperlink>
        </w:p>
        <w:p w14:paraId="5D800650" w14:textId="17385E68" w:rsidR="002F6806" w:rsidRPr="002F6806" w:rsidRDefault="002F6806" w:rsidP="002F6806">
          <w:pPr>
            <w:pStyle w:val="TOC2"/>
            <w:tabs>
              <w:tab w:val="right" w:leader="dot" w:pos="9350"/>
            </w:tabs>
            <w:spacing w:line="360" w:lineRule="auto"/>
            <w:rPr>
              <w:noProof/>
              <w:sz w:val="24"/>
              <w:szCs w:val="24"/>
            </w:rPr>
          </w:pPr>
          <w:hyperlink w:anchor="_Toc212595717" w:history="1">
            <w:r w:rsidRPr="002F6806">
              <w:rPr>
                <w:rStyle w:val="Hyperlink"/>
                <w:rFonts w:asciiTheme="minorBidi" w:hAnsiTheme="minorBidi"/>
                <w:b/>
                <w:bCs/>
                <w:noProof/>
                <w:sz w:val="24"/>
                <w:szCs w:val="24"/>
              </w:rPr>
              <w:t>3.3 Practical Documentation Standards and Audit</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_Toc212595717 \h </w:instrText>
            </w:r>
            <w:r w:rsidRPr="002F6806">
              <w:rPr>
                <w:noProof/>
                <w:webHidden/>
                <w:sz w:val="24"/>
                <w:szCs w:val="24"/>
              </w:rPr>
            </w:r>
            <w:r w:rsidRPr="002F6806">
              <w:rPr>
                <w:noProof/>
                <w:webHidden/>
                <w:sz w:val="24"/>
                <w:szCs w:val="24"/>
              </w:rPr>
              <w:fldChar w:fldCharType="separate"/>
            </w:r>
            <w:r w:rsidR="000A5153">
              <w:rPr>
                <w:noProof/>
                <w:webHidden/>
                <w:sz w:val="24"/>
                <w:szCs w:val="24"/>
              </w:rPr>
              <w:t>6</w:t>
            </w:r>
            <w:r w:rsidRPr="002F6806">
              <w:rPr>
                <w:noProof/>
                <w:webHidden/>
                <w:sz w:val="24"/>
                <w:szCs w:val="24"/>
              </w:rPr>
              <w:fldChar w:fldCharType="end"/>
            </w:r>
          </w:hyperlink>
        </w:p>
        <w:p w14:paraId="137F0BCC" w14:textId="235397B5" w:rsidR="002F6806" w:rsidRPr="002F6806" w:rsidRDefault="002F6806" w:rsidP="002F6806">
          <w:pPr>
            <w:pStyle w:val="TOC1"/>
            <w:tabs>
              <w:tab w:val="right" w:leader="dot" w:pos="9350"/>
            </w:tabs>
            <w:spacing w:line="360" w:lineRule="auto"/>
            <w:rPr>
              <w:noProof/>
              <w:sz w:val="24"/>
              <w:szCs w:val="24"/>
            </w:rPr>
          </w:pPr>
          <w:hyperlink w:anchor="_Toc212595718" w:history="1">
            <w:r w:rsidRPr="002F6806">
              <w:rPr>
                <w:rStyle w:val="Hyperlink"/>
                <w:rFonts w:asciiTheme="minorBidi" w:hAnsiTheme="minorBidi"/>
                <w:b/>
                <w:bCs/>
                <w:noProof/>
                <w:sz w:val="24"/>
                <w:szCs w:val="24"/>
              </w:rPr>
              <w:t>4. Working Collaboratively with Other Professionals</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_Toc212595718 \h </w:instrText>
            </w:r>
            <w:r w:rsidRPr="002F6806">
              <w:rPr>
                <w:noProof/>
                <w:webHidden/>
                <w:sz w:val="24"/>
                <w:szCs w:val="24"/>
              </w:rPr>
            </w:r>
            <w:r w:rsidRPr="002F6806">
              <w:rPr>
                <w:noProof/>
                <w:webHidden/>
                <w:sz w:val="24"/>
                <w:szCs w:val="24"/>
              </w:rPr>
              <w:fldChar w:fldCharType="separate"/>
            </w:r>
            <w:r w:rsidR="000A5153">
              <w:rPr>
                <w:noProof/>
                <w:webHidden/>
                <w:sz w:val="24"/>
                <w:szCs w:val="24"/>
              </w:rPr>
              <w:t>6</w:t>
            </w:r>
            <w:r w:rsidRPr="002F6806">
              <w:rPr>
                <w:noProof/>
                <w:webHidden/>
                <w:sz w:val="24"/>
                <w:szCs w:val="24"/>
              </w:rPr>
              <w:fldChar w:fldCharType="end"/>
            </w:r>
          </w:hyperlink>
        </w:p>
        <w:p w14:paraId="0BF457B2" w14:textId="03400275" w:rsidR="002F6806" w:rsidRPr="002F6806" w:rsidRDefault="002F6806" w:rsidP="002F6806">
          <w:pPr>
            <w:pStyle w:val="TOC2"/>
            <w:tabs>
              <w:tab w:val="right" w:leader="dot" w:pos="9350"/>
            </w:tabs>
            <w:spacing w:line="360" w:lineRule="auto"/>
            <w:rPr>
              <w:noProof/>
              <w:sz w:val="24"/>
              <w:szCs w:val="24"/>
            </w:rPr>
          </w:pPr>
          <w:hyperlink w:anchor="_Toc212595719" w:history="1">
            <w:r w:rsidRPr="002F6806">
              <w:rPr>
                <w:rStyle w:val="Hyperlink"/>
                <w:rFonts w:asciiTheme="minorBidi" w:hAnsiTheme="minorBidi"/>
                <w:b/>
                <w:bCs/>
                <w:noProof/>
                <w:sz w:val="24"/>
                <w:szCs w:val="24"/>
              </w:rPr>
              <w:t>4.1 Who Is Involved and What They Do</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_Toc212595719 \h </w:instrText>
            </w:r>
            <w:r w:rsidRPr="002F6806">
              <w:rPr>
                <w:noProof/>
                <w:webHidden/>
                <w:sz w:val="24"/>
                <w:szCs w:val="24"/>
              </w:rPr>
            </w:r>
            <w:r w:rsidRPr="002F6806">
              <w:rPr>
                <w:noProof/>
                <w:webHidden/>
                <w:sz w:val="24"/>
                <w:szCs w:val="24"/>
              </w:rPr>
              <w:fldChar w:fldCharType="separate"/>
            </w:r>
            <w:r w:rsidR="000A5153">
              <w:rPr>
                <w:noProof/>
                <w:webHidden/>
                <w:sz w:val="24"/>
                <w:szCs w:val="24"/>
              </w:rPr>
              <w:t>6</w:t>
            </w:r>
            <w:r w:rsidRPr="002F6806">
              <w:rPr>
                <w:noProof/>
                <w:webHidden/>
                <w:sz w:val="24"/>
                <w:szCs w:val="24"/>
              </w:rPr>
              <w:fldChar w:fldCharType="end"/>
            </w:r>
          </w:hyperlink>
        </w:p>
        <w:p w14:paraId="37D4FF30" w14:textId="3C69A9DA" w:rsidR="002F6806" w:rsidRPr="002F6806" w:rsidRDefault="002F6806" w:rsidP="002F6806">
          <w:pPr>
            <w:pStyle w:val="TOC2"/>
            <w:tabs>
              <w:tab w:val="right" w:leader="dot" w:pos="9350"/>
            </w:tabs>
            <w:spacing w:line="360" w:lineRule="auto"/>
            <w:rPr>
              <w:noProof/>
              <w:sz w:val="24"/>
              <w:szCs w:val="24"/>
            </w:rPr>
          </w:pPr>
          <w:hyperlink w:anchor="_Toc212595720" w:history="1">
            <w:r w:rsidRPr="002F6806">
              <w:rPr>
                <w:rStyle w:val="Hyperlink"/>
                <w:rFonts w:asciiTheme="minorBidi" w:hAnsiTheme="minorBidi"/>
                <w:b/>
                <w:bCs/>
                <w:noProof/>
                <w:sz w:val="24"/>
                <w:szCs w:val="24"/>
              </w:rPr>
              <w:t>4.2 Approaches That Foster Collaboration</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_Toc212595720 \h </w:instrText>
            </w:r>
            <w:r w:rsidRPr="002F6806">
              <w:rPr>
                <w:noProof/>
                <w:webHidden/>
                <w:sz w:val="24"/>
                <w:szCs w:val="24"/>
              </w:rPr>
            </w:r>
            <w:r w:rsidRPr="002F6806">
              <w:rPr>
                <w:noProof/>
                <w:webHidden/>
                <w:sz w:val="24"/>
                <w:szCs w:val="24"/>
              </w:rPr>
              <w:fldChar w:fldCharType="separate"/>
            </w:r>
            <w:r w:rsidR="000A5153">
              <w:rPr>
                <w:noProof/>
                <w:webHidden/>
                <w:sz w:val="24"/>
                <w:szCs w:val="24"/>
              </w:rPr>
              <w:t>7</w:t>
            </w:r>
            <w:r w:rsidRPr="002F6806">
              <w:rPr>
                <w:noProof/>
                <w:webHidden/>
                <w:sz w:val="24"/>
                <w:szCs w:val="24"/>
              </w:rPr>
              <w:fldChar w:fldCharType="end"/>
            </w:r>
          </w:hyperlink>
        </w:p>
        <w:p w14:paraId="014E9EC5" w14:textId="4518A10B" w:rsidR="002F6806" w:rsidRPr="002F6806" w:rsidRDefault="002F6806" w:rsidP="002F6806">
          <w:pPr>
            <w:pStyle w:val="TOC2"/>
            <w:tabs>
              <w:tab w:val="right" w:leader="dot" w:pos="9350"/>
            </w:tabs>
            <w:spacing w:line="360" w:lineRule="auto"/>
            <w:rPr>
              <w:noProof/>
              <w:sz w:val="24"/>
              <w:szCs w:val="24"/>
            </w:rPr>
          </w:pPr>
          <w:hyperlink w:anchor="_Toc212595721" w:history="1">
            <w:r w:rsidRPr="002F6806">
              <w:rPr>
                <w:rStyle w:val="Hyperlink"/>
                <w:rFonts w:asciiTheme="minorBidi" w:hAnsiTheme="minorBidi"/>
                <w:b/>
                <w:bCs/>
                <w:noProof/>
                <w:sz w:val="24"/>
                <w:szCs w:val="24"/>
              </w:rPr>
              <w:t>4.3 Overcoming Common Multi-Agency Challenges</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_Toc212595721 \h </w:instrText>
            </w:r>
            <w:r w:rsidRPr="002F6806">
              <w:rPr>
                <w:noProof/>
                <w:webHidden/>
                <w:sz w:val="24"/>
                <w:szCs w:val="24"/>
              </w:rPr>
            </w:r>
            <w:r w:rsidRPr="002F6806">
              <w:rPr>
                <w:noProof/>
                <w:webHidden/>
                <w:sz w:val="24"/>
                <w:szCs w:val="24"/>
              </w:rPr>
              <w:fldChar w:fldCharType="separate"/>
            </w:r>
            <w:r w:rsidR="000A5153">
              <w:rPr>
                <w:noProof/>
                <w:webHidden/>
                <w:sz w:val="24"/>
                <w:szCs w:val="24"/>
              </w:rPr>
              <w:t>7</w:t>
            </w:r>
            <w:r w:rsidRPr="002F6806">
              <w:rPr>
                <w:noProof/>
                <w:webHidden/>
                <w:sz w:val="24"/>
                <w:szCs w:val="24"/>
              </w:rPr>
              <w:fldChar w:fldCharType="end"/>
            </w:r>
          </w:hyperlink>
        </w:p>
        <w:p w14:paraId="402DA63C" w14:textId="2519A86F" w:rsidR="002F6806" w:rsidRPr="002F6806" w:rsidRDefault="002F6806" w:rsidP="002F6806">
          <w:pPr>
            <w:pStyle w:val="TOC1"/>
            <w:tabs>
              <w:tab w:val="right" w:leader="dot" w:pos="9350"/>
            </w:tabs>
            <w:spacing w:line="360" w:lineRule="auto"/>
            <w:rPr>
              <w:noProof/>
              <w:sz w:val="24"/>
              <w:szCs w:val="24"/>
            </w:rPr>
          </w:pPr>
          <w:hyperlink w:anchor="_Toc212595722" w:history="1">
            <w:r w:rsidRPr="002F6806">
              <w:rPr>
                <w:rStyle w:val="Hyperlink"/>
                <w:rFonts w:asciiTheme="minorBidi" w:hAnsiTheme="minorBidi"/>
                <w:b/>
                <w:bCs/>
                <w:noProof/>
                <w:sz w:val="24"/>
                <w:szCs w:val="24"/>
              </w:rPr>
              <w:t>5. Conclusion</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_Toc212595722 \h </w:instrText>
            </w:r>
            <w:r w:rsidRPr="002F6806">
              <w:rPr>
                <w:noProof/>
                <w:webHidden/>
                <w:sz w:val="24"/>
                <w:szCs w:val="24"/>
              </w:rPr>
            </w:r>
            <w:r w:rsidRPr="002F6806">
              <w:rPr>
                <w:noProof/>
                <w:webHidden/>
                <w:sz w:val="24"/>
                <w:szCs w:val="24"/>
              </w:rPr>
              <w:fldChar w:fldCharType="separate"/>
            </w:r>
            <w:r w:rsidR="000A5153">
              <w:rPr>
                <w:noProof/>
                <w:webHidden/>
                <w:sz w:val="24"/>
                <w:szCs w:val="24"/>
              </w:rPr>
              <w:t>8</w:t>
            </w:r>
            <w:r w:rsidRPr="002F6806">
              <w:rPr>
                <w:noProof/>
                <w:webHidden/>
                <w:sz w:val="24"/>
                <w:szCs w:val="24"/>
              </w:rPr>
              <w:fldChar w:fldCharType="end"/>
            </w:r>
          </w:hyperlink>
        </w:p>
        <w:p w14:paraId="324F2E41" w14:textId="3AB246BB" w:rsidR="002F6806" w:rsidRDefault="002F6806" w:rsidP="002F6806">
          <w:pPr>
            <w:pStyle w:val="TOC1"/>
            <w:tabs>
              <w:tab w:val="right" w:leader="dot" w:pos="9350"/>
            </w:tabs>
            <w:spacing w:line="360" w:lineRule="auto"/>
            <w:rPr>
              <w:noProof/>
            </w:rPr>
          </w:pPr>
          <w:hyperlink w:anchor="_Toc212595723" w:history="1">
            <w:r w:rsidRPr="002F6806">
              <w:rPr>
                <w:rStyle w:val="Hyperlink"/>
                <w:rFonts w:asciiTheme="minorBidi" w:hAnsiTheme="minorBidi"/>
                <w:b/>
                <w:bCs/>
                <w:noProof/>
                <w:sz w:val="24"/>
                <w:szCs w:val="24"/>
              </w:rPr>
              <w:t>References:</w:t>
            </w:r>
            <w:r w:rsidRPr="002F6806">
              <w:rPr>
                <w:noProof/>
                <w:webHidden/>
                <w:sz w:val="24"/>
                <w:szCs w:val="24"/>
              </w:rPr>
              <w:tab/>
            </w:r>
            <w:r w:rsidRPr="002F6806">
              <w:rPr>
                <w:noProof/>
                <w:webHidden/>
                <w:sz w:val="24"/>
                <w:szCs w:val="24"/>
              </w:rPr>
              <w:fldChar w:fldCharType="begin"/>
            </w:r>
            <w:r w:rsidRPr="002F6806">
              <w:rPr>
                <w:noProof/>
                <w:webHidden/>
                <w:sz w:val="24"/>
                <w:szCs w:val="24"/>
              </w:rPr>
              <w:instrText xml:space="preserve"> PAGEREF _Toc212595723 \h </w:instrText>
            </w:r>
            <w:r w:rsidRPr="002F6806">
              <w:rPr>
                <w:noProof/>
                <w:webHidden/>
                <w:sz w:val="24"/>
                <w:szCs w:val="24"/>
              </w:rPr>
            </w:r>
            <w:r w:rsidRPr="002F6806">
              <w:rPr>
                <w:noProof/>
                <w:webHidden/>
                <w:sz w:val="24"/>
                <w:szCs w:val="24"/>
              </w:rPr>
              <w:fldChar w:fldCharType="separate"/>
            </w:r>
            <w:r w:rsidR="000A5153">
              <w:rPr>
                <w:noProof/>
                <w:webHidden/>
                <w:sz w:val="24"/>
                <w:szCs w:val="24"/>
              </w:rPr>
              <w:t>9</w:t>
            </w:r>
            <w:r w:rsidRPr="002F6806">
              <w:rPr>
                <w:noProof/>
                <w:webHidden/>
                <w:sz w:val="24"/>
                <w:szCs w:val="24"/>
              </w:rPr>
              <w:fldChar w:fldCharType="end"/>
            </w:r>
          </w:hyperlink>
        </w:p>
        <w:p w14:paraId="58C0D891" w14:textId="2B65E263" w:rsidR="002F6806" w:rsidRDefault="002F6806">
          <w:r>
            <w:rPr>
              <w:b/>
              <w:bCs/>
              <w:noProof/>
            </w:rPr>
            <w:fldChar w:fldCharType="end"/>
          </w:r>
        </w:p>
      </w:sdtContent>
    </w:sdt>
    <w:p w14:paraId="7EEB66D9" w14:textId="77777777" w:rsidR="00FB4CB7" w:rsidRPr="00B1569A" w:rsidRDefault="00FB4CB7" w:rsidP="00FB4CB7">
      <w:pPr>
        <w:spacing w:line="360" w:lineRule="auto"/>
        <w:jc w:val="both"/>
        <w:rPr>
          <w:rFonts w:asciiTheme="minorBidi" w:hAnsiTheme="minorBidi"/>
          <w:sz w:val="24"/>
          <w:szCs w:val="24"/>
        </w:rPr>
      </w:pPr>
    </w:p>
    <w:p w14:paraId="27640D01" w14:textId="77777777" w:rsidR="00B1569A" w:rsidRPr="00B1569A" w:rsidRDefault="00B1569A" w:rsidP="00FB4CB7">
      <w:pPr>
        <w:spacing w:line="360" w:lineRule="auto"/>
        <w:jc w:val="both"/>
        <w:rPr>
          <w:rFonts w:asciiTheme="minorBidi" w:hAnsiTheme="minorBidi"/>
          <w:sz w:val="24"/>
          <w:szCs w:val="24"/>
        </w:rPr>
      </w:pPr>
    </w:p>
    <w:p w14:paraId="60C5A8D5" w14:textId="77777777" w:rsidR="00B1569A" w:rsidRDefault="00B1569A" w:rsidP="00FB4CB7">
      <w:pPr>
        <w:spacing w:line="360" w:lineRule="auto"/>
        <w:jc w:val="both"/>
        <w:rPr>
          <w:rFonts w:asciiTheme="minorBidi" w:hAnsiTheme="minorBidi"/>
          <w:sz w:val="24"/>
          <w:szCs w:val="24"/>
        </w:rPr>
      </w:pPr>
    </w:p>
    <w:p w14:paraId="477F2683" w14:textId="77777777" w:rsidR="002F6806" w:rsidRPr="00B1569A" w:rsidRDefault="002F6806" w:rsidP="00FB4CB7">
      <w:pPr>
        <w:spacing w:line="360" w:lineRule="auto"/>
        <w:jc w:val="both"/>
        <w:rPr>
          <w:rFonts w:asciiTheme="minorBidi" w:hAnsiTheme="minorBidi"/>
          <w:sz w:val="24"/>
          <w:szCs w:val="24"/>
        </w:rPr>
      </w:pPr>
    </w:p>
    <w:p w14:paraId="3779D549" w14:textId="64443FB4" w:rsidR="00B1569A" w:rsidRPr="00B1569A" w:rsidRDefault="00B1569A" w:rsidP="00B1569A">
      <w:pPr>
        <w:pStyle w:val="Heading1"/>
        <w:pBdr>
          <w:bottom w:val="single" w:sz="4" w:space="1" w:color="auto"/>
        </w:pBdr>
        <w:rPr>
          <w:rFonts w:asciiTheme="minorBidi" w:hAnsiTheme="minorBidi" w:cstheme="minorBidi"/>
          <w:b/>
          <w:bCs/>
          <w:sz w:val="32"/>
          <w:szCs w:val="32"/>
        </w:rPr>
      </w:pPr>
      <w:bookmarkStart w:id="0" w:name="_Toc212595708"/>
      <w:r w:rsidRPr="00B1569A">
        <w:rPr>
          <w:rFonts w:asciiTheme="minorBidi" w:hAnsiTheme="minorBidi" w:cstheme="minorBidi"/>
          <w:b/>
          <w:bCs/>
          <w:sz w:val="32"/>
          <w:szCs w:val="32"/>
        </w:rPr>
        <w:lastRenderedPageBreak/>
        <w:t>1. Introduction</w:t>
      </w:r>
      <w:bookmarkEnd w:id="0"/>
      <w:r w:rsidRPr="00B1569A">
        <w:rPr>
          <w:rFonts w:asciiTheme="minorBidi" w:hAnsiTheme="minorBidi" w:cstheme="minorBidi"/>
          <w:b/>
          <w:bCs/>
          <w:sz w:val="32"/>
          <w:szCs w:val="32"/>
        </w:rPr>
        <w:t xml:space="preserve"> </w:t>
      </w:r>
    </w:p>
    <w:p w14:paraId="682848A2" w14:textId="7FE37C7F"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Mrs Mann’s case highlights the intricate realities of providing person-centred care to older adults within community health and social care. Recently discharged from hospital following hip replacement surgery, she receives daily domiciliary care while recovering mobility. Her limited English proficiency, reliance on her daughter for interpretation, and an incident involving delayed medication adjustment reveal the critical importance of effective communication, accurate record-keeping, and professional collaboration in safeguarding patient wellbeing. This report explores three key dimensions of Mrs Mann’s care: effective communication strategies aligned with the Equality Act 2010, administrative competence in documentation governed by the Data Protection Act 2018 and the Caldicott Principles, and interprofessional collaboration among health and social care teams. The discussion integrates theoretical communication frameworks such as the Teach-Back model and evidence-based guidance from NHS England, the Health and Social Care Act, and contemporary literature to illustrate best practice and ethical responsibility in delivering safe, equitable, and coordinated care.</w:t>
      </w:r>
    </w:p>
    <w:p w14:paraId="6C775B58" w14:textId="41AEADFF" w:rsidR="00B1569A" w:rsidRPr="00B1569A" w:rsidRDefault="00B1569A" w:rsidP="00B1569A">
      <w:pPr>
        <w:pStyle w:val="Heading1"/>
        <w:pBdr>
          <w:bottom w:val="single" w:sz="4" w:space="1" w:color="auto"/>
        </w:pBdr>
        <w:rPr>
          <w:rFonts w:asciiTheme="minorBidi" w:hAnsiTheme="minorBidi" w:cstheme="minorBidi"/>
          <w:b/>
          <w:bCs/>
          <w:sz w:val="32"/>
          <w:szCs w:val="32"/>
        </w:rPr>
      </w:pPr>
      <w:bookmarkStart w:id="1" w:name="_Toc212595709"/>
      <w:r w:rsidRPr="00B1569A">
        <w:rPr>
          <w:rFonts w:asciiTheme="minorBidi" w:hAnsiTheme="minorBidi" w:cstheme="minorBidi"/>
          <w:b/>
          <w:bCs/>
          <w:sz w:val="32"/>
          <w:szCs w:val="32"/>
        </w:rPr>
        <w:t>2. Effective Communication in Mrs Mann’s Care</w:t>
      </w:r>
      <w:bookmarkEnd w:id="1"/>
    </w:p>
    <w:p w14:paraId="39F83FC5" w14:textId="28F9A0E1" w:rsidR="00B1569A" w:rsidRPr="00B1569A" w:rsidRDefault="00B1569A" w:rsidP="00B1569A">
      <w:pPr>
        <w:pStyle w:val="Heading2"/>
        <w:spacing w:line="360" w:lineRule="auto"/>
        <w:rPr>
          <w:rFonts w:asciiTheme="minorBidi" w:hAnsiTheme="minorBidi" w:cstheme="minorBidi"/>
          <w:b/>
          <w:bCs/>
          <w:sz w:val="28"/>
          <w:szCs w:val="28"/>
        </w:rPr>
      </w:pPr>
      <w:bookmarkStart w:id="2" w:name="_Toc212595710"/>
      <w:r w:rsidRPr="00B1569A">
        <w:rPr>
          <w:rFonts w:asciiTheme="minorBidi" w:hAnsiTheme="minorBidi" w:cstheme="minorBidi"/>
          <w:b/>
          <w:bCs/>
          <w:sz w:val="28"/>
          <w:szCs w:val="28"/>
        </w:rPr>
        <w:t>2.1 Context, Barriers and Risks</w:t>
      </w:r>
      <w:bookmarkEnd w:id="2"/>
      <w:r w:rsidRPr="00B1569A">
        <w:rPr>
          <w:rFonts w:asciiTheme="minorBidi" w:hAnsiTheme="minorBidi" w:cstheme="minorBidi"/>
          <w:b/>
          <w:bCs/>
          <w:sz w:val="28"/>
          <w:szCs w:val="28"/>
        </w:rPr>
        <w:t xml:space="preserve"> </w:t>
      </w:r>
    </w:p>
    <w:p w14:paraId="03B34BB3" w14:textId="7777777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Mrs Mann, a seventy-two-year-old woman recovering from hip replacement surgery, lives independently and receives daily support from domiciliary carers for mobility and personal care. Her first language is Urdu, and she speaks limited English, often relying on her daughter to interpret during healthcare interactions. This dynamic, while well-intentioned, introduces communication risks that can compromise accuracy and confidentiality, particularly regarding medication or rehabilitation advice. The recent delay in medication adjustment demonstrates how incomplete information exchange can lead to clinical errors and distress. Limited health literacy, combined with post-operative pain, immobility, and anxiety, heightens vulnerability and misunderstanding. Research shows that communication barriers in older adults correlate with poorer adherence and increased hospital readmission rates (Sharkiya, 2023). Ensuring linguistic accessibility and emotional reassurance is therefore vital for safety, trust, and recovery.</w:t>
      </w:r>
    </w:p>
    <w:p w14:paraId="106BD16B" w14:textId="000B96A0" w:rsidR="00B1569A" w:rsidRPr="00B1569A" w:rsidRDefault="00B1569A" w:rsidP="00B1569A">
      <w:pPr>
        <w:pStyle w:val="Heading2"/>
        <w:spacing w:line="360" w:lineRule="auto"/>
        <w:rPr>
          <w:rFonts w:asciiTheme="minorBidi" w:hAnsiTheme="minorBidi" w:cstheme="minorBidi"/>
          <w:b/>
          <w:bCs/>
          <w:sz w:val="28"/>
          <w:szCs w:val="28"/>
        </w:rPr>
      </w:pPr>
      <w:bookmarkStart w:id="3" w:name="_Toc212595711"/>
      <w:r w:rsidRPr="00B1569A">
        <w:rPr>
          <w:rFonts w:asciiTheme="minorBidi" w:hAnsiTheme="minorBidi" w:cstheme="minorBidi"/>
          <w:b/>
          <w:bCs/>
          <w:sz w:val="28"/>
          <w:szCs w:val="28"/>
        </w:rPr>
        <w:lastRenderedPageBreak/>
        <w:t>2.2 Equality Act 2010: Core Principles Applied</w:t>
      </w:r>
      <w:bookmarkEnd w:id="3"/>
    </w:p>
    <w:p w14:paraId="134DC2FA" w14:textId="7777777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Under the Equality Act 2010, healthcare professionals are legally and ethically obliged to eliminate discrimination, advance equality of opportunity, and foster good relations across protected characteristics such as race, age, and disability (Redley, 2019). Mrs Mann’s limited English proficiency qualifies her for “reasonable adjustments,” ensuring equitable access to information and support. Reasonable adjustments may include providing professional interpretation, translated written materials, and culturally competent care practices that respect religious and linguistic identity. Relying on family members for interpretation, though common, risks breaching confidentiality and distorting medical communication (Pollock, 2021). Embedding equality principles into everyday practice reinforces patient autonomy and dignity while strengthening trust. When healthcare workers prioritise inclusion, they reduce health disparities and empower service users to participate meaningfully in decisions affecting their treatment and wellbeing.</w:t>
      </w:r>
    </w:p>
    <w:p w14:paraId="293DA0C7" w14:textId="579E3976" w:rsidR="00B1569A" w:rsidRPr="00B1569A" w:rsidRDefault="00B1569A" w:rsidP="00B1569A">
      <w:pPr>
        <w:pStyle w:val="Heading2"/>
        <w:spacing w:line="360" w:lineRule="auto"/>
        <w:rPr>
          <w:rFonts w:asciiTheme="minorBidi" w:hAnsiTheme="minorBidi" w:cstheme="minorBidi"/>
          <w:b/>
          <w:bCs/>
          <w:sz w:val="28"/>
          <w:szCs w:val="28"/>
        </w:rPr>
      </w:pPr>
      <w:bookmarkStart w:id="4" w:name="_Toc212595712"/>
      <w:r w:rsidRPr="00B1569A">
        <w:rPr>
          <w:rFonts w:asciiTheme="minorBidi" w:hAnsiTheme="minorBidi" w:cstheme="minorBidi"/>
          <w:b/>
          <w:bCs/>
          <w:sz w:val="28"/>
          <w:szCs w:val="28"/>
        </w:rPr>
        <w:t>2.3 Communication Model in Practice (Teach-Back)</w:t>
      </w:r>
      <w:bookmarkEnd w:id="4"/>
      <w:r w:rsidRPr="00B1569A">
        <w:rPr>
          <w:rFonts w:asciiTheme="minorBidi" w:hAnsiTheme="minorBidi" w:cstheme="minorBidi"/>
          <w:b/>
          <w:bCs/>
          <w:sz w:val="28"/>
          <w:szCs w:val="28"/>
        </w:rPr>
        <w:t xml:space="preserve"> </w:t>
      </w:r>
    </w:p>
    <w:p w14:paraId="3C4DAF5C" w14:textId="7E04B12C"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 xml:space="preserve">The Teach-Back method is a patient-centred communication approach designed to verify understanding by asking service users to repeat or demonstrate information in their own words (Jack, 2019). Applied in Mrs Mann’s case, it ensures comprehension of medication schedules, physiotherapy routines, and fall-prevention strategies. During medication counselling, for example, the carer might explain dosage and timing, then invite Mrs Mann to restate or act out how she will take her tablets. This enables the practitioner to identify gaps and clarify misunderstandings immediately. Evidence suggests that Teach-Back improves adherence and patient confidence, especially among older adults with limited literacy or language barriers (Davis </w:t>
      </w:r>
      <w:r w:rsidR="00410B0C" w:rsidRPr="00410B0C">
        <w:rPr>
          <w:rFonts w:asciiTheme="minorBidi" w:hAnsiTheme="minorBidi"/>
          <w:i/>
          <w:iCs/>
          <w:sz w:val="24"/>
          <w:szCs w:val="24"/>
        </w:rPr>
        <w:t>et al.</w:t>
      </w:r>
      <w:r w:rsidRPr="00B1569A">
        <w:rPr>
          <w:rFonts w:asciiTheme="minorBidi" w:hAnsiTheme="minorBidi"/>
          <w:sz w:val="24"/>
          <w:szCs w:val="24"/>
        </w:rPr>
        <w:t>, 2024). Integrating visual aids, gestures, and repetition enhances clarity while preserving dignity. Documentation of the Teach-Back exchange within her care notes not only verifies understanding but also provides a traceable record of professional accountability in accordance with care quality standards (SCIE, n.d.).</w:t>
      </w:r>
    </w:p>
    <w:p w14:paraId="0B4D37B0" w14:textId="2A738396" w:rsidR="00B1569A" w:rsidRPr="00B1569A" w:rsidRDefault="00B1569A" w:rsidP="00B1569A">
      <w:pPr>
        <w:pStyle w:val="Heading2"/>
        <w:spacing w:line="360" w:lineRule="auto"/>
        <w:rPr>
          <w:rFonts w:asciiTheme="minorBidi" w:hAnsiTheme="minorBidi" w:cstheme="minorBidi"/>
          <w:b/>
          <w:bCs/>
          <w:sz w:val="28"/>
          <w:szCs w:val="28"/>
        </w:rPr>
      </w:pPr>
      <w:bookmarkStart w:id="5" w:name="_Toc212595713"/>
      <w:r w:rsidRPr="00B1569A">
        <w:rPr>
          <w:rFonts w:asciiTheme="minorBidi" w:hAnsiTheme="minorBidi" w:cstheme="minorBidi"/>
          <w:b/>
          <w:bCs/>
          <w:sz w:val="28"/>
          <w:szCs w:val="28"/>
        </w:rPr>
        <w:t>2.4 Safe Use of Interpreters and Cultural Competence</w:t>
      </w:r>
      <w:bookmarkEnd w:id="5"/>
    </w:p>
    <w:p w14:paraId="2C5E178E" w14:textId="7777777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Engaging professional interpreters ensures that communication remains accurate, confidential, and free from familial bias. Practitioners should brief interpreters beforehand, address Mrs Mann directly in short, clear sentences, and use plain language with supportive visuals. Documentation must record interpreter identity and session details. Respecting Mrs Mann’s privacy, preferences, and cultural norms demonstrates genuine cultural competence and strengthens therapeutic relationships (NHS England, 2025).</w:t>
      </w:r>
    </w:p>
    <w:p w14:paraId="65B7FA70" w14:textId="32A48C91" w:rsidR="00B1569A" w:rsidRPr="00B1569A" w:rsidRDefault="00B1569A" w:rsidP="00B1569A">
      <w:pPr>
        <w:pStyle w:val="Heading1"/>
        <w:pBdr>
          <w:bottom w:val="single" w:sz="4" w:space="1" w:color="auto"/>
        </w:pBdr>
        <w:rPr>
          <w:rFonts w:asciiTheme="minorBidi" w:hAnsiTheme="minorBidi" w:cstheme="minorBidi"/>
          <w:b/>
          <w:bCs/>
          <w:sz w:val="32"/>
          <w:szCs w:val="32"/>
        </w:rPr>
      </w:pPr>
      <w:bookmarkStart w:id="6" w:name="_Toc212595714"/>
      <w:r w:rsidRPr="00B1569A">
        <w:rPr>
          <w:rFonts w:asciiTheme="minorBidi" w:hAnsiTheme="minorBidi" w:cstheme="minorBidi"/>
          <w:b/>
          <w:bCs/>
          <w:sz w:val="32"/>
          <w:szCs w:val="32"/>
        </w:rPr>
        <w:t>3. Administrative Skills and Record-Keeping</w:t>
      </w:r>
      <w:bookmarkEnd w:id="6"/>
      <w:r w:rsidRPr="00B1569A">
        <w:rPr>
          <w:rFonts w:asciiTheme="minorBidi" w:hAnsiTheme="minorBidi" w:cstheme="minorBidi"/>
          <w:b/>
          <w:bCs/>
          <w:sz w:val="32"/>
          <w:szCs w:val="32"/>
        </w:rPr>
        <w:t xml:space="preserve"> </w:t>
      </w:r>
    </w:p>
    <w:p w14:paraId="5E0F94D2" w14:textId="48E62444" w:rsidR="00B1569A" w:rsidRPr="00B1569A" w:rsidRDefault="00B1569A" w:rsidP="00B1569A">
      <w:pPr>
        <w:pStyle w:val="Heading2"/>
        <w:spacing w:line="360" w:lineRule="auto"/>
        <w:rPr>
          <w:rFonts w:asciiTheme="minorBidi" w:hAnsiTheme="minorBidi" w:cstheme="minorBidi"/>
          <w:b/>
          <w:bCs/>
          <w:sz w:val="28"/>
          <w:szCs w:val="28"/>
        </w:rPr>
      </w:pPr>
      <w:bookmarkStart w:id="7" w:name="_Toc212595715"/>
      <w:r w:rsidRPr="00B1569A">
        <w:rPr>
          <w:rFonts w:asciiTheme="minorBidi" w:hAnsiTheme="minorBidi" w:cstheme="minorBidi"/>
          <w:b/>
          <w:bCs/>
          <w:sz w:val="28"/>
          <w:szCs w:val="28"/>
        </w:rPr>
        <w:t>3.1 Why Accurate Records Matter in This Case</w:t>
      </w:r>
      <w:bookmarkEnd w:id="7"/>
      <w:r w:rsidRPr="00B1569A">
        <w:rPr>
          <w:rFonts w:asciiTheme="minorBidi" w:hAnsiTheme="minorBidi" w:cstheme="minorBidi"/>
          <w:b/>
          <w:bCs/>
          <w:sz w:val="28"/>
          <w:szCs w:val="28"/>
        </w:rPr>
        <w:t xml:space="preserve"> </w:t>
      </w:r>
    </w:p>
    <w:p w14:paraId="16CD18FA" w14:textId="7777777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The incident involving Mrs Mann’s delayed medication adjustment demonstrates the far-reaching consequences of incomplete documentation within domiciliary care. When care notes, medication administration records (MAR charts), or shift handovers lack precision or are left unsigned, communication failures cascade between professionals, leading to clinical risk and potential harm. For an elderly patient recovering from major surgery, delayed analgesia or incorrect dosage can exacerbate pain, reduce mobility, and impede rehabilitation. Contemporary health and social care standards emphasise that records must be contemporaneous, factual, and written in clear, legible language, signed and dated by the professional completing them (NHS England, 2025). Such documentation provides a transparent chain of accountability and ensures continuity of care, allowing practitioners across disciplines to make timely and informed decisions that protect safety and dignity in home-based recovery contexts.</w:t>
      </w:r>
    </w:p>
    <w:p w14:paraId="5543FCBF" w14:textId="512BD81B" w:rsidR="00B1569A" w:rsidRPr="00B1569A" w:rsidRDefault="00B1569A" w:rsidP="00B1569A">
      <w:pPr>
        <w:pStyle w:val="Heading2"/>
        <w:spacing w:line="360" w:lineRule="auto"/>
        <w:rPr>
          <w:rFonts w:asciiTheme="minorBidi" w:hAnsiTheme="minorBidi" w:cstheme="minorBidi"/>
          <w:b/>
          <w:bCs/>
          <w:sz w:val="28"/>
          <w:szCs w:val="28"/>
        </w:rPr>
      </w:pPr>
      <w:bookmarkStart w:id="8" w:name="_Toc212595716"/>
      <w:r w:rsidRPr="00B1569A">
        <w:rPr>
          <w:rFonts w:asciiTheme="minorBidi" w:hAnsiTheme="minorBidi" w:cstheme="minorBidi"/>
          <w:b/>
          <w:bCs/>
          <w:sz w:val="28"/>
          <w:szCs w:val="28"/>
        </w:rPr>
        <w:t>3.2 Legal and Policy Frameworks (Data Protection Act 2018 and UK GDPR)</w:t>
      </w:r>
      <w:bookmarkEnd w:id="8"/>
    </w:p>
    <w:p w14:paraId="15FE72AA" w14:textId="7777777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Accurate record-keeping operates within the statutory frameworks of the Data Protection Act 2018 and the UK General Data Protection Regulation (UK GDPR), which together uphold the lawful and ethical handling of personal data. These frameworks rest on seven core principles: lawfulness, fairness and transparency; purpose limitation; data minimisation; accuracy; storage limitation; integrity and confidentiality; and accountability (Health Research Authority, 2025). In practice, this means Mrs Mann’s records must only include information necessary for her care, stored securely in encrypted digital systems or locked cabinets, and accessed solely by staff with a legitimate role. Breaches of confidentiality not only erode trust but also contravene statutory duty. The Caldicott Principles complement data protection law by requiring that information sharing occurs strictly on a “need-to-know” basis, ensuring proportionality between privacy and safety (NHS Digital, 2025). Consent and lawful bases must be documented, particularly when information is shared between professionals such as her GP, physiotherapist, and home-care team. Adherence to these principles sustains both ethical integrity and legal compliance, reinforcing public confidence in health and social care institutions.</w:t>
      </w:r>
    </w:p>
    <w:p w14:paraId="47FF59F3" w14:textId="1AD5C54A" w:rsidR="00B1569A" w:rsidRPr="00B1569A" w:rsidRDefault="00B1569A" w:rsidP="00B1569A">
      <w:pPr>
        <w:pStyle w:val="Heading2"/>
        <w:spacing w:line="360" w:lineRule="auto"/>
        <w:rPr>
          <w:rFonts w:asciiTheme="minorBidi" w:hAnsiTheme="minorBidi" w:cstheme="minorBidi"/>
          <w:b/>
          <w:bCs/>
          <w:sz w:val="28"/>
          <w:szCs w:val="28"/>
        </w:rPr>
      </w:pPr>
      <w:bookmarkStart w:id="9" w:name="_Toc212595717"/>
      <w:r w:rsidRPr="00B1569A">
        <w:rPr>
          <w:rFonts w:asciiTheme="minorBidi" w:hAnsiTheme="minorBidi" w:cstheme="minorBidi"/>
          <w:b/>
          <w:bCs/>
          <w:sz w:val="28"/>
          <w:szCs w:val="28"/>
        </w:rPr>
        <w:t>3.3 Practical Documentation Standards and Audit</w:t>
      </w:r>
      <w:bookmarkEnd w:id="9"/>
    </w:p>
    <w:p w14:paraId="2A2A9EAA" w14:textId="4DF398A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Translating legislative standards into practice requires methodical documentation processes and routine quality checks. Every care record should follow a structured format encompassing risk assessments, mobility and pain evaluations, allergy alerts, medication updates, and any changes to care plans. The MAR chart should record each administered dose with a clear signature, ensuring traceability and accountability. Entries must be dated, timed, and written in the order of occurrence, with objective descriptions rather than subjective opinions. When concerns arise</w:t>
      </w:r>
      <w:r w:rsidR="00410B0C">
        <w:rPr>
          <w:rFonts w:asciiTheme="minorBidi" w:hAnsiTheme="minorBidi"/>
          <w:sz w:val="24"/>
          <w:szCs w:val="24"/>
        </w:rPr>
        <w:t>-</w:t>
      </w:r>
      <w:r w:rsidRPr="00B1569A">
        <w:rPr>
          <w:rFonts w:asciiTheme="minorBidi" w:hAnsiTheme="minorBidi"/>
          <w:sz w:val="24"/>
          <w:szCs w:val="24"/>
        </w:rPr>
        <w:t>such as pain escalation or medication discrepancies</w:t>
      </w:r>
      <w:r w:rsidR="00410B0C">
        <w:rPr>
          <w:rFonts w:asciiTheme="minorBidi" w:hAnsiTheme="minorBidi"/>
          <w:sz w:val="24"/>
          <w:szCs w:val="24"/>
        </w:rPr>
        <w:t>-</w:t>
      </w:r>
      <w:r w:rsidRPr="00B1569A">
        <w:rPr>
          <w:rFonts w:asciiTheme="minorBidi" w:hAnsiTheme="minorBidi"/>
          <w:sz w:val="24"/>
          <w:szCs w:val="24"/>
        </w:rPr>
        <w:t xml:space="preserve">communication should follow the SBAR framework: Situation, Background, Assessment, and Recommendation (Alderwick </w:t>
      </w:r>
      <w:r w:rsidR="00410B0C" w:rsidRPr="00410B0C">
        <w:rPr>
          <w:rFonts w:asciiTheme="minorBidi" w:hAnsiTheme="minorBidi"/>
          <w:i/>
          <w:iCs/>
          <w:sz w:val="24"/>
          <w:szCs w:val="24"/>
        </w:rPr>
        <w:t>et al.</w:t>
      </w:r>
      <w:r w:rsidRPr="00B1569A">
        <w:rPr>
          <w:rFonts w:asciiTheme="minorBidi" w:hAnsiTheme="minorBidi"/>
          <w:sz w:val="24"/>
          <w:szCs w:val="24"/>
        </w:rPr>
        <w:t>, 2021). This supports accurate escalation to Mrs Mann’s GP or physiotherapist. Completing incident forms and duty of candour statements demonstrates transparency and learning from error. Regular supervision and internal audit cycles help identify documentation gaps and reinforce professional competence. Effective record-keeping ultimately protects both the patient’s safety and the practitioner’s professional credibility.</w:t>
      </w:r>
    </w:p>
    <w:p w14:paraId="14B2041B" w14:textId="7AD7EA97" w:rsidR="00B1569A" w:rsidRPr="00B1569A" w:rsidRDefault="00B1569A" w:rsidP="00B1569A">
      <w:pPr>
        <w:pStyle w:val="Heading1"/>
        <w:pBdr>
          <w:bottom w:val="single" w:sz="4" w:space="1" w:color="auto"/>
        </w:pBdr>
        <w:rPr>
          <w:rFonts w:asciiTheme="minorBidi" w:hAnsiTheme="minorBidi" w:cstheme="minorBidi"/>
          <w:b/>
          <w:bCs/>
          <w:sz w:val="32"/>
          <w:szCs w:val="32"/>
        </w:rPr>
      </w:pPr>
      <w:bookmarkStart w:id="10" w:name="_Toc212595718"/>
      <w:r w:rsidRPr="00B1569A">
        <w:rPr>
          <w:rFonts w:asciiTheme="minorBidi" w:hAnsiTheme="minorBidi" w:cstheme="minorBidi"/>
          <w:b/>
          <w:bCs/>
          <w:sz w:val="32"/>
          <w:szCs w:val="32"/>
        </w:rPr>
        <w:t>4. Working Collaboratively with Other Professionals</w:t>
      </w:r>
      <w:bookmarkEnd w:id="10"/>
      <w:r w:rsidRPr="00B1569A">
        <w:rPr>
          <w:rFonts w:asciiTheme="minorBidi" w:hAnsiTheme="minorBidi" w:cstheme="minorBidi"/>
          <w:b/>
          <w:bCs/>
          <w:sz w:val="32"/>
          <w:szCs w:val="32"/>
        </w:rPr>
        <w:t xml:space="preserve"> </w:t>
      </w:r>
    </w:p>
    <w:p w14:paraId="0C543469" w14:textId="31499541" w:rsidR="00B1569A" w:rsidRPr="00B1569A" w:rsidRDefault="00B1569A" w:rsidP="00B1569A">
      <w:pPr>
        <w:pStyle w:val="Heading2"/>
        <w:spacing w:line="360" w:lineRule="auto"/>
        <w:rPr>
          <w:rFonts w:asciiTheme="minorBidi" w:hAnsiTheme="minorBidi"/>
          <w:sz w:val="24"/>
          <w:szCs w:val="24"/>
        </w:rPr>
      </w:pPr>
      <w:bookmarkStart w:id="11" w:name="_Toc212595719"/>
      <w:r w:rsidRPr="00B1569A">
        <w:rPr>
          <w:rFonts w:asciiTheme="minorBidi" w:hAnsiTheme="minorBidi" w:cstheme="minorBidi"/>
          <w:b/>
          <w:bCs/>
          <w:sz w:val="28"/>
          <w:szCs w:val="28"/>
        </w:rPr>
        <w:t>4.1 Who Is Involved and What They Do</w:t>
      </w:r>
      <w:bookmarkEnd w:id="11"/>
      <w:r w:rsidRPr="00B1569A">
        <w:rPr>
          <w:rFonts w:asciiTheme="minorBidi" w:hAnsiTheme="minorBidi" w:cstheme="minorBidi"/>
          <w:b/>
          <w:bCs/>
          <w:sz w:val="28"/>
          <w:szCs w:val="28"/>
        </w:rPr>
        <w:t xml:space="preserve"> </w:t>
      </w:r>
    </w:p>
    <w:p w14:paraId="156B6741" w14:textId="77777777"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Mrs Mann’s ongoing recovery relies on the cooperation of several professionals within her community care network. Her general practitioner is responsible for reviewing medications, monitoring potential side effects, and coordinating prescription changes. The community physiotherapist oversees rehabilitation, setting achievable mobility goals and evaluating progress. Domiciliary carers provide daily assistance with hygiene, nutrition, and mobility, while maintaining observation and accurate entries in the medication administration record (MAR). Her daughter offers emotional reassurance and informal translation, while language-support services facilitate clear and equitable communication across all teams involved.</w:t>
      </w:r>
    </w:p>
    <w:p w14:paraId="5464EA8D" w14:textId="5E39F70D" w:rsidR="00B1569A" w:rsidRPr="00B1569A" w:rsidRDefault="00B1569A" w:rsidP="00B1569A">
      <w:pPr>
        <w:pStyle w:val="Heading2"/>
        <w:spacing w:line="360" w:lineRule="auto"/>
        <w:rPr>
          <w:rFonts w:asciiTheme="minorBidi" w:hAnsiTheme="minorBidi" w:cstheme="minorBidi"/>
          <w:b/>
          <w:bCs/>
          <w:sz w:val="28"/>
          <w:szCs w:val="28"/>
        </w:rPr>
      </w:pPr>
      <w:bookmarkStart w:id="12" w:name="_Toc212595720"/>
      <w:r w:rsidRPr="00B1569A">
        <w:rPr>
          <w:rFonts w:asciiTheme="minorBidi" w:hAnsiTheme="minorBidi" w:cstheme="minorBidi"/>
          <w:b/>
          <w:bCs/>
          <w:sz w:val="28"/>
          <w:szCs w:val="28"/>
        </w:rPr>
        <w:t>4.2 Approaches That Foster Collaboration</w:t>
      </w:r>
      <w:bookmarkEnd w:id="12"/>
    </w:p>
    <w:p w14:paraId="3E86F711" w14:textId="58BE465B"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Effective collaboration in Mrs Mann’s case hinges on structured and transparent information sharing among all stakeholders. A shared care plan outlining rehabilitation milestones, medication management, and review dates ensures consistency and accountability. Multidisciplinary team (MDT) meetings</w:t>
      </w:r>
      <w:r w:rsidR="00410B0C">
        <w:rPr>
          <w:rFonts w:asciiTheme="minorBidi" w:hAnsiTheme="minorBidi"/>
          <w:sz w:val="24"/>
          <w:szCs w:val="24"/>
        </w:rPr>
        <w:t>-</w:t>
      </w:r>
      <w:r w:rsidRPr="00B1569A">
        <w:rPr>
          <w:rFonts w:asciiTheme="minorBidi" w:hAnsiTheme="minorBidi"/>
          <w:sz w:val="24"/>
          <w:szCs w:val="24"/>
        </w:rPr>
        <w:t>whether in person or virtual</w:t>
      </w:r>
      <w:r w:rsidR="00410B0C">
        <w:rPr>
          <w:rFonts w:asciiTheme="minorBidi" w:hAnsiTheme="minorBidi"/>
          <w:sz w:val="24"/>
          <w:szCs w:val="24"/>
        </w:rPr>
        <w:t>-</w:t>
      </w:r>
      <w:r w:rsidRPr="00B1569A">
        <w:rPr>
          <w:rFonts w:asciiTheme="minorBidi" w:hAnsiTheme="minorBidi"/>
          <w:sz w:val="24"/>
          <w:szCs w:val="24"/>
        </w:rPr>
        <w:t xml:space="preserve">provide a platform for joint problem-solving and monitoring progress (Murray </w:t>
      </w:r>
      <w:r w:rsidR="00410B0C" w:rsidRPr="00410B0C">
        <w:rPr>
          <w:rFonts w:asciiTheme="minorBidi" w:hAnsiTheme="minorBidi"/>
          <w:i/>
          <w:iCs/>
          <w:sz w:val="24"/>
          <w:szCs w:val="24"/>
        </w:rPr>
        <w:t>et al.</w:t>
      </w:r>
      <w:r w:rsidRPr="00B1569A">
        <w:rPr>
          <w:rFonts w:asciiTheme="minorBidi" w:hAnsiTheme="minorBidi"/>
          <w:sz w:val="24"/>
          <w:szCs w:val="24"/>
        </w:rPr>
        <w:t>, 2025). The SBAR framework supports concise, consistent handovers by structuring information under Situation, Background, Assessment, and Recommendation, reducing the risk of misinterpretation. Shared access to summary care records and secure electronic systems allows professionals to review updated information in real time, while agreed communication pathways clarify escalation routes for urgent concerns. Building respectful relationships within and across disciplines fosters mutual understanding and confidence, ensuring that each professional recognises their complementary role in safeguarding Mrs Mann’s wellbeing and promoting her recovery through collaborative practice.</w:t>
      </w:r>
    </w:p>
    <w:p w14:paraId="5AC12AD4" w14:textId="5D17102A" w:rsidR="00B1569A" w:rsidRPr="00B1569A" w:rsidRDefault="00B1569A" w:rsidP="00B1569A">
      <w:pPr>
        <w:pStyle w:val="Heading2"/>
        <w:spacing w:line="360" w:lineRule="auto"/>
        <w:rPr>
          <w:rFonts w:asciiTheme="minorBidi" w:hAnsiTheme="minorBidi" w:cstheme="minorBidi"/>
          <w:b/>
          <w:bCs/>
          <w:sz w:val="28"/>
          <w:szCs w:val="28"/>
        </w:rPr>
      </w:pPr>
      <w:bookmarkStart w:id="13" w:name="_Toc212595721"/>
      <w:r w:rsidRPr="00B1569A">
        <w:rPr>
          <w:rFonts w:asciiTheme="minorBidi" w:hAnsiTheme="minorBidi" w:cstheme="minorBidi"/>
          <w:b/>
          <w:bCs/>
          <w:sz w:val="28"/>
          <w:szCs w:val="28"/>
        </w:rPr>
        <w:t>4.3 Overcoming Common Multi-Agency Challenges</w:t>
      </w:r>
      <w:bookmarkEnd w:id="13"/>
    </w:p>
    <w:p w14:paraId="50DB9CB1" w14:textId="41215D65"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Challenges such as overlapping responsibilities, fragmented information systems, and language barriers can undermine care quality. Establishing a single point of contact mitigates confusion about accountability, while consistent use of interpreters during MDT meetings ensures linguistic accuracy and cultural sensitivity. Providing Mrs Mann with after-visit summaries in both plain English and translated form bridges understanding gaps and empowers her participation. Regular reflection sessions sustain transparency and collective learning within the team.</w:t>
      </w:r>
    </w:p>
    <w:p w14:paraId="14170B3E" w14:textId="6F52CD55" w:rsidR="00B1569A" w:rsidRPr="00B1569A" w:rsidRDefault="00B1569A" w:rsidP="00B1569A">
      <w:pPr>
        <w:pStyle w:val="Heading1"/>
        <w:pBdr>
          <w:bottom w:val="single" w:sz="4" w:space="1" w:color="auto"/>
        </w:pBdr>
        <w:rPr>
          <w:rFonts w:asciiTheme="minorBidi" w:hAnsiTheme="minorBidi" w:cstheme="minorBidi"/>
          <w:b/>
          <w:bCs/>
          <w:sz w:val="32"/>
          <w:szCs w:val="32"/>
        </w:rPr>
      </w:pPr>
      <w:bookmarkStart w:id="14" w:name="_Toc212595722"/>
      <w:r w:rsidRPr="00B1569A">
        <w:rPr>
          <w:rFonts w:asciiTheme="minorBidi" w:hAnsiTheme="minorBidi" w:cstheme="minorBidi"/>
          <w:b/>
          <w:bCs/>
          <w:sz w:val="32"/>
          <w:szCs w:val="32"/>
        </w:rPr>
        <w:t>5. Conclusion</w:t>
      </w:r>
      <w:bookmarkEnd w:id="14"/>
    </w:p>
    <w:p w14:paraId="5317144D" w14:textId="7014434B" w:rsidR="00B1569A" w:rsidRPr="00B1569A" w:rsidRDefault="00B1569A" w:rsidP="00B1569A">
      <w:pPr>
        <w:spacing w:line="360" w:lineRule="auto"/>
        <w:jc w:val="both"/>
        <w:rPr>
          <w:rFonts w:asciiTheme="minorBidi" w:hAnsiTheme="minorBidi"/>
          <w:sz w:val="24"/>
          <w:szCs w:val="24"/>
        </w:rPr>
      </w:pPr>
      <w:r w:rsidRPr="00B1569A">
        <w:rPr>
          <w:rFonts w:asciiTheme="minorBidi" w:hAnsiTheme="minorBidi"/>
          <w:sz w:val="24"/>
          <w:szCs w:val="24"/>
        </w:rPr>
        <w:t>Mrs Mann’s case exemplifies how equitable communication, meticulous record-keeping, and structured collaboration converge to uphold patient safety and dignity in community care. When professionals communicate effectively, guided by equality legislation and cultural competence, service users are empowered to engage actively in their recovery. Lawful, accurate documentation under the Data Protection Act 2018 ensures transparency and accountability, enabling consistent decision-making across the care network. Interprofessional collaboration, grounded in shared care planning and mutual respect, allows information to flow seamlessly between the GP, physiotherapist, carers, and interpreters. Collectively, these practices prevent avoidable harm and strengthen rehabilitation outcomes. Sustaining regular multidisciplinary reviews and standardising documentation formats across agencies are practical steps to enhance continuity. A culture that values open-air communication and joint responsibility not only safeguards Mrs Mann’s wellbeing but also reflects the ethical and professional integrity expected within modern health and social care.</w:t>
      </w:r>
    </w:p>
    <w:p w14:paraId="60E0C2BA" w14:textId="77777777" w:rsidR="00B1569A" w:rsidRPr="00B1569A" w:rsidRDefault="00B1569A" w:rsidP="00FB4CB7">
      <w:pPr>
        <w:spacing w:line="360" w:lineRule="auto"/>
        <w:jc w:val="both"/>
        <w:rPr>
          <w:rFonts w:asciiTheme="minorBidi" w:hAnsiTheme="minorBidi"/>
          <w:sz w:val="24"/>
          <w:szCs w:val="24"/>
        </w:rPr>
      </w:pPr>
    </w:p>
    <w:p w14:paraId="22A6BB7B" w14:textId="77777777" w:rsidR="00AF5602" w:rsidRPr="00B1569A" w:rsidRDefault="00AF5602" w:rsidP="00FB4CB7">
      <w:pPr>
        <w:spacing w:line="360" w:lineRule="auto"/>
        <w:jc w:val="both"/>
        <w:rPr>
          <w:rFonts w:asciiTheme="minorBidi" w:hAnsiTheme="minorBidi"/>
          <w:sz w:val="24"/>
          <w:szCs w:val="24"/>
        </w:rPr>
      </w:pPr>
    </w:p>
    <w:p w14:paraId="69E9DB16" w14:textId="77777777" w:rsidR="00AF5602" w:rsidRPr="00B1569A" w:rsidRDefault="00AF5602" w:rsidP="00FB4CB7">
      <w:pPr>
        <w:spacing w:line="360" w:lineRule="auto"/>
        <w:jc w:val="both"/>
        <w:rPr>
          <w:rFonts w:asciiTheme="minorBidi" w:hAnsiTheme="minorBidi"/>
          <w:sz w:val="24"/>
          <w:szCs w:val="24"/>
        </w:rPr>
      </w:pPr>
    </w:p>
    <w:p w14:paraId="0BF088BE" w14:textId="77777777" w:rsidR="00AF5602" w:rsidRPr="00B1569A" w:rsidRDefault="00AF5602" w:rsidP="00FB4CB7">
      <w:pPr>
        <w:spacing w:line="360" w:lineRule="auto"/>
        <w:jc w:val="both"/>
        <w:rPr>
          <w:rFonts w:asciiTheme="minorBidi" w:hAnsiTheme="minorBidi"/>
          <w:sz w:val="24"/>
          <w:szCs w:val="24"/>
        </w:rPr>
      </w:pPr>
    </w:p>
    <w:p w14:paraId="00AF11E2" w14:textId="77777777" w:rsidR="00AF5602" w:rsidRPr="00B1569A" w:rsidRDefault="00AF5602" w:rsidP="00FB4CB7">
      <w:pPr>
        <w:spacing w:line="360" w:lineRule="auto"/>
        <w:jc w:val="both"/>
        <w:rPr>
          <w:rFonts w:asciiTheme="minorBidi" w:hAnsiTheme="minorBidi"/>
          <w:sz w:val="24"/>
          <w:szCs w:val="24"/>
        </w:rPr>
      </w:pPr>
    </w:p>
    <w:p w14:paraId="5EBCEC9B" w14:textId="77777777" w:rsidR="00AF5602" w:rsidRPr="00B1569A" w:rsidRDefault="00AF5602" w:rsidP="00FB4CB7">
      <w:pPr>
        <w:spacing w:line="360" w:lineRule="auto"/>
        <w:jc w:val="both"/>
        <w:rPr>
          <w:rFonts w:asciiTheme="minorBidi" w:hAnsiTheme="minorBidi"/>
          <w:sz w:val="24"/>
          <w:szCs w:val="24"/>
        </w:rPr>
      </w:pPr>
    </w:p>
    <w:p w14:paraId="468587A3" w14:textId="77777777" w:rsidR="00AF5602" w:rsidRPr="00B1569A" w:rsidRDefault="00AF5602" w:rsidP="00FB4CB7">
      <w:pPr>
        <w:spacing w:line="360" w:lineRule="auto"/>
        <w:jc w:val="both"/>
        <w:rPr>
          <w:rFonts w:asciiTheme="minorBidi" w:hAnsiTheme="minorBidi"/>
          <w:sz w:val="24"/>
          <w:szCs w:val="24"/>
        </w:rPr>
      </w:pPr>
    </w:p>
    <w:p w14:paraId="2A303115" w14:textId="77777777" w:rsidR="00AF5602" w:rsidRPr="00B1569A" w:rsidRDefault="00AF5602" w:rsidP="00FB4CB7">
      <w:pPr>
        <w:spacing w:line="360" w:lineRule="auto"/>
        <w:jc w:val="both"/>
        <w:rPr>
          <w:rFonts w:asciiTheme="minorBidi" w:hAnsiTheme="minorBidi"/>
          <w:sz w:val="24"/>
          <w:szCs w:val="24"/>
        </w:rPr>
      </w:pPr>
    </w:p>
    <w:p w14:paraId="58498139" w14:textId="77777777" w:rsidR="00AF5602" w:rsidRPr="00B1569A" w:rsidRDefault="00AF5602" w:rsidP="00FB4CB7">
      <w:pPr>
        <w:spacing w:line="360" w:lineRule="auto"/>
        <w:jc w:val="both"/>
        <w:rPr>
          <w:rFonts w:asciiTheme="minorBidi" w:hAnsiTheme="minorBidi"/>
          <w:sz w:val="24"/>
          <w:szCs w:val="24"/>
        </w:rPr>
      </w:pPr>
    </w:p>
    <w:p w14:paraId="7038E18F" w14:textId="77777777" w:rsidR="00B1569A" w:rsidRPr="00B1569A" w:rsidRDefault="00B1569A" w:rsidP="00FB4CB7">
      <w:pPr>
        <w:spacing w:line="360" w:lineRule="auto"/>
        <w:jc w:val="both"/>
        <w:rPr>
          <w:rFonts w:asciiTheme="minorBidi" w:hAnsiTheme="minorBidi"/>
          <w:sz w:val="24"/>
          <w:szCs w:val="24"/>
        </w:rPr>
      </w:pPr>
    </w:p>
    <w:p w14:paraId="31813336" w14:textId="3EF093DE" w:rsidR="00FB4CB7" w:rsidRPr="00B1569A" w:rsidRDefault="00FB4CB7" w:rsidP="00B1569A">
      <w:pPr>
        <w:pStyle w:val="Heading1"/>
        <w:pBdr>
          <w:bottom w:val="single" w:sz="4" w:space="1" w:color="auto"/>
        </w:pBdr>
        <w:rPr>
          <w:rFonts w:asciiTheme="minorBidi" w:hAnsiTheme="minorBidi" w:cstheme="minorBidi"/>
          <w:b/>
          <w:bCs/>
          <w:sz w:val="32"/>
          <w:szCs w:val="32"/>
        </w:rPr>
      </w:pPr>
      <w:bookmarkStart w:id="15" w:name="_Toc212595723"/>
      <w:r w:rsidRPr="00B1569A">
        <w:rPr>
          <w:rFonts w:asciiTheme="minorBidi" w:hAnsiTheme="minorBidi" w:cstheme="minorBidi"/>
          <w:b/>
          <w:bCs/>
          <w:sz w:val="32"/>
          <w:szCs w:val="32"/>
        </w:rPr>
        <w:t>References:</w:t>
      </w:r>
      <w:bookmarkEnd w:id="15"/>
    </w:p>
    <w:p w14:paraId="6A5F6D53"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Alderwick, H., Hutchings, A., Briggs, A. and Mays, N. (2021) ‘The impacts of collaboration between local health care and non-health care organisations and factors shaping how they work: a systematic review of reviews’, </w:t>
      </w:r>
      <w:r w:rsidRPr="00B1569A">
        <w:rPr>
          <w:rFonts w:asciiTheme="minorBidi" w:hAnsiTheme="minorBidi"/>
          <w:i/>
          <w:iCs/>
          <w:color w:val="000000" w:themeColor="text1"/>
          <w:sz w:val="24"/>
          <w:szCs w:val="24"/>
        </w:rPr>
        <w:t>BMC Public Health</w:t>
      </w:r>
      <w:r w:rsidRPr="00B1569A">
        <w:rPr>
          <w:rFonts w:asciiTheme="minorBidi" w:hAnsiTheme="minorBidi"/>
          <w:color w:val="000000" w:themeColor="text1"/>
          <w:sz w:val="24"/>
          <w:szCs w:val="24"/>
        </w:rPr>
        <w:t xml:space="preserve">, 21, Article 753. doi: 10.1186/s12889-021-10630-1. Available at: </w:t>
      </w:r>
      <w:hyperlink r:id="rId9" w:tgtFrame="_new" w:history="1">
        <w:r w:rsidRPr="00B1569A">
          <w:rPr>
            <w:rStyle w:val="Hyperlink"/>
            <w:rFonts w:asciiTheme="minorBidi" w:hAnsiTheme="minorBidi"/>
            <w:color w:val="000000" w:themeColor="text1"/>
            <w:sz w:val="24"/>
            <w:szCs w:val="24"/>
          </w:rPr>
          <w:t>https://bmcpublichealth.biomedcentral.com/articles/10.1186/s12889-021-10630-1</w:t>
        </w:r>
      </w:hyperlink>
    </w:p>
    <w:p w14:paraId="69F20C33" w14:textId="42A85278"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Davis, L., </w:t>
      </w:r>
      <w:r w:rsidR="00410B0C" w:rsidRPr="00410B0C">
        <w:rPr>
          <w:rFonts w:asciiTheme="minorBidi" w:hAnsiTheme="minorBidi"/>
          <w:i/>
          <w:iCs/>
          <w:color w:val="000000" w:themeColor="text1"/>
          <w:sz w:val="24"/>
          <w:szCs w:val="24"/>
        </w:rPr>
        <w:t>et al.</w:t>
      </w:r>
      <w:r w:rsidRPr="00B1569A">
        <w:rPr>
          <w:rFonts w:asciiTheme="minorBidi" w:hAnsiTheme="minorBidi"/>
          <w:color w:val="000000" w:themeColor="text1"/>
          <w:sz w:val="24"/>
          <w:szCs w:val="24"/>
        </w:rPr>
        <w:t xml:space="preserve"> (2024) ‘Communication support in care homes for older adults: Views and reported practices of speech and language therapists and care home activities staff in the UK’, </w:t>
      </w:r>
      <w:r w:rsidRPr="00B1569A">
        <w:rPr>
          <w:rFonts w:asciiTheme="minorBidi" w:hAnsiTheme="minorBidi"/>
          <w:i/>
          <w:iCs/>
          <w:color w:val="000000" w:themeColor="text1"/>
          <w:sz w:val="24"/>
          <w:szCs w:val="24"/>
        </w:rPr>
        <w:t>International Journal of Language &amp; Communication Disorders</w:t>
      </w:r>
      <w:r w:rsidRPr="00B1569A">
        <w:rPr>
          <w:rFonts w:asciiTheme="minorBidi" w:hAnsiTheme="minorBidi"/>
          <w:color w:val="000000" w:themeColor="text1"/>
          <w:sz w:val="24"/>
          <w:szCs w:val="24"/>
        </w:rPr>
        <w:t xml:space="preserve">, 59(3), pp. 557–572. doi: 10.1111/1460-6984.13010. Available at: </w:t>
      </w:r>
      <w:hyperlink r:id="rId10" w:tgtFrame="_new" w:history="1">
        <w:r w:rsidRPr="00B1569A">
          <w:rPr>
            <w:rStyle w:val="Hyperlink"/>
            <w:rFonts w:asciiTheme="minorBidi" w:hAnsiTheme="minorBidi"/>
            <w:color w:val="000000" w:themeColor="text1"/>
            <w:sz w:val="24"/>
            <w:szCs w:val="24"/>
          </w:rPr>
          <w:t>https://onlinelibrary.wiley.com/doi/10.1111/1460-6984.13010</w:t>
        </w:r>
      </w:hyperlink>
    </w:p>
    <w:p w14:paraId="05CAF4D2"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Health Research Authority (HRA) (2025) ‘Data protection and information governance’. Available at: </w:t>
      </w:r>
      <w:hyperlink r:id="rId11" w:tgtFrame="_new" w:history="1">
        <w:r w:rsidRPr="00B1569A">
          <w:rPr>
            <w:rStyle w:val="Hyperlink"/>
            <w:rFonts w:asciiTheme="minorBidi" w:hAnsiTheme="minorBidi"/>
            <w:color w:val="000000" w:themeColor="text1"/>
            <w:sz w:val="24"/>
            <w:szCs w:val="24"/>
          </w:rPr>
          <w:t>https://www.hra.nhs.uk/planning-and-improving-research/policies-standards-legislation/data-protection-and-information-governance/</w:t>
        </w:r>
      </w:hyperlink>
    </w:p>
    <w:p w14:paraId="561ECC2B"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Jack, K. (2019) </w:t>
      </w:r>
      <w:r w:rsidRPr="00B1569A">
        <w:rPr>
          <w:rFonts w:asciiTheme="minorBidi" w:hAnsiTheme="minorBidi"/>
          <w:i/>
          <w:iCs/>
          <w:color w:val="000000" w:themeColor="text1"/>
          <w:sz w:val="24"/>
          <w:szCs w:val="24"/>
        </w:rPr>
        <w:t>Effective Communication with Older People</w:t>
      </w:r>
      <w:r w:rsidRPr="00B1569A">
        <w:rPr>
          <w:rFonts w:asciiTheme="minorBidi" w:hAnsiTheme="minorBidi"/>
          <w:color w:val="000000" w:themeColor="text1"/>
          <w:sz w:val="24"/>
          <w:szCs w:val="24"/>
        </w:rPr>
        <w:t xml:space="preserve">. Manchester Metropolitan University. Available at: </w:t>
      </w:r>
      <w:hyperlink r:id="rId12" w:tgtFrame="_new" w:history="1">
        <w:r w:rsidRPr="00B1569A">
          <w:rPr>
            <w:rStyle w:val="Hyperlink"/>
            <w:rFonts w:asciiTheme="minorBidi" w:hAnsiTheme="minorBidi"/>
            <w:color w:val="000000" w:themeColor="text1"/>
            <w:sz w:val="24"/>
            <w:szCs w:val="24"/>
          </w:rPr>
          <w:t>https://e-space.mmu.ac.uk/625192/3/Communication%20with%20Older%20People%20FInal%20Main%20Doc%2029.pdf</w:t>
        </w:r>
      </w:hyperlink>
    </w:p>
    <w:p w14:paraId="768B6A14" w14:textId="51A6F6BD"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lang w:val="nl-NL"/>
        </w:rPr>
        <w:t xml:space="preserve">Murray, J.L.K., </w:t>
      </w:r>
      <w:r w:rsidR="00410B0C" w:rsidRPr="00410B0C">
        <w:rPr>
          <w:rFonts w:asciiTheme="minorBidi" w:hAnsiTheme="minorBidi"/>
          <w:i/>
          <w:iCs/>
          <w:color w:val="000000" w:themeColor="text1"/>
          <w:sz w:val="24"/>
          <w:szCs w:val="24"/>
          <w:lang w:val="nl-NL"/>
        </w:rPr>
        <w:t>et al.</w:t>
      </w:r>
      <w:r w:rsidRPr="00B1569A">
        <w:rPr>
          <w:rFonts w:asciiTheme="minorBidi" w:hAnsiTheme="minorBidi"/>
          <w:color w:val="000000" w:themeColor="text1"/>
          <w:sz w:val="24"/>
          <w:szCs w:val="24"/>
          <w:lang w:val="nl-NL"/>
        </w:rPr>
        <w:t xml:space="preserve"> </w:t>
      </w:r>
      <w:r w:rsidRPr="00B1569A">
        <w:rPr>
          <w:rFonts w:asciiTheme="minorBidi" w:hAnsiTheme="minorBidi"/>
          <w:color w:val="000000" w:themeColor="text1"/>
          <w:sz w:val="24"/>
          <w:szCs w:val="24"/>
        </w:rPr>
        <w:t xml:space="preserve">(2025) ‘Interprofessional collaborative practice in health and social care: a scoping review’, </w:t>
      </w:r>
      <w:r w:rsidRPr="00B1569A">
        <w:rPr>
          <w:rFonts w:asciiTheme="minorBidi" w:hAnsiTheme="minorBidi"/>
          <w:i/>
          <w:iCs/>
          <w:color w:val="000000" w:themeColor="text1"/>
          <w:sz w:val="24"/>
          <w:szCs w:val="24"/>
        </w:rPr>
        <w:t>Journal of Interprofessional Care</w:t>
      </w:r>
      <w:r w:rsidRPr="00B1569A">
        <w:rPr>
          <w:rFonts w:asciiTheme="minorBidi" w:hAnsiTheme="minorBidi"/>
          <w:color w:val="000000" w:themeColor="text1"/>
          <w:sz w:val="24"/>
          <w:szCs w:val="24"/>
        </w:rPr>
        <w:t xml:space="preserve">, 39(1), pp. 12–22. doi: 10.1080/13561820.2025.2469298. Available at: </w:t>
      </w:r>
      <w:hyperlink r:id="rId13" w:tgtFrame="_new" w:history="1">
        <w:r w:rsidRPr="00B1569A">
          <w:rPr>
            <w:rStyle w:val="Hyperlink"/>
            <w:rFonts w:asciiTheme="minorBidi" w:hAnsiTheme="minorBidi"/>
            <w:color w:val="000000" w:themeColor="text1"/>
            <w:sz w:val="24"/>
            <w:szCs w:val="24"/>
          </w:rPr>
          <w:t>https://pmc.ncbi.nlm.nih.gov/articles/PMC11697734/</w:t>
        </w:r>
      </w:hyperlink>
    </w:p>
    <w:p w14:paraId="5D718703"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NHS Digital (2025) ‘Understanding the national data opt-out and protecting patient data’. Available at: </w:t>
      </w:r>
      <w:hyperlink r:id="rId14" w:tgtFrame="_new" w:history="1">
        <w:r w:rsidRPr="00B1569A">
          <w:rPr>
            <w:rStyle w:val="Hyperlink"/>
            <w:rFonts w:asciiTheme="minorBidi" w:hAnsiTheme="minorBidi"/>
            <w:color w:val="000000" w:themeColor="text1"/>
            <w:sz w:val="24"/>
            <w:szCs w:val="24"/>
          </w:rPr>
          <w:t>https://digital.nhs.uk/services/national-data-opt-out/understanding-the-national-data-opt-out/protecting-patient-data</w:t>
        </w:r>
      </w:hyperlink>
    </w:p>
    <w:p w14:paraId="675560C5"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NHS England (2025) </w:t>
      </w:r>
      <w:r w:rsidRPr="00B1569A">
        <w:rPr>
          <w:rFonts w:asciiTheme="minorBidi" w:hAnsiTheme="minorBidi"/>
          <w:i/>
          <w:iCs/>
          <w:color w:val="000000" w:themeColor="text1"/>
          <w:sz w:val="24"/>
          <w:szCs w:val="24"/>
        </w:rPr>
        <w:t>Protecting patient data – Data Protection Act 2018 &amp; UK GDPR.</w:t>
      </w:r>
      <w:r w:rsidRPr="00B1569A">
        <w:rPr>
          <w:rFonts w:asciiTheme="minorBidi" w:hAnsiTheme="minorBidi"/>
          <w:color w:val="000000" w:themeColor="text1"/>
          <w:sz w:val="24"/>
          <w:szCs w:val="24"/>
        </w:rPr>
        <w:t xml:space="preserve"> Available at: </w:t>
      </w:r>
      <w:hyperlink r:id="rId15" w:tgtFrame="_new" w:history="1">
        <w:r w:rsidRPr="00B1569A">
          <w:rPr>
            <w:rStyle w:val="Hyperlink"/>
            <w:rFonts w:asciiTheme="minorBidi" w:hAnsiTheme="minorBidi"/>
            <w:color w:val="000000" w:themeColor="text1"/>
            <w:sz w:val="24"/>
            <w:szCs w:val="24"/>
          </w:rPr>
          <w:t>https://digital.nhs.uk/services/national-data-opt-out/understanding-the-national-data-opt-out/protecting-patient-data</w:t>
        </w:r>
      </w:hyperlink>
    </w:p>
    <w:p w14:paraId="516E47DF"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Pollock, S. (2021) ‘“Than words can say”: why health and social care policy still depends on communication with people who have limited English’, </w:t>
      </w:r>
      <w:r w:rsidRPr="00B1569A">
        <w:rPr>
          <w:rFonts w:asciiTheme="minorBidi" w:hAnsiTheme="minorBidi"/>
          <w:i/>
          <w:iCs/>
          <w:color w:val="000000" w:themeColor="text1"/>
          <w:sz w:val="24"/>
          <w:szCs w:val="24"/>
        </w:rPr>
        <w:t>International Journal of Social Welfare</w:t>
      </w:r>
      <w:r w:rsidRPr="00B1569A">
        <w:rPr>
          <w:rFonts w:asciiTheme="minorBidi" w:hAnsiTheme="minorBidi"/>
          <w:color w:val="000000" w:themeColor="text1"/>
          <w:sz w:val="24"/>
          <w:szCs w:val="24"/>
        </w:rPr>
        <w:t>, 30(3), pp. 304–311. doi: 10.1111/ijsw.12414. Available at: https://journals.sagepub.com/doi/10.1111/ijsw.12414</w:t>
      </w:r>
    </w:p>
    <w:p w14:paraId="0EC81BD8"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Redley, M. (2019) ‘“Reasonable adjustments” under the UK’s Equality Act 2010: views of medical practitioners’, </w:t>
      </w:r>
      <w:r w:rsidRPr="00B1569A">
        <w:rPr>
          <w:rFonts w:asciiTheme="minorBidi" w:hAnsiTheme="minorBidi"/>
          <w:i/>
          <w:iCs/>
          <w:color w:val="000000" w:themeColor="text1"/>
          <w:sz w:val="24"/>
          <w:szCs w:val="24"/>
        </w:rPr>
        <w:t>Disability &amp; Society</w:t>
      </w:r>
      <w:r w:rsidRPr="00B1569A">
        <w:rPr>
          <w:rFonts w:asciiTheme="minorBidi" w:hAnsiTheme="minorBidi"/>
          <w:color w:val="000000" w:themeColor="text1"/>
          <w:sz w:val="24"/>
          <w:szCs w:val="24"/>
        </w:rPr>
        <w:t>, 34(9), pp. 1459–1476. doi: 10.1080/09687599.2019.1603359.</w:t>
      </w:r>
    </w:p>
    <w:p w14:paraId="2DE0DB2D"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SCIE (Social Care Institute for Excellence) (n.d.) ‘Dignity: Information and good communication’. Available at: </w:t>
      </w:r>
      <w:hyperlink r:id="rId16" w:tgtFrame="_new" w:history="1">
        <w:r w:rsidRPr="00B1569A">
          <w:rPr>
            <w:rStyle w:val="Hyperlink"/>
            <w:rFonts w:asciiTheme="minorBidi" w:hAnsiTheme="minorBidi"/>
            <w:color w:val="000000" w:themeColor="text1"/>
            <w:sz w:val="24"/>
            <w:szCs w:val="24"/>
          </w:rPr>
          <w:t>https://www.scie.org.uk/providing-care/dignity-in-care/communication/</w:t>
        </w:r>
      </w:hyperlink>
    </w:p>
    <w:p w14:paraId="26451F8C" w14:textId="77777777" w:rsidR="00B1569A" w:rsidRPr="00B1569A" w:rsidRDefault="00B1569A" w:rsidP="00B1569A">
      <w:pPr>
        <w:spacing w:line="360" w:lineRule="auto"/>
        <w:rPr>
          <w:rFonts w:asciiTheme="minorBidi" w:hAnsiTheme="minorBidi"/>
          <w:color w:val="000000" w:themeColor="text1"/>
          <w:sz w:val="24"/>
          <w:szCs w:val="24"/>
        </w:rPr>
      </w:pPr>
      <w:r w:rsidRPr="00B1569A">
        <w:rPr>
          <w:rFonts w:asciiTheme="minorBidi" w:hAnsiTheme="minorBidi"/>
          <w:color w:val="000000" w:themeColor="text1"/>
          <w:sz w:val="24"/>
          <w:szCs w:val="24"/>
        </w:rPr>
        <w:t xml:space="preserve">Sharkiya, S.H. (2023) ‘Quality communication can improve patient-centred health outcomes among older patients: a rapid review’, </w:t>
      </w:r>
      <w:r w:rsidRPr="00B1569A">
        <w:rPr>
          <w:rFonts w:asciiTheme="minorBidi" w:hAnsiTheme="minorBidi"/>
          <w:i/>
          <w:iCs/>
          <w:color w:val="000000" w:themeColor="text1"/>
          <w:sz w:val="24"/>
          <w:szCs w:val="24"/>
        </w:rPr>
        <w:t>BMC Health Services Research</w:t>
      </w:r>
      <w:r w:rsidRPr="00B1569A">
        <w:rPr>
          <w:rFonts w:asciiTheme="minorBidi" w:hAnsiTheme="minorBidi"/>
          <w:color w:val="000000" w:themeColor="text1"/>
          <w:sz w:val="24"/>
          <w:szCs w:val="24"/>
        </w:rPr>
        <w:t xml:space="preserve">, 23, Article 886. doi: 10.1186/s12913-023-09869-8. Available at: </w:t>
      </w:r>
      <w:hyperlink r:id="rId17" w:tgtFrame="_new" w:history="1">
        <w:r w:rsidRPr="00B1569A">
          <w:rPr>
            <w:rStyle w:val="Hyperlink"/>
            <w:rFonts w:asciiTheme="minorBidi" w:hAnsiTheme="minorBidi"/>
            <w:color w:val="000000" w:themeColor="text1"/>
            <w:sz w:val="24"/>
            <w:szCs w:val="24"/>
          </w:rPr>
          <w:t>https://bmchealthservres.biomedcentral.com/articles/10.1186/s12913-023-09869-8</w:t>
        </w:r>
      </w:hyperlink>
    </w:p>
    <w:p w14:paraId="1024E0B9" w14:textId="77777777" w:rsidR="00FB4CB7" w:rsidRPr="00B1569A" w:rsidRDefault="00FB4CB7" w:rsidP="00070BA9">
      <w:pPr>
        <w:spacing w:line="360" w:lineRule="auto"/>
        <w:jc w:val="both"/>
        <w:rPr>
          <w:rFonts w:asciiTheme="minorBidi" w:hAnsiTheme="minorBidi"/>
          <w:sz w:val="24"/>
          <w:szCs w:val="24"/>
        </w:rPr>
      </w:pPr>
    </w:p>
    <w:sectPr w:rsidR="00FB4CB7" w:rsidRPr="00B1569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58C10" w14:textId="77777777" w:rsidR="0098375B" w:rsidRDefault="0098375B" w:rsidP="00070BA9">
      <w:pPr>
        <w:spacing w:after="0" w:line="240" w:lineRule="auto"/>
      </w:pPr>
      <w:r>
        <w:separator/>
      </w:r>
    </w:p>
  </w:endnote>
  <w:endnote w:type="continuationSeparator" w:id="0">
    <w:p w14:paraId="4866DD4F" w14:textId="77777777" w:rsidR="0098375B" w:rsidRDefault="0098375B" w:rsidP="0007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784627"/>
      <w:docPartObj>
        <w:docPartGallery w:val="Page Numbers (Bottom of Page)"/>
        <w:docPartUnique/>
      </w:docPartObj>
    </w:sdtPr>
    <w:sdtEndPr>
      <w:rPr>
        <w:color w:val="7F7F7F" w:themeColor="background1" w:themeShade="7F"/>
        <w:spacing w:val="60"/>
      </w:rPr>
    </w:sdtEndPr>
    <w:sdtContent>
      <w:p w14:paraId="5DD59F44" w14:textId="64C26084" w:rsidR="00070BA9" w:rsidRDefault="00070B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54DBE9" w14:textId="77777777" w:rsidR="00070BA9" w:rsidRDefault="00070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079AD" w14:textId="77777777" w:rsidR="0098375B" w:rsidRDefault="0098375B" w:rsidP="00070BA9">
      <w:pPr>
        <w:spacing w:after="0" w:line="240" w:lineRule="auto"/>
      </w:pPr>
      <w:r>
        <w:separator/>
      </w:r>
    </w:p>
  </w:footnote>
  <w:footnote w:type="continuationSeparator" w:id="0">
    <w:p w14:paraId="42F21B61" w14:textId="77777777" w:rsidR="0098375B" w:rsidRDefault="0098375B" w:rsidP="0007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4pt;height:11.4pt" o:bullet="t">
        <v:imagedata r:id="rId1" o:title="mso4B8B"/>
      </v:shape>
    </w:pict>
  </w:numPicBullet>
  <w:abstractNum w:abstractNumId="0" w15:restartNumberingAfterBreak="0">
    <w:nsid w:val="030326BE"/>
    <w:multiLevelType w:val="multilevel"/>
    <w:tmpl w:val="F99E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562BA"/>
    <w:multiLevelType w:val="multilevel"/>
    <w:tmpl w:val="890C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EC0595"/>
    <w:multiLevelType w:val="hybridMultilevel"/>
    <w:tmpl w:val="C410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2626F5"/>
    <w:multiLevelType w:val="multilevel"/>
    <w:tmpl w:val="8DA2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6B7487"/>
    <w:multiLevelType w:val="multilevel"/>
    <w:tmpl w:val="4E440FA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865783">
    <w:abstractNumId w:val="3"/>
  </w:num>
  <w:num w:numId="2" w16cid:durableId="1360663967">
    <w:abstractNumId w:val="0"/>
  </w:num>
  <w:num w:numId="3" w16cid:durableId="920219493">
    <w:abstractNumId w:val="1"/>
  </w:num>
  <w:num w:numId="4" w16cid:durableId="1329868358">
    <w:abstractNumId w:val="2"/>
  </w:num>
  <w:num w:numId="5" w16cid:durableId="7702032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589"/>
    <w:rsid w:val="0005486D"/>
    <w:rsid w:val="00070BA9"/>
    <w:rsid w:val="000A4589"/>
    <w:rsid w:val="000A5153"/>
    <w:rsid w:val="000C23F0"/>
    <w:rsid w:val="000E5278"/>
    <w:rsid w:val="0017086B"/>
    <w:rsid w:val="00247DD8"/>
    <w:rsid w:val="002660B3"/>
    <w:rsid w:val="002C3314"/>
    <w:rsid w:val="002F6806"/>
    <w:rsid w:val="00390AD7"/>
    <w:rsid w:val="00410B0C"/>
    <w:rsid w:val="0045467D"/>
    <w:rsid w:val="006E5929"/>
    <w:rsid w:val="007D3567"/>
    <w:rsid w:val="0081161F"/>
    <w:rsid w:val="00836AED"/>
    <w:rsid w:val="0098375B"/>
    <w:rsid w:val="00A210D6"/>
    <w:rsid w:val="00A66A9F"/>
    <w:rsid w:val="00AF5602"/>
    <w:rsid w:val="00B01216"/>
    <w:rsid w:val="00B1569A"/>
    <w:rsid w:val="00B86DAB"/>
    <w:rsid w:val="00B93C7E"/>
    <w:rsid w:val="00BE1692"/>
    <w:rsid w:val="00C26F6B"/>
    <w:rsid w:val="00DF0DE5"/>
    <w:rsid w:val="00FB4C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A25C"/>
  <w15:chartTrackingRefBased/>
  <w15:docId w15:val="{AB12C690-CF61-4AEF-AE3C-CCE62DD5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A45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45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5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5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5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58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0A458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A458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A458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A458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A458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A458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A458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A458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A4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58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A4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58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A4589"/>
    <w:pPr>
      <w:spacing w:before="160"/>
      <w:jc w:val="center"/>
    </w:pPr>
    <w:rPr>
      <w:i/>
      <w:iCs/>
      <w:color w:val="404040" w:themeColor="text1" w:themeTint="BF"/>
    </w:rPr>
  </w:style>
  <w:style w:type="character" w:customStyle="1" w:styleId="QuoteChar">
    <w:name w:val="Quote Char"/>
    <w:basedOn w:val="DefaultParagraphFont"/>
    <w:link w:val="Quote"/>
    <w:uiPriority w:val="29"/>
    <w:rsid w:val="000A4589"/>
    <w:rPr>
      <w:i/>
      <w:iCs/>
      <w:color w:val="404040" w:themeColor="text1" w:themeTint="BF"/>
      <w:lang w:val="en-GB"/>
    </w:rPr>
  </w:style>
  <w:style w:type="paragraph" w:styleId="ListParagraph">
    <w:name w:val="List Paragraph"/>
    <w:basedOn w:val="Normal"/>
    <w:uiPriority w:val="34"/>
    <w:qFormat/>
    <w:rsid w:val="000A4589"/>
    <w:pPr>
      <w:ind w:left="720"/>
      <w:contextualSpacing/>
    </w:pPr>
  </w:style>
  <w:style w:type="character" w:styleId="IntenseEmphasis">
    <w:name w:val="Intense Emphasis"/>
    <w:basedOn w:val="DefaultParagraphFont"/>
    <w:uiPriority w:val="21"/>
    <w:qFormat/>
    <w:rsid w:val="000A4589"/>
    <w:rPr>
      <w:i/>
      <w:iCs/>
      <w:color w:val="0F4761" w:themeColor="accent1" w:themeShade="BF"/>
    </w:rPr>
  </w:style>
  <w:style w:type="paragraph" w:styleId="IntenseQuote">
    <w:name w:val="Intense Quote"/>
    <w:basedOn w:val="Normal"/>
    <w:next w:val="Normal"/>
    <w:link w:val="IntenseQuoteChar"/>
    <w:uiPriority w:val="30"/>
    <w:qFormat/>
    <w:rsid w:val="000A45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589"/>
    <w:rPr>
      <w:i/>
      <w:iCs/>
      <w:color w:val="0F4761" w:themeColor="accent1" w:themeShade="BF"/>
      <w:lang w:val="en-GB"/>
    </w:rPr>
  </w:style>
  <w:style w:type="character" w:styleId="IntenseReference">
    <w:name w:val="Intense Reference"/>
    <w:basedOn w:val="DefaultParagraphFont"/>
    <w:uiPriority w:val="32"/>
    <w:qFormat/>
    <w:rsid w:val="000A4589"/>
    <w:rPr>
      <w:b/>
      <w:bCs/>
      <w:smallCaps/>
      <w:color w:val="0F4761" w:themeColor="accent1" w:themeShade="BF"/>
      <w:spacing w:val="5"/>
    </w:rPr>
  </w:style>
  <w:style w:type="paragraph" w:styleId="Header">
    <w:name w:val="header"/>
    <w:basedOn w:val="Normal"/>
    <w:link w:val="HeaderChar"/>
    <w:uiPriority w:val="99"/>
    <w:unhideWhenUsed/>
    <w:rsid w:val="00070B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BA9"/>
    <w:rPr>
      <w:lang w:val="en-GB"/>
    </w:rPr>
  </w:style>
  <w:style w:type="paragraph" w:styleId="Footer">
    <w:name w:val="footer"/>
    <w:basedOn w:val="Normal"/>
    <w:link w:val="FooterChar"/>
    <w:uiPriority w:val="99"/>
    <w:unhideWhenUsed/>
    <w:rsid w:val="00070B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BA9"/>
    <w:rPr>
      <w:lang w:val="en-GB"/>
    </w:rPr>
  </w:style>
  <w:style w:type="table" w:styleId="GridTable4-Accent4">
    <w:name w:val="Grid Table 4 Accent 4"/>
    <w:basedOn w:val="TableNormal"/>
    <w:uiPriority w:val="49"/>
    <w:rsid w:val="00DF0DE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B1569A"/>
    <w:rPr>
      <w:color w:val="467886" w:themeColor="hyperlink"/>
      <w:u w:val="single"/>
    </w:rPr>
  </w:style>
  <w:style w:type="character" w:styleId="UnresolvedMention">
    <w:name w:val="Unresolved Mention"/>
    <w:basedOn w:val="DefaultParagraphFont"/>
    <w:uiPriority w:val="99"/>
    <w:semiHidden/>
    <w:unhideWhenUsed/>
    <w:rsid w:val="00B1569A"/>
    <w:rPr>
      <w:color w:val="605E5C"/>
      <w:shd w:val="clear" w:color="auto" w:fill="E1DFDD"/>
    </w:rPr>
  </w:style>
  <w:style w:type="paragraph" w:styleId="TOCHeading">
    <w:name w:val="TOC Heading"/>
    <w:basedOn w:val="Heading1"/>
    <w:next w:val="Normal"/>
    <w:uiPriority w:val="39"/>
    <w:unhideWhenUsed/>
    <w:qFormat/>
    <w:rsid w:val="002F680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F6806"/>
    <w:pPr>
      <w:spacing w:after="100"/>
    </w:pPr>
  </w:style>
  <w:style w:type="paragraph" w:styleId="TOC2">
    <w:name w:val="toc 2"/>
    <w:basedOn w:val="Normal"/>
    <w:next w:val="Normal"/>
    <w:autoRedefine/>
    <w:uiPriority w:val="39"/>
    <w:unhideWhenUsed/>
    <w:rsid w:val="002F68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mc.ncbi.nlm.nih.gov/articles/PMC11697734/?utm_source=chatgpt.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pace.mmu.ac.uk/625192/3/Communication%20with%20Older%20People%20FInal%20Main%20Doc%2029.pdf?utm_source=chatgpt.com" TargetMode="External"/><Relationship Id="rId17" Type="http://schemas.openxmlformats.org/officeDocument/2006/relationships/hyperlink" Target="https://bmchealthservres.biomedcentral.com/articles/10.1186/s12913-023-09869-8?utm_source=chatgpt.com" TargetMode="External"/><Relationship Id="rId2" Type="http://schemas.openxmlformats.org/officeDocument/2006/relationships/numbering" Target="numbering.xml"/><Relationship Id="rId16" Type="http://schemas.openxmlformats.org/officeDocument/2006/relationships/hyperlink" Target="https://www.scie.org.uk/providing-care/dignity-in-care/communication/?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nhs.uk/planning-and-improving-research/policies-standards-legislation/data-protection-and-information-governance/?utm_source=chatgpt.com" TargetMode="External"/><Relationship Id="rId5" Type="http://schemas.openxmlformats.org/officeDocument/2006/relationships/webSettings" Target="webSettings.xml"/><Relationship Id="rId15" Type="http://schemas.openxmlformats.org/officeDocument/2006/relationships/hyperlink" Target="https://digital.nhs.uk/services/national-data-opt-out/understanding-the-national-data-opt-out/protecting-patient-data?utm_source=chatgpt.com" TargetMode="External"/><Relationship Id="rId10" Type="http://schemas.openxmlformats.org/officeDocument/2006/relationships/hyperlink" Target="https://onlinelibrary.wiley.com/doi/10.1111/1460-6984.13010?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mcpublichealth.biomedcentral.com/articles/10.1186/s12889-021-10630-1?utm_source=chatgpt.com" TargetMode="External"/><Relationship Id="rId14" Type="http://schemas.openxmlformats.org/officeDocument/2006/relationships/hyperlink" Target="https://digital.nhs.uk/services/national-data-opt-out/understanding-the-national-data-opt-out/protecting-patient-data?utm_source=chatgp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697C0-A2E9-4181-8E17-4A4633FDD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 Ali</cp:lastModifiedBy>
  <cp:revision>2</cp:revision>
  <dcterms:created xsi:type="dcterms:W3CDTF">2025-09-22T21:36:00Z</dcterms:created>
  <dcterms:modified xsi:type="dcterms:W3CDTF">2025-11-09T20:58:00Z</dcterms:modified>
</cp:coreProperties>
</file>