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202D" w:rsidRDefault="0005760C">
      <w:pPr>
        <w:pBdr>
          <w:top w:val="nil"/>
          <w:left w:val="nil"/>
          <w:bottom w:val="nil"/>
          <w:right w:val="nil"/>
          <w:between w:val="nil"/>
        </w:pBdr>
        <w:tabs>
          <w:tab w:val="center" w:pos="4513"/>
          <w:tab w:val="right" w:pos="9026"/>
        </w:tabs>
        <w:spacing w:after="0"/>
        <w:jc w:val="center"/>
        <w:rPr>
          <w:b/>
          <w:bCs/>
        </w:rPr>
      </w:pPr>
      <w:r>
        <w:rPr>
          <w:b/>
          <w:bCs/>
          <w:noProof/>
          <w:color w:val="000000"/>
          <w:lang w:val="en-US"/>
        </w:rPr>
        <w:drawing>
          <wp:inline distT="0" distB="0" distL="0" distR="0">
            <wp:extent cx="2038350" cy="97155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2038505" cy="971624"/>
                    </a:xfrm>
                    <a:prstGeom prst="rect">
                      <a:avLst/>
                    </a:prstGeom>
                    <a:ln/>
                  </pic:spPr>
                </pic:pic>
              </a:graphicData>
            </a:graphic>
          </wp:inline>
        </w:drawing>
      </w:r>
      <w:r>
        <w:rPr>
          <w:b/>
          <w:bCs/>
          <w:color w:val="000000"/>
        </w:rPr>
        <w:tab/>
        <w:t xml:space="preserve">   </w:t>
      </w:r>
    </w:p>
    <w:p w:rsidR="008E202D" w:rsidRDefault="008E202D">
      <w:pPr>
        <w:tabs>
          <w:tab w:val="center" w:pos="4513"/>
          <w:tab w:val="right" w:pos="9026"/>
        </w:tabs>
        <w:spacing w:after="0"/>
        <w:jc w:val="left"/>
        <w:rPr>
          <w:b/>
          <w:bCs/>
        </w:rPr>
      </w:pPr>
    </w:p>
    <w:p w:rsidR="0011609A" w:rsidRDefault="0011609A">
      <w:pPr>
        <w:tabs>
          <w:tab w:val="center" w:pos="4513"/>
          <w:tab w:val="right" w:pos="9026"/>
        </w:tabs>
        <w:spacing w:before="240" w:after="240"/>
        <w:jc w:val="center"/>
        <w:rPr>
          <w:b/>
          <w:bCs/>
        </w:rPr>
      </w:pPr>
    </w:p>
    <w:p w:rsidR="0011609A" w:rsidRDefault="0011609A">
      <w:pPr>
        <w:tabs>
          <w:tab w:val="center" w:pos="4513"/>
          <w:tab w:val="right" w:pos="9026"/>
        </w:tabs>
        <w:spacing w:before="240" w:after="240"/>
        <w:jc w:val="center"/>
        <w:rPr>
          <w:b/>
          <w:bCs/>
        </w:rPr>
      </w:pPr>
    </w:p>
    <w:p w:rsidR="008E202D" w:rsidRDefault="0005760C">
      <w:pPr>
        <w:tabs>
          <w:tab w:val="center" w:pos="4513"/>
          <w:tab w:val="right" w:pos="9026"/>
        </w:tabs>
        <w:spacing w:before="240" w:after="240"/>
        <w:jc w:val="center"/>
        <w:rPr>
          <w:b/>
          <w:bCs/>
        </w:rPr>
      </w:pPr>
      <w:r>
        <w:rPr>
          <w:b/>
          <w:bCs/>
        </w:rPr>
        <w:t xml:space="preserve">Student Name- Mihir Sudhirbhai Patel </w:t>
      </w:r>
    </w:p>
    <w:p w:rsidR="008E202D" w:rsidRDefault="0005760C">
      <w:pPr>
        <w:tabs>
          <w:tab w:val="center" w:pos="4513"/>
          <w:tab w:val="right" w:pos="9026"/>
        </w:tabs>
        <w:spacing w:before="240" w:after="240"/>
        <w:jc w:val="center"/>
        <w:rPr>
          <w:b/>
          <w:bCs/>
        </w:rPr>
      </w:pPr>
      <w:r>
        <w:rPr>
          <w:b/>
          <w:bCs/>
        </w:rPr>
        <w:t xml:space="preserve"> </w:t>
      </w:r>
    </w:p>
    <w:p w:rsidR="008E202D" w:rsidRDefault="0005760C">
      <w:pPr>
        <w:tabs>
          <w:tab w:val="center" w:pos="4513"/>
          <w:tab w:val="right" w:pos="9026"/>
        </w:tabs>
        <w:spacing w:before="240" w:after="240"/>
        <w:jc w:val="center"/>
        <w:rPr>
          <w:b/>
          <w:bCs/>
        </w:rPr>
      </w:pPr>
      <w:r>
        <w:rPr>
          <w:b/>
          <w:bCs/>
        </w:rPr>
        <w:t xml:space="preserve">Student ID-2504998 </w:t>
      </w:r>
    </w:p>
    <w:p w:rsidR="008E202D" w:rsidRDefault="0005760C">
      <w:pPr>
        <w:tabs>
          <w:tab w:val="center" w:pos="4513"/>
          <w:tab w:val="right" w:pos="9026"/>
        </w:tabs>
        <w:spacing w:before="240" w:after="240"/>
        <w:jc w:val="center"/>
        <w:rPr>
          <w:b/>
          <w:bCs/>
        </w:rPr>
      </w:pPr>
      <w:r>
        <w:rPr>
          <w:b/>
          <w:bCs/>
        </w:rPr>
        <w:t xml:space="preserve"> </w:t>
      </w:r>
    </w:p>
    <w:p w:rsidR="008E202D" w:rsidRDefault="0011609A">
      <w:pPr>
        <w:tabs>
          <w:tab w:val="center" w:pos="4513"/>
          <w:tab w:val="right" w:pos="9026"/>
        </w:tabs>
        <w:spacing w:before="240" w:after="240"/>
        <w:jc w:val="center"/>
        <w:rPr>
          <w:b/>
          <w:bCs/>
        </w:rPr>
      </w:pPr>
      <w:r>
        <w:rPr>
          <w:b/>
          <w:bCs/>
        </w:rPr>
        <w:t>Module: International Business Concepts</w:t>
      </w:r>
      <w:r w:rsidR="0005760C">
        <w:rPr>
          <w:b/>
          <w:bCs/>
        </w:rPr>
        <w:t xml:space="preserve"> </w:t>
      </w:r>
    </w:p>
    <w:p w:rsidR="0011609A" w:rsidRDefault="0011609A">
      <w:pPr>
        <w:tabs>
          <w:tab w:val="center" w:pos="4513"/>
          <w:tab w:val="right" w:pos="9026"/>
        </w:tabs>
        <w:spacing w:before="240" w:after="240"/>
        <w:jc w:val="center"/>
        <w:rPr>
          <w:b/>
          <w:bCs/>
        </w:rPr>
      </w:pPr>
    </w:p>
    <w:p w:rsidR="0011609A" w:rsidRDefault="0011609A">
      <w:pPr>
        <w:tabs>
          <w:tab w:val="center" w:pos="4513"/>
          <w:tab w:val="right" w:pos="9026"/>
        </w:tabs>
        <w:spacing w:before="240" w:after="240"/>
        <w:jc w:val="center"/>
        <w:rPr>
          <w:b/>
          <w:bCs/>
        </w:rPr>
      </w:pPr>
      <w:r>
        <w:rPr>
          <w:b/>
          <w:bCs/>
        </w:rPr>
        <w:t>Assignment Title - Report</w:t>
      </w:r>
    </w:p>
    <w:p w:rsidR="008E202D" w:rsidRDefault="0005760C">
      <w:pPr>
        <w:tabs>
          <w:tab w:val="center" w:pos="4513"/>
          <w:tab w:val="right" w:pos="9026"/>
        </w:tabs>
        <w:spacing w:before="240" w:after="240"/>
        <w:jc w:val="center"/>
        <w:rPr>
          <w:b/>
          <w:bCs/>
        </w:rPr>
      </w:pPr>
      <w:r>
        <w:rPr>
          <w:b/>
          <w:bCs/>
        </w:rPr>
        <w:t xml:space="preserve"> </w:t>
      </w:r>
    </w:p>
    <w:p w:rsidR="008E202D" w:rsidRDefault="0011609A">
      <w:pPr>
        <w:tabs>
          <w:tab w:val="center" w:pos="4513"/>
          <w:tab w:val="right" w:pos="9026"/>
        </w:tabs>
        <w:spacing w:before="240" w:after="240"/>
        <w:jc w:val="center"/>
        <w:rPr>
          <w:b/>
          <w:bCs/>
        </w:rPr>
      </w:pPr>
      <w:r>
        <w:rPr>
          <w:b/>
          <w:bCs/>
        </w:rPr>
        <w:t>Module code: LCMB7034</w:t>
      </w:r>
      <w:bookmarkStart w:id="0" w:name="_GoBack"/>
      <w:bookmarkEnd w:id="0"/>
    </w:p>
    <w:p w:rsidR="008E202D" w:rsidRDefault="0005760C">
      <w:pPr>
        <w:tabs>
          <w:tab w:val="center" w:pos="4513"/>
          <w:tab w:val="right" w:pos="9026"/>
        </w:tabs>
        <w:spacing w:before="240" w:after="240"/>
        <w:jc w:val="center"/>
        <w:rPr>
          <w:b/>
          <w:bCs/>
        </w:rPr>
      </w:pPr>
      <w:r>
        <w:rPr>
          <w:b/>
          <w:bCs/>
        </w:rPr>
        <w:t xml:space="preserve"> </w:t>
      </w:r>
    </w:p>
    <w:p w:rsidR="008E202D" w:rsidRDefault="0005760C">
      <w:pPr>
        <w:tabs>
          <w:tab w:val="center" w:pos="4513"/>
          <w:tab w:val="right" w:pos="9026"/>
        </w:tabs>
        <w:spacing w:before="240" w:after="240"/>
        <w:jc w:val="center"/>
        <w:rPr>
          <w:b/>
          <w:bCs/>
        </w:rPr>
      </w:pPr>
      <w:r>
        <w:rPr>
          <w:b/>
          <w:bCs/>
        </w:rPr>
        <w:t>Le</w:t>
      </w:r>
      <w:r w:rsidR="003B7CC8">
        <w:rPr>
          <w:b/>
          <w:bCs/>
        </w:rPr>
        <w:t>cturers Name- Gladius Kulothungan</w:t>
      </w:r>
    </w:p>
    <w:p w:rsidR="0011609A" w:rsidRDefault="0011609A">
      <w:pPr>
        <w:tabs>
          <w:tab w:val="center" w:pos="4513"/>
          <w:tab w:val="right" w:pos="9026"/>
        </w:tabs>
        <w:spacing w:before="240" w:after="240"/>
        <w:jc w:val="center"/>
        <w:rPr>
          <w:b/>
          <w:bCs/>
        </w:rPr>
      </w:pPr>
    </w:p>
    <w:p w:rsidR="008E202D" w:rsidRDefault="00442BC4">
      <w:pPr>
        <w:tabs>
          <w:tab w:val="center" w:pos="4513"/>
          <w:tab w:val="right" w:pos="9026"/>
        </w:tabs>
        <w:spacing w:before="240" w:after="240"/>
        <w:jc w:val="center"/>
        <w:rPr>
          <w:b/>
          <w:bCs/>
        </w:rPr>
      </w:pPr>
      <w:r>
        <w:rPr>
          <w:b/>
          <w:bCs/>
        </w:rPr>
        <w:t>Word Count-4936</w:t>
      </w:r>
    </w:p>
    <w:p w:rsidR="0011609A" w:rsidRDefault="0011609A">
      <w:pPr>
        <w:tabs>
          <w:tab w:val="center" w:pos="4513"/>
          <w:tab w:val="right" w:pos="9026"/>
        </w:tabs>
        <w:spacing w:before="240" w:after="240"/>
        <w:jc w:val="center"/>
        <w:rPr>
          <w:b/>
          <w:bCs/>
        </w:rPr>
      </w:pPr>
    </w:p>
    <w:p w:rsidR="008E202D" w:rsidRDefault="0005760C">
      <w:pPr>
        <w:tabs>
          <w:tab w:val="center" w:pos="4513"/>
          <w:tab w:val="right" w:pos="9026"/>
        </w:tabs>
        <w:spacing w:after="0"/>
        <w:jc w:val="center"/>
        <w:rPr>
          <w:b/>
          <w:bCs/>
        </w:rPr>
      </w:pPr>
      <w:r>
        <w:rPr>
          <w:b/>
          <w:bCs/>
        </w:rPr>
        <w:t>Term-2</w:t>
      </w:r>
    </w:p>
    <w:p w:rsidR="0011609A" w:rsidRDefault="0011609A">
      <w:pPr>
        <w:tabs>
          <w:tab w:val="center" w:pos="4513"/>
          <w:tab w:val="right" w:pos="9026"/>
        </w:tabs>
        <w:spacing w:after="0"/>
        <w:jc w:val="center"/>
        <w:rPr>
          <w:b/>
          <w:bCs/>
        </w:rPr>
      </w:pPr>
    </w:p>
    <w:p w:rsidR="0011609A" w:rsidRDefault="0011609A">
      <w:pPr>
        <w:jc w:val="left"/>
        <w:rPr>
          <w:b/>
          <w:bCs/>
        </w:rPr>
      </w:pPr>
    </w:p>
    <w:p w:rsidR="0011609A" w:rsidRDefault="0011609A">
      <w:pPr>
        <w:jc w:val="left"/>
        <w:rPr>
          <w:b/>
          <w:bCs/>
          <w:color w:val="000000"/>
        </w:rPr>
      </w:pPr>
    </w:p>
    <w:p w:rsidR="008E202D" w:rsidRDefault="0005760C">
      <w:pPr>
        <w:jc w:val="left"/>
        <w:rPr>
          <w:b/>
          <w:bCs/>
          <w:color w:val="000000"/>
        </w:rPr>
      </w:pPr>
      <w:r>
        <w:rPr>
          <w:b/>
          <w:bCs/>
          <w:color w:val="000000"/>
        </w:rPr>
        <w:t>Table of Contents</w:t>
      </w:r>
    </w:p>
    <w:sdt>
      <w:sdtPr>
        <w:id w:val="1915905172"/>
        <w:docPartObj>
          <w:docPartGallery w:val="Table of Contents"/>
          <w:docPartUnique/>
        </w:docPartObj>
      </w:sdtPr>
      <w:sdtEndPr/>
      <w:sdtContent>
        <w:p w:rsidR="0011609A" w:rsidRDefault="0011609A">
          <w:pPr>
            <w:pBdr>
              <w:top w:val="nil"/>
              <w:left w:val="nil"/>
              <w:bottom w:val="nil"/>
              <w:right w:val="nil"/>
              <w:between w:val="nil"/>
            </w:pBdr>
            <w:tabs>
              <w:tab w:val="right" w:pos="9016"/>
            </w:tabs>
            <w:spacing w:after="100"/>
          </w:pPr>
        </w:p>
        <w:p w:rsidR="0011609A" w:rsidRDefault="0011609A">
          <w:pPr>
            <w:pBdr>
              <w:top w:val="nil"/>
              <w:left w:val="nil"/>
              <w:bottom w:val="nil"/>
              <w:right w:val="nil"/>
              <w:between w:val="nil"/>
            </w:pBdr>
            <w:tabs>
              <w:tab w:val="right" w:pos="9016"/>
            </w:tabs>
            <w:spacing w:after="100"/>
          </w:pPr>
        </w:p>
        <w:p w:rsidR="0011609A" w:rsidRDefault="0011609A">
          <w:pPr>
            <w:pBdr>
              <w:top w:val="nil"/>
              <w:left w:val="nil"/>
              <w:bottom w:val="nil"/>
              <w:right w:val="nil"/>
              <w:between w:val="nil"/>
            </w:pBdr>
            <w:tabs>
              <w:tab w:val="right" w:pos="9016"/>
            </w:tabs>
            <w:spacing w:after="100"/>
          </w:pPr>
        </w:p>
        <w:p w:rsidR="0011609A" w:rsidRDefault="0011609A">
          <w:pPr>
            <w:pBdr>
              <w:top w:val="nil"/>
              <w:left w:val="nil"/>
              <w:bottom w:val="nil"/>
              <w:right w:val="nil"/>
              <w:between w:val="nil"/>
            </w:pBdr>
            <w:tabs>
              <w:tab w:val="right" w:pos="9016"/>
            </w:tabs>
            <w:spacing w:after="100"/>
          </w:pPr>
        </w:p>
        <w:p w:rsidR="008E202D" w:rsidRDefault="0005760C">
          <w:pPr>
            <w:pBdr>
              <w:top w:val="nil"/>
              <w:left w:val="nil"/>
              <w:bottom w:val="nil"/>
              <w:right w:val="nil"/>
              <w:between w:val="nil"/>
            </w:pBdr>
            <w:tabs>
              <w:tab w:val="right" w:pos="9016"/>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l8851278fpo4">
            <w:r>
              <w:rPr>
                <w:color w:val="000000"/>
              </w:rPr>
              <w:t>Section 1</w:t>
            </w:r>
            <w:r>
              <w:rPr>
                <w:color w:val="000000"/>
              </w:rPr>
              <w:tab/>
              <w:t>5</w:t>
            </w:r>
          </w:hyperlink>
        </w:p>
        <w:p w:rsidR="008E202D" w:rsidRDefault="008F17A7">
          <w:pPr>
            <w:pBdr>
              <w:top w:val="nil"/>
              <w:left w:val="nil"/>
              <w:bottom w:val="nil"/>
              <w:right w:val="nil"/>
              <w:between w:val="nil"/>
            </w:pBdr>
            <w:tabs>
              <w:tab w:val="right" w:pos="9016"/>
            </w:tabs>
            <w:spacing w:after="100"/>
            <w:ind w:left="240"/>
            <w:rPr>
              <w:rFonts w:ascii="Calibri" w:eastAsia="Calibri" w:hAnsi="Calibri" w:cs="Calibri"/>
              <w:color w:val="000000"/>
            </w:rPr>
          </w:pPr>
          <w:hyperlink w:anchor="_yg0okc3i04f5">
            <w:r w:rsidR="0005760C">
              <w:rPr>
                <w:color w:val="000000"/>
              </w:rPr>
              <w:t>1. Introduction</w:t>
            </w:r>
            <w:r w:rsidR="0005760C">
              <w:rPr>
                <w:color w:val="000000"/>
              </w:rPr>
              <w:tab/>
              <w:t>5</w:t>
            </w:r>
          </w:hyperlink>
        </w:p>
        <w:p w:rsidR="008E202D" w:rsidRDefault="008F17A7">
          <w:pPr>
            <w:pBdr>
              <w:top w:val="nil"/>
              <w:left w:val="nil"/>
              <w:bottom w:val="nil"/>
              <w:right w:val="nil"/>
              <w:between w:val="nil"/>
            </w:pBdr>
            <w:tabs>
              <w:tab w:val="right" w:pos="9016"/>
            </w:tabs>
            <w:spacing w:after="100"/>
            <w:ind w:left="240"/>
            <w:rPr>
              <w:rFonts w:ascii="Calibri" w:eastAsia="Calibri" w:hAnsi="Calibri" w:cs="Calibri"/>
              <w:color w:val="000000"/>
            </w:rPr>
          </w:pPr>
          <w:hyperlink w:anchor="_18qffog0n91s">
            <w:r w:rsidR="0005760C">
              <w:rPr>
                <w:color w:val="000000"/>
              </w:rPr>
              <w:t>2. Overview of the Industry</w:t>
            </w:r>
            <w:r w:rsidR="0005760C">
              <w:rPr>
                <w:color w:val="000000"/>
              </w:rPr>
              <w:tab/>
              <w:t>6</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6594tneqsuhp">
            <w:r w:rsidR="0005760C">
              <w:rPr>
                <w:color w:val="000000"/>
              </w:rPr>
              <w:t>2.1 Size, Scope, and Economic Importance</w:t>
            </w:r>
            <w:r w:rsidR="0005760C">
              <w:rPr>
                <w:color w:val="000000"/>
              </w:rPr>
              <w:tab/>
              <w:t>6</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4hx3crcopwwi">
            <w:r w:rsidR="0005760C">
              <w:rPr>
                <w:color w:val="000000"/>
              </w:rPr>
              <w:t>2.2 Big Local and Multinational Firms</w:t>
            </w:r>
            <w:r w:rsidR="0005760C">
              <w:rPr>
                <w:color w:val="000000"/>
              </w:rPr>
              <w:tab/>
              <w:t>7</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qsbccrqemla2">
            <w:r w:rsidR="0005760C">
              <w:rPr>
                <w:color w:val="000000"/>
              </w:rPr>
              <w:t>2.3 Relative Positioning and Strategic Comparison</w:t>
            </w:r>
            <w:r w:rsidR="0005760C">
              <w:rPr>
                <w:color w:val="000000"/>
              </w:rPr>
              <w:tab/>
              <w:t>8</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8do1chg2qb1l">
            <w:r w:rsidR="0005760C">
              <w:rPr>
                <w:color w:val="000000"/>
              </w:rPr>
              <w:t>2.4 Overall Industry Context</w:t>
            </w:r>
            <w:r w:rsidR="0005760C">
              <w:rPr>
                <w:color w:val="000000"/>
              </w:rPr>
              <w:tab/>
              <w:t>8</w:t>
            </w:r>
          </w:hyperlink>
        </w:p>
        <w:p w:rsidR="008E202D" w:rsidRDefault="008F17A7">
          <w:pPr>
            <w:pBdr>
              <w:top w:val="nil"/>
              <w:left w:val="nil"/>
              <w:bottom w:val="nil"/>
              <w:right w:val="nil"/>
              <w:between w:val="nil"/>
            </w:pBdr>
            <w:tabs>
              <w:tab w:val="right" w:pos="9016"/>
            </w:tabs>
            <w:spacing w:after="100"/>
            <w:ind w:left="240"/>
            <w:rPr>
              <w:rFonts w:ascii="Calibri" w:eastAsia="Calibri" w:hAnsi="Calibri" w:cs="Calibri"/>
              <w:color w:val="000000"/>
            </w:rPr>
          </w:pPr>
          <w:hyperlink w:anchor="_9eas3vpnpmp">
            <w:r w:rsidR="0005760C">
              <w:rPr>
                <w:color w:val="000000"/>
              </w:rPr>
              <w:t>3. Porter's Diamond Analysis</w:t>
            </w:r>
            <w:r w:rsidR="0005760C">
              <w:rPr>
                <w:color w:val="000000"/>
              </w:rPr>
              <w:tab/>
              <w:t>10</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obpggwb9zavj">
            <w:r w:rsidR="0005760C">
              <w:rPr>
                <w:color w:val="000000"/>
              </w:rPr>
              <w:t>3.1 Factor Conditions</w:t>
            </w:r>
            <w:r w:rsidR="0005760C">
              <w:rPr>
                <w:color w:val="000000"/>
              </w:rPr>
              <w:tab/>
              <w:t>10</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j1ryaxgvxl0u">
            <w:r w:rsidR="0005760C">
              <w:rPr>
                <w:color w:val="000000"/>
              </w:rPr>
              <w:t>3.2 Demand Conditions</w:t>
            </w:r>
            <w:r w:rsidR="0005760C">
              <w:rPr>
                <w:color w:val="000000"/>
              </w:rPr>
              <w:tab/>
              <w:t>11</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eagprd16mhyq">
            <w:r w:rsidR="0005760C">
              <w:rPr>
                <w:color w:val="000000"/>
              </w:rPr>
              <w:t>3.3 Other and supporting industries</w:t>
            </w:r>
            <w:r w:rsidR="0005760C">
              <w:rPr>
                <w:color w:val="000000"/>
              </w:rPr>
              <w:tab/>
              <w:t>12</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cc3wzyaogldk">
            <w:r w:rsidR="0005760C">
              <w:rPr>
                <w:color w:val="000000"/>
              </w:rPr>
              <w:t>3.4 Firm Strategy, Firm Structure, and Rivalry</w:t>
            </w:r>
            <w:r w:rsidR="0005760C">
              <w:rPr>
                <w:color w:val="000000"/>
              </w:rPr>
              <w:tab/>
              <w:t>12</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tk66tkfr9yqg">
            <w:r w:rsidR="0005760C">
              <w:rPr>
                <w:color w:val="000000"/>
              </w:rPr>
              <w:t>3.5 Government Role and Chance</w:t>
            </w:r>
            <w:r w:rsidR="0005760C">
              <w:rPr>
                <w:color w:val="000000"/>
              </w:rPr>
              <w:tab/>
              <w:t>13</w:t>
            </w:r>
          </w:hyperlink>
        </w:p>
        <w:p w:rsidR="008E202D" w:rsidRDefault="008F17A7">
          <w:pPr>
            <w:pBdr>
              <w:top w:val="nil"/>
              <w:left w:val="nil"/>
              <w:bottom w:val="nil"/>
              <w:right w:val="nil"/>
              <w:between w:val="nil"/>
            </w:pBdr>
            <w:tabs>
              <w:tab w:val="right" w:pos="9016"/>
            </w:tabs>
            <w:spacing w:after="100"/>
            <w:ind w:left="240"/>
            <w:rPr>
              <w:rFonts w:ascii="Calibri" w:eastAsia="Calibri" w:hAnsi="Calibri" w:cs="Calibri"/>
              <w:color w:val="000000"/>
            </w:rPr>
          </w:pPr>
          <w:hyperlink w:anchor="_pmunxxj8xzia">
            <w:r w:rsidR="0005760C">
              <w:rPr>
                <w:color w:val="000000"/>
              </w:rPr>
              <w:t>4. Analysis of Sun Pharmaceutical Industries Ltd. in the United States</w:t>
            </w:r>
            <w:r w:rsidR="0005760C">
              <w:rPr>
                <w:color w:val="000000"/>
              </w:rPr>
              <w:tab/>
              <w:t>14</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j0bz0x31pm0p">
            <w:r w:rsidR="0005760C">
              <w:rPr>
                <w:color w:val="000000"/>
              </w:rPr>
              <w:t>4.1 Company Overview – Sun Pharmaceutical Industries Ltd.</w:t>
            </w:r>
            <w:r w:rsidR="0005760C">
              <w:rPr>
                <w:color w:val="000000"/>
              </w:rPr>
              <w:tab/>
              <w:t>14</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8nnhah1tanwf">
            <w:r w:rsidR="0005760C">
              <w:rPr>
                <w:color w:val="000000"/>
              </w:rPr>
              <w:t>4.2 Market Entry Strategy of Sun Pharma in the United States</w:t>
            </w:r>
            <w:r w:rsidR="0005760C">
              <w:rPr>
                <w:color w:val="000000"/>
              </w:rPr>
              <w:tab/>
              <w:t>15</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9wuafr1exbsi">
            <w:r w:rsidR="0005760C">
              <w:rPr>
                <w:color w:val="000000"/>
              </w:rPr>
              <w:t>4.3 United States PESTLE Analysis Market Attractiveness</w:t>
            </w:r>
            <w:r w:rsidR="0005760C">
              <w:rPr>
                <w:color w:val="000000"/>
              </w:rPr>
              <w:tab/>
              <w:t>17</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oxbik8pu3657">
            <w:r w:rsidR="0005760C">
              <w:rPr>
                <w:color w:val="000000"/>
              </w:rPr>
              <w:t>4.4 Competitive Challenges for Sun Pharma</w:t>
            </w:r>
            <w:r w:rsidR="0005760C">
              <w:rPr>
                <w:color w:val="000000"/>
              </w:rPr>
              <w:tab/>
              <w:t>20</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6nifo3z5b5ln">
            <w:r w:rsidR="0005760C">
              <w:rPr>
                <w:color w:val="000000"/>
              </w:rPr>
              <w:t>4.5 Strategy Strengths of Sun Pharma</w:t>
            </w:r>
            <w:r w:rsidR="0005760C">
              <w:rPr>
                <w:color w:val="000000"/>
              </w:rPr>
              <w:tab/>
              <w:t>20</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89ajw5hn5s2n">
            <w:r w:rsidR="0005760C">
              <w:rPr>
                <w:color w:val="000000"/>
              </w:rPr>
              <w:t>4.6 Growth Opportunity in the Future</w:t>
            </w:r>
            <w:r w:rsidR="0005760C">
              <w:rPr>
                <w:color w:val="000000"/>
              </w:rPr>
              <w:tab/>
              <w:t>20</w:t>
            </w:r>
          </w:hyperlink>
        </w:p>
        <w:p w:rsidR="008E202D" w:rsidRDefault="008F17A7">
          <w:pPr>
            <w:pBdr>
              <w:top w:val="nil"/>
              <w:left w:val="nil"/>
              <w:bottom w:val="nil"/>
              <w:right w:val="nil"/>
              <w:between w:val="nil"/>
            </w:pBdr>
            <w:tabs>
              <w:tab w:val="right" w:pos="9016"/>
            </w:tabs>
            <w:spacing w:after="100"/>
            <w:ind w:left="240"/>
            <w:rPr>
              <w:rFonts w:ascii="Calibri" w:eastAsia="Calibri" w:hAnsi="Calibri" w:cs="Calibri"/>
              <w:color w:val="000000"/>
            </w:rPr>
          </w:pPr>
          <w:hyperlink w:anchor="_offmcfdog7q6">
            <w:r w:rsidR="0005760C">
              <w:rPr>
                <w:color w:val="000000"/>
              </w:rPr>
              <w:t>5. Conclusion</w:t>
            </w:r>
            <w:r w:rsidR="0005760C">
              <w:rPr>
                <w:color w:val="000000"/>
              </w:rPr>
              <w:tab/>
              <w:t>22</w:t>
            </w:r>
          </w:hyperlink>
        </w:p>
        <w:p w:rsidR="008E202D" w:rsidRDefault="008F17A7">
          <w:pPr>
            <w:pBdr>
              <w:top w:val="nil"/>
              <w:left w:val="nil"/>
              <w:bottom w:val="nil"/>
              <w:right w:val="nil"/>
              <w:between w:val="nil"/>
            </w:pBdr>
            <w:tabs>
              <w:tab w:val="right" w:pos="9016"/>
            </w:tabs>
            <w:spacing w:after="100"/>
            <w:rPr>
              <w:rFonts w:ascii="Calibri" w:eastAsia="Calibri" w:hAnsi="Calibri" w:cs="Calibri"/>
              <w:color w:val="000000"/>
            </w:rPr>
          </w:pPr>
          <w:hyperlink w:anchor="_vf4zyferx0ia">
            <w:r w:rsidR="0005760C">
              <w:rPr>
                <w:color w:val="000000"/>
              </w:rPr>
              <w:t>SECTION 2: Reflective Account</w:t>
            </w:r>
            <w:r w:rsidR="0005760C">
              <w:rPr>
                <w:color w:val="000000"/>
              </w:rPr>
              <w:tab/>
              <w:t>23</w:t>
            </w:r>
          </w:hyperlink>
        </w:p>
        <w:p w:rsidR="008E202D" w:rsidRDefault="008F17A7">
          <w:pPr>
            <w:pBdr>
              <w:top w:val="nil"/>
              <w:left w:val="nil"/>
              <w:bottom w:val="nil"/>
              <w:right w:val="nil"/>
              <w:between w:val="nil"/>
            </w:pBdr>
            <w:tabs>
              <w:tab w:val="right" w:pos="9016"/>
            </w:tabs>
            <w:spacing w:after="100"/>
            <w:ind w:left="240"/>
            <w:rPr>
              <w:rFonts w:ascii="Calibri" w:eastAsia="Calibri" w:hAnsi="Calibri" w:cs="Calibri"/>
              <w:color w:val="000000"/>
            </w:rPr>
          </w:pPr>
          <w:hyperlink w:anchor="_kyfc80p71kuv">
            <w:r w:rsidR="0005760C">
              <w:rPr>
                <w:color w:val="000000"/>
              </w:rPr>
              <w:t>6. Reflective Gibbs Reflective Cycle Analysis</w:t>
            </w:r>
            <w:r w:rsidR="0005760C">
              <w:rPr>
                <w:color w:val="000000"/>
              </w:rPr>
              <w:tab/>
              <w:t>23</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6or8l1fcgbfz">
            <w:r w:rsidR="0005760C">
              <w:rPr>
                <w:color w:val="000000"/>
              </w:rPr>
              <w:t>6.1 Reflection Introduction</w:t>
            </w:r>
            <w:r w:rsidR="0005760C">
              <w:rPr>
                <w:color w:val="000000"/>
              </w:rPr>
              <w:tab/>
              <w:t>23</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ljgsytbcvweo">
            <w:r w:rsidR="0005760C">
              <w:rPr>
                <w:color w:val="000000"/>
              </w:rPr>
              <w:t>6.2 Description</w:t>
            </w:r>
            <w:r w:rsidR="0005760C">
              <w:rPr>
                <w:color w:val="000000"/>
              </w:rPr>
              <w:tab/>
              <w:t>23</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v6zpfrkt3i75">
            <w:r w:rsidR="0005760C">
              <w:rPr>
                <w:color w:val="000000"/>
              </w:rPr>
              <w:t>6.3 Feelings</w:t>
            </w:r>
            <w:r w:rsidR="0005760C">
              <w:rPr>
                <w:color w:val="000000"/>
              </w:rPr>
              <w:tab/>
              <w:t>24</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12yvvwff42vf">
            <w:r w:rsidR="0005760C">
              <w:rPr>
                <w:color w:val="000000"/>
              </w:rPr>
              <w:t>6.4 Evaluation</w:t>
            </w:r>
            <w:r w:rsidR="0005760C">
              <w:rPr>
                <w:color w:val="000000"/>
              </w:rPr>
              <w:tab/>
              <w:t>24</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e5bg6rsr7otd">
            <w:r w:rsidR="0005760C">
              <w:rPr>
                <w:color w:val="000000"/>
              </w:rPr>
              <w:t>6.5 Analysis</w:t>
            </w:r>
            <w:r w:rsidR="0005760C">
              <w:rPr>
                <w:color w:val="000000"/>
              </w:rPr>
              <w:tab/>
              <w:t>25</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2yrzqc7ewnlo">
            <w:r w:rsidR="0005760C">
              <w:rPr>
                <w:color w:val="000000"/>
              </w:rPr>
              <w:t>6.6 Conclusion</w:t>
            </w:r>
            <w:r w:rsidR="0005760C">
              <w:rPr>
                <w:color w:val="000000"/>
              </w:rPr>
              <w:tab/>
              <w:t>25</w:t>
            </w:r>
          </w:hyperlink>
        </w:p>
        <w:p w:rsidR="008E202D" w:rsidRDefault="008F17A7">
          <w:pPr>
            <w:pBdr>
              <w:top w:val="nil"/>
              <w:left w:val="nil"/>
              <w:bottom w:val="nil"/>
              <w:right w:val="nil"/>
              <w:between w:val="nil"/>
            </w:pBdr>
            <w:tabs>
              <w:tab w:val="right" w:pos="9016"/>
            </w:tabs>
            <w:spacing w:after="100"/>
            <w:ind w:left="480"/>
            <w:rPr>
              <w:rFonts w:ascii="Calibri" w:eastAsia="Calibri" w:hAnsi="Calibri" w:cs="Calibri"/>
              <w:color w:val="000000"/>
            </w:rPr>
          </w:pPr>
          <w:hyperlink w:anchor="_6ocbtv2ptuo1">
            <w:r w:rsidR="0005760C">
              <w:rPr>
                <w:color w:val="000000"/>
              </w:rPr>
              <w:t>6.7 Action Plan</w:t>
            </w:r>
            <w:r w:rsidR="0005760C">
              <w:rPr>
                <w:color w:val="000000"/>
              </w:rPr>
              <w:tab/>
              <w:t>25</w:t>
            </w:r>
          </w:hyperlink>
        </w:p>
        <w:p w:rsidR="008E202D" w:rsidRDefault="008F17A7">
          <w:pPr>
            <w:pBdr>
              <w:top w:val="nil"/>
              <w:left w:val="nil"/>
              <w:bottom w:val="nil"/>
              <w:right w:val="nil"/>
              <w:between w:val="nil"/>
            </w:pBdr>
            <w:tabs>
              <w:tab w:val="right" w:pos="9016"/>
            </w:tabs>
            <w:spacing w:after="100"/>
            <w:rPr>
              <w:rFonts w:ascii="Calibri" w:eastAsia="Calibri" w:hAnsi="Calibri" w:cs="Calibri"/>
              <w:color w:val="000000"/>
            </w:rPr>
          </w:pPr>
          <w:hyperlink w:anchor="_n8ot42ucudib">
            <w:r w:rsidR="0005760C">
              <w:rPr>
                <w:color w:val="000000"/>
              </w:rPr>
              <w:t>References</w:t>
            </w:r>
            <w:r w:rsidR="0005760C">
              <w:rPr>
                <w:color w:val="000000"/>
              </w:rPr>
              <w:tab/>
              <w:t>27</w:t>
            </w:r>
          </w:hyperlink>
        </w:p>
        <w:p w:rsidR="008E202D" w:rsidRDefault="0005760C">
          <w:r>
            <w:fldChar w:fldCharType="end"/>
          </w:r>
        </w:p>
      </w:sdtContent>
    </w:sdt>
    <w:p w:rsidR="008E202D" w:rsidRDefault="0005760C">
      <w:pPr>
        <w:jc w:val="left"/>
        <w:rPr>
          <w:b/>
          <w:bCs/>
        </w:rPr>
      </w:pPr>
      <w:r>
        <w:br w:type="page"/>
      </w:r>
    </w:p>
    <w:p w:rsidR="008E202D" w:rsidRDefault="0005760C">
      <w:pPr>
        <w:pStyle w:val="Heading1"/>
      </w:pPr>
      <w:bookmarkStart w:id="1" w:name="_l8851278fpo4" w:colFirst="0" w:colLast="0"/>
      <w:bookmarkEnd w:id="1"/>
      <w:r>
        <w:lastRenderedPageBreak/>
        <w:t>Section 1</w:t>
      </w:r>
    </w:p>
    <w:p w:rsidR="00442BC4" w:rsidRDefault="00442BC4">
      <w:pPr>
        <w:pStyle w:val="Heading2"/>
      </w:pPr>
      <w:bookmarkStart w:id="2" w:name="_yg0okc3i04f5" w:colFirst="0" w:colLast="0"/>
      <w:bookmarkEnd w:id="2"/>
    </w:p>
    <w:p w:rsidR="008E202D" w:rsidRDefault="0005760C">
      <w:pPr>
        <w:pStyle w:val="Heading2"/>
      </w:pPr>
      <w:r>
        <w:t>1. Introduction</w:t>
      </w:r>
    </w:p>
    <w:p w:rsidR="008E202D" w:rsidRDefault="0005760C">
      <w:pPr>
        <w:spacing w:before="288" w:after="120"/>
      </w:pPr>
      <w:r>
        <w:t xml:space="preserve">The pharmaceutical business in the world is of critical importance in enhancing health outcomes by developing, manufacturing, and selling medicines (Emmanuel, et al., 2023). It is the most studied and highly controlled industry, and it has a great contribution to the growth and innovation of the global economy as well as to the population's health. High healthcare expenditure, excellent research capacity, and superior regulatory frameworks make the pharmaceutical market in the United States the largest globally (Khatoon and Velidandi, 2025). </w:t>
      </w:r>
    </w:p>
    <w:p w:rsidR="00442BC4" w:rsidRDefault="00442BC4">
      <w:pPr>
        <w:spacing w:before="288" w:after="120"/>
      </w:pPr>
    </w:p>
    <w:p w:rsidR="008E202D" w:rsidRDefault="0005760C">
      <w:pPr>
        <w:spacing w:before="288" w:after="120"/>
      </w:pPr>
      <w:r>
        <w:t>This renders the U.S. one of the prime target markets of the multinational pharmaceutical firms looking to expand globally. Sun Pharmaceutical Industries Ltd. is an Indian multinational pharmaceutical company that has gained a lot of presence globally, with the U.S. market being the most notable example. This report is an analysis of the competitiveness of the U.S. pharmaceutical industry and the business environment that influences the strategic position and business expansion opportunities of Sun Pharma.</w:t>
      </w:r>
    </w:p>
    <w:p w:rsidR="008E202D" w:rsidRDefault="0005760C">
      <w:pPr>
        <w:spacing w:before="288" w:after="120"/>
        <w:jc w:val="left"/>
      </w:pPr>
      <w:r>
        <w:br w:type="page"/>
      </w:r>
    </w:p>
    <w:p w:rsidR="008E202D" w:rsidRDefault="0005760C">
      <w:pPr>
        <w:pStyle w:val="Heading2"/>
      </w:pPr>
      <w:bookmarkStart w:id="3" w:name="_18qffog0n91s" w:colFirst="0" w:colLast="0"/>
      <w:bookmarkEnd w:id="3"/>
      <w:r>
        <w:lastRenderedPageBreak/>
        <w:t>2. Overview of the Industry</w:t>
      </w:r>
    </w:p>
    <w:p w:rsidR="008E202D" w:rsidRDefault="0005760C">
      <w:pPr>
        <w:spacing w:before="288" w:after="120"/>
      </w:pPr>
      <w:r>
        <w:t>The pharmaceutical market in the United States is one of the most powerful and developed healthcare markets in the world. The industry is essential in the growth, manufacture, and distribution of medicines that aid in disease prevention and treatment in the world. The pharmaceutical sector in the U.S. has changed a lot over the previous decades. The need for sophisticated healthcare solutions is driven by high levels of innovation and the power of research and development (Sharma, et al., 2023).</w:t>
      </w:r>
    </w:p>
    <w:p w:rsidR="008E202D" w:rsidRDefault="0005760C">
      <w:pPr>
        <w:spacing w:before="288" w:after="120"/>
      </w:pPr>
      <w:r>
        <w:t>The sector is demonstrated by the high investment in the biotechnology industry, digital health, and individualised medicine. Simultaneously, pharmaceutical companies are moving in a difficult environment, filled with strict regulatory provisions, high cost of research, patent safeguarding mechanisms, and mounting pressure to regulate the cost of drugs (Haider, 2023). These are the opportunities and challenges that companies in this market have.</w:t>
      </w:r>
    </w:p>
    <w:p w:rsidR="008E202D" w:rsidRDefault="0005760C">
      <w:pPr>
        <w:pStyle w:val="Heading3"/>
      </w:pPr>
      <w:bookmarkStart w:id="4" w:name="_6594tneqsuhp" w:colFirst="0" w:colLast="0"/>
      <w:bookmarkEnd w:id="4"/>
      <w:r>
        <w:t>2.1 Size, Scope, and Economic Importance</w:t>
      </w:r>
    </w:p>
    <w:p w:rsidR="008E202D" w:rsidRDefault="0005760C">
      <w:pPr>
        <w:jc w:val="center"/>
      </w:pPr>
      <w:r>
        <w:rPr>
          <w:noProof/>
          <w:lang w:val="en-US"/>
        </w:rPr>
        <w:drawing>
          <wp:inline distT="0" distB="0" distL="0" distR="0">
            <wp:extent cx="3557322" cy="176565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3557322" cy="1765655"/>
                    </a:xfrm>
                    <a:prstGeom prst="rect">
                      <a:avLst/>
                    </a:prstGeom>
                    <a:ln/>
                  </pic:spPr>
                </pic:pic>
              </a:graphicData>
            </a:graphic>
          </wp:inline>
        </w:drawing>
      </w:r>
    </w:p>
    <w:p w:rsidR="008E202D" w:rsidRDefault="0005760C">
      <w:pPr>
        <w:pBdr>
          <w:top w:val="nil"/>
          <w:left w:val="nil"/>
          <w:bottom w:val="nil"/>
          <w:right w:val="nil"/>
          <w:between w:val="nil"/>
        </w:pBdr>
        <w:spacing w:before="288" w:after="120"/>
        <w:jc w:val="center"/>
        <w:rPr>
          <w:b/>
          <w:bCs/>
          <w:i/>
          <w:iCs/>
          <w:color w:val="000000"/>
        </w:rPr>
      </w:pPr>
      <w:r>
        <w:rPr>
          <w:b/>
          <w:bCs/>
          <w:i/>
          <w:iCs/>
          <w:color w:val="000000"/>
        </w:rPr>
        <w:t>Figure 1: U.S Pharmaceutical Market Size</w:t>
      </w:r>
    </w:p>
    <w:p w:rsidR="008E202D" w:rsidRDefault="0005760C">
      <w:pPr>
        <w:spacing w:before="288" w:after="120"/>
        <w:jc w:val="center"/>
        <w:rPr>
          <w:b/>
          <w:bCs/>
          <w:i/>
          <w:iCs/>
          <w:color w:val="000000"/>
        </w:rPr>
      </w:pPr>
      <w:r>
        <w:rPr>
          <w:b/>
          <w:bCs/>
          <w:i/>
          <w:iCs/>
          <w:color w:val="000000"/>
        </w:rPr>
        <w:t>(Source: Biospace, 2024)</w:t>
      </w:r>
    </w:p>
    <w:p w:rsidR="008E202D" w:rsidRDefault="0005760C">
      <w:pPr>
        <w:spacing w:before="288" w:after="120"/>
      </w:pPr>
      <w:r>
        <w:t xml:space="preserve">The U.S. pharmaceutical market size is around USD 602.19 billion in 2023, and it is expected to rise in the coming years (Research and Markets, 2026). Controlling a major portion of the global pharmaceutical sales in the globe. The industry is also highly influential in the growth of the national economy in terms of employment, innovation, exportation, and scientific research investments. To come up with new </w:t>
      </w:r>
      <w:r>
        <w:lastRenderedPageBreak/>
        <w:t>drugs and medical technologies, pharmaceutical companies spend billions of dollars a year in conducting research and development.</w:t>
      </w:r>
    </w:p>
    <w:p w:rsidR="008E202D" w:rsidRDefault="0005760C">
      <w:pPr>
        <w:spacing w:before="288" w:after="120"/>
      </w:pPr>
      <w:r>
        <w:t>The industry indirectly and directly employs millions of people in manufacturing, clinical research, distribution, and the healthcare provision sector (Bevere and Faccilongo, 2024). U.S. pharmaceutical exports and intellectual property also have a significant role in sustaining the leadership of the country in the sphere of healthcare innovations in the world.</w:t>
      </w:r>
    </w:p>
    <w:p w:rsidR="008E202D" w:rsidRDefault="0005760C">
      <w:pPr>
        <w:spacing w:before="288" w:after="120"/>
      </w:pPr>
      <w:r>
        <w:t>The market structure is highly dependent on government policies and expenditure by the healthcare and insurance systems (Chi, et al., 2024). Before medicines are introduced to the market, their safety, quality, and effectiveness are guaranteed by regulatory bodies such as the U.S. Food and Drug Administration. These guidelines ensure that the industry is up to high standards; however, they make drug development more complex and expensive.</w:t>
      </w:r>
    </w:p>
    <w:p w:rsidR="008E202D" w:rsidRDefault="0005760C">
      <w:pPr>
        <w:pStyle w:val="Heading3"/>
      </w:pPr>
      <w:bookmarkStart w:id="5" w:name="_4hx3crcopwwi" w:colFirst="0" w:colLast="0"/>
      <w:bookmarkEnd w:id="5"/>
      <w:r>
        <w:t>2.2 Big Local and Multinational Firms</w:t>
      </w:r>
    </w:p>
    <w:p w:rsidR="008E202D" w:rsidRDefault="0005760C">
      <w:pPr>
        <w:spacing w:before="288" w:after="120"/>
      </w:pPr>
      <w:r>
        <w:t>The pharmaceutical business in the U.S. is dominated by a blend of both giant companies in the country and multinational companies. The key pharmaceutical companies that have been operating in the market are:</w:t>
      </w:r>
    </w:p>
    <w:p w:rsidR="008E202D" w:rsidRDefault="0005760C">
      <w:pPr>
        <w:numPr>
          <w:ilvl w:val="0"/>
          <w:numId w:val="1"/>
        </w:numPr>
        <w:pBdr>
          <w:top w:val="nil"/>
          <w:left w:val="nil"/>
          <w:bottom w:val="nil"/>
          <w:right w:val="nil"/>
          <w:between w:val="nil"/>
        </w:pBdr>
        <w:spacing w:before="288" w:after="0"/>
        <w:rPr>
          <w:color w:val="000000"/>
        </w:rPr>
      </w:pPr>
      <w:r>
        <w:rPr>
          <w:color w:val="000000"/>
        </w:rPr>
        <w:t>Pfizer</w:t>
      </w:r>
    </w:p>
    <w:p w:rsidR="008E202D" w:rsidRDefault="0005760C">
      <w:pPr>
        <w:numPr>
          <w:ilvl w:val="0"/>
          <w:numId w:val="1"/>
        </w:numPr>
        <w:pBdr>
          <w:top w:val="nil"/>
          <w:left w:val="nil"/>
          <w:bottom w:val="nil"/>
          <w:right w:val="nil"/>
          <w:between w:val="nil"/>
        </w:pBdr>
        <w:spacing w:after="0"/>
        <w:rPr>
          <w:color w:val="000000"/>
        </w:rPr>
      </w:pPr>
      <w:r>
        <w:rPr>
          <w:color w:val="000000"/>
        </w:rPr>
        <w:t>Johnson &amp; Johnson</w:t>
      </w:r>
    </w:p>
    <w:p w:rsidR="008E202D" w:rsidRDefault="0005760C">
      <w:pPr>
        <w:numPr>
          <w:ilvl w:val="0"/>
          <w:numId w:val="1"/>
        </w:numPr>
        <w:pBdr>
          <w:top w:val="nil"/>
          <w:left w:val="nil"/>
          <w:bottom w:val="nil"/>
          <w:right w:val="nil"/>
          <w:between w:val="nil"/>
        </w:pBdr>
        <w:spacing w:after="120"/>
        <w:rPr>
          <w:color w:val="000000"/>
        </w:rPr>
      </w:pPr>
      <w:r>
        <w:rPr>
          <w:color w:val="000000"/>
        </w:rPr>
        <w:t>Merck &amp; Co.</w:t>
      </w:r>
    </w:p>
    <w:p w:rsidR="008E202D" w:rsidRDefault="0005760C">
      <w:pPr>
        <w:spacing w:before="288" w:after="120"/>
      </w:pPr>
      <w:r>
        <w:t>The research ability, many product lines, and wide international distribution channels are the key elements that offer these companies a highly competitive advantage. They are usually strategic in their approaches of being innovative, protecting their patents, and making strategic acquisitions to keep the market ahead.</w:t>
      </w:r>
    </w:p>
    <w:p w:rsidR="008E202D" w:rsidRDefault="0005760C">
      <w:pPr>
        <w:spacing w:before="288" w:after="120"/>
      </w:pPr>
      <w:r>
        <w:t xml:space="preserve">Besides the local companies, other global pharmaceutical companies have also developed good operations in the United States. As India's largest pharmaceutical company, Sun Pharmaceutical Industries Ltd. has established a strong U.S. presence through specialised generic drug manufacturing (Sun Pharma, 2026). </w:t>
      </w:r>
    </w:p>
    <w:p w:rsidR="008E202D" w:rsidRDefault="0005760C">
      <w:pPr>
        <w:pStyle w:val="Heading3"/>
      </w:pPr>
      <w:bookmarkStart w:id="6" w:name="_qsbccrqemla2" w:colFirst="0" w:colLast="0"/>
      <w:bookmarkEnd w:id="6"/>
      <w:r>
        <w:lastRenderedPageBreak/>
        <w:t>2.3 Relative Positioning and Strategic Comparison</w:t>
      </w:r>
    </w:p>
    <w:p w:rsidR="00442BC4" w:rsidRDefault="00442BC4">
      <w:pPr>
        <w:spacing w:before="288" w:after="120"/>
      </w:pPr>
    </w:p>
    <w:p w:rsidR="008E202D" w:rsidRDefault="0005760C">
      <w:pPr>
        <w:spacing w:before="288" w:after="120"/>
      </w:pPr>
      <w:r>
        <w:t>The U.S. pharmaceutical industry is an industry that can be easily categorised into three strategic groups because of competition.</w:t>
      </w:r>
    </w:p>
    <w:p w:rsidR="00442BC4" w:rsidRDefault="00442BC4">
      <w:pPr>
        <w:spacing w:before="288" w:after="120"/>
      </w:pPr>
    </w:p>
    <w:p w:rsidR="008E202D" w:rsidRDefault="0005760C">
      <w:pPr>
        <w:spacing w:before="288" w:after="120"/>
        <w:rPr>
          <w:b/>
          <w:bCs/>
        </w:rPr>
      </w:pPr>
      <w:r>
        <w:t xml:space="preserve">1. </w:t>
      </w:r>
      <w:r>
        <w:rPr>
          <w:b/>
          <w:bCs/>
        </w:rPr>
        <w:t>Pharmaceutical Companies that are research-driven</w:t>
      </w:r>
    </w:p>
    <w:p w:rsidR="008E202D" w:rsidRDefault="0005760C">
      <w:pPr>
        <w:spacing w:before="288" w:after="120"/>
      </w:pPr>
      <w:r>
        <w:t>Pfizer, Johnson and Johnson, and Merck are the companies that pay attention to innovations and create patented medicines (Boriani, et al., 2022). They have a competitive edge in high levels of R&amp;D, technology, and high protection of their intellectual property rights.</w:t>
      </w:r>
    </w:p>
    <w:p w:rsidR="00442BC4" w:rsidRDefault="00442BC4">
      <w:pPr>
        <w:spacing w:before="288" w:after="120"/>
      </w:pPr>
    </w:p>
    <w:p w:rsidR="008E202D" w:rsidRDefault="0005760C">
      <w:pPr>
        <w:spacing w:before="288" w:after="120"/>
        <w:rPr>
          <w:b/>
          <w:bCs/>
        </w:rPr>
      </w:pPr>
      <w:r>
        <w:t xml:space="preserve">2. </w:t>
      </w:r>
      <w:r>
        <w:rPr>
          <w:b/>
          <w:bCs/>
        </w:rPr>
        <w:t>Generics Pharmaceutical Therapists</w:t>
      </w:r>
    </w:p>
    <w:p w:rsidR="008E202D" w:rsidRDefault="0005760C">
      <w:pPr>
        <w:spacing w:before="288" w:after="120"/>
      </w:pPr>
      <w:r>
        <w:t>The generic drug producers are concerned with the production of generic drugs of already available medicines after the patent has expired (Tenni, et al., 2022). This segment is completed by Sun Pharmaceutical Industries Ltd., that provide cheaper alternative and does not sacrifice quality and compliance.</w:t>
      </w:r>
    </w:p>
    <w:p w:rsidR="00442BC4" w:rsidRDefault="00442BC4">
      <w:pPr>
        <w:spacing w:before="288" w:after="120"/>
      </w:pPr>
    </w:p>
    <w:p w:rsidR="008E202D" w:rsidRDefault="0005760C">
      <w:pPr>
        <w:spacing w:before="288" w:after="120"/>
      </w:pPr>
      <w:r>
        <w:t xml:space="preserve">3. </w:t>
      </w:r>
      <w:r>
        <w:rPr>
          <w:b/>
          <w:bCs/>
        </w:rPr>
        <w:t>Specialty Drug Companies and Biotechnology</w:t>
      </w:r>
    </w:p>
    <w:p w:rsidR="008E202D" w:rsidRDefault="0005760C">
      <w:pPr>
        <w:spacing w:before="288" w:after="120"/>
      </w:pPr>
      <w:r>
        <w:t>Advanced therapies, including biologics, gene therapies, and targeted medicines, are the speciality of biotechnology firms. These firms are competing in terms of scientific innovation and niche therapeutic knowledge.</w:t>
      </w:r>
    </w:p>
    <w:p w:rsidR="00442BC4" w:rsidRDefault="00442BC4">
      <w:pPr>
        <w:pStyle w:val="Heading3"/>
      </w:pPr>
      <w:bookmarkStart w:id="7" w:name="_8do1chg2qb1l" w:colFirst="0" w:colLast="0"/>
      <w:bookmarkEnd w:id="7"/>
    </w:p>
    <w:p w:rsidR="00442BC4" w:rsidRDefault="00442BC4">
      <w:pPr>
        <w:pStyle w:val="Heading3"/>
      </w:pPr>
    </w:p>
    <w:p w:rsidR="00442BC4" w:rsidRDefault="00442BC4">
      <w:pPr>
        <w:pStyle w:val="Heading3"/>
      </w:pPr>
    </w:p>
    <w:p w:rsidR="00442BC4" w:rsidRDefault="00442BC4">
      <w:pPr>
        <w:pStyle w:val="Heading3"/>
      </w:pPr>
    </w:p>
    <w:p w:rsidR="00442BC4" w:rsidRDefault="00442BC4">
      <w:pPr>
        <w:pStyle w:val="Heading3"/>
      </w:pPr>
    </w:p>
    <w:p w:rsidR="00442BC4" w:rsidRDefault="00442BC4">
      <w:pPr>
        <w:pStyle w:val="Heading3"/>
      </w:pPr>
    </w:p>
    <w:p w:rsidR="00442BC4" w:rsidRDefault="00442BC4">
      <w:pPr>
        <w:pStyle w:val="Heading3"/>
      </w:pPr>
    </w:p>
    <w:p w:rsidR="00442BC4" w:rsidRDefault="00442BC4">
      <w:pPr>
        <w:pStyle w:val="Heading3"/>
      </w:pPr>
    </w:p>
    <w:p w:rsidR="008E202D" w:rsidRDefault="0005760C">
      <w:pPr>
        <w:pStyle w:val="Heading3"/>
      </w:pPr>
      <w:r>
        <w:t>2.4 Overall Industry Context</w:t>
      </w:r>
    </w:p>
    <w:p w:rsidR="008E202D" w:rsidRDefault="0005760C">
      <w:pPr>
        <w:spacing w:before="288" w:after="120"/>
      </w:pPr>
      <w:r>
        <w:t>Overall, the pharmaceutical sector in the United States can be fast paced in terms of innovation, robust regulatory environments, and stiff competition worldwide. The market has immense opportunities because of the high healthcare expenditure and developed research facilities. The companies also have their own problems, such as regulatory forces, patent expiration, and increasing competition from the generic and biotechnology firms.</w:t>
      </w:r>
    </w:p>
    <w:p w:rsidR="008E202D" w:rsidRDefault="0005760C">
      <w:pPr>
        <w:spacing w:before="288" w:after="120"/>
      </w:pPr>
      <w:r>
        <w:t>In the case of multinational companies such as Sun Pharmaceutical Industries Ltd., there are opportunities and strategic challenges to the U.S. market. The key to success here is innovation capability, the ability to comply with regulatory measures and sustain competitive prices without compromising the quality and safety of drugs of high standards.</w:t>
      </w:r>
    </w:p>
    <w:p w:rsidR="008E202D" w:rsidRDefault="0005760C">
      <w:pPr>
        <w:pStyle w:val="Heading2"/>
      </w:pPr>
      <w:bookmarkStart w:id="8" w:name="_9eas3vpnpmp" w:colFirst="0" w:colLast="0"/>
      <w:bookmarkEnd w:id="8"/>
      <w:r>
        <w:br w:type="page"/>
      </w:r>
      <w:r>
        <w:lastRenderedPageBreak/>
        <w:t>3. Porter's Diamond Analysis</w:t>
      </w:r>
    </w:p>
    <w:p w:rsidR="008E202D" w:rsidRDefault="0005760C">
      <w:pPr>
        <w:keepNext/>
        <w:spacing w:before="288" w:after="120"/>
        <w:jc w:val="center"/>
      </w:pPr>
      <w:r>
        <w:rPr>
          <w:noProof/>
          <w:lang w:val="en-US"/>
        </w:rPr>
        <w:drawing>
          <wp:inline distT="0" distB="0" distL="0" distR="0">
            <wp:extent cx="2749009" cy="2400042"/>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2749009" cy="2400042"/>
                    </a:xfrm>
                    <a:prstGeom prst="rect">
                      <a:avLst/>
                    </a:prstGeom>
                    <a:ln/>
                  </pic:spPr>
                </pic:pic>
              </a:graphicData>
            </a:graphic>
          </wp:inline>
        </w:drawing>
      </w:r>
    </w:p>
    <w:p w:rsidR="008E202D" w:rsidRDefault="0005760C">
      <w:pPr>
        <w:pBdr>
          <w:top w:val="nil"/>
          <w:left w:val="nil"/>
          <w:bottom w:val="nil"/>
          <w:right w:val="nil"/>
          <w:between w:val="nil"/>
        </w:pBdr>
        <w:spacing w:before="288" w:after="120"/>
        <w:jc w:val="center"/>
        <w:rPr>
          <w:b/>
          <w:bCs/>
          <w:i/>
          <w:iCs/>
          <w:color w:val="000000"/>
        </w:rPr>
      </w:pPr>
      <w:r>
        <w:rPr>
          <w:b/>
          <w:bCs/>
          <w:i/>
          <w:iCs/>
          <w:color w:val="000000"/>
        </w:rPr>
        <w:t>Figure 2: Porter’s Diamond Analysis</w:t>
      </w:r>
    </w:p>
    <w:p w:rsidR="008E202D" w:rsidRDefault="0005760C">
      <w:pPr>
        <w:spacing w:before="288" w:after="120"/>
        <w:jc w:val="center"/>
        <w:rPr>
          <w:b/>
          <w:bCs/>
          <w:i/>
          <w:iCs/>
          <w:color w:val="000000"/>
        </w:rPr>
      </w:pPr>
      <w:r>
        <w:rPr>
          <w:b/>
          <w:bCs/>
          <w:i/>
          <w:iCs/>
          <w:color w:val="000000"/>
        </w:rPr>
        <w:t>(Source: Denis, 2026)</w:t>
      </w:r>
    </w:p>
    <w:p w:rsidR="008E202D" w:rsidRDefault="0005760C">
      <w:pPr>
        <w:spacing w:before="288" w:after="120"/>
      </w:pPr>
      <w:r>
        <w:t>Michael Porter developed the Diamond Model of National Advantage, which is widely used to examine the global competitiveness of an industry in each country (Lehene et al., 2024). Using this framework in the United States pharmaceutical market case, it will be possible to appreciate the strengths and structural issues. That influences multinational companies such as Sun Pharmaceutical Industries Ltd. that conduct business in this market.</w:t>
      </w:r>
    </w:p>
    <w:p w:rsidR="008E202D" w:rsidRDefault="0005760C">
      <w:pPr>
        <w:pStyle w:val="Heading3"/>
      </w:pPr>
      <w:bookmarkStart w:id="9" w:name="_obpggwb9zavj" w:colFirst="0" w:colLast="0"/>
      <w:bookmarkEnd w:id="9"/>
      <w:r>
        <w:t>3.1 Factor Conditions</w:t>
      </w:r>
    </w:p>
    <w:p w:rsidR="008E202D" w:rsidRDefault="0005760C">
      <w:pPr>
        <w:spacing w:before="288" w:after="120"/>
      </w:pPr>
      <w:r>
        <w:t>Factor conditions are the resources and capabilities available to the country to facilitate the development of industries. The United States enjoys highly developed advanced factor conditions, especially in the research infrastructure, skilled labour, and technological capabilities (Kalejaiye, 2023). It boasts of leading-edge universities, medical schools, and biotechnology research centres that are critical in pharmaceutical innovation. The contributions of these institutions in drug discoveries, biotechnology research, and clinical development are very high.</w:t>
      </w:r>
    </w:p>
    <w:p w:rsidR="008E202D" w:rsidRDefault="0005760C">
      <w:pPr>
        <w:spacing w:before="288" w:after="120"/>
      </w:pPr>
      <w:r>
        <w:t xml:space="preserve">Another significant opportunity is the great access to high quality of skilled staff, including scientists, pharmacists, and biomedical engineers. The pharmaceutical businesses in the United States have a huge source of specialised talent that </w:t>
      </w:r>
      <w:r>
        <w:lastRenderedPageBreak/>
        <w:t>facilitates research, development, and manufacturing (Khatoon and Velidandi, 2025). There are good financial markets and venture capital investment in the country, to which biotechnology startups and pharmaceutical research projects can be financed.</w:t>
      </w:r>
    </w:p>
    <w:p w:rsidR="008E202D" w:rsidRDefault="0005760C">
      <w:pPr>
        <w:spacing w:before="288" w:after="120"/>
      </w:pPr>
      <w:r>
        <w:t xml:space="preserve">However, there are several factors in the US pharma industry that can limit the company’s profits by increasing its R&amp;D and laboratory trial costs. Pharmaceutical research and development in the United States is very costly, as the cost of conducting clinical trials, compliance, and the cost of costly laboratory facilities are very high (Kandi and Vadakedath, 2023). The cost of labour and operation is also high when compared to most of the emerging markets. Consequently, there are certain pharmaceutical companies that are dependent on the global production and supply chain to cut down on manufacturing expenses. </w:t>
      </w:r>
    </w:p>
    <w:p w:rsidR="008E202D" w:rsidRDefault="0005760C">
      <w:pPr>
        <w:pStyle w:val="Heading3"/>
      </w:pPr>
      <w:bookmarkStart w:id="10" w:name="_j1ryaxgvxl0u" w:colFirst="0" w:colLast="0"/>
      <w:bookmarkEnd w:id="10"/>
      <w:r>
        <w:t>3.2 Demand Conditions</w:t>
      </w:r>
    </w:p>
    <w:p w:rsidR="008E202D" w:rsidRDefault="0005760C">
      <w:pPr>
        <w:spacing w:before="288" w:after="120"/>
      </w:pPr>
      <w:r>
        <w:t>The United States boasts one of the most developed healthcare markets globally, with high spending on healthcare, high technology in the healthcare sector, and a high need to consume innovative pharmaceutical products. Patients, health professionals, and insurance companies demand the quality of medicines and increased access to new treatments.</w:t>
      </w:r>
    </w:p>
    <w:p w:rsidR="008E202D" w:rsidRDefault="0005760C">
      <w:pPr>
        <w:spacing w:before="288" w:after="120"/>
      </w:pPr>
      <w:r>
        <w:t>This is an advanced need environment that prompts pharmaceutical firms to allocate a lot of funds to research and development. Chronic disease, cancer, rare disease, and specialised treatment therapies have a high demand. Consequently, pharmaceutical companies are ever innovative to meet these healthcare demands to stay competitive (Rajesh and Elumalai, 2025).</w:t>
      </w:r>
    </w:p>
    <w:p w:rsidR="008E202D" w:rsidRDefault="0005760C">
      <w:pPr>
        <w:spacing w:before="288" w:after="120"/>
      </w:pPr>
      <w:r>
        <w:t>Being a big market, the U.S. healthcare market offers pharmaceutical corporations substantial revenue possibilities. The purchasing power of the healthcare system is considered high, which permits the companies to recoup their research costs and make profits on new medicines. Such a huge domestic market presents great motivations to multinational pharmaceutical companies to operate in the United States.</w:t>
      </w:r>
    </w:p>
    <w:p w:rsidR="008E202D" w:rsidRDefault="0005760C">
      <w:pPr>
        <w:spacing w:before="288" w:after="120"/>
      </w:pPr>
      <w:r>
        <w:t xml:space="preserve">There is also a growing pressure in the industry in terms of drug prices and the affordability of healthcare. The government agencies, insurance companies, and patients are also insisting on reduced drug prices and enhanced transparency on the </w:t>
      </w:r>
      <w:r>
        <w:lastRenderedPageBreak/>
        <w:t xml:space="preserve">pharmaceutical pricing policy. The pressures have brought about difficulties for the companies, especially those that are dependent on high-priced patented medicines. </w:t>
      </w:r>
    </w:p>
    <w:p w:rsidR="008E202D" w:rsidRDefault="0005760C">
      <w:pPr>
        <w:pStyle w:val="Heading3"/>
      </w:pPr>
      <w:bookmarkStart w:id="11" w:name="_eagprd16mhyq" w:colFirst="0" w:colLast="0"/>
      <w:bookmarkEnd w:id="11"/>
      <w:r>
        <w:t>3.3 Other and supporting industries</w:t>
      </w:r>
    </w:p>
    <w:p w:rsidR="008E202D" w:rsidRDefault="0005760C">
      <w:pPr>
        <w:spacing w:before="288" w:after="120"/>
      </w:pPr>
      <w:r>
        <w:t>The next key factor in the Porter Diamond Model is the existence of related and supporting industries that are strong. The U.S. has one of the most advanced ecosystems of industries, which helps in conducting research, manufacturing, and distributing pharmaceuticals. These are biotechnology firms, contract research organisations, manufacturers of medical devices, healthcare givers, and specialised pharmaceutical vendors.</w:t>
      </w:r>
    </w:p>
    <w:p w:rsidR="008E202D" w:rsidRDefault="0005760C">
      <w:pPr>
        <w:spacing w:before="288" w:after="120"/>
      </w:pPr>
      <w:r>
        <w:t>The importance of the biotechnology sector is especially in favouring the innovation of pharmaceuticals. Amgen and Gilead Sciences are the leaders of biotechnology companies that are very important in the development of advanced therapies and biologic medicines (Liu, et al., 2025). Research and development of new drugs and technological advances are frequent outcomes of collaboration between the biotechnology companies and pharmaceutical corporations.</w:t>
      </w:r>
    </w:p>
    <w:p w:rsidR="008E202D" w:rsidRDefault="0005760C">
      <w:pPr>
        <w:spacing w:before="288" w:after="120"/>
      </w:pPr>
      <w:r>
        <w:t>These strengths are considered; there are some structural weaknesses that are present in pharmaceutical supply chains. The United States is very dependent on the importation of active pharmaceutical ingredients and raw materials from other countries such as India and China. Such reliance can pose supply chain risks in any global event that can lead to pandemic outbreaks or even geopolitical friction. However, the general power of supporting industries still promotes the competitiveness of the pharmaceutical industry in the U.S.</w:t>
      </w:r>
    </w:p>
    <w:p w:rsidR="008E202D" w:rsidRDefault="0005760C">
      <w:pPr>
        <w:pStyle w:val="Heading3"/>
      </w:pPr>
      <w:bookmarkStart w:id="12" w:name="_cc3wzyaogldk" w:colFirst="0" w:colLast="0"/>
      <w:bookmarkEnd w:id="12"/>
      <w:r>
        <w:t>3.4 Firm Strategy, Firm Structure, and Rivalry</w:t>
      </w:r>
    </w:p>
    <w:p w:rsidR="008E202D" w:rsidRDefault="0005760C">
      <w:pPr>
        <w:spacing w:before="288" w:after="120"/>
      </w:pPr>
      <w:r>
        <w:t>Competition in an industry is also important in determining national competitiveness. The pharmaceutical market in the U.S. is defined by the high levels of competition among American corporations and multinational companies. Large companies such as Pfizer, Johnson and Johnson, and Merck and Co are competing based on innovation, product differentiation skills, and ability to do good research.</w:t>
      </w:r>
    </w:p>
    <w:p w:rsidR="008E202D" w:rsidRDefault="0005760C">
      <w:pPr>
        <w:spacing w:before="288" w:after="120"/>
      </w:pPr>
      <w:r>
        <w:lastRenderedPageBreak/>
        <w:t>To be able to develop new medicines and sustain a competitive edge, these companies spend billions of dollars every year on research and development. The high degree of competition in the industry promotes technological advancement, efficiency, and unceasing innovations. Biomedical companies often enter strategic alliances, mergers, and acquisitions to gain access to more products and increase the power of research (Schuhmacher, et al., 2025).</w:t>
      </w:r>
    </w:p>
    <w:p w:rsidR="008E202D" w:rsidRDefault="0005760C">
      <w:pPr>
        <w:spacing w:before="288" w:after="120"/>
      </w:pPr>
      <w:r>
        <w:t>The industry is also associated with generic drug manufacturing companies, as well as biotechnology startups, in addition to the large research-based pharmaceutical companies. Other companies, such as Sun Pharmaceutical Industries Ltd., are involved in the generic and specialty pharmaceutical industries by providing alternative medicines that are cost-effective compared to the highly patented drugs.</w:t>
      </w:r>
    </w:p>
    <w:p w:rsidR="008E202D" w:rsidRDefault="0005760C">
      <w:pPr>
        <w:pStyle w:val="Heading3"/>
      </w:pPr>
      <w:bookmarkStart w:id="13" w:name="_tk66tkfr9yqg" w:colFirst="0" w:colLast="0"/>
      <w:bookmarkEnd w:id="13"/>
      <w:r>
        <w:t>3.5 Government Role and Chance</w:t>
      </w:r>
    </w:p>
    <w:p w:rsidR="008E202D" w:rsidRDefault="0005760C">
      <w:pPr>
        <w:spacing w:before="288" w:after="120"/>
      </w:pPr>
      <w:r>
        <w:t>The U.S. pharmaceutical industry is impacted by government policies to a great extent. The regulatory bodies, such as the U.S. Food and Drug Administration, enforce strict standards of safety, quality, and value requirements. On the pharmaceutical products, before they can be approved by it to be used by the population. The pharmaceutical innovation ecosystem is also enhanced by government subsidies in scientific studies and intellectual property rights (Poddar and Rao, 2024). Biomedical research is publicly funded, promoting long-term development of drugs and technology.</w:t>
      </w:r>
      <w:r>
        <w:br w:type="page"/>
      </w:r>
    </w:p>
    <w:p w:rsidR="008E202D" w:rsidRDefault="0005760C">
      <w:pPr>
        <w:pStyle w:val="Heading2"/>
      </w:pPr>
      <w:bookmarkStart w:id="14" w:name="_pmunxxj8xzia" w:colFirst="0" w:colLast="0"/>
      <w:bookmarkEnd w:id="14"/>
      <w:r>
        <w:lastRenderedPageBreak/>
        <w:t>4. Analysis of Sun Pharmaceutical Industries Ltd. in the United States</w:t>
      </w:r>
    </w:p>
    <w:p w:rsidR="008E202D" w:rsidRDefault="0005760C">
      <w:pPr>
        <w:pStyle w:val="Heading3"/>
      </w:pPr>
      <w:bookmarkStart w:id="15" w:name="_j0bz0x31pm0p" w:colFirst="0" w:colLast="0"/>
      <w:bookmarkEnd w:id="15"/>
      <w:r>
        <w:t>4.1 Company Overview – Sun Pharmaceutical Industries Ltd.</w:t>
      </w:r>
    </w:p>
    <w:p w:rsidR="008E202D" w:rsidRDefault="0005760C">
      <w:r>
        <w:t xml:space="preserve">Sun Pharmaceutical Industries Ltd. is a pharmaceutical company based in India with the world's largest market capitalisation and the largest revenue among Indian pharmaceutical companies. Dilip Shanghvi is the founder of the company, and it is based in Mumbai and was started in 1983 </w:t>
      </w:r>
      <w:r>
        <w:rPr>
          <w:color w:val="000000"/>
          <w:highlight w:val="white"/>
        </w:rPr>
        <w:t>(Sun Pharma, 2025)</w:t>
      </w:r>
      <w:r>
        <w:t xml:space="preserve">. The company started by specialising in psychiatric drugs but has grown tremendously due to research, diversification of products and strategic acquisitions to be a global pharmaceutical leader. Sun Pharma is a global company with operations in more than 100 countries and a high presence in the key markets of the pharmaceutical industry, like the United States, Europe, Japan and the emerging markets. </w:t>
      </w:r>
    </w:p>
    <w:p w:rsidR="008E202D" w:rsidRDefault="0005760C">
      <w:pPr>
        <w:keepNext/>
        <w:jc w:val="center"/>
      </w:pPr>
      <w:r>
        <w:rPr>
          <w:noProof/>
          <w:lang w:val="en-US"/>
        </w:rPr>
        <w:drawing>
          <wp:inline distT="0" distB="0" distL="0" distR="0">
            <wp:extent cx="4722359" cy="2192524"/>
            <wp:effectExtent l="0" t="0" r="0" b="0"/>
            <wp:docPr id="8" name="image8.png" descr="Sun Pharma Share Price : All You Need To Know"/>
            <wp:cNvGraphicFramePr/>
            <a:graphic xmlns:a="http://schemas.openxmlformats.org/drawingml/2006/main">
              <a:graphicData uri="http://schemas.openxmlformats.org/drawingml/2006/picture">
                <pic:pic xmlns:pic="http://schemas.openxmlformats.org/drawingml/2006/picture">
                  <pic:nvPicPr>
                    <pic:cNvPr id="0" name="image8.png" descr="Sun Pharma Share Price : All You Need To Know"/>
                    <pic:cNvPicPr preferRelativeResize="0"/>
                  </pic:nvPicPr>
                  <pic:blipFill>
                    <a:blip r:embed="rId10"/>
                    <a:srcRect/>
                    <a:stretch>
                      <a:fillRect/>
                    </a:stretch>
                  </pic:blipFill>
                  <pic:spPr>
                    <a:xfrm>
                      <a:off x="0" y="0"/>
                      <a:ext cx="4722359" cy="2192524"/>
                    </a:xfrm>
                    <a:prstGeom prst="rect">
                      <a:avLst/>
                    </a:prstGeom>
                    <a:ln/>
                  </pic:spPr>
                </pic:pic>
              </a:graphicData>
            </a:graphic>
          </wp:inline>
        </w:drawing>
      </w:r>
    </w:p>
    <w:p w:rsidR="008E202D" w:rsidRDefault="0005760C">
      <w:pPr>
        <w:pBdr>
          <w:top w:val="nil"/>
          <w:left w:val="nil"/>
          <w:bottom w:val="nil"/>
          <w:right w:val="nil"/>
          <w:between w:val="nil"/>
        </w:pBdr>
        <w:spacing w:after="200"/>
        <w:jc w:val="center"/>
        <w:rPr>
          <w:b/>
          <w:bCs/>
          <w:i/>
          <w:iCs/>
          <w:color w:val="000000"/>
        </w:rPr>
      </w:pPr>
      <w:r>
        <w:rPr>
          <w:b/>
          <w:bCs/>
          <w:i/>
          <w:iCs/>
          <w:color w:val="000000"/>
        </w:rPr>
        <w:t>Figure 3: Sun Pharma</w:t>
      </w:r>
    </w:p>
    <w:p w:rsidR="008E202D" w:rsidRDefault="0005760C">
      <w:pPr>
        <w:jc w:val="center"/>
        <w:rPr>
          <w:b/>
          <w:bCs/>
          <w:i/>
          <w:iCs/>
        </w:rPr>
      </w:pPr>
      <w:r>
        <w:rPr>
          <w:b/>
          <w:bCs/>
          <w:i/>
          <w:iCs/>
        </w:rPr>
        <w:t xml:space="preserve">(Source: </w:t>
      </w:r>
      <w:r>
        <w:rPr>
          <w:b/>
          <w:bCs/>
          <w:i/>
          <w:iCs/>
          <w:highlight w:val="white"/>
        </w:rPr>
        <w:t>Chettiar, 2023)</w:t>
      </w:r>
    </w:p>
    <w:p w:rsidR="008E202D" w:rsidRDefault="0005760C">
      <w:r>
        <w:t xml:space="preserve">The company has a workforce of more than 37,000 employees worldwide, with several over 40 manufacturing plants in various countries </w:t>
      </w:r>
      <w:r>
        <w:rPr>
          <w:color w:val="000000"/>
          <w:highlight w:val="white"/>
        </w:rPr>
        <w:t>(Sun Pharma, 2025)</w:t>
      </w:r>
      <w:r>
        <w:t xml:space="preserve">. Sun Pharma has indicated the 2023-2024 financial year, and the global revenues reported were about USD 5.4 billion, with the United States totalling almost 32-35% of overall revenues, making it the biggest single market in the organisation </w:t>
      </w:r>
      <w:r>
        <w:rPr>
          <w:color w:val="000000"/>
          <w:highlight w:val="white"/>
        </w:rPr>
        <w:t>(House, 2024)</w:t>
      </w:r>
      <w:r>
        <w:t xml:space="preserve">. The company has several main therapeutic areas that it concentrates on, and these include Dermatology, Oncology, Cardiology, Neurology and Psychiatry, Ophthalmology, and Gastroenterology. </w:t>
      </w:r>
    </w:p>
    <w:p w:rsidR="008E202D" w:rsidRDefault="0005760C">
      <w:pPr>
        <w:keepNext/>
        <w:jc w:val="center"/>
      </w:pPr>
      <w:r>
        <w:rPr>
          <w:noProof/>
          <w:lang w:val="en-US"/>
        </w:rPr>
        <w:lastRenderedPageBreak/>
        <w:drawing>
          <wp:inline distT="0" distB="0" distL="0" distR="0">
            <wp:extent cx="5203088" cy="1703427"/>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203088" cy="1703427"/>
                    </a:xfrm>
                    <a:prstGeom prst="rect">
                      <a:avLst/>
                    </a:prstGeom>
                    <a:ln/>
                  </pic:spPr>
                </pic:pic>
              </a:graphicData>
            </a:graphic>
          </wp:inline>
        </w:drawing>
      </w:r>
    </w:p>
    <w:p w:rsidR="008E202D" w:rsidRDefault="0005760C">
      <w:pPr>
        <w:pBdr>
          <w:top w:val="nil"/>
          <w:left w:val="nil"/>
          <w:bottom w:val="nil"/>
          <w:right w:val="nil"/>
          <w:between w:val="nil"/>
        </w:pBdr>
        <w:spacing w:after="200"/>
        <w:jc w:val="center"/>
        <w:rPr>
          <w:b/>
          <w:bCs/>
          <w:i/>
          <w:iCs/>
          <w:color w:val="000000"/>
        </w:rPr>
      </w:pPr>
      <w:r>
        <w:rPr>
          <w:b/>
          <w:bCs/>
          <w:i/>
          <w:iCs/>
          <w:color w:val="000000"/>
        </w:rPr>
        <w:t>Figure 4: Therapeutic Areas</w:t>
      </w:r>
    </w:p>
    <w:p w:rsidR="008E202D" w:rsidRDefault="0005760C">
      <w:pPr>
        <w:spacing w:before="240"/>
        <w:jc w:val="center"/>
        <w:rPr>
          <w:b/>
          <w:bCs/>
        </w:rPr>
      </w:pPr>
      <w:r>
        <w:rPr>
          <w:b/>
          <w:bCs/>
          <w:i/>
          <w:iCs/>
        </w:rPr>
        <w:t>(Source: Sun Pharma, 2025)</w:t>
      </w:r>
    </w:p>
    <w:p w:rsidR="008E202D" w:rsidRDefault="0005760C">
      <w:r>
        <w:t xml:space="preserve">Besides being a powerhouse in the generic pharmaceuticals sector, Sun Pharma has been making more investments in speciality drugs and novel treatments of specific diseases, especially dermatology and oncology. Acquisitions and diversification of the market have been used extensively as two cornerstones of the global expansion strategy of the company. One of the biggest points of change was the acquisition of Ranbaxy Laboratories in 2015, which greatly made Sun Pharma superior in the international markets, such as the United States. </w:t>
      </w:r>
    </w:p>
    <w:p w:rsidR="008E202D" w:rsidRDefault="0005760C">
      <w:r>
        <w:t xml:space="preserve">The takeover increased the product range of Sun Pharma and improved its reach in regulatory approvals and distribution channels in the US pharmaceutical market. The US is the world's largest pharmaceutical market, which also controls almost 40-45% of sales in the world pharmaceutical market. As a result, this market has been the core of the global expansion strategy of Sun Pharma due to the creation of a strong operational presence in this market. However, there are both opportunities and challenges to operating in the pharmaceutical industry of the US, which is especially in the form of rigorous regulatory frameworks, high competition levels, and pricing pressure. </w:t>
      </w:r>
    </w:p>
    <w:p w:rsidR="008E202D" w:rsidRDefault="0005760C">
      <w:pPr>
        <w:pStyle w:val="Heading3"/>
      </w:pPr>
      <w:bookmarkStart w:id="16" w:name="_8nnhah1tanwf" w:colFirst="0" w:colLast="0"/>
      <w:bookmarkEnd w:id="16"/>
      <w:r>
        <w:t>4.2 Market Entry Strategy of Sun Pharma in the United States</w:t>
      </w:r>
    </w:p>
    <w:p w:rsidR="008E202D" w:rsidRDefault="0005760C">
      <w:r>
        <w:t xml:space="preserve">Sun Pharma took the step of venturing into the United States market mainly by utilising a mix of approvals of generic drugs, acquisition and strategic expansion of the manufacturing capabilities. The firm approached an internationalisation strategy of market-seeking and focused on the US pharmaceutical market, which is very beneficial. The Abbreviated New Drug Application (ANDA), which is regulated by the U.S. Food and Drug Administration, was also one of the main entry paths. Through </w:t>
      </w:r>
      <w:r>
        <w:lastRenderedPageBreak/>
        <w:t xml:space="preserve">the ANDA process, pharmaceutical companies can sell generic drugs when branded drugs become patent-protected (FDA, 2025). Sun Pharma used this route to launch a broad category of generic drugs in the American market. </w:t>
      </w:r>
    </w:p>
    <w:p w:rsidR="008E202D" w:rsidRDefault="0005760C">
      <w:pPr>
        <w:keepNext/>
        <w:jc w:val="center"/>
      </w:pPr>
      <w:r>
        <w:rPr>
          <w:noProof/>
          <w:lang w:val="en-US"/>
        </w:rPr>
        <w:drawing>
          <wp:inline distT="0" distB="0" distL="0" distR="0">
            <wp:extent cx="4467092" cy="3118648"/>
            <wp:effectExtent l="0" t="0" r="0" b="0"/>
            <wp:docPr id="2" name="image2.png" descr="Ranbaxy-Sun-Pharma-acquisition-deal-impact-1"/>
            <wp:cNvGraphicFramePr/>
            <a:graphic xmlns:a="http://schemas.openxmlformats.org/drawingml/2006/main">
              <a:graphicData uri="http://schemas.openxmlformats.org/drawingml/2006/picture">
                <pic:pic xmlns:pic="http://schemas.openxmlformats.org/drawingml/2006/picture">
                  <pic:nvPicPr>
                    <pic:cNvPr id="0" name="image2.png" descr="Ranbaxy-Sun-Pharma-acquisition-deal-impact-1"/>
                    <pic:cNvPicPr preferRelativeResize="0"/>
                  </pic:nvPicPr>
                  <pic:blipFill>
                    <a:blip r:embed="rId12"/>
                    <a:srcRect/>
                    <a:stretch>
                      <a:fillRect/>
                    </a:stretch>
                  </pic:blipFill>
                  <pic:spPr>
                    <a:xfrm>
                      <a:off x="0" y="0"/>
                      <a:ext cx="4467092" cy="3118648"/>
                    </a:xfrm>
                    <a:prstGeom prst="rect">
                      <a:avLst/>
                    </a:prstGeom>
                    <a:ln/>
                  </pic:spPr>
                </pic:pic>
              </a:graphicData>
            </a:graphic>
          </wp:inline>
        </w:drawing>
      </w:r>
    </w:p>
    <w:p w:rsidR="008E202D" w:rsidRDefault="0005760C">
      <w:pPr>
        <w:pBdr>
          <w:top w:val="nil"/>
          <w:left w:val="nil"/>
          <w:bottom w:val="nil"/>
          <w:right w:val="nil"/>
          <w:between w:val="nil"/>
        </w:pBdr>
        <w:spacing w:after="200"/>
        <w:jc w:val="center"/>
        <w:rPr>
          <w:b/>
          <w:bCs/>
          <w:i/>
          <w:iCs/>
          <w:color w:val="000000"/>
        </w:rPr>
      </w:pPr>
      <w:r>
        <w:rPr>
          <w:b/>
          <w:bCs/>
          <w:i/>
          <w:iCs/>
          <w:color w:val="000000"/>
        </w:rPr>
        <w:t>Figure 5: Sun Pharma Transactions</w:t>
      </w:r>
    </w:p>
    <w:p w:rsidR="008E202D" w:rsidRDefault="0005760C">
      <w:pPr>
        <w:jc w:val="center"/>
        <w:rPr>
          <w:b/>
          <w:bCs/>
          <w:i/>
          <w:iCs/>
        </w:rPr>
      </w:pPr>
      <w:r>
        <w:rPr>
          <w:b/>
          <w:bCs/>
          <w:i/>
          <w:iCs/>
        </w:rPr>
        <w:t xml:space="preserve">(Source: </w:t>
      </w:r>
      <w:r>
        <w:rPr>
          <w:b/>
          <w:bCs/>
          <w:i/>
          <w:iCs/>
          <w:highlight w:val="white"/>
        </w:rPr>
        <w:t>Jain, 2019)</w:t>
      </w:r>
    </w:p>
    <w:p w:rsidR="008E202D" w:rsidRDefault="0005760C">
      <w:r>
        <w:t xml:space="preserve">One of the milestones of the US strategy of Sun Pharma was the purchase of Ranbaxy laboratories that were valued at USD 4 billion in 2015. This acquisition will have a far-reaching impact in terms of US presence by Sun Pharma by diversifying products and enhancing the number of FDA-approved manufacturing plants. Ranbaxy had already enjoyed a good pipeline of generic drugs and regulatory approvals, which allowed Sun Pharma to grow its operations in the US quickly. Besides acquisitions, it has also set up subsidiaries and distribution channels in the United States to enhance market penetration. The company also ventured into speciality drugs, and it has a higher margin than the generic drugs. Its dermatology business in the US is an excellent example of a key driver of growth. </w:t>
      </w:r>
    </w:p>
    <w:p w:rsidR="008E202D" w:rsidRDefault="0005760C">
      <w:r>
        <w:t xml:space="preserve">Thus, the success of Sun Pharma in the US market in the long term requires compliance with the regulations and the shift towards the purchase of more valuable speciality medications. </w:t>
      </w:r>
    </w:p>
    <w:p w:rsidR="008E202D" w:rsidRDefault="0005760C">
      <w:pPr>
        <w:pStyle w:val="Heading3"/>
      </w:pPr>
      <w:bookmarkStart w:id="17" w:name="_9wuafr1exbsi" w:colFirst="0" w:colLast="0"/>
      <w:bookmarkEnd w:id="17"/>
      <w:r>
        <w:lastRenderedPageBreak/>
        <w:t>4.3 United States PESTLE Analysis Market Attractiveness</w:t>
      </w:r>
    </w:p>
    <w:p w:rsidR="008E202D" w:rsidRDefault="0005760C">
      <w:r>
        <w:t xml:space="preserve">The US is a promising yet very complicated market for the pharmaceutical firms. A PESTLE analysis has been able to indicate a few external factors that can determine the success of Sun Pharma in this market. </w:t>
      </w:r>
    </w:p>
    <w:p w:rsidR="008E202D" w:rsidRDefault="0005760C">
      <w:pPr>
        <w:keepNext/>
      </w:pPr>
      <w:r>
        <w:rPr>
          <w:noProof/>
          <w:lang w:val="en-US"/>
        </w:rPr>
        <w:drawing>
          <wp:inline distT="0" distB="0" distL="0" distR="0">
            <wp:extent cx="5715798" cy="393437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15798" cy="3934374"/>
                    </a:xfrm>
                    <a:prstGeom prst="rect">
                      <a:avLst/>
                    </a:prstGeom>
                    <a:ln/>
                  </pic:spPr>
                </pic:pic>
              </a:graphicData>
            </a:graphic>
          </wp:inline>
        </w:drawing>
      </w:r>
    </w:p>
    <w:p w:rsidR="008E202D" w:rsidRDefault="0005760C">
      <w:pPr>
        <w:pBdr>
          <w:top w:val="nil"/>
          <w:left w:val="nil"/>
          <w:bottom w:val="nil"/>
          <w:right w:val="nil"/>
          <w:between w:val="nil"/>
        </w:pBdr>
        <w:spacing w:after="200"/>
        <w:jc w:val="center"/>
        <w:rPr>
          <w:b/>
          <w:bCs/>
          <w:i/>
          <w:iCs/>
          <w:color w:val="000000"/>
        </w:rPr>
      </w:pPr>
      <w:r>
        <w:rPr>
          <w:b/>
          <w:bCs/>
          <w:i/>
          <w:iCs/>
          <w:color w:val="000000"/>
        </w:rPr>
        <w:t>Figure 6: PESTLE Analysis</w:t>
      </w:r>
    </w:p>
    <w:p w:rsidR="008E202D" w:rsidRDefault="0005760C">
      <w:pPr>
        <w:jc w:val="center"/>
        <w:rPr>
          <w:b/>
          <w:bCs/>
          <w:i/>
          <w:iCs/>
        </w:rPr>
      </w:pPr>
      <w:r>
        <w:rPr>
          <w:b/>
          <w:bCs/>
          <w:i/>
          <w:iCs/>
        </w:rPr>
        <w:t xml:space="preserve">(Source: </w:t>
      </w:r>
      <w:r>
        <w:rPr>
          <w:b/>
          <w:bCs/>
          <w:i/>
          <w:iCs/>
          <w:highlight w:val="white"/>
        </w:rPr>
        <w:t>Leo, 2024)</w:t>
      </w:r>
    </w:p>
    <w:p w:rsidR="008E202D" w:rsidRDefault="0005760C">
      <w:pPr>
        <w:rPr>
          <w:b/>
          <w:bCs/>
          <w:i/>
          <w:iCs/>
          <w:u w:val="single"/>
        </w:rPr>
      </w:pPr>
      <w:r>
        <w:rPr>
          <w:b/>
          <w:bCs/>
          <w:i/>
          <w:iCs/>
          <w:u w:val="single"/>
        </w:rPr>
        <w:t xml:space="preserve">4.3.1 Political Factors </w:t>
      </w:r>
    </w:p>
    <w:p w:rsidR="008E202D" w:rsidRDefault="0005760C">
      <w:r>
        <w:t xml:space="preserve">The pharmaceutical industry in the US is greatly influenced by political and regulatory structures. The government bodies control the approval of drugs, safety, and prices of drugs to protect the health of the population. The U.S Food and Drug Administration is the most powerful regulatory body that regulates drug approvals, manufacturing compliance and quality standards (FDA, 2025). The FDA approval procedure is strict and, in most cases, involves long clinical trials, documentation, and inspection of manufacturing premises. In the case of Sun Pharma, the FDA regulation has impacted negatively and positively. </w:t>
      </w:r>
    </w:p>
    <w:p w:rsidR="008E202D" w:rsidRDefault="0005760C">
      <w:r>
        <w:lastRenderedPageBreak/>
        <w:t xml:space="preserve">On the good side, good regulatory systems provide a clear and foreseeable business climate, which enhances innovation as well as safeguards intellectual property rights. But the high regulatory requirements also contribute to a high cost of compliance and complexity of operation, especially for foreign pharmaceutical firms. Also, profitability in the pharmaceutical industry is affected by the US government policies on healthcare reform and the prices of drugs. </w:t>
      </w:r>
    </w:p>
    <w:p w:rsidR="008E202D" w:rsidRDefault="0005760C">
      <w:r>
        <w:t>Growing political pressure to lower the cost of drugs may curtail the increase in revenues of the pharmaceutical companies in the US market (Lieneck, et al., 2023). As such, as much as the political environment gives the company stability and clear regulatory environment, it also enforces strict operations that limit the capacity of Sun Pharma to be a competitive firm.</w:t>
      </w:r>
    </w:p>
    <w:p w:rsidR="008E202D" w:rsidRDefault="0005760C">
      <w:pPr>
        <w:rPr>
          <w:b/>
          <w:bCs/>
          <w:i/>
          <w:iCs/>
          <w:u w:val="single"/>
        </w:rPr>
      </w:pPr>
      <w:r>
        <w:rPr>
          <w:b/>
          <w:bCs/>
          <w:i/>
          <w:iCs/>
          <w:u w:val="single"/>
        </w:rPr>
        <w:t xml:space="preserve">4.3.2 Economic Factors </w:t>
      </w:r>
    </w:p>
    <w:p w:rsidR="008E202D" w:rsidRDefault="0005760C">
      <w:r>
        <w:t xml:space="preserve">The United States is the biggest healthcare and pharmaceutical market in the world, and the pharmaceutical expenditure in the country is more than USD 600 billion per year (Laurent, 2025). The US market is very appealing as a pharmaceutical company due to high healthcare costs, well-developed medical facilities, and purchasing power. In the case of Sun Pharma, a large revenue is possible due to the economic size of the healthcare sector in the US. In the United States, generic drugs are estimated to comprise about 90% of all prescriptions, thus making a high demand for firms that deal with cost-effective generic drugs (Miller, 2020). </w:t>
      </w:r>
    </w:p>
    <w:p w:rsidR="008E202D" w:rsidRDefault="0005760C">
      <w:r>
        <w:t xml:space="preserve">The rise in competition among the generic drug companies has led to prices being eroded, which diminishes the profit margins. Moreover, the changing prices of the currency between the Indian rupee and the US dollar can also affect the profitability of the pharma companies (ICICI. 2025). Sun Pharma because the company earns large amounts of dollars from sales, whereas the production costs are met in various currencies. </w:t>
      </w:r>
    </w:p>
    <w:p w:rsidR="008E202D" w:rsidRDefault="0005760C">
      <w:pPr>
        <w:rPr>
          <w:b/>
          <w:bCs/>
          <w:i/>
          <w:iCs/>
          <w:u w:val="single"/>
        </w:rPr>
      </w:pPr>
      <w:r>
        <w:rPr>
          <w:b/>
          <w:bCs/>
          <w:i/>
          <w:iCs/>
          <w:u w:val="single"/>
        </w:rPr>
        <w:t xml:space="preserve">4.3.3 Legal and Regulatory Environment </w:t>
      </w:r>
    </w:p>
    <w:p w:rsidR="008E202D" w:rsidRDefault="0005760C">
      <w:r>
        <w:t xml:space="preserve">The pharmaceutical industry in the US is among legal environments that are most complicated in the world. Various laws exist where companies must comply with the different regulations that deal with drug approvals, intellectual property protection, manufacturing standards, and marketing practises. The regulatory structure of the </w:t>
      </w:r>
      <w:r>
        <w:lastRenderedPageBreak/>
        <w:t xml:space="preserve">FDA expects the pharmaceutical companies to comply with high standards of Good Manufacturing Practises (GMP) (FDA, 2025). Failure to comply may lead to letters of warning, bans on imports or suspension of product licences. </w:t>
      </w:r>
    </w:p>
    <w:p w:rsidR="008E202D" w:rsidRDefault="0005760C">
      <w:r>
        <w:t xml:space="preserve">The issues of regulatory compliance in terms of manufacturing compliance have already been encountered by Sun Pharma, which is why it is important to ensure high-quality standards. The importance of intellectual property laws in the pharmaceutical industry is also very crucial. Patent protection enables companies to have exclusivity of innovative drugs, which can restrain the entry of generic competitors (Kovács, et al., 2021). Being a generic drug producer, Sun Pharma must be very cautious with patent cases and regulatory obstacles when introducing new products on the market. </w:t>
      </w:r>
    </w:p>
    <w:p w:rsidR="008E202D" w:rsidRDefault="0005760C">
      <w:pPr>
        <w:rPr>
          <w:b/>
          <w:bCs/>
          <w:i/>
          <w:iCs/>
          <w:u w:val="single"/>
        </w:rPr>
      </w:pPr>
      <w:r>
        <w:rPr>
          <w:b/>
          <w:bCs/>
          <w:i/>
          <w:iCs/>
          <w:u w:val="single"/>
        </w:rPr>
        <w:t xml:space="preserve">4.3.4 Cultural Factors </w:t>
      </w:r>
    </w:p>
    <w:p w:rsidR="008E202D" w:rsidRDefault="0005760C">
      <w:r>
        <w:t xml:space="preserve">The pharmaceutical consumption in the United States is also culturally determined. Healthcare providers and American consumers have a high level of emphasis on drug safety, clinical effectiveness, and brand reputation (Turek, et al., 2026). Due to this, pharmaceutical companies are required to be very trustworthy and credible. In the case of Sun Pharma, a foreign pharmaceutical company, it may not be easy to gain brand recognition and trust. Many US customers are more conversant with the domestic pharmaceutical firms, including Pfizer and Johnson and Johnson. </w:t>
      </w:r>
    </w:p>
    <w:p w:rsidR="008E202D" w:rsidRDefault="0005760C">
      <w:r>
        <w:t xml:space="preserve">Thus, cultural aspects form barriers to brand recognition, but due to the generic pharmaceutical market structure, Sun Pharma can compete through its cost efficiency and regulatory approval, not since the brand dominates. </w:t>
      </w:r>
    </w:p>
    <w:p w:rsidR="008E202D" w:rsidRDefault="0005760C">
      <w:pPr>
        <w:rPr>
          <w:b/>
          <w:bCs/>
          <w:i/>
          <w:iCs/>
          <w:u w:val="single"/>
        </w:rPr>
      </w:pPr>
      <w:r>
        <w:rPr>
          <w:b/>
          <w:bCs/>
          <w:i/>
          <w:iCs/>
          <w:u w:val="single"/>
        </w:rPr>
        <w:t xml:space="preserve">4.3.5 Technological Factors </w:t>
      </w:r>
    </w:p>
    <w:p w:rsidR="008E202D" w:rsidRDefault="0005760C">
      <w:r>
        <w:t>The technological innovation and research intensity are high in the US pharmaceutical industry. Large pharmaceutical companies spend billions of dollars every year on the discovery of drugs, research on biotechnology, and advanced clinical trials. In the case of Sun Pharma, this technological environment has an opportunity and a challenge. The company can be more innovative by gaining access to superior research ecosystems and partnering with biotechnology companies.</w:t>
      </w:r>
    </w:p>
    <w:p w:rsidR="008E202D" w:rsidRDefault="0005760C">
      <w:r>
        <w:t xml:space="preserve">Sun Pharma has tried to overcome this situation by investing in speciality pharmaceuticals and complex generics, which have a higher technological requirement and high profit margins. Hence, the competitive pressure in the US </w:t>
      </w:r>
      <w:r>
        <w:lastRenderedPageBreak/>
        <w:t xml:space="preserve">pharmaceutical sector is brought about by technological development, though there is also a chance for companies investing in innovation and research collaborations. </w:t>
      </w:r>
    </w:p>
    <w:p w:rsidR="008E202D" w:rsidRDefault="0005760C">
      <w:pPr>
        <w:pStyle w:val="Heading3"/>
      </w:pPr>
      <w:bookmarkStart w:id="18" w:name="_oxbik8pu3657" w:colFirst="0" w:colLast="0"/>
      <w:bookmarkEnd w:id="18"/>
      <w:r>
        <w:t>4.4 Competitive Challenges for Sun Pharma</w:t>
      </w:r>
    </w:p>
    <w:p w:rsidR="008E202D" w:rsidRDefault="0005760C">
      <w:r>
        <w:t xml:space="preserve">Although there are attractive opportunities in the US pharmaceutical market, Sun Pharma has several major competitive challenges. To begin with, the pharmaceutical market in the US is a very competitive one with multinational giants like Pfizer, Merck and Co., and AbbVie having immense financial and technological capabilities (Kim, et al., 2022). These firms have a huge investment in research and development, and this allows the companies to have robust product pipelines and command the market. </w:t>
      </w:r>
    </w:p>
    <w:p w:rsidR="008E202D" w:rsidRDefault="0005760C">
      <w:r>
        <w:t xml:space="preserve">Second, regulatory compliance is a major challenge in its operations. The FDA has rigid standards of pharmaceutical production. Violation of any regulation may lead to a delay in production, a stern letter, or banning imports, which have a devastating consequence on the image and financial status of a company. Third, the generic pharmaceutical market has been facing increased pressure in terms of pricing over the last few years. Higher competition in generic drug producers has led to lower prices, decreasing profit margins, and compelled companies to work on their operational efficiencies. </w:t>
      </w:r>
    </w:p>
    <w:p w:rsidR="008E202D" w:rsidRDefault="0005760C">
      <w:pPr>
        <w:pStyle w:val="Heading3"/>
      </w:pPr>
      <w:bookmarkStart w:id="19" w:name="_6nifo3z5b5ln" w:colFirst="0" w:colLast="0"/>
      <w:bookmarkEnd w:id="19"/>
      <w:r>
        <w:t>4.5 Strategy Strengths of Sun Pharma</w:t>
      </w:r>
    </w:p>
    <w:p w:rsidR="008E202D" w:rsidRDefault="0005760C">
      <w:r>
        <w:t xml:space="preserve">Sun Pharma has several strategic strengths that can be used to justify its competitiveness in the US market. Its large generic drug portfolio is one of the greatest advantages, as it enables the corporation to take advantage of the increased demand for affordable drugs in the United States. </w:t>
      </w:r>
    </w:p>
    <w:p w:rsidR="008E202D" w:rsidRDefault="0005760C">
      <w:r>
        <w:t xml:space="preserve">The company has numerous production plants in India, where the cost of operating is also cheaper than in Western nations. This enables Sun Pharma to provide relatively low-priced medicines and, at the same time, make a profit. The international manufacturing and distribution network also works in favour of the company as it allows managing the supply chain and distributing the product promptly. </w:t>
      </w:r>
    </w:p>
    <w:p w:rsidR="008E202D" w:rsidRDefault="0005760C">
      <w:pPr>
        <w:pStyle w:val="Heading3"/>
      </w:pPr>
      <w:bookmarkStart w:id="20" w:name="_89ajw5hn5s2n" w:colFirst="0" w:colLast="0"/>
      <w:bookmarkEnd w:id="20"/>
      <w:r>
        <w:t>4.6 Growth Opportunity in the Future</w:t>
      </w:r>
    </w:p>
    <w:p w:rsidR="008E202D" w:rsidRDefault="0005760C">
      <w:r>
        <w:t xml:space="preserve">In the future, there are several opportunities that would allow Sun Pharma to further grow in the United States. Speciality pharmaceuticals are one of the promising areas of their development. Such products are normally able to fetch greater margins than the traditional generic drugs. The other opportunity is in complex generics and </w:t>
      </w:r>
      <w:r>
        <w:lastRenderedPageBreak/>
        <w:t xml:space="preserve">biotechnology, where the advanced research capabilities are needed, and the competition is less when compared to the conventional generic medicines. The strategic partnership with the US biotechnology firms could also contribute to the innovation competencies of Sun Pharma and the opportunity to gain better access to innovative technologies (Hamdouna and Khmelyarchuk, 2025). </w:t>
      </w:r>
    </w:p>
    <w:p w:rsidR="008E202D" w:rsidRDefault="0005760C">
      <w:pPr>
        <w:jc w:val="left"/>
      </w:pPr>
      <w:r>
        <w:br w:type="page"/>
      </w:r>
    </w:p>
    <w:p w:rsidR="008E202D" w:rsidRDefault="0005760C">
      <w:pPr>
        <w:pStyle w:val="Heading2"/>
      </w:pPr>
      <w:bookmarkStart w:id="21" w:name="_offmcfdog7q6" w:colFirst="0" w:colLast="0"/>
      <w:bookmarkEnd w:id="21"/>
      <w:r>
        <w:lastRenderedPageBreak/>
        <w:t>5. Conclusion</w:t>
      </w:r>
    </w:p>
    <w:p w:rsidR="008E202D" w:rsidRDefault="0005760C">
      <w:r>
        <w:t>To summarise, the pharmaceutical industry worldwide is critical to enhancing healthcare outcomes and driving economic growth through unending innovation and the development of new, sophisticated medicines. The pharmaceutical market in the United States is the largest and most powerful in the world, owing to its highest healthcare expenditure, sophisticated research facilities, and an excellent regulatory system. These are major opportunities that drug companies with global expansion plans can have.</w:t>
      </w:r>
    </w:p>
    <w:p w:rsidR="008E202D" w:rsidRDefault="0005760C">
      <w:r>
        <w:t>The report has examined the competitiveness of the U.S pharmaceutical industry through Porter's Diamond Model and explored the business environment that has an influence on Sun Pharmaceutical Industries Ltd. The evaluation indicates that the United States has great strengths, including the presence of a high-level research base, complex demand markets, and a highly established supportive sector. Firms that are in this market are also faced with high research expenses, stringent regulations, and competition among multinational pharmaceutical firms.</w:t>
      </w:r>
    </w:p>
    <w:p w:rsidR="008E202D" w:rsidRDefault="0005760C">
      <w:r>
        <w:t>Achieving regulatory compliance, investing in innovation, and growing strategic alliances will enable Sun Pharma to build a strong competitive stance and proceed with its successful growth in the U.S. pharmaceutical sector.</w:t>
      </w:r>
    </w:p>
    <w:p w:rsidR="008E202D" w:rsidRDefault="0005760C">
      <w:pPr>
        <w:jc w:val="left"/>
      </w:pPr>
      <w:r>
        <w:br w:type="page"/>
      </w:r>
    </w:p>
    <w:p w:rsidR="008E202D" w:rsidRDefault="0005760C">
      <w:pPr>
        <w:pStyle w:val="Heading1"/>
      </w:pPr>
      <w:bookmarkStart w:id="22" w:name="_vf4zyferx0ia" w:colFirst="0" w:colLast="0"/>
      <w:bookmarkEnd w:id="22"/>
      <w:r>
        <w:lastRenderedPageBreak/>
        <w:t>SECTION 2: Reflective Account</w:t>
      </w:r>
    </w:p>
    <w:p w:rsidR="008E202D" w:rsidRDefault="0005760C">
      <w:pPr>
        <w:pStyle w:val="Heading2"/>
      </w:pPr>
      <w:bookmarkStart w:id="23" w:name="_kyfc80p71kuv" w:colFirst="0" w:colLast="0"/>
      <w:bookmarkEnd w:id="23"/>
      <w:r>
        <w:t>6. Reflective Gibbs Reflective Cycle Analysis</w:t>
      </w:r>
    </w:p>
    <w:p w:rsidR="008E202D" w:rsidRDefault="0005760C">
      <w:pPr>
        <w:pStyle w:val="Heading3"/>
      </w:pPr>
      <w:bookmarkStart w:id="24" w:name="_6or8l1fcgbfz" w:colFirst="0" w:colLast="0"/>
      <w:bookmarkEnd w:id="24"/>
      <w:r>
        <w:t xml:space="preserve">6.1 Reflection Introduction </w:t>
      </w:r>
    </w:p>
    <w:p w:rsidR="008E202D" w:rsidRDefault="0005760C">
      <w:r>
        <w:t xml:space="preserve">The process of reflection plays a significant role in presenting a reflection on how the process of researching and preparing the international business analysis of Sun Pharmaceutical Industries Ltd. and its business in the United States was conducted using the Gibbs Reflective Cycle. </w:t>
      </w:r>
    </w:p>
    <w:p w:rsidR="008E202D" w:rsidRDefault="0005760C">
      <w:pPr>
        <w:keepNext/>
        <w:jc w:val="center"/>
      </w:pPr>
      <w:r>
        <w:rPr>
          <w:noProof/>
          <w:lang w:val="en-US"/>
        </w:rPr>
        <w:drawing>
          <wp:inline distT="0" distB="0" distL="0" distR="0">
            <wp:extent cx="4449364" cy="4449364"/>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4449364" cy="4449364"/>
                    </a:xfrm>
                    <a:prstGeom prst="rect">
                      <a:avLst/>
                    </a:prstGeom>
                    <a:ln/>
                  </pic:spPr>
                </pic:pic>
              </a:graphicData>
            </a:graphic>
          </wp:inline>
        </w:drawing>
      </w:r>
    </w:p>
    <w:p w:rsidR="008E202D" w:rsidRDefault="0005760C">
      <w:pPr>
        <w:pBdr>
          <w:top w:val="nil"/>
          <w:left w:val="nil"/>
          <w:bottom w:val="nil"/>
          <w:right w:val="nil"/>
          <w:between w:val="nil"/>
        </w:pBdr>
        <w:spacing w:after="200"/>
        <w:jc w:val="center"/>
        <w:rPr>
          <w:b/>
          <w:bCs/>
          <w:i/>
          <w:iCs/>
          <w:color w:val="000000"/>
        </w:rPr>
      </w:pPr>
      <w:r>
        <w:rPr>
          <w:b/>
          <w:bCs/>
          <w:i/>
          <w:iCs/>
          <w:color w:val="000000"/>
        </w:rPr>
        <w:t>Figure 7: Gibbs Reflective Cycle</w:t>
      </w:r>
    </w:p>
    <w:p w:rsidR="008E202D" w:rsidRDefault="0005760C">
      <w:pPr>
        <w:jc w:val="center"/>
        <w:rPr>
          <w:b/>
          <w:bCs/>
          <w:i/>
          <w:iCs/>
        </w:rPr>
      </w:pPr>
      <w:r>
        <w:rPr>
          <w:b/>
          <w:bCs/>
          <w:i/>
          <w:iCs/>
        </w:rPr>
        <w:t>(Source: Bob, 2020)</w:t>
      </w:r>
    </w:p>
    <w:p w:rsidR="008E202D" w:rsidRDefault="0005760C">
      <w:pPr>
        <w:pStyle w:val="Heading3"/>
      </w:pPr>
      <w:bookmarkStart w:id="25" w:name="_ljgsytbcvweo" w:colFirst="0" w:colLast="0"/>
      <w:bookmarkEnd w:id="25"/>
      <w:r>
        <w:t xml:space="preserve">6.2 Description </w:t>
      </w:r>
    </w:p>
    <w:p w:rsidR="008E202D" w:rsidRDefault="0005760C">
      <w:r>
        <w:t xml:space="preserve">The task involved a detailed study of the global business of the Pharmaceutical Industry, Sun Pharmaceutical Industries Ltd., in the American drug market. My initial step in preparing the report was to undertake preliminary research about the company, such as its history, international presence and products offered. Various sources were </w:t>
      </w:r>
      <w:r>
        <w:lastRenderedPageBreak/>
        <w:t xml:space="preserve">used to gather related information in the pharmaceutical industry and the operations of the company, including the company's annual report, industry reports, scholarly articles, and reputable business databases. Also, I used major global business models to organise the analysis. </w:t>
      </w:r>
    </w:p>
    <w:p w:rsidR="008E202D" w:rsidRDefault="0005760C">
      <w:r>
        <w:t xml:space="preserve">An example is that the Porter’s Diamond Model was applied in the study of competitiveness of the pharmaceutical industry in the United States, and the PESTLE Analysis to assess the external factors in the business activities of the company in the United States. It was done through the structurisation of the gathered data, critical assessment of the industry variables and the correlation of the theoretical research with the real-world business processes of Sun Pharma. </w:t>
      </w:r>
    </w:p>
    <w:p w:rsidR="008E202D" w:rsidRDefault="0005760C">
      <w:pPr>
        <w:pStyle w:val="Heading3"/>
      </w:pPr>
      <w:bookmarkStart w:id="26" w:name="_v6zpfrkt3i75" w:colFirst="0" w:colLast="0"/>
      <w:bookmarkEnd w:id="26"/>
      <w:r>
        <w:t xml:space="preserve">6.3 Feelings </w:t>
      </w:r>
    </w:p>
    <w:p w:rsidR="008E202D" w:rsidRDefault="0005760C">
      <w:r>
        <w:t xml:space="preserve">When I first started the assignment, I was confused about the idea of analysing such a multinational pharmaceutical company that is operating in a very regulated international market. The pharmaceutical environment is not a simple regulatory system and technical information, and that is why the process of research became a bit difficult. I also found it challenging since the project involved linking the theoretical aspect with the real-life business practise. Even though I had to spend a lot of time, conducting research and critical thinking was necessary to cover certain parts of the project, which in turn allowed me to form a more profound perception of the global business settings and multinational corporate strategies. In general, I was content with my skills in analysing the company based on the academic frameworks. </w:t>
      </w:r>
    </w:p>
    <w:p w:rsidR="008E202D" w:rsidRDefault="0005760C">
      <w:pPr>
        <w:pStyle w:val="Heading3"/>
      </w:pPr>
      <w:bookmarkStart w:id="27" w:name="_12yvvwff42vf" w:colFirst="0" w:colLast="0"/>
      <w:bookmarkEnd w:id="27"/>
      <w:r>
        <w:t xml:space="preserve">6.4 Evaluation </w:t>
      </w:r>
    </w:p>
    <w:p w:rsidR="008E202D" w:rsidRDefault="0005760C">
      <w:r>
        <w:t xml:space="preserve">Several factors of the assignment process were good. The good thing was that the research process was successful because I managed to find numerous sources related to the topic that can be considered credible, namely industry reports and academic sources. These materials were quite informative in the world of the pharmaceutical industry, and the strategic practises of Sun Pharmaceutical Industries Ltd. also helped in structuring the report logically and systematically using the international business frameworks. Application of models like Porter's diamond and PESTLE analysis helped me in enhancing my capacity to analyse the external environmental forces on multinational firms. The other positive outcome was that analytical thinking skills were developed. </w:t>
      </w:r>
    </w:p>
    <w:p w:rsidR="008E202D" w:rsidRDefault="0005760C">
      <w:pPr>
        <w:pStyle w:val="Heading3"/>
      </w:pPr>
      <w:bookmarkStart w:id="28" w:name="_e5bg6rsr7otd" w:colFirst="0" w:colLast="0"/>
      <w:bookmarkEnd w:id="28"/>
      <w:r>
        <w:lastRenderedPageBreak/>
        <w:t xml:space="preserve">6.5 Analysis </w:t>
      </w:r>
    </w:p>
    <w:p w:rsidR="008E202D" w:rsidRDefault="0005760C">
      <w:r>
        <w:t xml:space="preserve">When considering the assignment process, I understood the significance of applying international business theories to follow the strategic behaviour of international corporations. It would be a disorganised and unstructured analysis of an intricate industry like pharmaceuticals without frameworks for the analysis. The paper, like the Diamond Model by Porter, made me realise how the national variables, such as availability of sophisticated research facilities, availability of skilled human resources, and good regulatory bodies, make the pharmaceutical industry in the United States competitive. In a similar vein, the PESTLE framework enabled me to analyse the impacts of external macro-environmental factors on the success of firms that conduct business in international markets. Indicatively, stringent regulatory measures and intellectual property regulations in the United States present openings and challenges to the foreign pharmaceutical companies, such as Sun Pharma. </w:t>
      </w:r>
    </w:p>
    <w:p w:rsidR="008E202D" w:rsidRDefault="0005760C">
      <w:pPr>
        <w:pStyle w:val="Heading3"/>
      </w:pPr>
      <w:bookmarkStart w:id="29" w:name="_2yrzqc7ewnlo" w:colFirst="0" w:colLast="0"/>
      <w:bookmarkEnd w:id="29"/>
      <w:r>
        <w:t xml:space="preserve">6.6 Conclusion </w:t>
      </w:r>
    </w:p>
    <w:p w:rsidR="008E202D" w:rsidRDefault="0005760C">
      <w:r>
        <w:t xml:space="preserve">Finally, the accomplishment of this research brought about some helpful learning experiences in terms of international business analysis and research skills. The exercise increased my knowledge of the operation of multinational corporations in the intricate international setting. Through the study of Sun Pharmaceutical Industries Ltd. and its business in the United States, I have gained the skills of critical and analytical thinking. Moreover, I gained skills in projecting theoretical concepts, like the Diamond Model of Porter and PESTLE analysis, to practical business scenarios with the help of the task. Overall, the learning process has reinforced my understanding of the global business strategy and the aspects that contribute to success in the international markets. </w:t>
      </w:r>
    </w:p>
    <w:p w:rsidR="008E202D" w:rsidRDefault="0005760C">
      <w:pPr>
        <w:pStyle w:val="Heading3"/>
      </w:pPr>
      <w:bookmarkStart w:id="30" w:name="_6ocbtv2ptuo1" w:colFirst="0" w:colLast="0"/>
      <w:bookmarkEnd w:id="30"/>
      <w:r>
        <w:t>6.7 Action Plan</w:t>
      </w:r>
    </w:p>
    <w:p w:rsidR="008E202D" w:rsidRDefault="0005760C">
      <w:r>
        <w:t xml:space="preserve">I will start the research process earlier to enable more time to go through academic literature and review and analyse intricate information in the industry. The preliminary planning will decrease the level of time pressure and enhance the quality of the analysis. Second, I will enhance my critical evaluation abilities, as I will be more active in reading learned journal articles and theoretical frameworks. </w:t>
      </w:r>
    </w:p>
    <w:p w:rsidR="008E202D" w:rsidRDefault="0005760C">
      <w:r>
        <w:t xml:space="preserve">This will make me create better arguments that are backed by academic evidence. Third, I will enhance my learned strategies by addressing a more effective structure, </w:t>
      </w:r>
      <w:r>
        <w:lastRenderedPageBreak/>
        <w:t>a more effective interconnection between the theory and practise, and more accurate referencing methods. The wider spectrum of learned materials I will use will also increase the validity of my analysis. Finally, I will keep improving my knowledge on international business strategies because it is important in the analysis of the world operations of global companies.</w:t>
      </w:r>
    </w:p>
    <w:p w:rsidR="008E202D" w:rsidRDefault="008E202D"/>
    <w:p w:rsidR="008E202D" w:rsidRDefault="0005760C">
      <w:pPr>
        <w:jc w:val="left"/>
        <w:rPr>
          <w:b/>
          <w:bCs/>
        </w:rPr>
      </w:pPr>
      <w:r>
        <w:br w:type="page"/>
      </w:r>
    </w:p>
    <w:p w:rsidR="008E202D" w:rsidRDefault="0005760C">
      <w:pPr>
        <w:pStyle w:val="Heading1"/>
      </w:pPr>
      <w:bookmarkStart w:id="31" w:name="_n8ot42ucudib" w:colFirst="0" w:colLast="0"/>
      <w:bookmarkEnd w:id="31"/>
      <w:r>
        <w:lastRenderedPageBreak/>
        <w:t>References</w:t>
      </w:r>
    </w:p>
    <w:p w:rsidR="008E202D" w:rsidRDefault="0005760C">
      <w:pPr>
        <w:spacing w:before="280" w:after="280"/>
        <w:rPr>
          <w:color w:val="000000"/>
        </w:rPr>
      </w:pPr>
      <w:r>
        <w:rPr>
          <w:color w:val="000000"/>
        </w:rPr>
        <w:t>Bevere, D. and Faccilongo, N. (2024) Shaping the future of healthcare: integrating ecology and digital innovation. </w:t>
      </w:r>
      <w:r>
        <w:rPr>
          <w:i/>
          <w:iCs/>
          <w:color w:val="000000"/>
        </w:rPr>
        <w:t>Sustainability</w:t>
      </w:r>
      <w:r>
        <w:rPr>
          <w:color w:val="000000"/>
        </w:rPr>
        <w:t>, </w:t>
      </w:r>
      <w:r>
        <w:rPr>
          <w:i/>
          <w:iCs/>
          <w:color w:val="000000"/>
        </w:rPr>
        <w:t>16</w:t>
      </w:r>
      <w:r>
        <w:rPr>
          <w:color w:val="000000"/>
        </w:rPr>
        <w:t>(9), p.3835.</w:t>
      </w:r>
    </w:p>
    <w:p w:rsidR="008E202D" w:rsidRDefault="0005760C">
      <w:pPr>
        <w:spacing w:before="280" w:after="280"/>
        <w:rPr>
          <w:color w:val="000000"/>
        </w:rPr>
      </w:pPr>
      <w:r>
        <w:rPr>
          <w:color w:val="000000"/>
        </w:rPr>
        <w:t xml:space="preserve">Biospace (2024) U.S. Pharmaceutical Market Size to Reach USD 1,093.79 Billion By 2033. [Online]. Available at: </w:t>
      </w:r>
      <w:hyperlink r:id="rId15">
        <w:r>
          <w:rPr>
            <w:color w:val="0563C1"/>
            <w:u w:val="single"/>
          </w:rPr>
          <w:t>https://www.biospace.com/u-s-pharmaceutical-market-size-to-reach-usd-1-093-79-billion-by-2033</w:t>
        </w:r>
      </w:hyperlink>
      <w:r>
        <w:rPr>
          <w:color w:val="000000"/>
        </w:rPr>
        <w:t xml:space="preserve"> [Accessed on: 7</w:t>
      </w:r>
      <w:r>
        <w:rPr>
          <w:color w:val="000000"/>
          <w:vertAlign w:val="superscript"/>
        </w:rPr>
        <w:t>th</w:t>
      </w:r>
      <w:r>
        <w:rPr>
          <w:color w:val="000000"/>
        </w:rPr>
        <w:t xml:space="preserve"> March 2026].</w:t>
      </w:r>
    </w:p>
    <w:p w:rsidR="008E202D" w:rsidRDefault="0005760C">
      <w:r>
        <w:rPr>
          <w:color w:val="000000"/>
        </w:rPr>
        <w:t>‌Bob, H. (2020) </w:t>
      </w:r>
      <w:r>
        <w:rPr>
          <w:i/>
          <w:iCs/>
          <w:color w:val="000000"/>
        </w:rPr>
        <w:t>Gibbs Reflective Cycle Explained: Guide for Nursing Students</w:t>
      </w:r>
      <w:r>
        <w:rPr>
          <w:color w:val="000000"/>
        </w:rPr>
        <w:t xml:space="preserve">. [Online] Blog - Nursing Assignment Writers UK. Available at: </w:t>
      </w:r>
      <w:hyperlink r:id="rId16">
        <w:r>
          <w:rPr>
            <w:color w:val="0563C1"/>
            <w:u w:val="single"/>
          </w:rPr>
          <w:t>https://nursingassignmentwriters.co.uk/blog/what-is-gibbs-reflective-cycle/</w:t>
        </w:r>
      </w:hyperlink>
      <w:r>
        <w:rPr>
          <w:color w:val="000000"/>
        </w:rPr>
        <w:t xml:space="preserve">  </w:t>
      </w:r>
      <w:r>
        <w:t>[Accessed on: 7</w:t>
      </w:r>
      <w:r>
        <w:rPr>
          <w:vertAlign w:val="superscript"/>
        </w:rPr>
        <w:t>th</w:t>
      </w:r>
      <w:r>
        <w:t xml:space="preserve"> March, 2026]. </w:t>
      </w:r>
    </w:p>
    <w:p w:rsidR="008E202D" w:rsidRDefault="0005760C">
      <w:pPr>
        <w:spacing w:before="280" w:after="280"/>
        <w:rPr>
          <w:color w:val="000000"/>
        </w:rPr>
      </w:pPr>
      <w:r>
        <w:rPr>
          <w:color w:val="000000"/>
        </w:rPr>
        <w:t>Boriani, G., Vitolo, M., Svennberg, E., Casado-Arroyo, R., Merino, J.L. and Leclercq, C. (2022) Performance-based risk-sharing arrangements for devices and procedures in cardiac electrophysiology: an innovative perspective. </w:t>
      </w:r>
      <w:r>
        <w:rPr>
          <w:i/>
          <w:iCs/>
          <w:color w:val="000000"/>
        </w:rPr>
        <w:t>Europace</w:t>
      </w:r>
      <w:r>
        <w:rPr>
          <w:color w:val="000000"/>
        </w:rPr>
        <w:t>, </w:t>
      </w:r>
      <w:r>
        <w:rPr>
          <w:i/>
          <w:iCs/>
          <w:color w:val="000000"/>
        </w:rPr>
        <w:t>24</w:t>
      </w:r>
      <w:r>
        <w:rPr>
          <w:color w:val="000000"/>
        </w:rPr>
        <w:t>(10), pp.1541-1547.</w:t>
      </w:r>
    </w:p>
    <w:p w:rsidR="008E202D" w:rsidRDefault="0005760C">
      <w:r>
        <w:t xml:space="preserve">‌Chettiar, A. (2023) Sun Pharma Share Price: All You Need to Know. [Online] </w:t>
      </w:r>
      <w:r>
        <w:rPr>
          <w:i/>
          <w:iCs/>
        </w:rPr>
        <w:t>Equentis Wealth Advisory.</w:t>
      </w:r>
      <w:r>
        <w:t xml:space="preserve"> Available at: </w:t>
      </w:r>
      <w:hyperlink r:id="rId17">
        <w:r>
          <w:rPr>
            <w:color w:val="0563C1"/>
            <w:u w:val="single"/>
          </w:rPr>
          <w:t>https://www.equentis.com/blog/sun-pharma-share-fundamentals/</w:t>
        </w:r>
      </w:hyperlink>
      <w:r>
        <w:t xml:space="preserve">  [Accessed on: 7</w:t>
      </w:r>
      <w:r>
        <w:rPr>
          <w:vertAlign w:val="superscript"/>
        </w:rPr>
        <w:t>th</w:t>
      </w:r>
      <w:r>
        <w:t xml:space="preserve"> March, 2026].</w:t>
      </w:r>
    </w:p>
    <w:p w:rsidR="008E202D" w:rsidRDefault="0005760C">
      <w:r>
        <w:t>Chi, C., Liang, L.L., Lee, J.L., Núñez, A. and Tuepker, A. (2024) Healthcare for all—A critical review of Taiwan's national health insurance system through a social institution lens. </w:t>
      </w:r>
      <w:r>
        <w:rPr>
          <w:i/>
          <w:iCs/>
        </w:rPr>
        <w:t>Journal of the Formosan Medical Association</w:t>
      </w:r>
      <w:r>
        <w:t>, </w:t>
      </w:r>
      <w:r>
        <w:rPr>
          <w:i/>
          <w:iCs/>
        </w:rPr>
        <w:t>123</w:t>
      </w:r>
      <w:r>
        <w:t>, pp. 228-S233.</w:t>
      </w:r>
    </w:p>
    <w:p w:rsidR="008E202D" w:rsidRDefault="0005760C">
      <w:pPr>
        <w:spacing w:before="280" w:after="280"/>
        <w:rPr>
          <w:color w:val="000000"/>
        </w:rPr>
      </w:pPr>
      <w:r>
        <w:rPr>
          <w:color w:val="000000"/>
        </w:rPr>
        <w:t xml:space="preserve">Denis, G. (2026) Porter Diamond Model. [Online]. Available at: </w:t>
      </w:r>
      <w:hyperlink r:id="rId18">
        <w:r>
          <w:rPr>
            <w:color w:val="0563C1"/>
            <w:u w:val="single"/>
          </w:rPr>
          <w:t>https://expertprogrammanagement.com/2018/04/porter-diamond-model/</w:t>
        </w:r>
      </w:hyperlink>
      <w:r>
        <w:rPr>
          <w:color w:val="000000"/>
        </w:rPr>
        <w:t xml:space="preserve"> [Accessed on: 7</w:t>
      </w:r>
      <w:r>
        <w:rPr>
          <w:color w:val="000000"/>
          <w:vertAlign w:val="superscript"/>
        </w:rPr>
        <w:t>th</w:t>
      </w:r>
      <w:r>
        <w:rPr>
          <w:color w:val="000000"/>
        </w:rPr>
        <w:t xml:space="preserve"> March 2026].</w:t>
      </w:r>
    </w:p>
    <w:p w:rsidR="008E202D" w:rsidRDefault="0005760C">
      <w:pPr>
        <w:spacing w:before="280" w:after="280"/>
        <w:rPr>
          <w:color w:val="000000"/>
        </w:rPr>
      </w:pPr>
      <w:r>
        <w:rPr>
          <w:color w:val="000000"/>
        </w:rPr>
        <w:t>‌Emmanuel, A.A., Awokola, J.A., Alam, S., Bharany, S., Agboola, P., Shuaib, M. and Ahmed, R. (2023) A hybrid framework of blockchain and IoT technology in the pharmaceutical industry: A comprehensive study. </w:t>
      </w:r>
      <w:r>
        <w:rPr>
          <w:i/>
          <w:iCs/>
          <w:color w:val="000000"/>
        </w:rPr>
        <w:t>Mobile Information Systems</w:t>
      </w:r>
      <w:r>
        <w:rPr>
          <w:color w:val="000000"/>
        </w:rPr>
        <w:t>, </w:t>
      </w:r>
      <w:r>
        <w:rPr>
          <w:i/>
          <w:iCs/>
          <w:color w:val="000000"/>
        </w:rPr>
        <w:t>2023</w:t>
      </w:r>
      <w:r>
        <w:rPr>
          <w:color w:val="000000"/>
        </w:rPr>
        <w:t>(1), p.3265310.</w:t>
      </w:r>
    </w:p>
    <w:p w:rsidR="008E202D" w:rsidRDefault="0005760C">
      <w:pPr>
        <w:rPr>
          <w:color w:val="000000"/>
        </w:rPr>
      </w:pPr>
      <w:r>
        <w:rPr>
          <w:color w:val="000000"/>
        </w:rPr>
        <w:lastRenderedPageBreak/>
        <w:t>FDA. (2025) </w:t>
      </w:r>
      <w:r>
        <w:rPr>
          <w:i/>
          <w:iCs/>
          <w:color w:val="000000"/>
        </w:rPr>
        <w:t>Abbreviated New Drug Application (ANDA): Generics</w:t>
      </w:r>
      <w:r>
        <w:rPr>
          <w:color w:val="000000"/>
        </w:rPr>
        <w:t xml:space="preserve">. [Online] U.S. Food and Drug Administration. Available at: </w:t>
      </w:r>
      <w:hyperlink r:id="rId19">
        <w:r>
          <w:rPr>
            <w:color w:val="0563C1"/>
            <w:u w:val="single"/>
          </w:rPr>
          <w:t>https://www.fda.gov/drugs/types-applications/abbreviated-new-drug-application-anda</w:t>
        </w:r>
      </w:hyperlink>
      <w:r>
        <w:rPr>
          <w:color w:val="000000"/>
        </w:rPr>
        <w:t xml:space="preserve">  </w:t>
      </w:r>
      <w:r>
        <w:t>[Accessed on: 7</w:t>
      </w:r>
      <w:r>
        <w:rPr>
          <w:vertAlign w:val="superscript"/>
        </w:rPr>
        <w:t>th</w:t>
      </w:r>
      <w:r>
        <w:t xml:space="preserve"> March, 2026].</w:t>
      </w:r>
    </w:p>
    <w:p w:rsidR="008E202D" w:rsidRDefault="0005760C">
      <w:pPr>
        <w:rPr>
          <w:color w:val="000000"/>
        </w:rPr>
      </w:pPr>
      <w:r>
        <w:rPr>
          <w:color w:val="000000"/>
        </w:rPr>
        <w:t>FDA. (2025) </w:t>
      </w:r>
      <w:r>
        <w:rPr>
          <w:i/>
          <w:iCs/>
          <w:color w:val="000000"/>
        </w:rPr>
        <w:t>Drug Development &amp; Approval Process</w:t>
      </w:r>
      <w:r>
        <w:rPr>
          <w:color w:val="000000"/>
        </w:rPr>
        <w:t xml:space="preserve">. [Online] U.S. Food and Drug Administration. Available at: </w:t>
      </w:r>
      <w:hyperlink r:id="rId20" w:anchor=":~:text=What%20it%20means-,Developing%20New%20Drugs,%2C%20safety%2C%20and%20effectiveness%20standards">
        <w:r>
          <w:rPr>
            <w:color w:val="0563C1"/>
            <w:u w:val="single"/>
          </w:rPr>
          <w:t>https://www.fda.gov/drugs/development-approval-process-drugs#:~:text=What%20it%20means-,Developing%20New%20Drugs,%2C%20safety%2C%20and%20effectiveness%20standards</w:t>
        </w:r>
      </w:hyperlink>
      <w:r>
        <w:rPr>
          <w:color w:val="000000"/>
        </w:rPr>
        <w:t xml:space="preserve">.  </w:t>
      </w:r>
      <w:r>
        <w:t>[Accessed on: 7</w:t>
      </w:r>
      <w:r>
        <w:rPr>
          <w:vertAlign w:val="superscript"/>
        </w:rPr>
        <w:t>th</w:t>
      </w:r>
      <w:r>
        <w:t xml:space="preserve"> March, 2026].</w:t>
      </w:r>
    </w:p>
    <w:p w:rsidR="008E202D" w:rsidRDefault="0005760C">
      <w:r>
        <w:rPr>
          <w:color w:val="000000"/>
        </w:rPr>
        <w:t>FDA. (2025) </w:t>
      </w:r>
      <w:r>
        <w:rPr>
          <w:i/>
          <w:iCs/>
          <w:color w:val="000000"/>
        </w:rPr>
        <w:t>Facts About the Current Good Manufacturing Practices (CGMP)</w:t>
      </w:r>
      <w:r>
        <w:rPr>
          <w:color w:val="000000"/>
        </w:rPr>
        <w:t xml:space="preserve">. [online] U.S. Food and Drug Administration. Available at: </w:t>
      </w:r>
      <w:hyperlink r:id="rId21" w:anchor=":~:text=CGMP%20refers%20to%20the%20Current,processing%20methods%2C%20and%20testing%20procedures">
        <w:r>
          <w:rPr>
            <w:color w:val="0563C1"/>
            <w:u w:val="single"/>
          </w:rPr>
          <w:t>https://www.fda.gov/drugs/pharmaceutical-quality-resources/facts-about-current-good-manufacturing-practice-cgmp#:~:text=CGMP%20refers%20to%20the%20Current,processing%20methods%2C%20and%20testing%20procedures</w:t>
        </w:r>
      </w:hyperlink>
      <w:r>
        <w:rPr>
          <w:color w:val="000000"/>
        </w:rPr>
        <w:t xml:space="preserve">.  </w:t>
      </w:r>
      <w:r>
        <w:t>[Accessed on: 7</w:t>
      </w:r>
      <w:r>
        <w:rPr>
          <w:vertAlign w:val="superscript"/>
        </w:rPr>
        <w:t>th</w:t>
      </w:r>
      <w:r>
        <w:t xml:space="preserve"> March, 2026]. </w:t>
      </w:r>
    </w:p>
    <w:p w:rsidR="008E202D" w:rsidRDefault="0005760C">
      <w:r>
        <w:t>Haider, R.H.R. (2023) Pharmaceutical Market: An Overview. </w:t>
      </w:r>
      <w:r>
        <w:rPr>
          <w:i/>
          <w:iCs/>
        </w:rPr>
        <w:t>IJIS</w:t>
      </w:r>
      <w:r>
        <w:t>, </w:t>
      </w:r>
      <w:r>
        <w:rPr>
          <w:i/>
          <w:iCs/>
        </w:rPr>
        <w:t>2</w:t>
      </w:r>
      <w:r>
        <w:t>, pp.2087-2104.</w:t>
      </w:r>
    </w:p>
    <w:p w:rsidR="008E202D" w:rsidRDefault="0005760C">
      <w:r>
        <w:t>‌Hamdouna, M. and Khmelyarchuk, M. (2025) Technological Innovations Shaping Sustainable Competitiveness—A Systematic Review. </w:t>
      </w:r>
      <w:r>
        <w:rPr>
          <w:i/>
          <w:iCs/>
        </w:rPr>
        <w:t>Sustainability</w:t>
      </w:r>
      <w:r>
        <w:t xml:space="preserve">, 17(5), pp. 1953. </w:t>
      </w:r>
    </w:p>
    <w:p w:rsidR="008E202D" w:rsidRDefault="0005760C">
      <w:r>
        <w:t xml:space="preserve">House, S. (2024) </w:t>
      </w:r>
      <w:r>
        <w:rPr>
          <w:i/>
          <w:iCs/>
        </w:rPr>
        <w:t>Sun Pharmaceutical Industries Limited. Sun Pharma reports Q4 and full-year results for FY24</w:t>
      </w:r>
      <w:r>
        <w:t xml:space="preserve">. [online] Available at: </w:t>
      </w:r>
      <w:hyperlink r:id="rId22">
        <w:r>
          <w:rPr>
            <w:color w:val="0563C1"/>
            <w:u w:val="single"/>
          </w:rPr>
          <w:t>https://sunpharma.com/wp-content/uploads/2024/05/Press-Release-Sun-Pharma-Q4FY24-Financial-Result.pdf</w:t>
        </w:r>
      </w:hyperlink>
      <w:r>
        <w:t>. [Accessed on: 7</w:t>
      </w:r>
      <w:r>
        <w:rPr>
          <w:vertAlign w:val="superscript"/>
        </w:rPr>
        <w:t>th</w:t>
      </w:r>
      <w:r>
        <w:t xml:space="preserve"> March, 2026].  </w:t>
      </w:r>
    </w:p>
    <w:p w:rsidR="008E202D" w:rsidRDefault="0005760C">
      <w:pPr>
        <w:rPr>
          <w:color w:val="000000"/>
        </w:rPr>
      </w:pPr>
      <w:r>
        <w:rPr>
          <w:color w:val="000000"/>
        </w:rPr>
        <w:t>‌ICICI. (2025) </w:t>
      </w:r>
      <w:r>
        <w:rPr>
          <w:i/>
          <w:iCs/>
          <w:color w:val="000000"/>
        </w:rPr>
        <w:t>How Dollar-Rupee Exchange Rates Impact Indian Share Markets?</w:t>
      </w:r>
      <w:r>
        <w:rPr>
          <w:color w:val="000000"/>
        </w:rPr>
        <w:t xml:space="preserve"> [online] ICICI Direct. Available at: </w:t>
      </w:r>
      <w:hyperlink r:id="rId23" w:anchor=":~:text=The%20dollar%E2%80%93rupee%20exchange%20rate%20plays%20an%20important%20role%20in,while%20putting%20pressure%20on%20exporters">
        <w:r>
          <w:rPr>
            <w:color w:val="0563C1"/>
            <w:u w:val="single"/>
          </w:rPr>
          <w:t>https://www.icicidirect.com/research/equity/finace/impact-of-usd-inr-exchange-rates-on-indian-markets#:~:text=The%20dollar%E2%80%93rupee%20exchange%20rate%20plays%20an%20important%20role%20in,while%20putting%20pressure%20on%20exporters</w:t>
        </w:r>
      </w:hyperlink>
      <w:r>
        <w:rPr>
          <w:color w:val="000000"/>
        </w:rPr>
        <w:t xml:space="preserve">  </w:t>
      </w:r>
      <w:r>
        <w:t>[Accessed on: 7</w:t>
      </w:r>
      <w:r>
        <w:rPr>
          <w:vertAlign w:val="superscript"/>
        </w:rPr>
        <w:t>th</w:t>
      </w:r>
      <w:r>
        <w:t xml:space="preserve"> March, 2026].</w:t>
      </w:r>
    </w:p>
    <w:p w:rsidR="008E202D" w:rsidRDefault="0005760C">
      <w:r>
        <w:t>Jain, A. (2019) </w:t>
      </w:r>
      <w:r>
        <w:rPr>
          <w:i/>
          <w:iCs/>
        </w:rPr>
        <w:t>Ranbaxy becomes Sun Pharma’s albatross | M&amp;A Critique</w:t>
      </w:r>
      <w:r>
        <w:t xml:space="preserve">. [Online] M&amp;A Critique | THE WHYS AND THE HOWS. Available at: </w:t>
      </w:r>
      <w:hyperlink r:id="rId24">
        <w:r>
          <w:rPr>
            <w:color w:val="0563C1"/>
            <w:u w:val="single"/>
          </w:rPr>
          <w:t>https://mnacritique.mergersindia.com/ranbaxy-sun-pharma-acquisition-deal-impact/</w:t>
        </w:r>
      </w:hyperlink>
      <w:r>
        <w:t xml:space="preserve"> [Accessed on: 7</w:t>
      </w:r>
      <w:r>
        <w:rPr>
          <w:vertAlign w:val="superscript"/>
        </w:rPr>
        <w:t>th</w:t>
      </w:r>
      <w:r>
        <w:t xml:space="preserve"> March, 2026].</w:t>
      </w:r>
    </w:p>
    <w:p w:rsidR="008E202D" w:rsidRDefault="0005760C">
      <w:pPr>
        <w:spacing w:before="280" w:after="280"/>
        <w:rPr>
          <w:color w:val="000000"/>
        </w:rPr>
      </w:pPr>
      <w:r>
        <w:rPr>
          <w:color w:val="000000"/>
        </w:rPr>
        <w:t>Kalejaiye, P.O. (2023) Addressing shortage of skilled technical workers in the USA: A glimpse for training service providers. </w:t>
      </w:r>
      <w:r>
        <w:rPr>
          <w:i/>
          <w:iCs/>
          <w:color w:val="000000"/>
        </w:rPr>
        <w:t>Future Business Journal</w:t>
      </w:r>
      <w:r>
        <w:rPr>
          <w:color w:val="000000"/>
        </w:rPr>
        <w:t>, </w:t>
      </w:r>
      <w:r>
        <w:rPr>
          <w:i/>
          <w:iCs/>
          <w:color w:val="000000"/>
        </w:rPr>
        <w:t>9</w:t>
      </w:r>
      <w:r>
        <w:rPr>
          <w:color w:val="000000"/>
        </w:rPr>
        <w:t>(1), p.50.</w:t>
      </w:r>
    </w:p>
    <w:p w:rsidR="008E202D" w:rsidRDefault="0005760C">
      <w:pPr>
        <w:spacing w:before="280" w:after="280"/>
        <w:rPr>
          <w:color w:val="000000"/>
        </w:rPr>
      </w:pPr>
      <w:r>
        <w:rPr>
          <w:color w:val="000000"/>
        </w:rPr>
        <w:t>Kandi, V. and Vadakedath, S. (2023) Clinical trials and clinical research: a comprehensive review. </w:t>
      </w:r>
      <w:r>
        <w:rPr>
          <w:i/>
          <w:iCs/>
          <w:color w:val="000000"/>
        </w:rPr>
        <w:t>Cureus</w:t>
      </w:r>
      <w:r>
        <w:rPr>
          <w:color w:val="000000"/>
        </w:rPr>
        <w:t>, </w:t>
      </w:r>
      <w:r>
        <w:rPr>
          <w:i/>
          <w:iCs/>
          <w:color w:val="000000"/>
        </w:rPr>
        <w:t>15</w:t>
      </w:r>
      <w:r>
        <w:rPr>
          <w:color w:val="000000"/>
        </w:rPr>
        <w:t>(2), p.e35077.</w:t>
      </w:r>
    </w:p>
    <w:p w:rsidR="008E202D" w:rsidRDefault="0005760C">
      <w:pPr>
        <w:spacing w:before="280" w:after="280"/>
        <w:rPr>
          <w:color w:val="000000"/>
        </w:rPr>
      </w:pPr>
      <w:r>
        <w:rPr>
          <w:color w:val="000000"/>
        </w:rPr>
        <w:t>Khatoon, U.T. and Velidandi, A. (2025) An overview on the role of government initiatives in nanotechnology innovation for sustainable economic development and research progress. </w:t>
      </w:r>
      <w:r>
        <w:rPr>
          <w:i/>
          <w:iCs/>
          <w:color w:val="000000"/>
        </w:rPr>
        <w:t>Sustainability</w:t>
      </w:r>
      <w:r>
        <w:rPr>
          <w:color w:val="000000"/>
        </w:rPr>
        <w:t>, </w:t>
      </w:r>
      <w:r>
        <w:rPr>
          <w:i/>
          <w:iCs/>
          <w:color w:val="000000"/>
        </w:rPr>
        <w:t>17</w:t>
      </w:r>
      <w:r>
        <w:rPr>
          <w:color w:val="000000"/>
        </w:rPr>
        <w:t>(3), p.1250.</w:t>
      </w:r>
    </w:p>
    <w:p w:rsidR="008E202D" w:rsidRDefault="0005760C">
      <w:r>
        <w:t>‌Kim, Y., Atukeren, E. and Lee, Y. (2022) A New Digital Value Chain Model with PLC in the Biopharmaceutical Industry: The Implication for Open Innovation. </w:t>
      </w:r>
      <w:r>
        <w:rPr>
          <w:i/>
          <w:iCs/>
        </w:rPr>
        <w:t>Journal of Open Innovation: Technology, Market, and Complexity</w:t>
      </w:r>
      <w:r>
        <w:t xml:space="preserve">, 8(2), pp. 63. </w:t>
      </w:r>
    </w:p>
    <w:p w:rsidR="008E202D" w:rsidRDefault="0005760C">
      <w:pPr>
        <w:rPr>
          <w:color w:val="000000"/>
        </w:rPr>
      </w:pPr>
      <w:r>
        <w:rPr>
          <w:color w:val="000000"/>
        </w:rPr>
        <w:t>‌Kovács, B., Darida, M. and Simon, J. (2021) Drugs Becoming Generics—The Impact of Genericization on the Market Performance of Antihypertensive Active Pharmaceutical Ingredients. </w:t>
      </w:r>
      <w:r>
        <w:rPr>
          <w:i/>
          <w:iCs/>
          <w:color w:val="000000"/>
        </w:rPr>
        <w:t>International Journal of Environmental Research and Public Health</w:t>
      </w:r>
      <w:r>
        <w:rPr>
          <w:color w:val="000000"/>
        </w:rPr>
        <w:t xml:space="preserve">, 18(18), pp. 9429. </w:t>
      </w:r>
    </w:p>
    <w:p w:rsidR="008E202D" w:rsidRDefault="0005760C">
      <w:pPr>
        <w:rPr>
          <w:color w:val="000000"/>
        </w:rPr>
      </w:pPr>
      <w:r>
        <w:rPr>
          <w:color w:val="000000"/>
        </w:rPr>
        <w:t>‌Laurent, A. (2025) </w:t>
      </w:r>
      <w:r>
        <w:rPr>
          <w:i/>
          <w:iCs/>
          <w:color w:val="000000"/>
        </w:rPr>
        <w:t>Global Pharmaceutical Market: 2025 Analysis &amp; Key Trends</w:t>
      </w:r>
      <w:r>
        <w:rPr>
          <w:color w:val="000000"/>
        </w:rPr>
        <w:t xml:space="preserve">. [Online] Intuition Labs. Available at: </w:t>
      </w:r>
      <w:hyperlink r:id="rId25">
        <w:r>
          <w:rPr>
            <w:color w:val="0563C1"/>
            <w:u w:val="single"/>
          </w:rPr>
          <w:t>https://intuitionlabs.ai/articles/pharmaceutical-market-analysis-trends</w:t>
        </w:r>
      </w:hyperlink>
      <w:r>
        <w:rPr>
          <w:color w:val="000000"/>
        </w:rPr>
        <w:t xml:space="preserve">  </w:t>
      </w:r>
      <w:r>
        <w:t>[Accessed on: 7</w:t>
      </w:r>
      <w:r>
        <w:rPr>
          <w:vertAlign w:val="superscript"/>
        </w:rPr>
        <w:t>th</w:t>
      </w:r>
      <w:r>
        <w:t xml:space="preserve"> March, 2026].</w:t>
      </w:r>
    </w:p>
    <w:p w:rsidR="008E202D" w:rsidRDefault="0005760C">
      <w:pPr>
        <w:spacing w:before="280" w:after="280"/>
        <w:rPr>
          <w:color w:val="000000"/>
        </w:rPr>
      </w:pPr>
      <w:r>
        <w:rPr>
          <w:color w:val="000000"/>
        </w:rPr>
        <w:t>Lehene, C. F., Jaradat, M., &amp;amp; Nistor, R. L. (2024) An interdisciplinary and multilevel analysis of local economy determinants and their impact on Firm Performance Considering Porter’s Diamond model, clusters, and industry. Systems, 12(3), 82.</w:t>
      </w:r>
    </w:p>
    <w:p w:rsidR="008E202D" w:rsidRDefault="0005760C">
      <w:r>
        <w:t>Leo, M.D. (2024) </w:t>
      </w:r>
      <w:r>
        <w:rPr>
          <w:i/>
          <w:iCs/>
        </w:rPr>
        <w:t>PESTLE Analysis</w:t>
      </w:r>
      <w:r>
        <w:t xml:space="preserve">. [Online] Management and Strategy Institute. Available at: </w:t>
      </w:r>
      <w:hyperlink r:id="rId26">
        <w:r>
          <w:rPr>
            <w:color w:val="0563C1"/>
            <w:u w:val="single"/>
          </w:rPr>
          <w:t>https://www.msicertified.com/blog/pestle-analysis/</w:t>
        </w:r>
      </w:hyperlink>
      <w:r>
        <w:t xml:space="preserve">  [Accessed on: 7</w:t>
      </w:r>
      <w:r>
        <w:rPr>
          <w:vertAlign w:val="superscript"/>
        </w:rPr>
        <w:t>th</w:t>
      </w:r>
      <w:r>
        <w:t xml:space="preserve"> March, 2026].</w:t>
      </w:r>
    </w:p>
    <w:p w:rsidR="008E202D" w:rsidRDefault="0005760C">
      <w:pPr>
        <w:rPr>
          <w:color w:val="000000"/>
        </w:rPr>
      </w:pPr>
      <w:r>
        <w:rPr>
          <w:color w:val="000000"/>
        </w:rPr>
        <w:lastRenderedPageBreak/>
        <w:t>Lieneck, C., McLauchlan, M., Adachi, V. and Billings, R. (2023) Stakeholder Perspectives of the Inflation Reduction Act’s (2022) Impact on Prescription Drugs: A Narrative Review. </w:t>
      </w:r>
      <w:r>
        <w:rPr>
          <w:i/>
          <w:iCs/>
          <w:color w:val="000000"/>
        </w:rPr>
        <w:t>Pharmacy</w:t>
      </w:r>
      <w:r>
        <w:rPr>
          <w:color w:val="000000"/>
        </w:rPr>
        <w:t xml:space="preserve">, 11(6), pp. 187. </w:t>
      </w:r>
    </w:p>
    <w:p w:rsidR="008E202D" w:rsidRDefault="0005760C">
      <w:pPr>
        <w:rPr>
          <w:color w:val="000000"/>
        </w:rPr>
      </w:pPr>
      <w:r>
        <w:rPr>
          <w:color w:val="000000"/>
        </w:rPr>
        <w:t>Liu, J., Farrow, M., Seymour, L., Desai, J., Loong, H.H., Ivy, P., Koyoma, T., Cook, N., Blagden, S., Garralda, E. and Massard, C. (2025) Accelerating the future of oncology drug development: The role of consortia in the delivery of precision oncology early phase clinical trials. </w:t>
      </w:r>
      <w:r>
        <w:rPr>
          <w:i/>
          <w:iCs/>
          <w:color w:val="000000"/>
        </w:rPr>
        <w:t>Journal of Clinical Oncology</w:t>
      </w:r>
      <w:r>
        <w:rPr>
          <w:color w:val="000000"/>
        </w:rPr>
        <w:t>, </w:t>
      </w:r>
      <w:r>
        <w:rPr>
          <w:i/>
          <w:iCs/>
          <w:color w:val="000000"/>
        </w:rPr>
        <w:t>43</w:t>
      </w:r>
      <w:r>
        <w:rPr>
          <w:color w:val="000000"/>
        </w:rPr>
        <w:t>(6), pp.735-747.</w:t>
      </w:r>
    </w:p>
    <w:p w:rsidR="008E202D" w:rsidRDefault="0005760C">
      <w:r>
        <w:rPr>
          <w:color w:val="000000"/>
        </w:rPr>
        <w:t>‌Miller, S. (2020) Generic Drugs: A Treatment for High-Cost Health Care. </w:t>
      </w:r>
      <w:r>
        <w:rPr>
          <w:i/>
          <w:iCs/>
          <w:color w:val="000000"/>
        </w:rPr>
        <w:t>Missouri Medicine</w:t>
      </w:r>
      <w:r>
        <w:rPr>
          <w:color w:val="000000"/>
        </w:rPr>
        <w:t xml:space="preserve">, [online] 117(1), pp. 12. Available at: </w:t>
      </w:r>
      <w:hyperlink r:id="rId27">
        <w:r>
          <w:rPr>
            <w:color w:val="0563C1"/>
            <w:u w:val="single"/>
          </w:rPr>
          <w:t>https://pmc.ncbi.nlm.nih.gov/articles/PMC7023936/</w:t>
        </w:r>
      </w:hyperlink>
      <w:r>
        <w:rPr>
          <w:color w:val="000000"/>
        </w:rPr>
        <w:t xml:space="preserve">  </w:t>
      </w:r>
      <w:r>
        <w:t>[Accessed on: 7</w:t>
      </w:r>
      <w:r>
        <w:rPr>
          <w:vertAlign w:val="superscript"/>
        </w:rPr>
        <w:t>th</w:t>
      </w:r>
      <w:r>
        <w:t xml:space="preserve"> March, 2026].</w:t>
      </w:r>
    </w:p>
    <w:p w:rsidR="008E202D" w:rsidRDefault="0005760C">
      <w:pPr>
        <w:rPr>
          <w:color w:val="000000"/>
        </w:rPr>
      </w:pPr>
      <w:r>
        <w:rPr>
          <w:color w:val="000000"/>
        </w:rPr>
        <w:t>Poddar, A. and Rao, S.R. (2024) Evolving intellectual property landscape for AI-driven innovations in the biomedical sector: opportunities in stable IP regime for shared success. </w:t>
      </w:r>
      <w:r>
        <w:rPr>
          <w:i/>
          <w:iCs/>
          <w:color w:val="000000"/>
        </w:rPr>
        <w:t>Frontiers in Artificial Intelligence</w:t>
      </w:r>
      <w:r>
        <w:rPr>
          <w:color w:val="000000"/>
        </w:rPr>
        <w:t>, </w:t>
      </w:r>
      <w:r>
        <w:rPr>
          <w:i/>
          <w:iCs/>
          <w:color w:val="000000"/>
        </w:rPr>
        <w:t>7</w:t>
      </w:r>
      <w:r>
        <w:rPr>
          <w:color w:val="000000"/>
        </w:rPr>
        <w:t>, p.1372161.</w:t>
      </w:r>
    </w:p>
    <w:p w:rsidR="008E202D" w:rsidRDefault="0005760C">
      <w:pPr>
        <w:rPr>
          <w:color w:val="000000"/>
        </w:rPr>
      </w:pPr>
      <w:r>
        <w:rPr>
          <w:color w:val="000000"/>
        </w:rPr>
        <w:t>Rajesh, M.V. and Elumalai, K. (2025) The transformative power of artificial intelligence in pharmaceutical manufacturing: enhancing efficiency, product quality, and safety. </w:t>
      </w:r>
      <w:r>
        <w:rPr>
          <w:i/>
          <w:iCs/>
          <w:color w:val="000000"/>
        </w:rPr>
        <w:t>Journal of Holistic Integrative Pharmacy</w:t>
      </w:r>
      <w:r>
        <w:rPr>
          <w:color w:val="000000"/>
        </w:rPr>
        <w:t>, </w:t>
      </w:r>
      <w:r>
        <w:rPr>
          <w:i/>
          <w:iCs/>
          <w:color w:val="000000"/>
        </w:rPr>
        <w:t>6</w:t>
      </w:r>
      <w:r>
        <w:rPr>
          <w:color w:val="000000"/>
        </w:rPr>
        <w:t>(2), pp.125-135.</w:t>
      </w:r>
    </w:p>
    <w:p w:rsidR="008E202D" w:rsidRDefault="0005760C">
      <w:pPr>
        <w:spacing w:before="280" w:after="280"/>
        <w:rPr>
          <w:color w:val="000000"/>
        </w:rPr>
      </w:pPr>
      <w:r>
        <w:rPr>
          <w:color w:val="000000"/>
        </w:rPr>
        <w:t xml:space="preserve">Research and Markets (2026) U.S. Pharmaceutical Market, By Region, By Competition, Opportunities &amp; Forecast, 2020-2030F. [Online].Available at: </w:t>
      </w:r>
      <w:hyperlink r:id="rId28" w:anchor=":~:text=The%20growing%20focus%20on%20specialty,in%20the%20traditional%20drug%20segments">
        <w:r>
          <w:rPr>
            <w:color w:val="0563C1"/>
            <w:u w:val="single"/>
          </w:rPr>
          <w:t>https://www.researchandmarkets.com/report/united-states-pharmaceuticals-market#:~:text=The%20growing%20focus%20on%20specialty,in%20the%20traditional%20drug%20segments</w:t>
        </w:r>
      </w:hyperlink>
      <w:r>
        <w:rPr>
          <w:color w:val="000000"/>
        </w:rPr>
        <w:t>. [Accessed on: 7</w:t>
      </w:r>
      <w:r>
        <w:rPr>
          <w:color w:val="000000"/>
          <w:vertAlign w:val="superscript"/>
        </w:rPr>
        <w:t>th</w:t>
      </w:r>
      <w:r>
        <w:rPr>
          <w:color w:val="000000"/>
        </w:rPr>
        <w:t xml:space="preserve"> March 2026].</w:t>
      </w:r>
    </w:p>
    <w:p w:rsidR="008E202D" w:rsidRDefault="0005760C">
      <w:pPr>
        <w:spacing w:before="280" w:after="280"/>
        <w:rPr>
          <w:color w:val="000000"/>
        </w:rPr>
      </w:pPr>
      <w:r>
        <w:rPr>
          <w:color w:val="000000"/>
        </w:rPr>
        <w:t>Schuhmacher, A., Grinchenko, K., Gassmann, O., Hartl, D. and Hinder, M. (2025) A case study assessing the impact of M&amp;A and licensing on FDA drug approvals of leading pharmaceutical companies. </w:t>
      </w:r>
      <w:r>
        <w:rPr>
          <w:i/>
          <w:iCs/>
          <w:color w:val="000000"/>
        </w:rPr>
        <w:t>Drug Discovery Today</w:t>
      </w:r>
      <w:r>
        <w:rPr>
          <w:color w:val="000000"/>
        </w:rPr>
        <w:t>, </w:t>
      </w:r>
      <w:r>
        <w:rPr>
          <w:i/>
          <w:iCs/>
          <w:color w:val="000000"/>
        </w:rPr>
        <w:t>30</w:t>
      </w:r>
      <w:r>
        <w:rPr>
          <w:color w:val="000000"/>
        </w:rPr>
        <w:t>(3), p.104306.</w:t>
      </w:r>
    </w:p>
    <w:p w:rsidR="008E202D" w:rsidRDefault="0005760C">
      <w:pPr>
        <w:spacing w:before="280" w:after="280"/>
        <w:rPr>
          <w:color w:val="000000"/>
        </w:rPr>
      </w:pPr>
      <w:r>
        <w:rPr>
          <w:color w:val="000000"/>
        </w:rPr>
        <w:t>Sharma, D., Patel, P. and Shah, M. (2023) A comprehensive study on Industry 4.0 in the pharmaceutical industry for sustainable development. </w:t>
      </w:r>
      <w:r>
        <w:rPr>
          <w:i/>
          <w:iCs/>
          <w:color w:val="000000"/>
        </w:rPr>
        <w:t>Environmental Science and Pollution Research</w:t>
      </w:r>
      <w:r>
        <w:rPr>
          <w:color w:val="000000"/>
        </w:rPr>
        <w:t>, </w:t>
      </w:r>
      <w:r>
        <w:rPr>
          <w:i/>
          <w:iCs/>
          <w:color w:val="000000"/>
        </w:rPr>
        <w:t>30</w:t>
      </w:r>
      <w:r>
        <w:rPr>
          <w:color w:val="000000"/>
        </w:rPr>
        <w:t>(39), pp.90088-90098.</w:t>
      </w:r>
    </w:p>
    <w:p w:rsidR="008E202D" w:rsidRDefault="0005760C">
      <w:pPr>
        <w:spacing w:before="280" w:after="280"/>
        <w:rPr>
          <w:color w:val="000000"/>
        </w:rPr>
      </w:pPr>
      <w:r>
        <w:rPr>
          <w:color w:val="000000"/>
        </w:rPr>
        <w:t xml:space="preserve">Sun Pharma. (2026) Partner with us. [Online]. Available at: </w:t>
      </w:r>
      <w:hyperlink r:id="rId29">
        <w:r>
          <w:rPr>
            <w:color w:val="0563C1"/>
            <w:u w:val="single"/>
          </w:rPr>
          <w:t>https://sunpharma.com/business-development/</w:t>
        </w:r>
      </w:hyperlink>
      <w:r>
        <w:rPr>
          <w:color w:val="000000"/>
        </w:rPr>
        <w:t xml:space="preserve"> [Accessed on: 7</w:t>
      </w:r>
      <w:r>
        <w:rPr>
          <w:color w:val="000000"/>
          <w:vertAlign w:val="superscript"/>
        </w:rPr>
        <w:t>th</w:t>
      </w:r>
      <w:r>
        <w:rPr>
          <w:color w:val="000000"/>
        </w:rPr>
        <w:t xml:space="preserve"> march 2026].</w:t>
      </w:r>
    </w:p>
    <w:p w:rsidR="008E202D" w:rsidRDefault="0005760C">
      <w:r>
        <w:rPr>
          <w:color w:val="000000"/>
        </w:rPr>
        <w:lastRenderedPageBreak/>
        <w:t xml:space="preserve">Sun Pharma. (2025) </w:t>
      </w:r>
      <w:r>
        <w:rPr>
          <w:i/>
          <w:iCs/>
          <w:color w:val="000000"/>
        </w:rPr>
        <w:t>Our Product Portfolio | Sun Pharmaceutical Industries Limited</w:t>
      </w:r>
      <w:r>
        <w:rPr>
          <w:color w:val="000000"/>
        </w:rPr>
        <w:t xml:space="preserve">. [Online] Available at: </w:t>
      </w:r>
      <w:hyperlink r:id="rId30">
        <w:r>
          <w:rPr>
            <w:color w:val="0563C1"/>
            <w:u w:val="single"/>
          </w:rPr>
          <w:t>https://sunpharma.com/products/</w:t>
        </w:r>
      </w:hyperlink>
      <w:r>
        <w:rPr>
          <w:color w:val="000000"/>
        </w:rPr>
        <w:t xml:space="preserve">  </w:t>
      </w:r>
      <w:r>
        <w:t>[Accessed on: 7</w:t>
      </w:r>
      <w:r>
        <w:rPr>
          <w:vertAlign w:val="superscript"/>
        </w:rPr>
        <w:t>th</w:t>
      </w:r>
      <w:r>
        <w:t xml:space="preserve"> March, 2026]. </w:t>
      </w:r>
    </w:p>
    <w:p w:rsidR="008E202D" w:rsidRDefault="0005760C">
      <w:r>
        <w:t>‌Sun Pharma. (2025) </w:t>
      </w:r>
      <w:r>
        <w:rPr>
          <w:i/>
          <w:iCs/>
        </w:rPr>
        <w:t>About Us | Sun Pharmaceutical Industries Limited</w:t>
      </w:r>
      <w:r>
        <w:t xml:space="preserve">. [Online] Available at: </w:t>
      </w:r>
      <w:hyperlink r:id="rId31" w:anchor=":~:text=Sun%20Pharma%20is%20a%20leading,Across%20The%20Globe">
        <w:r>
          <w:rPr>
            <w:color w:val="0563C1"/>
            <w:u w:val="single"/>
          </w:rPr>
          <w:t>https://sunpharma.com/about-us/#:~:text=Sun%20Pharma%20is%20a%20leading,Across%20The%20Globe</w:t>
        </w:r>
      </w:hyperlink>
      <w:r>
        <w:t xml:space="preserve">  [Accessed on: 7</w:t>
      </w:r>
      <w:r>
        <w:rPr>
          <w:vertAlign w:val="superscript"/>
        </w:rPr>
        <w:t>th</w:t>
      </w:r>
      <w:r>
        <w:t xml:space="preserve"> March, 2026]. </w:t>
      </w:r>
    </w:p>
    <w:p w:rsidR="008E202D" w:rsidRDefault="0005760C">
      <w:r>
        <w:rPr>
          <w:color w:val="000000"/>
        </w:rPr>
        <w:t>Sun Pharma. (2025) </w:t>
      </w:r>
      <w:r>
        <w:rPr>
          <w:i/>
          <w:iCs/>
          <w:color w:val="000000"/>
        </w:rPr>
        <w:t>Careers | Work with Us - Sun Pharmaceutical</w:t>
      </w:r>
      <w:r>
        <w:rPr>
          <w:color w:val="000000"/>
        </w:rPr>
        <w:t xml:space="preserve">. [Online] Available at: </w:t>
      </w:r>
      <w:hyperlink r:id="rId32" w:anchor=":~:text=Create%20Your%20Own%20Sunshine%20with,%E2%80%9CCreate%20your%20own%20sunshine.%E2%80%9D">
        <w:r>
          <w:rPr>
            <w:color w:val="0563C1"/>
            <w:u w:val="single"/>
          </w:rPr>
          <w:t>https://sunpharma.com/careers/#:~:text=Create%20Your%20Own%20Sunshine%20with,%E2%80%9CCreate%20your%20own%20sunshine.%E2%80%9D</w:t>
        </w:r>
      </w:hyperlink>
      <w:r>
        <w:rPr>
          <w:color w:val="000000"/>
        </w:rPr>
        <w:t xml:space="preserve">  </w:t>
      </w:r>
      <w:r>
        <w:t>[Accessed on: 7</w:t>
      </w:r>
      <w:r>
        <w:rPr>
          <w:vertAlign w:val="superscript"/>
        </w:rPr>
        <w:t>th</w:t>
      </w:r>
      <w:r>
        <w:t xml:space="preserve"> March, 2026]. </w:t>
      </w:r>
    </w:p>
    <w:p w:rsidR="008E202D" w:rsidRDefault="0005760C">
      <w:pPr>
        <w:spacing w:before="280" w:after="280"/>
        <w:rPr>
          <w:color w:val="000000"/>
        </w:rPr>
      </w:pPr>
      <w:r>
        <w:rPr>
          <w:color w:val="000000"/>
        </w:rPr>
        <w:t>Tenni, B., Moir, H.V., Townsend, B., Kilic, B., Farrell, A.M., Keegel, T. and Gleeson, D. (2022) What is the impact of intellectual property rules on access to medicines? A systematic review. </w:t>
      </w:r>
      <w:r>
        <w:rPr>
          <w:i/>
          <w:iCs/>
          <w:color w:val="000000"/>
        </w:rPr>
        <w:t>Globalisation and health</w:t>
      </w:r>
      <w:r>
        <w:rPr>
          <w:color w:val="000000"/>
        </w:rPr>
        <w:t>, </w:t>
      </w:r>
      <w:r>
        <w:rPr>
          <w:i/>
          <w:iCs/>
          <w:color w:val="000000"/>
        </w:rPr>
        <w:t>18</w:t>
      </w:r>
      <w:r>
        <w:rPr>
          <w:color w:val="000000"/>
        </w:rPr>
        <w:t>(1), p.40.</w:t>
      </w:r>
    </w:p>
    <w:p w:rsidR="008E202D" w:rsidRDefault="0005760C">
      <w:r>
        <w:t>‌Turek, A., Smyczek, S. and Rech, J. (2026) Typology of Consumers in the Pharmaceutical Market: A Context of Sustainability and Digitalisation. </w:t>
      </w:r>
      <w:r>
        <w:rPr>
          <w:i/>
          <w:iCs/>
        </w:rPr>
        <w:t>Sustainability</w:t>
      </w:r>
      <w:r>
        <w:t xml:space="preserve">, 18(2), pp. 1065. </w:t>
      </w:r>
    </w:p>
    <w:p w:rsidR="008E202D" w:rsidRDefault="008E202D"/>
    <w:sectPr w:rsidR="008E202D">
      <w:footerReference w:type="default" r:id="rId3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F17A7" w:rsidRDefault="008F17A7">
      <w:pPr>
        <w:spacing w:after="0" w:line="240" w:lineRule="auto"/>
      </w:pPr>
      <w:r>
        <w:separator/>
      </w:r>
    </w:p>
  </w:endnote>
  <w:endnote w:type="continuationSeparator" w:id="0">
    <w:p w:rsidR="008F17A7" w:rsidRDefault="008F1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B7ADE38F-E330-4E43-A081-1EB33D85FB59}"/>
    <w:embedItalic r:id="rId2" w:fontKey="{539B6487-4C70-4CE4-AB31-E926C8F45EEC}"/>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74B4977E-17DE-4F56-A609-B8DDF729E209}"/>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202D" w:rsidRDefault="0005760C">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B7CC8">
      <w:rPr>
        <w:noProof/>
        <w:color w:val="000000"/>
      </w:rPr>
      <w:t>2</w:t>
    </w:r>
    <w:r>
      <w:rPr>
        <w:color w:val="000000"/>
      </w:rPr>
      <w:fldChar w:fldCharType="end"/>
    </w:r>
  </w:p>
  <w:p w:rsidR="008E202D" w:rsidRDefault="008E202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F17A7" w:rsidRDefault="008F17A7">
      <w:pPr>
        <w:spacing w:after="0" w:line="240" w:lineRule="auto"/>
      </w:pPr>
      <w:r>
        <w:separator/>
      </w:r>
    </w:p>
  </w:footnote>
  <w:footnote w:type="continuationSeparator" w:id="0">
    <w:p w:rsidR="008F17A7" w:rsidRDefault="008F17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0E48EC"/>
    <w:multiLevelType w:val="multilevel"/>
    <w:tmpl w:val="AF4A1DC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202D"/>
    <w:rsid w:val="0001142E"/>
    <w:rsid w:val="0005760C"/>
    <w:rsid w:val="0011609A"/>
    <w:rsid w:val="003B7CC8"/>
    <w:rsid w:val="00442BC4"/>
    <w:rsid w:val="008E202D"/>
    <w:rsid w:val="008F17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A45B1"/>
  <w15:docId w15:val="{F7211D92-F12B-4D22-9A8D-B6DF050C7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IN"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240" w:after="0"/>
      <w:outlineLvl w:val="0"/>
    </w:pPr>
    <w:rPr>
      <w:b/>
      <w:bCs/>
    </w:rPr>
  </w:style>
  <w:style w:type="paragraph" w:styleId="Heading2">
    <w:name w:val="heading 2"/>
    <w:basedOn w:val="Normal"/>
    <w:next w:val="Normal"/>
    <w:pPr>
      <w:outlineLvl w:val="1"/>
    </w:pPr>
    <w:rPr>
      <w:b/>
      <w:bCs/>
    </w:rPr>
  </w:style>
  <w:style w:type="paragraph" w:styleId="Heading3">
    <w:name w:val="heading 3"/>
    <w:basedOn w:val="Normal"/>
    <w:next w:val="Normal"/>
    <w:pPr>
      <w:keepNext/>
      <w:keepLines/>
      <w:spacing w:before="40" w:after="0"/>
      <w:outlineLvl w:val="2"/>
    </w:pPr>
    <w:rPr>
      <w:b/>
      <w:bCs/>
      <w:i/>
      <w:iCs/>
    </w:rPr>
  </w:style>
  <w:style w:type="paragraph" w:styleId="Heading4">
    <w:name w:val="heading 4"/>
    <w:basedOn w:val="Normal"/>
    <w:next w:val="Normal"/>
    <w:pPr>
      <w:keepNext/>
      <w:keepLines/>
      <w:spacing w:before="40" w:after="0"/>
      <w:outlineLvl w:val="3"/>
    </w:pPr>
    <w:rPr>
      <w:rFonts w:ascii="Calibri" w:eastAsia="Calibri" w:hAnsi="Calibri" w:cs="Calibri"/>
      <w:i/>
      <w:iCs/>
      <w:color w:val="2E75B5"/>
    </w:rPr>
  </w:style>
  <w:style w:type="paragraph" w:styleId="Heading5">
    <w:name w:val="heading 5"/>
    <w:basedOn w:val="Normal"/>
    <w:next w:val="Normal"/>
    <w:pPr>
      <w:keepNext/>
      <w:keepLines/>
      <w:spacing w:before="220" w:after="40"/>
      <w:outlineLvl w:val="4"/>
    </w:pPr>
    <w:rPr>
      <w:b/>
      <w:bCs/>
      <w:sz w:val="22"/>
      <w:szCs w:val="22"/>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rPr>
      <w:rFonts w:ascii="Calibri" w:eastAsia="Calibri" w:hAnsi="Calibri" w:cs="Calibri"/>
      <w:color w:val="5A5A5A"/>
      <w:sz w:val="22"/>
      <w:szCs w:val="22"/>
    </w:rPr>
  </w:style>
  <w:style w:type="paragraph" w:styleId="Header">
    <w:name w:val="header"/>
    <w:basedOn w:val="Normal"/>
    <w:link w:val="HeaderChar"/>
    <w:uiPriority w:val="99"/>
    <w:unhideWhenUsed/>
    <w:rsid w:val="001160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609A"/>
  </w:style>
  <w:style w:type="paragraph" w:styleId="Footer">
    <w:name w:val="footer"/>
    <w:basedOn w:val="Normal"/>
    <w:link w:val="FooterChar"/>
    <w:uiPriority w:val="99"/>
    <w:unhideWhenUsed/>
    <w:rsid w:val="001160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60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expertprogrammanagement.com/2018/04/porter-diamond-model/" TargetMode="External"/><Relationship Id="rId26" Type="http://schemas.openxmlformats.org/officeDocument/2006/relationships/hyperlink" Target="https://www.msicertified.com/blog/pestle-analysis/" TargetMode="External"/><Relationship Id="rId3" Type="http://schemas.openxmlformats.org/officeDocument/2006/relationships/settings" Target="settings.xml"/><Relationship Id="rId21" Type="http://schemas.openxmlformats.org/officeDocument/2006/relationships/hyperlink" Target="https://www.fda.gov/drugs/pharmaceutical-quality-resources/facts-about-current-good-manufacturing-practice-cgmp"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equentis.com/blog/sun-pharma-share-fundamentals/" TargetMode="External"/><Relationship Id="rId25" Type="http://schemas.openxmlformats.org/officeDocument/2006/relationships/hyperlink" Target="https://intuitionlabs.ai/articles/pharmaceutical-market-analysis-trends"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nursingassignmentwriters.co.uk/blog/what-is-gibbs-reflective-cycle/" TargetMode="External"/><Relationship Id="rId20" Type="http://schemas.openxmlformats.org/officeDocument/2006/relationships/hyperlink" Target="https://www.fda.gov/drugs/development-approval-process-drugs" TargetMode="External"/><Relationship Id="rId29" Type="http://schemas.openxmlformats.org/officeDocument/2006/relationships/hyperlink" Target="https://sunpharma.com/business-develop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mnacritique.mergersindia.com/ranbaxy-sun-pharma-acquisition-deal-impact/" TargetMode="External"/><Relationship Id="rId32" Type="http://schemas.openxmlformats.org/officeDocument/2006/relationships/hyperlink" Target="https://sunpharma.com/careers/" TargetMode="External"/><Relationship Id="rId5" Type="http://schemas.openxmlformats.org/officeDocument/2006/relationships/footnotes" Target="footnotes.xml"/><Relationship Id="rId15" Type="http://schemas.openxmlformats.org/officeDocument/2006/relationships/hyperlink" Target="https://www.biospace.com/u-s-pharmaceutical-market-size-to-reach-usd-1-093-79-billion-by-2033" TargetMode="External"/><Relationship Id="rId23" Type="http://schemas.openxmlformats.org/officeDocument/2006/relationships/hyperlink" Target="https://www.icicidirect.com/research/equity/finace/impact-of-usd-inr-exchange-rates-on-indian-markets" TargetMode="External"/><Relationship Id="rId28" Type="http://schemas.openxmlformats.org/officeDocument/2006/relationships/hyperlink" Target="https://www.researchandmarkets.com/report/united-states-pharmaceuticals-market" TargetMode="External"/><Relationship Id="rId10" Type="http://schemas.openxmlformats.org/officeDocument/2006/relationships/image" Target="media/image4.png"/><Relationship Id="rId19" Type="http://schemas.openxmlformats.org/officeDocument/2006/relationships/hyperlink" Target="https://www.fda.gov/drugs/types-applications/abbreviated-new-drug-application-anda" TargetMode="External"/><Relationship Id="rId31" Type="http://schemas.openxmlformats.org/officeDocument/2006/relationships/hyperlink" Target="https://sunpharma.com/about-u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sunpharma.com/wp-content/uploads/2024/05/Press-Release-Sun-Pharma-Q4FY24-Financial-Result.pdf" TargetMode="External"/><Relationship Id="rId27" Type="http://schemas.openxmlformats.org/officeDocument/2006/relationships/hyperlink" Target="https://pmc.ncbi.nlm.nih.gov/articles/PMC7023936/" TargetMode="External"/><Relationship Id="rId30" Type="http://schemas.openxmlformats.org/officeDocument/2006/relationships/hyperlink" Target="https://sunpharma.com/products/" TargetMode="External"/><Relationship Id="rId35" Type="http://schemas.openxmlformats.org/officeDocument/2006/relationships/theme" Target="theme/theme1.xm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30</Pages>
  <Words>7019</Words>
  <Characters>40011</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dc:creator>
  <cp:lastModifiedBy>DC</cp:lastModifiedBy>
  <cp:revision>3</cp:revision>
  <dcterms:created xsi:type="dcterms:W3CDTF">2026-04-24T21:13:00Z</dcterms:created>
  <dcterms:modified xsi:type="dcterms:W3CDTF">2026-04-26T09:05:00Z</dcterms:modified>
</cp:coreProperties>
</file>