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1161890"/>
        <w:docPartObj>
          <w:docPartGallery w:val="Cover Pages"/>
          <w:docPartUnique/>
        </w:docPartObj>
      </w:sdtPr>
      <w:sdtEndPr/>
      <w:sdtContent>
        <w:p w14:paraId="747DC4DA" w14:textId="74DB0D0B" w:rsidR="00E27A9F" w:rsidRDefault="00E27A9F"/>
        <w:p w14:paraId="4B60B18B" w14:textId="4D6C1BBD" w:rsidR="00E27A9F" w:rsidRDefault="00E27A9F">
          <w:r>
            <w:rPr>
              <w:noProof/>
              <w:lang w:eastAsia="zh-CN"/>
            </w:rPr>
            <mc:AlternateContent>
              <mc:Choice Requires="wpg">
                <w:drawing>
                  <wp:anchor distT="0" distB="0" distL="114300" distR="114300" simplePos="0" relativeHeight="251659264" behindDoc="1" locked="0" layoutInCell="1" allowOverlap="1" wp14:anchorId="4CEFF02A" wp14:editId="2BDD655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560C681" w14:textId="18C75BA4" w:rsidR="00E27A9F" w:rsidRDefault="005D15F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C5F45">
                                        <w:rPr>
                                          <w:color w:val="FFFFFF" w:themeColor="background1"/>
                                          <w:sz w:val="72"/>
                                          <w:szCs w:val="72"/>
                                        </w:rPr>
                                        <w:t>The Digital Battlefield: A Critical Examination of the Relationship Between Terrorism and the Internet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CEFF02A"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560C681" w14:textId="18C75BA4" w:rsidR="00E27A9F" w:rsidRDefault="007C5F4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Pr>
                                    <w:color w:val="FFFFFF" w:themeColor="background1"/>
                                    <w:sz w:val="72"/>
                                    <w:szCs w:val="72"/>
                                  </w:rPr>
                                  <w:t>The Digital Battlefield: A Critical Examination of the Relationship Between Terrorism and the Internet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37466917" wp14:editId="1B36FEA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1657DD4" w14:textId="39CDDC6F" w:rsidR="00E27A9F" w:rsidRDefault="00E27A9F">
                                    <w:pPr>
                                      <w:pStyle w:val="NoSpacing"/>
                                      <w:spacing w:before="40" w:after="40"/>
                                      <w:rPr>
                                        <w:caps/>
                                        <w:color w:val="4472C4" w:themeColor="accent1"/>
                                        <w:sz w:val="28"/>
                                        <w:szCs w:val="28"/>
                                      </w:rPr>
                                    </w:pPr>
                                    <w:r>
                                      <w:rPr>
                                        <w:caps/>
                                        <w:color w:val="4472C4" w:themeColor="accent1"/>
                                        <w:sz w:val="28"/>
                                        <w:szCs w:val="28"/>
                                      </w:rPr>
                                      <w:t>Terrorism and Cybercrime (BMCJ7003)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D98F20D" w14:textId="591BAE2C" w:rsidR="00E27A9F" w:rsidRDefault="00E27A9F">
                                    <w:pPr>
                                      <w:pStyle w:val="NoSpacing"/>
                                      <w:spacing w:before="40" w:after="40"/>
                                      <w:rPr>
                                        <w:caps/>
                                        <w:color w:val="5B9BD5" w:themeColor="accent5"/>
                                        <w:sz w:val="24"/>
                                        <w:szCs w:val="24"/>
                                      </w:rPr>
                                    </w:pPr>
                                    <w:r>
                                      <w:rPr>
                                        <w:caps/>
                                        <w:color w:val="5B9BD5" w:themeColor="accent5"/>
                                        <w:sz w:val="24"/>
                                        <w:szCs w:val="24"/>
                                      </w:rPr>
                                      <w:t>Lewis Tandy (2016893)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7466917"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1657DD4" w14:textId="39CDDC6F" w:rsidR="00E27A9F" w:rsidRDefault="00E27A9F">
                              <w:pPr>
                                <w:pStyle w:val="NoSpacing"/>
                                <w:spacing w:before="40" w:after="40"/>
                                <w:rPr>
                                  <w:caps/>
                                  <w:color w:val="4472C4" w:themeColor="accent1"/>
                                  <w:sz w:val="28"/>
                                  <w:szCs w:val="28"/>
                                </w:rPr>
                              </w:pPr>
                              <w:r>
                                <w:rPr>
                                  <w:caps/>
                                  <w:color w:val="4472C4" w:themeColor="accent1"/>
                                  <w:sz w:val="28"/>
                                  <w:szCs w:val="28"/>
                                </w:rPr>
                                <w:t>Terrorism and Cybercrime (BMCJ7003)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D98F20D" w14:textId="591BAE2C" w:rsidR="00E27A9F" w:rsidRDefault="00E27A9F">
                              <w:pPr>
                                <w:pStyle w:val="NoSpacing"/>
                                <w:spacing w:before="40" w:after="40"/>
                                <w:rPr>
                                  <w:caps/>
                                  <w:color w:val="5B9BD5" w:themeColor="accent5"/>
                                  <w:sz w:val="24"/>
                                  <w:szCs w:val="24"/>
                                </w:rPr>
                              </w:pPr>
                              <w:r>
                                <w:rPr>
                                  <w:caps/>
                                  <w:color w:val="5B9BD5" w:themeColor="accent5"/>
                                  <w:sz w:val="24"/>
                                  <w:szCs w:val="24"/>
                                </w:rPr>
                                <w:t>Lewis Tandy (2016893)</w:t>
                              </w:r>
                            </w:p>
                          </w:sdtContent>
                        </w:sdt>
                      </w:txbxContent>
                    </v:textbox>
                    <w10:wrap type="square" anchorx="page" anchory="page"/>
                  </v:shape>
                </w:pict>
              </mc:Fallback>
            </mc:AlternateContent>
          </w:r>
          <w:r>
            <w:br w:type="page"/>
          </w:r>
        </w:p>
      </w:sdtContent>
    </w:sdt>
    <w:p w14:paraId="3BF91CA3" w14:textId="6D2872D6" w:rsidR="00E81278" w:rsidRPr="00E21075" w:rsidRDefault="00855ADF" w:rsidP="00E21075">
      <w:pPr>
        <w:spacing w:line="480" w:lineRule="auto"/>
        <w:jc w:val="both"/>
        <w:rPr>
          <w:rFonts w:ascii="Arial" w:hAnsi="Arial" w:cs="Arial"/>
        </w:rPr>
      </w:pPr>
      <w:r w:rsidRPr="00E21075">
        <w:rPr>
          <w:rFonts w:ascii="Arial" w:hAnsi="Arial" w:cs="Arial"/>
        </w:rPr>
        <w:lastRenderedPageBreak/>
        <w:t xml:space="preserve">This paper will seek to critically explore the relationship between terrorism and the internet, particularly analysing the nuanced relationship between online engagement and offline participation in violent extremism in order to demonstrate the complexity within this field. </w:t>
      </w:r>
      <w:r w:rsidR="00FE4B81" w:rsidRPr="00E21075">
        <w:rPr>
          <w:rFonts w:ascii="Arial" w:hAnsi="Arial" w:cs="Arial"/>
        </w:rPr>
        <w:t>This analysis is particularly critical as research has argued that the internet has had a transformative effect on contemporary terrorism, rendering it a key area of examination for both academics and policy makers seeking to understand this evolving threat (</w:t>
      </w:r>
      <w:proofErr w:type="spellStart"/>
      <w:r w:rsidR="00FE4B81" w:rsidRPr="00E21075">
        <w:rPr>
          <w:rFonts w:ascii="Arial" w:hAnsi="Arial" w:cs="Arial"/>
        </w:rPr>
        <w:t>Argomaniz</w:t>
      </w:r>
      <w:proofErr w:type="spellEnd"/>
      <w:r w:rsidR="00FE4B81" w:rsidRPr="00E21075">
        <w:rPr>
          <w:rFonts w:ascii="Arial" w:hAnsi="Arial" w:cs="Arial"/>
        </w:rPr>
        <w:t xml:space="preserve"> 2014). </w:t>
      </w:r>
    </w:p>
    <w:p w14:paraId="43CA5B0D" w14:textId="4513DD5C" w:rsidR="004C0C6D" w:rsidRPr="00E21075" w:rsidRDefault="004C0C6D" w:rsidP="00E21075">
      <w:pPr>
        <w:spacing w:line="480" w:lineRule="auto"/>
        <w:jc w:val="both"/>
        <w:rPr>
          <w:rFonts w:ascii="Arial" w:hAnsi="Arial" w:cs="Arial"/>
        </w:rPr>
      </w:pPr>
    </w:p>
    <w:p w14:paraId="72E05EE6" w14:textId="175EA0B1" w:rsidR="004C0C6D" w:rsidRPr="00E21075" w:rsidRDefault="006E5C57" w:rsidP="00E21075">
      <w:pPr>
        <w:spacing w:line="480" w:lineRule="auto"/>
        <w:jc w:val="both"/>
        <w:rPr>
          <w:rFonts w:ascii="Arial" w:hAnsi="Arial" w:cs="Arial"/>
        </w:rPr>
      </w:pPr>
      <w:r w:rsidRPr="00E21075">
        <w:rPr>
          <w:rFonts w:ascii="Arial" w:hAnsi="Arial" w:cs="Arial"/>
        </w:rPr>
        <w:t xml:space="preserve">When seeking to examine the developing relationship between the internet and terrorism, It </w:t>
      </w:r>
      <w:r w:rsidR="002C5ECF" w:rsidRPr="00E21075">
        <w:rPr>
          <w:rFonts w:ascii="Arial" w:hAnsi="Arial" w:cs="Arial"/>
        </w:rPr>
        <w:t xml:space="preserve">is </w:t>
      </w:r>
      <w:r w:rsidR="001C4699" w:rsidRPr="00E21075">
        <w:rPr>
          <w:rFonts w:ascii="Arial" w:hAnsi="Arial" w:cs="Arial"/>
        </w:rPr>
        <w:t xml:space="preserve">first </w:t>
      </w:r>
      <w:r w:rsidRPr="00E21075">
        <w:rPr>
          <w:rFonts w:ascii="Arial" w:hAnsi="Arial" w:cs="Arial"/>
        </w:rPr>
        <w:t xml:space="preserve">critical to note that </w:t>
      </w:r>
      <w:r w:rsidR="004C0C6D" w:rsidRPr="00E21075">
        <w:rPr>
          <w:rFonts w:ascii="Arial" w:hAnsi="Arial" w:cs="Arial"/>
        </w:rPr>
        <w:t xml:space="preserve">research has argued that the emergence and evolution of cyberspace has facilitated a number of key terrorist functions ranging from recruitment to the dissemination of propaganda (Meserve and </w:t>
      </w:r>
      <w:proofErr w:type="spellStart"/>
      <w:r w:rsidR="004C0C6D" w:rsidRPr="00E21075">
        <w:rPr>
          <w:rFonts w:ascii="Arial" w:hAnsi="Arial" w:cs="Arial"/>
        </w:rPr>
        <w:t>Pemstein</w:t>
      </w:r>
      <w:proofErr w:type="spellEnd"/>
      <w:r w:rsidR="004C0C6D" w:rsidRPr="00E21075">
        <w:rPr>
          <w:rFonts w:ascii="Arial" w:hAnsi="Arial" w:cs="Arial"/>
        </w:rPr>
        <w:t xml:space="preserve"> 2020). </w:t>
      </w:r>
      <w:r w:rsidR="001C4699" w:rsidRPr="00E21075">
        <w:rPr>
          <w:rFonts w:ascii="Arial" w:hAnsi="Arial" w:cs="Arial"/>
        </w:rPr>
        <w:t xml:space="preserve">This assertion is not isolated, rather Lee et al (2021) have argued that with the dawn of the digital age, the emergence of terrorism interwoven with the opportunities afforded by cyberspace has created a bespoke threat which transcends the traditional boundaries of space and time, demonstrating a significant shift in global terrorist activity. Building on this argument, it has been proposed that contemporary terrorist entities ranging from groups such as IS to lone actors have effectively exploited the fluidity of cyberspace creating a global space which allows violent extremists to communicate, disseminate propaganda, recruit sympathisers and to inspire acts of violence among other opportunities without the traditional constraints of space and time (Lee et al 2021). </w:t>
      </w:r>
    </w:p>
    <w:p w14:paraId="0653722F" w14:textId="4A501A9D" w:rsidR="00E446D8" w:rsidRPr="00E21075" w:rsidRDefault="00E446D8" w:rsidP="00E21075">
      <w:pPr>
        <w:spacing w:line="480" w:lineRule="auto"/>
        <w:jc w:val="both"/>
        <w:rPr>
          <w:rFonts w:ascii="Arial" w:hAnsi="Arial" w:cs="Arial"/>
        </w:rPr>
      </w:pPr>
    </w:p>
    <w:p w14:paraId="7C6F7CA9" w14:textId="322AC6FF" w:rsidR="006E5C57" w:rsidRPr="00E21075" w:rsidRDefault="008B5196" w:rsidP="00E21075">
      <w:pPr>
        <w:spacing w:line="480" w:lineRule="auto"/>
        <w:jc w:val="both"/>
        <w:rPr>
          <w:rFonts w:ascii="Arial" w:hAnsi="Arial" w:cs="Arial"/>
        </w:rPr>
      </w:pPr>
      <w:r w:rsidRPr="00E21075">
        <w:rPr>
          <w:rFonts w:ascii="Arial" w:hAnsi="Arial" w:cs="Arial"/>
        </w:rPr>
        <w:t xml:space="preserve">Expanding on this analysis of the opportunities which the evolution of the internet has created for contemporary terrorism, it is clear that cyberspace has diminished the role </w:t>
      </w:r>
      <w:r w:rsidRPr="00E21075">
        <w:rPr>
          <w:rFonts w:ascii="Arial" w:hAnsi="Arial" w:cs="Arial"/>
        </w:rPr>
        <w:lastRenderedPageBreak/>
        <w:t>of traditional media as the gatekeepers of terrorist communication, offering new opportunities to disseminate propaganda and messaging to a global audience (</w:t>
      </w:r>
      <w:proofErr w:type="spellStart"/>
      <w:r w:rsidRPr="00E21075">
        <w:rPr>
          <w:rFonts w:ascii="Arial" w:hAnsi="Arial" w:cs="Arial"/>
        </w:rPr>
        <w:t>Bhui</w:t>
      </w:r>
      <w:proofErr w:type="spellEnd"/>
      <w:r w:rsidRPr="00E21075">
        <w:rPr>
          <w:rFonts w:ascii="Arial" w:hAnsi="Arial" w:cs="Arial"/>
        </w:rPr>
        <w:t xml:space="preserve"> and Ibrahim 2013)</w:t>
      </w:r>
      <w:r w:rsidR="00516627" w:rsidRPr="00E21075">
        <w:rPr>
          <w:rFonts w:ascii="Arial" w:hAnsi="Arial" w:cs="Arial"/>
        </w:rPr>
        <w:t xml:space="preserve">. Research has argued that this evolution in the dissemination of propaganda is particularly critical </w:t>
      </w:r>
      <w:r w:rsidR="0088132D" w:rsidRPr="00E21075">
        <w:rPr>
          <w:rFonts w:ascii="Arial" w:hAnsi="Arial" w:cs="Arial"/>
        </w:rPr>
        <w:t xml:space="preserve">as acts of terrorism are broadly underpinned by a salient ideology or cause which they seek to promote and disseminate, rendering messaging a key component of terrorism (Holbrook 2014).  </w:t>
      </w:r>
      <w:r w:rsidR="004A605D" w:rsidRPr="00E21075">
        <w:rPr>
          <w:rFonts w:ascii="Arial" w:hAnsi="Arial" w:cs="Arial"/>
        </w:rPr>
        <w:t xml:space="preserve">This may be directly linked back to the key concept of ‘the propaganda of the deed’, which asserts that terrorism is a vehicle which allows actors to convey a message to a wider audience using violence as a tool, a relationship which has become strengthened by the evolution of cyberspace (Borelli 2021). </w:t>
      </w:r>
      <w:r w:rsidR="0001076C" w:rsidRPr="00E21075">
        <w:rPr>
          <w:rFonts w:ascii="Arial" w:hAnsi="Arial" w:cs="Arial"/>
        </w:rPr>
        <w:t>For example, it has been asserted that whilst terrorist movements throughout history have utilised propaganda such as leaflets, the dawn of the digital age has heralded a new era wherein terrorist propaganda may be distributed more quickly, easily and across borders extending the reach of terrorists entities to a global audience and the effectiveness of contemporary terrorist messaging (Rieger et al 2019).</w:t>
      </w:r>
      <w:r w:rsidR="00686EEB" w:rsidRPr="00E21075">
        <w:rPr>
          <w:rFonts w:ascii="Arial" w:hAnsi="Arial" w:cs="Arial"/>
        </w:rPr>
        <w:t xml:space="preserve"> Therefore, this shift in accessibility to a global audience suggests that rather than the internet changing the behaviours of terrorist entities, it has rather created a new bespoke space which increases the global reach of terrorist material, demonstrating the ways in which the dawn of the digital age has made terrorist propaganda more effective and accessible (Greenberg 2016). </w:t>
      </w:r>
      <w:r w:rsidR="00272800" w:rsidRPr="00E21075">
        <w:rPr>
          <w:rFonts w:ascii="Arial" w:hAnsi="Arial" w:cs="Arial"/>
        </w:rPr>
        <w:t xml:space="preserve">However, it is also important to note that the exact relationship between digital propaganda and acts of terrorism in the physical sphere remains nuanced, for example it has been asserted that the consumption of terrorist material online does not correlate with the adoption of extremist ideology, rather the process of radicalisation is a complex and intricate process fuelled by a plethora of factors (O’Callaghan et al 2014). </w:t>
      </w:r>
      <w:r w:rsidR="00A55AC3" w:rsidRPr="00E21075">
        <w:rPr>
          <w:rFonts w:ascii="Arial" w:hAnsi="Arial" w:cs="Arial"/>
        </w:rPr>
        <w:t xml:space="preserve">This complexity of the radicalisation process, as outlined by scholars, demonstrates that whilst the digital </w:t>
      </w:r>
      <w:r w:rsidR="00A55AC3" w:rsidRPr="00E21075">
        <w:rPr>
          <w:rFonts w:ascii="Arial" w:hAnsi="Arial" w:cs="Arial"/>
        </w:rPr>
        <w:lastRenderedPageBreak/>
        <w:t xml:space="preserve">age has facilitated the dissemination and consumption of extremist content around the globe, it cannot be directly attributed to offline acts of terrorism and the relationship between these entities lacks definitive clarity </w:t>
      </w:r>
      <w:r w:rsidR="00A55AC3" w:rsidRPr="00E21075">
        <w:rPr>
          <w:rFonts w:ascii="Arial" w:hAnsi="Arial" w:cs="Arial"/>
        </w:rPr>
        <w:t>(O’Callaghan et al 2014)</w:t>
      </w:r>
      <w:r w:rsidR="00A55AC3" w:rsidRPr="00E21075">
        <w:rPr>
          <w:rFonts w:ascii="Arial" w:hAnsi="Arial" w:cs="Arial"/>
        </w:rPr>
        <w:t xml:space="preserve">, rendering it fertile ground for deeper academic analysis </w:t>
      </w:r>
    </w:p>
    <w:p w14:paraId="2DD269C7" w14:textId="7C30BCF9" w:rsidR="006E5C57" w:rsidRPr="00E21075" w:rsidRDefault="006E5C57" w:rsidP="00E21075">
      <w:pPr>
        <w:spacing w:line="480" w:lineRule="auto"/>
        <w:jc w:val="both"/>
        <w:rPr>
          <w:rFonts w:ascii="Arial" w:hAnsi="Arial" w:cs="Arial"/>
        </w:rPr>
      </w:pPr>
    </w:p>
    <w:p w14:paraId="4556E460" w14:textId="438B201D" w:rsidR="00C4598C" w:rsidRPr="00E21075" w:rsidRDefault="006E5C57" w:rsidP="00E21075">
      <w:pPr>
        <w:spacing w:line="480" w:lineRule="auto"/>
        <w:jc w:val="both"/>
        <w:rPr>
          <w:rFonts w:ascii="Arial" w:hAnsi="Arial" w:cs="Arial"/>
        </w:rPr>
      </w:pPr>
      <w:r w:rsidRPr="00E21075">
        <w:rPr>
          <w:rFonts w:ascii="Arial" w:hAnsi="Arial" w:cs="Arial"/>
        </w:rPr>
        <w:t xml:space="preserve">When seeking to examine the developing relationship between the internet and terrorism, It </w:t>
      </w:r>
      <w:r w:rsidR="00A618F8" w:rsidRPr="00E21075">
        <w:rPr>
          <w:rFonts w:ascii="Arial" w:hAnsi="Arial" w:cs="Arial"/>
        </w:rPr>
        <w:t xml:space="preserve">is </w:t>
      </w:r>
      <w:r w:rsidRPr="00E21075">
        <w:rPr>
          <w:rFonts w:ascii="Arial" w:hAnsi="Arial" w:cs="Arial"/>
        </w:rPr>
        <w:t>also critical to note that research has argued that the evolution of the internet has had a transformative effect on lone actors and the radicalisation process, creating a space where individuals may engage with extremist content and cultivating a new wave of homegrown terrorists (</w:t>
      </w:r>
      <w:proofErr w:type="spellStart"/>
      <w:r w:rsidRPr="00E21075">
        <w:rPr>
          <w:rFonts w:ascii="Arial" w:hAnsi="Arial" w:cs="Arial"/>
        </w:rPr>
        <w:t>Hollewell</w:t>
      </w:r>
      <w:proofErr w:type="spellEnd"/>
      <w:r w:rsidRPr="00E21075">
        <w:rPr>
          <w:rFonts w:ascii="Arial" w:hAnsi="Arial" w:cs="Arial"/>
        </w:rPr>
        <w:t xml:space="preserve"> and </w:t>
      </w:r>
      <w:proofErr w:type="spellStart"/>
      <w:r w:rsidRPr="00E21075">
        <w:rPr>
          <w:rFonts w:ascii="Arial" w:hAnsi="Arial" w:cs="Arial"/>
        </w:rPr>
        <w:t>Longpre</w:t>
      </w:r>
      <w:proofErr w:type="spellEnd"/>
      <w:r w:rsidRPr="00E21075">
        <w:rPr>
          <w:rFonts w:ascii="Arial" w:hAnsi="Arial" w:cs="Arial"/>
        </w:rPr>
        <w:t xml:space="preserve"> 2021). </w:t>
      </w:r>
      <w:r w:rsidR="008B5196" w:rsidRPr="00E21075">
        <w:rPr>
          <w:rFonts w:ascii="Arial" w:hAnsi="Arial" w:cs="Arial"/>
        </w:rPr>
        <w:t>Building on this, it has been suggested that the anonymity afforded by the internet has created new spaces where lone actors may begin to develop, express and communicate notions which would not be acceptable in many offline spaces, creating an environment where extremist ideology may be cultivated and disseminated without the traditional fears of identification and punishment (</w:t>
      </w:r>
      <w:proofErr w:type="spellStart"/>
      <w:r w:rsidR="008B5196" w:rsidRPr="00E21075">
        <w:rPr>
          <w:rFonts w:ascii="Arial" w:hAnsi="Arial" w:cs="Arial"/>
        </w:rPr>
        <w:t>Bhui</w:t>
      </w:r>
      <w:proofErr w:type="spellEnd"/>
      <w:r w:rsidR="008B5196" w:rsidRPr="00E21075">
        <w:rPr>
          <w:rFonts w:ascii="Arial" w:hAnsi="Arial" w:cs="Arial"/>
        </w:rPr>
        <w:t xml:space="preserve"> and Ibrahim 2013). </w:t>
      </w:r>
      <w:r w:rsidR="00555014" w:rsidRPr="00E21075">
        <w:rPr>
          <w:rFonts w:ascii="Arial" w:hAnsi="Arial" w:cs="Arial"/>
        </w:rPr>
        <w:t xml:space="preserve">In addition, examining the relationship between these online spaces and lone actor terrorism further, it is evident that lone actor terrorists have increasingly engaged within the digital sphere preceding their attacks, using this as a space to garner inspiration, support, knowledge and skills before committing acts of offline violence (Shortland et al 2017). </w:t>
      </w:r>
    </w:p>
    <w:p w14:paraId="2FD02D31" w14:textId="77777777" w:rsidR="00C4598C" w:rsidRPr="00E21075" w:rsidRDefault="00C4598C" w:rsidP="00E21075">
      <w:pPr>
        <w:spacing w:line="480" w:lineRule="auto"/>
        <w:jc w:val="both"/>
        <w:rPr>
          <w:rFonts w:ascii="Arial" w:hAnsi="Arial" w:cs="Arial"/>
        </w:rPr>
      </w:pPr>
    </w:p>
    <w:p w14:paraId="3442B022" w14:textId="3183FEBC" w:rsidR="006E5C57" w:rsidRPr="00E21075" w:rsidRDefault="006E5C57" w:rsidP="00E21075">
      <w:pPr>
        <w:spacing w:line="480" w:lineRule="auto"/>
        <w:jc w:val="both"/>
        <w:rPr>
          <w:rFonts w:ascii="Arial" w:hAnsi="Arial" w:cs="Arial"/>
        </w:rPr>
      </w:pPr>
      <w:r w:rsidRPr="00E21075">
        <w:rPr>
          <w:rFonts w:ascii="Arial" w:hAnsi="Arial" w:cs="Arial"/>
        </w:rPr>
        <w:t>However, whilst there is clearly a breadth of literature which asserts that the internet has become fertile ground for extremist ideology to be cultivated and to motivate lone actors to engage in acts of violent extremism, research has argued that the motivations of these actors may not be solely attributed to the evolution of cyberspace (</w:t>
      </w:r>
      <w:proofErr w:type="spellStart"/>
      <w:r w:rsidRPr="00E21075">
        <w:rPr>
          <w:rFonts w:ascii="Arial" w:hAnsi="Arial" w:cs="Arial"/>
        </w:rPr>
        <w:t>Pitcavage</w:t>
      </w:r>
      <w:proofErr w:type="spellEnd"/>
      <w:r w:rsidRPr="00E21075">
        <w:rPr>
          <w:rFonts w:ascii="Arial" w:hAnsi="Arial" w:cs="Arial"/>
        </w:rPr>
        <w:t xml:space="preserve"> 2015). Rather, </w:t>
      </w:r>
      <w:proofErr w:type="spellStart"/>
      <w:r w:rsidRPr="00E21075">
        <w:rPr>
          <w:rFonts w:ascii="Arial" w:hAnsi="Arial" w:cs="Arial"/>
        </w:rPr>
        <w:t>Pitcavage</w:t>
      </w:r>
      <w:proofErr w:type="spellEnd"/>
      <w:r w:rsidRPr="00E21075">
        <w:rPr>
          <w:rFonts w:ascii="Arial" w:hAnsi="Arial" w:cs="Arial"/>
        </w:rPr>
        <w:t xml:space="preserve"> (2015), has proceeded to argue that contemporary lone </w:t>
      </w:r>
      <w:r w:rsidRPr="00E21075">
        <w:rPr>
          <w:rFonts w:ascii="Arial" w:hAnsi="Arial" w:cs="Arial"/>
        </w:rPr>
        <w:lastRenderedPageBreak/>
        <w:t xml:space="preserve">actors are motivated by a vast spectrum of nuanced factors including social isolation, mental instability or </w:t>
      </w:r>
      <w:r w:rsidR="00563F84" w:rsidRPr="00E21075">
        <w:rPr>
          <w:rFonts w:ascii="Arial" w:hAnsi="Arial" w:cs="Arial"/>
        </w:rPr>
        <w:t xml:space="preserve">personal grievances </w:t>
      </w:r>
      <w:r w:rsidRPr="00E21075">
        <w:rPr>
          <w:rFonts w:ascii="Arial" w:hAnsi="Arial" w:cs="Arial"/>
        </w:rPr>
        <w:t xml:space="preserve">inferring that directly attributing contemporary lone actor terrorism to the rise of the internet is too simplistic and does not account for the nuances of this phenomenon. </w:t>
      </w:r>
      <w:r w:rsidR="00555014" w:rsidRPr="00E21075">
        <w:rPr>
          <w:rFonts w:ascii="Arial" w:hAnsi="Arial" w:cs="Arial"/>
        </w:rPr>
        <w:t xml:space="preserve">This critique by </w:t>
      </w:r>
      <w:proofErr w:type="spellStart"/>
      <w:r w:rsidR="00555014" w:rsidRPr="00E21075">
        <w:rPr>
          <w:rFonts w:ascii="Arial" w:hAnsi="Arial" w:cs="Arial"/>
        </w:rPr>
        <w:t>Pitacavge</w:t>
      </w:r>
      <w:proofErr w:type="spellEnd"/>
      <w:r w:rsidR="00555014" w:rsidRPr="00E21075">
        <w:rPr>
          <w:rFonts w:ascii="Arial" w:hAnsi="Arial" w:cs="Arial"/>
        </w:rPr>
        <w:t xml:space="preserve"> (2015) is further supported by Shortland et al (2017) who have argued that whilst a number of lone actors have engaged with the internet preceding their attacks, correlation cannot be equated to causation and more research is required to critically evaluate the strength of this relationship. </w:t>
      </w:r>
    </w:p>
    <w:p w14:paraId="74CE99CF" w14:textId="4F2AF347" w:rsidR="006E5C57" w:rsidRPr="00E21075" w:rsidRDefault="006E5C57" w:rsidP="00E21075">
      <w:pPr>
        <w:spacing w:line="480" w:lineRule="auto"/>
        <w:jc w:val="both"/>
        <w:rPr>
          <w:rFonts w:ascii="Arial" w:hAnsi="Arial" w:cs="Arial"/>
        </w:rPr>
      </w:pPr>
    </w:p>
    <w:p w14:paraId="46072FB4" w14:textId="0098570F" w:rsidR="00874E41" w:rsidRPr="00E21075" w:rsidRDefault="00874E41" w:rsidP="00E21075">
      <w:pPr>
        <w:spacing w:line="480" w:lineRule="auto"/>
        <w:jc w:val="both"/>
        <w:rPr>
          <w:rFonts w:ascii="Arial" w:hAnsi="Arial" w:cs="Arial"/>
        </w:rPr>
      </w:pPr>
      <w:r w:rsidRPr="00E21075">
        <w:rPr>
          <w:rFonts w:ascii="Arial" w:hAnsi="Arial" w:cs="Arial"/>
        </w:rPr>
        <w:t xml:space="preserve">Following this brief analysis of the evolving relationship between the internet and contemporary terrorism, it is also critical to examine the challenges associated with tackling this threat and governing online spaces, particularly as this has become increasingly priorities by both public and private stakeholders alike (Borelli 2021). </w:t>
      </w:r>
      <w:r w:rsidR="00014730" w:rsidRPr="00E21075">
        <w:rPr>
          <w:rFonts w:ascii="Arial" w:hAnsi="Arial" w:cs="Arial"/>
        </w:rPr>
        <w:t xml:space="preserve">For example, research has argued that in recent years the governance of online spaces has become a highly contentious issue, creating a challenge for societies around the globe as they seek to balance the rights and liberties of their citizens, particularly within the context of free speech, against the threat posed by online propaganda and terrorist communications (Meserve and </w:t>
      </w:r>
      <w:proofErr w:type="spellStart"/>
      <w:r w:rsidR="00014730" w:rsidRPr="00E21075">
        <w:rPr>
          <w:rFonts w:ascii="Arial" w:hAnsi="Arial" w:cs="Arial"/>
        </w:rPr>
        <w:t>Pemstein</w:t>
      </w:r>
      <w:proofErr w:type="spellEnd"/>
      <w:r w:rsidR="00014730" w:rsidRPr="00E21075">
        <w:rPr>
          <w:rFonts w:ascii="Arial" w:hAnsi="Arial" w:cs="Arial"/>
        </w:rPr>
        <w:t xml:space="preserve"> 2020). In addition to the role of governments, it has also been suggested that private companies such as social media entities have increasingly sought to regulate online spaces, removing content, banning users and moderating content more aggressively in order to tackle the plethora of extremist content present within these spaces (Murthy 2021). </w:t>
      </w:r>
      <w:r w:rsidR="00686EEB" w:rsidRPr="00E21075">
        <w:rPr>
          <w:rFonts w:ascii="Arial" w:hAnsi="Arial" w:cs="Arial"/>
        </w:rPr>
        <w:t xml:space="preserve">However, it has been suggested that whilst removing content and users who promote extremist ideology may seem a natural step in tackling terrorism online, this approach is too blunt a tool as banned users may simply re-appear under a different alias and these measures drive terrorist </w:t>
      </w:r>
      <w:r w:rsidR="00686EEB" w:rsidRPr="00E21075">
        <w:rPr>
          <w:rFonts w:ascii="Arial" w:hAnsi="Arial" w:cs="Arial"/>
        </w:rPr>
        <w:lastRenderedPageBreak/>
        <w:t xml:space="preserve">content deeper underground where it is harder to track and analyse (Greenberg 2016). </w:t>
      </w:r>
      <w:r w:rsidR="00887FA6" w:rsidRPr="00E21075">
        <w:rPr>
          <w:rFonts w:ascii="Arial" w:hAnsi="Arial" w:cs="Arial"/>
        </w:rPr>
        <w:t xml:space="preserve">Rather than utilising blunt and punitive measures to counter violent extremism online, research has argued that the key to tackling this emerging threat must account for the nuances of terrorist behaviour and motivations, drawing on a wide-body of measures ranging from counter-narratives to community-based initiatives and approaches which identify those at risk of engaging with extremist content online in order to tackle the complex web of factors which link the digital sphere and offline acts of terrorism (Cohen 2016). </w:t>
      </w:r>
    </w:p>
    <w:p w14:paraId="3F1FDC63" w14:textId="44568F71" w:rsidR="00FE1FE4" w:rsidRPr="00E21075" w:rsidRDefault="00FE1FE4" w:rsidP="00E21075">
      <w:pPr>
        <w:spacing w:line="480" w:lineRule="auto"/>
        <w:jc w:val="both"/>
        <w:rPr>
          <w:rFonts w:ascii="Arial" w:hAnsi="Arial" w:cs="Arial"/>
        </w:rPr>
      </w:pPr>
    </w:p>
    <w:p w14:paraId="2EF05F34" w14:textId="59B844A8" w:rsidR="00FE4B81" w:rsidRPr="00E21075" w:rsidRDefault="00FE1FE4" w:rsidP="00E21075">
      <w:pPr>
        <w:spacing w:line="480" w:lineRule="auto"/>
        <w:jc w:val="both"/>
        <w:rPr>
          <w:rFonts w:ascii="Arial" w:hAnsi="Arial" w:cs="Arial"/>
        </w:rPr>
      </w:pPr>
      <w:r w:rsidRPr="00E21075">
        <w:rPr>
          <w:rFonts w:ascii="Arial" w:hAnsi="Arial" w:cs="Arial"/>
        </w:rPr>
        <w:t xml:space="preserve">Following this analysis it is evident that a number of key conclusions may be drawn regarding the relationship between the internet and contemporary terrorism. For example, it is evident that with the dawn of the digital age cyberspace has clearly created a bespoke space which facilitates a number of key functions ranging from propaganda dissemination to the cultivation of a space wherein lone actors may communicate, consume material and draw inspiration </w:t>
      </w:r>
      <w:r w:rsidRPr="00E21075">
        <w:rPr>
          <w:rFonts w:ascii="Arial" w:hAnsi="Arial" w:cs="Arial"/>
        </w:rPr>
        <w:t>(</w:t>
      </w:r>
      <w:proofErr w:type="spellStart"/>
      <w:r w:rsidRPr="00E21075">
        <w:rPr>
          <w:rFonts w:ascii="Arial" w:hAnsi="Arial" w:cs="Arial"/>
        </w:rPr>
        <w:t>Hollewell</w:t>
      </w:r>
      <w:proofErr w:type="spellEnd"/>
      <w:r w:rsidRPr="00E21075">
        <w:rPr>
          <w:rFonts w:ascii="Arial" w:hAnsi="Arial" w:cs="Arial"/>
        </w:rPr>
        <w:t xml:space="preserve"> and </w:t>
      </w:r>
      <w:proofErr w:type="spellStart"/>
      <w:r w:rsidRPr="00E21075">
        <w:rPr>
          <w:rFonts w:ascii="Arial" w:hAnsi="Arial" w:cs="Arial"/>
        </w:rPr>
        <w:t>Longpre</w:t>
      </w:r>
      <w:proofErr w:type="spellEnd"/>
      <w:r w:rsidRPr="00E21075">
        <w:rPr>
          <w:rFonts w:ascii="Arial" w:hAnsi="Arial" w:cs="Arial"/>
        </w:rPr>
        <w:t xml:space="preserve"> 2021).</w:t>
      </w:r>
      <w:r w:rsidRPr="00E21075">
        <w:rPr>
          <w:rFonts w:ascii="Arial" w:hAnsi="Arial" w:cs="Arial"/>
        </w:rPr>
        <w:t xml:space="preserve"> However, it is also critically important to note that whilst the internet has undoubtedly created a space wherein terrorist material and communications may be disseminated more quickly and easily, the exact relationship between the digital sphere and offline acts of violent extremism remain nuanced, rendering this fertile ground for deeper academic analysis </w:t>
      </w:r>
      <w:r w:rsidRPr="00E21075">
        <w:rPr>
          <w:rFonts w:ascii="Arial" w:hAnsi="Arial" w:cs="Arial"/>
        </w:rPr>
        <w:t>Shortland et al (2017)</w:t>
      </w:r>
      <w:r w:rsidRPr="00E21075">
        <w:rPr>
          <w:rFonts w:ascii="Arial" w:hAnsi="Arial" w:cs="Arial"/>
        </w:rPr>
        <w:t xml:space="preserve">. It is also evident that whilst tackling this threat has become a priority for academics and policy makers alike, there is no silver-bullet remedy to tackle the evolving relationship between terrorism and the internet </w:t>
      </w:r>
      <w:r w:rsidRPr="00E21075">
        <w:rPr>
          <w:rFonts w:ascii="Arial" w:hAnsi="Arial" w:cs="Arial"/>
        </w:rPr>
        <w:t xml:space="preserve">(Meserve and </w:t>
      </w:r>
      <w:proofErr w:type="spellStart"/>
      <w:r w:rsidRPr="00E21075">
        <w:rPr>
          <w:rFonts w:ascii="Arial" w:hAnsi="Arial" w:cs="Arial"/>
        </w:rPr>
        <w:t>Pemstein</w:t>
      </w:r>
      <w:proofErr w:type="spellEnd"/>
      <w:r w:rsidRPr="00E21075">
        <w:rPr>
          <w:rFonts w:ascii="Arial" w:hAnsi="Arial" w:cs="Arial"/>
        </w:rPr>
        <w:t xml:space="preserve"> 2020)</w:t>
      </w:r>
      <w:r w:rsidRPr="00E21075">
        <w:rPr>
          <w:rFonts w:ascii="Arial" w:hAnsi="Arial" w:cs="Arial"/>
        </w:rPr>
        <w:t xml:space="preserve">, demonstrating the inherent complexity of this field and the plethora of challenges which arise when seeking to analyse and counter this phenomenon. </w:t>
      </w:r>
      <w:r w:rsidR="005567DB" w:rsidRPr="00E21075">
        <w:rPr>
          <w:rFonts w:ascii="Arial" w:hAnsi="Arial" w:cs="Arial"/>
        </w:rPr>
        <w:t xml:space="preserve">Before concluding, it is however important to note that the relationship </w:t>
      </w:r>
      <w:r w:rsidR="005567DB" w:rsidRPr="00E21075">
        <w:rPr>
          <w:rFonts w:ascii="Arial" w:hAnsi="Arial" w:cs="Arial"/>
        </w:rPr>
        <w:lastRenderedPageBreak/>
        <w:t xml:space="preserve">between the internet and contemporary terrorism is not limited to propaganda, lone actors and the challenges associated with tackling these issues, rather this relationship encompasses a vast body of issues including recruitment, terrorist financing and communication </w:t>
      </w:r>
      <w:r w:rsidR="005567DB" w:rsidRPr="00E21075">
        <w:rPr>
          <w:rFonts w:ascii="Arial" w:hAnsi="Arial" w:cs="Arial"/>
        </w:rPr>
        <w:t>(Lee et al 2021)</w:t>
      </w:r>
      <w:r w:rsidR="005567DB" w:rsidRPr="00E21075">
        <w:rPr>
          <w:rFonts w:ascii="Arial" w:hAnsi="Arial" w:cs="Arial"/>
        </w:rPr>
        <w:t xml:space="preserve">, demonstrating the plethora of threats emerging from within the contemporary digital landscape which require deeper academic investigation. </w:t>
      </w:r>
    </w:p>
    <w:p w14:paraId="32CCEEE4" w14:textId="7AF58215" w:rsidR="00FE4B81" w:rsidRDefault="00FE4B81" w:rsidP="00855ADF">
      <w:pPr>
        <w:jc w:val="both"/>
        <w:rPr>
          <w:b/>
          <w:bCs/>
        </w:rPr>
      </w:pPr>
    </w:p>
    <w:p w14:paraId="378C56FE" w14:textId="621DF8B2" w:rsidR="00FE4B81" w:rsidRDefault="00F17A7B" w:rsidP="00855ADF">
      <w:pPr>
        <w:jc w:val="both"/>
        <w:rPr>
          <w:b/>
          <w:bCs/>
        </w:rPr>
      </w:pPr>
      <w:r>
        <w:rPr>
          <w:b/>
          <w:bCs/>
        </w:rPr>
        <w:t xml:space="preserve">Word Count: </w:t>
      </w:r>
      <w:r w:rsidR="00FE1FE4">
        <w:rPr>
          <w:b/>
          <w:bCs/>
        </w:rPr>
        <w:t>1</w:t>
      </w:r>
      <w:r w:rsidR="00A55AC3">
        <w:rPr>
          <w:b/>
          <w:bCs/>
        </w:rPr>
        <w:t>530</w:t>
      </w:r>
    </w:p>
    <w:p w14:paraId="1F608F2F" w14:textId="77777777" w:rsidR="00D736CE" w:rsidRDefault="00D736CE" w:rsidP="005567DB">
      <w:pPr>
        <w:rPr>
          <w:b/>
          <w:bCs/>
        </w:rPr>
      </w:pPr>
    </w:p>
    <w:p w14:paraId="0120EF25" w14:textId="77777777" w:rsidR="00D736CE" w:rsidRDefault="00D736CE" w:rsidP="00FE4B81">
      <w:pPr>
        <w:jc w:val="center"/>
        <w:rPr>
          <w:b/>
          <w:bCs/>
        </w:rPr>
      </w:pPr>
    </w:p>
    <w:p w14:paraId="177727F5" w14:textId="77777777" w:rsidR="00EA0AE6" w:rsidRDefault="00EA0AE6" w:rsidP="00FE4B81">
      <w:pPr>
        <w:jc w:val="center"/>
        <w:rPr>
          <w:b/>
          <w:bCs/>
          <w:sz w:val="32"/>
          <w:szCs w:val="32"/>
        </w:rPr>
      </w:pPr>
    </w:p>
    <w:p w14:paraId="5166477D" w14:textId="77777777" w:rsidR="00EA0AE6" w:rsidRDefault="00EA0AE6" w:rsidP="00FE4B81">
      <w:pPr>
        <w:jc w:val="center"/>
        <w:rPr>
          <w:b/>
          <w:bCs/>
          <w:sz w:val="32"/>
          <w:szCs w:val="32"/>
        </w:rPr>
      </w:pPr>
    </w:p>
    <w:p w14:paraId="0D4BE78F" w14:textId="77777777" w:rsidR="00EA0AE6" w:rsidRDefault="00EA0AE6" w:rsidP="00FE4B81">
      <w:pPr>
        <w:jc w:val="center"/>
        <w:rPr>
          <w:b/>
          <w:bCs/>
          <w:sz w:val="32"/>
          <w:szCs w:val="32"/>
        </w:rPr>
      </w:pPr>
    </w:p>
    <w:p w14:paraId="5C1EF12A" w14:textId="77777777" w:rsidR="00EA0AE6" w:rsidRDefault="00EA0AE6" w:rsidP="00FE4B81">
      <w:pPr>
        <w:jc w:val="center"/>
        <w:rPr>
          <w:b/>
          <w:bCs/>
          <w:sz w:val="32"/>
          <w:szCs w:val="32"/>
        </w:rPr>
      </w:pPr>
    </w:p>
    <w:p w14:paraId="43707E1E" w14:textId="77777777" w:rsidR="00EA0AE6" w:rsidRDefault="00EA0AE6" w:rsidP="00FE4B81">
      <w:pPr>
        <w:jc w:val="center"/>
        <w:rPr>
          <w:b/>
          <w:bCs/>
          <w:sz w:val="32"/>
          <w:szCs w:val="32"/>
        </w:rPr>
      </w:pPr>
    </w:p>
    <w:p w14:paraId="049D18D2" w14:textId="77777777" w:rsidR="00EA0AE6" w:rsidRDefault="00EA0AE6" w:rsidP="00FE4B81">
      <w:pPr>
        <w:jc w:val="center"/>
        <w:rPr>
          <w:b/>
          <w:bCs/>
          <w:sz w:val="32"/>
          <w:szCs w:val="32"/>
        </w:rPr>
      </w:pPr>
    </w:p>
    <w:p w14:paraId="0AC46696" w14:textId="77777777" w:rsidR="00EA0AE6" w:rsidRDefault="00EA0AE6" w:rsidP="00FE4B81">
      <w:pPr>
        <w:jc w:val="center"/>
        <w:rPr>
          <w:b/>
          <w:bCs/>
          <w:sz w:val="32"/>
          <w:szCs w:val="32"/>
        </w:rPr>
      </w:pPr>
    </w:p>
    <w:p w14:paraId="3CAAF075" w14:textId="77777777" w:rsidR="00EA0AE6" w:rsidRDefault="00EA0AE6" w:rsidP="00FE4B81">
      <w:pPr>
        <w:jc w:val="center"/>
        <w:rPr>
          <w:b/>
          <w:bCs/>
          <w:sz w:val="32"/>
          <w:szCs w:val="32"/>
        </w:rPr>
      </w:pPr>
    </w:p>
    <w:p w14:paraId="5B725E85" w14:textId="77777777" w:rsidR="00EA0AE6" w:rsidRDefault="00EA0AE6" w:rsidP="00FE4B81">
      <w:pPr>
        <w:jc w:val="center"/>
        <w:rPr>
          <w:b/>
          <w:bCs/>
          <w:sz w:val="32"/>
          <w:szCs w:val="32"/>
        </w:rPr>
      </w:pPr>
    </w:p>
    <w:p w14:paraId="31AC5537" w14:textId="77777777" w:rsidR="00A55AC3" w:rsidRDefault="00A55AC3" w:rsidP="00FE4B81">
      <w:pPr>
        <w:jc w:val="center"/>
        <w:rPr>
          <w:b/>
          <w:bCs/>
          <w:sz w:val="32"/>
          <w:szCs w:val="32"/>
        </w:rPr>
      </w:pPr>
    </w:p>
    <w:p w14:paraId="387AAB88" w14:textId="77777777" w:rsidR="00A55AC3" w:rsidRDefault="00A55AC3" w:rsidP="00FE4B81">
      <w:pPr>
        <w:jc w:val="center"/>
        <w:rPr>
          <w:b/>
          <w:bCs/>
          <w:sz w:val="32"/>
          <w:szCs w:val="32"/>
        </w:rPr>
      </w:pPr>
    </w:p>
    <w:p w14:paraId="229AB7DE" w14:textId="77777777" w:rsidR="00E21075" w:rsidRDefault="00E21075" w:rsidP="00FE4B81">
      <w:pPr>
        <w:jc w:val="center"/>
        <w:rPr>
          <w:b/>
          <w:bCs/>
          <w:sz w:val="32"/>
          <w:szCs w:val="32"/>
        </w:rPr>
      </w:pPr>
    </w:p>
    <w:p w14:paraId="3C03DA78" w14:textId="77777777" w:rsidR="00E21075" w:rsidRDefault="00E21075" w:rsidP="00FE4B81">
      <w:pPr>
        <w:jc w:val="center"/>
        <w:rPr>
          <w:b/>
          <w:bCs/>
          <w:sz w:val="32"/>
          <w:szCs w:val="32"/>
        </w:rPr>
      </w:pPr>
    </w:p>
    <w:p w14:paraId="24E44AA3" w14:textId="77777777" w:rsidR="00E21075" w:rsidRDefault="00E21075" w:rsidP="00FE4B81">
      <w:pPr>
        <w:jc w:val="center"/>
        <w:rPr>
          <w:b/>
          <w:bCs/>
          <w:sz w:val="32"/>
          <w:szCs w:val="32"/>
        </w:rPr>
      </w:pPr>
    </w:p>
    <w:p w14:paraId="3609E685" w14:textId="77777777" w:rsidR="00E21075" w:rsidRDefault="00E21075" w:rsidP="00FE4B81">
      <w:pPr>
        <w:jc w:val="center"/>
        <w:rPr>
          <w:b/>
          <w:bCs/>
          <w:sz w:val="32"/>
          <w:szCs w:val="32"/>
        </w:rPr>
      </w:pPr>
    </w:p>
    <w:p w14:paraId="29A3D530" w14:textId="77777777" w:rsidR="00E21075" w:rsidRDefault="00E21075" w:rsidP="00FE4B81">
      <w:pPr>
        <w:jc w:val="center"/>
        <w:rPr>
          <w:b/>
          <w:bCs/>
          <w:sz w:val="32"/>
          <w:szCs w:val="32"/>
        </w:rPr>
      </w:pPr>
    </w:p>
    <w:p w14:paraId="7AAE3F6E" w14:textId="77777777" w:rsidR="00E21075" w:rsidRDefault="00E21075" w:rsidP="00FE4B81">
      <w:pPr>
        <w:jc w:val="center"/>
        <w:rPr>
          <w:b/>
          <w:bCs/>
          <w:sz w:val="32"/>
          <w:szCs w:val="32"/>
        </w:rPr>
      </w:pPr>
    </w:p>
    <w:p w14:paraId="4B27FB2A" w14:textId="77777777" w:rsidR="00E21075" w:rsidRDefault="00E21075" w:rsidP="00FE4B81">
      <w:pPr>
        <w:jc w:val="center"/>
        <w:rPr>
          <w:b/>
          <w:bCs/>
          <w:sz w:val="32"/>
          <w:szCs w:val="32"/>
        </w:rPr>
      </w:pPr>
    </w:p>
    <w:p w14:paraId="12A686BC" w14:textId="77777777" w:rsidR="00E21075" w:rsidRDefault="00E21075" w:rsidP="00FE4B81">
      <w:pPr>
        <w:jc w:val="center"/>
        <w:rPr>
          <w:b/>
          <w:bCs/>
          <w:sz w:val="32"/>
          <w:szCs w:val="32"/>
        </w:rPr>
      </w:pPr>
    </w:p>
    <w:p w14:paraId="1954DBE8" w14:textId="77777777" w:rsidR="00E21075" w:rsidRDefault="00E21075" w:rsidP="00FE4B81">
      <w:pPr>
        <w:jc w:val="center"/>
        <w:rPr>
          <w:b/>
          <w:bCs/>
          <w:sz w:val="32"/>
          <w:szCs w:val="32"/>
        </w:rPr>
      </w:pPr>
    </w:p>
    <w:p w14:paraId="77A2D827" w14:textId="77777777" w:rsidR="00E21075" w:rsidRDefault="00E21075" w:rsidP="00FE4B81">
      <w:pPr>
        <w:jc w:val="center"/>
        <w:rPr>
          <w:b/>
          <w:bCs/>
          <w:sz w:val="32"/>
          <w:szCs w:val="32"/>
        </w:rPr>
      </w:pPr>
    </w:p>
    <w:p w14:paraId="09DEE64C" w14:textId="77777777" w:rsidR="00E21075" w:rsidRDefault="00E21075" w:rsidP="00FE4B81">
      <w:pPr>
        <w:jc w:val="center"/>
        <w:rPr>
          <w:b/>
          <w:bCs/>
          <w:sz w:val="32"/>
          <w:szCs w:val="32"/>
        </w:rPr>
      </w:pPr>
    </w:p>
    <w:p w14:paraId="732D0A94" w14:textId="77777777" w:rsidR="00E21075" w:rsidRDefault="00E21075" w:rsidP="00FE4B81">
      <w:pPr>
        <w:jc w:val="center"/>
        <w:rPr>
          <w:b/>
          <w:bCs/>
          <w:sz w:val="32"/>
          <w:szCs w:val="32"/>
        </w:rPr>
      </w:pPr>
    </w:p>
    <w:p w14:paraId="54800D9A" w14:textId="77777777" w:rsidR="00E21075" w:rsidRDefault="00E21075" w:rsidP="00FE4B81">
      <w:pPr>
        <w:jc w:val="center"/>
        <w:rPr>
          <w:b/>
          <w:bCs/>
          <w:sz w:val="32"/>
          <w:szCs w:val="32"/>
        </w:rPr>
      </w:pPr>
    </w:p>
    <w:p w14:paraId="6A451CE2" w14:textId="21FBD0A5" w:rsidR="00FE4B81" w:rsidRPr="008B5196" w:rsidRDefault="00FE4B81" w:rsidP="00FE4B81">
      <w:pPr>
        <w:jc w:val="center"/>
        <w:rPr>
          <w:b/>
          <w:bCs/>
          <w:sz w:val="32"/>
          <w:szCs w:val="32"/>
        </w:rPr>
      </w:pPr>
      <w:r w:rsidRPr="008B5196">
        <w:rPr>
          <w:b/>
          <w:bCs/>
          <w:sz w:val="32"/>
          <w:szCs w:val="32"/>
        </w:rPr>
        <w:lastRenderedPageBreak/>
        <w:t xml:space="preserve">References </w:t>
      </w:r>
    </w:p>
    <w:p w14:paraId="406CC627" w14:textId="27FA8CD4" w:rsidR="00FE4B81" w:rsidRDefault="00FE4B81" w:rsidP="00FE4B81">
      <w:pPr>
        <w:jc w:val="center"/>
        <w:rPr>
          <w:b/>
          <w:bCs/>
        </w:rPr>
      </w:pPr>
    </w:p>
    <w:p w14:paraId="51F95F81" w14:textId="66D1C46F" w:rsidR="00FE4B81" w:rsidRPr="00FE4B81" w:rsidRDefault="00FE4B81" w:rsidP="00FE4B81">
      <w:pPr>
        <w:jc w:val="center"/>
      </w:pPr>
    </w:p>
    <w:p w14:paraId="1869B7BC" w14:textId="3A9E7671" w:rsidR="00FE4B81" w:rsidRDefault="00FE4B81" w:rsidP="00FE4B81">
      <w:proofErr w:type="spellStart"/>
      <w:r w:rsidRPr="00FE4B81">
        <w:t>Argomaniz</w:t>
      </w:r>
      <w:proofErr w:type="spellEnd"/>
      <w:r w:rsidRPr="00FE4B81">
        <w:t xml:space="preserve">, J. (2014). European Union Responses to Terrorist Use of the Internet. Cooperation and Conflict, Vol 50 (2), pp. 250-268. </w:t>
      </w:r>
      <w:r w:rsidR="005D15F6">
        <w:t>Accessed: 21</w:t>
      </w:r>
      <w:r w:rsidR="005D15F6" w:rsidRPr="005D15F6">
        <w:rPr>
          <w:vertAlign w:val="superscript"/>
        </w:rPr>
        <w:t>st</w:t>
      </w:r>
      <w:r w:rsidR="005D15F6">
        <w:t xml:space="preserve"> December 2021. </w:t>
      </w:r>
      <w:r w:rsidRPr="00FE4B81">
        <w:t>Doi: 10.1177/0010836714545690</w:t>
      </w:r>
    </w:p>
    <w:p w14:paraId="45280C50" w14:textId="2C6D41D0" w:rsidR="008B5196" w:rsidRDefault="008B5196" w:rsidP="00FE4B81"/>
    <w:p w14:paraId="76829FDA" w14:textId="1A05E6F1" w:rsidR="008B5196" w:rsidRDefault="008B5196" w:rsidP="00FE4B81">
      <w:proofErr w:type="spellStart"/>
      <w:r>
        <w:t>Bhui</w:t>
      </w:r>
      <w:proofErr w:type="spellEnd"/>
      <w:r>
        <w:t xml:space="preserve">, K and Ibrahim, Y. (2013). Marketing the “Radical”: Symbolic Communication and Persuasive Technologies in Jihadist Websites. Transcultural Psychology, Vol 50 (2), pp. 216-234. </w:t>
      </w:r>
      <w:r w:rsidR="005D15F6">
        <w:t>Accessed: 2</w:t>
      </w:r>
      <w:r w:rsidR="005D15F6">
        <w:t>0</w:t>
      </w:r>
      <w:r w:rsidR="005D15F6" w:rsidRPr="005D15F6">
        <w:rPr>
          <w:vertAlign w:val="superscript"/>
        </w:rPr>
        <w:t>th</w:t>
      </w:r>
      <w:r w:rsidR="005D15F6">
        <w:t xml:space="preserve"> </w:t>
      </w:r>
      <w:r w:rsidR="005D15F6">
        <w:t xml:space="preserve">December 2021. </w:t>
      </w:r>
      <w:r>
        <w:t>Doi: 10.1177/1363461513479329</w:t>
      </w:r>
    </w:p>
    <w:p w14:paraId="3470207C" w14:textId="4C9B152E" w:rsidR="00874E41" w:rsidRDefault="00874E41" w:rsidP="00FE4B81"/>
    <w:p w14:paraId="74886145" w14:textId="4453E206" w:rsidR="00874E41" w:rsidRDefault="00874E41" w:rsidP="00FE4B81">
      <w:r>
        <w:t xml:space="preserve">Borelli, M. (2021). Social Media Corporations as Actors of Counter-Terrorism. New Media and Society, Vol NA, pp. 1-21. </w:t>
      </w:r>
      <w:r w:rsidR="005D15F6">
        <w:t xml:space="preserve">Accessed: </w:t>
      </w:r>
      <w:r w:rsidR="005D15F6">
        <w:t>18</w:t>
      </w:r>
      <w:r w:rsidR="005D15F6" w:rsidRPr="005D15F6">
        <w:rPr>
          <w:vertAlign w:val="superscript"/>
        </w:rPr>
        <w:t>th</w:t>
      </w:r>
      <w:r w:rsidR="005D15F6">
        <w:t xml:space="preserve"> </w:t>
      </w:r>
      <w:r w:rsidR="005D15F6">
        <w:t xml:space="preserve"> December 2021. </w:t>
      </w:r>
      <w:r>
        <w:t>Doi: 10.1177/14614448211035121</w:t>
      </w:r>
    </w:p>
    <w:p w14:paraId="7D876F9E" w14:textId="4FD1F044" w:rsidR="00887FA6" w:rsidRDefault="00887FA6" w:rsidP="00FE4B81"/>
    <w:p w14:paraId="43FB41E3" w14:textId="7142ACCA" w:rsidR="00887FA6" w:rsidRDefault="00887FA6" w:rsidP="00FE4B81">
      <w:r>
        <w:t xml:space="preserve">Cohen, J. (2016). The Next Generation of Government CVE Strategies at Home: Expanding Opportunities for Intervention. The ANNALS of the American Academy of Political and Social Science, Vol 668 (1), pp. 118-128. </w:t>
      </w:r>
      <w:r w:rsidR="005D15F6">
        <w:t>Accessed: 21</w:t>
      </w:r>
      <w:r w:rsidR="005D15F6" w:rsidRPr="005D15F6">
        <w:rPr>
          <w:vertAlign w:val="superscript"/>
        </w:rPr>
        <w:t>st</w:t>
      </w:r>
      <w:r w:rsidR="005D15F6">
        <w:t xml:space="preserve"> December 2021. </w:t>
      </w:r>
      <w:r>
        <w:t xml:space="preserve">Doi: 10.1177/0002716216669933 </w:t>
      </w:r>
    </w:p>
    <w:p w14:paraId="0E26A2B2" w14:textId="7B3C412F" w:rsidR="00686EEB" w:rsidRDefault="00686EEB" w:rsidP="00FE4B81"/>
    <w:p w14:paraId="519D9398" w14:textId="431348C0" w:rsidR="00686EEB" w:rsidRDefault="00686EEB" w:rsidP="00FE4B81">
      <w:r>
        <w:t xml:space="preserve">Greenberg, K. (2016). Counter-Radicalisation Via the Internet. The ANNALS of the American Academy of Political and Social Science, Vol 668 (1), pp. 165-179. </w:t>
      </w:r>
      <w:r w:rsidR="005D15F6">
        <w:t>Accessed: 2</w:t>
      </w:r>
      <w:r w:rsidR="005D15F6">
        <w:t>0</w:t>
      </w:r>
      <w:r w:rsidR="005D15F6" w:rsidRPr="005D15F6">
        <w:rPr>
          <w:vertAlign w:val="superscript"/>
        </w:rPr>
        <w:t>th</w:t>
      </w:r>
      <w:r w:rsidR="005D15F6">
        <w:t xml:space="preserve"> </w:t>
      </w:r>
      <w:r w:rsidR="005D15F6">
        <w:t xml:space="preserve">December 2021. </w:t>
      </w:r>
      <w:r>
        <w:t>Doi: 10.1177/0002716216672635</w:t>
      </w:r>
    </w:p>
    <w:p w14:paraId="6E38B85A" w14:textId="11053B20" w:rsidR="0088132D" w:rsidRDefault="0088132D" w:rsidP="00FE4B81"/>
    <w:p w14:paraId="10B9F9CB" w14:textId="5BD109DB" w:rsidR="0088132D" w:rsidRDefault="0088132D" w:rsidP="00FE4B81">
      <w:r>
        <w:t xml:space="preserve">Holbrook, D. (2014). Approaching Terrorist Public Relations Initiatives. Public Relations Inquiry, Vol 3 (2), pp. 141-161. </w:t>
      </w:r>
      <w:r w:rsidR="005D15F6">
        <w:t>Accessed: 21</w:t>
      </w:r>
      <w:r w:rsidR="005D15F6" w:rsidRPr="005D15F6">
        <w:rPr>
          <w:vertAlign w:val="superscript"/>
        </w:rPr>
        <w:t>st</w:t>
      </w:r>
      <w:r w:rsidR="005D15F6">
        <w:t xml:space="preserve"> December 2021. </w:t>
      </w:r>
      <w:r>
        <w:t>Doi: 10.1177/2046147X14536179</w:t>
      </w:r>
    </w:p>
    <w:p w14:paraId="273ED425" w14:textId="14265EBE" w:rsidR="004C0C6D" w:rsidRDefault="004C0C6D" w:rsidP="00FE4B81"/>
    <w:p w14:paraId="1F0D68E8" w14:textId="2C5B3BD6" w:rsidR="006E5C57" w:rsidRDefault="006E5C57" w:rsidP="00FE4B81">
      <w:proofErr w:type="spellStart"/>
      <w:r>
        <w:t>Hollewell</w:t>
      </w:r>
      <w:proofErr w:type="spellEnd"/>
      <w:r>
        <w:t xml:space="preserve">, G and </w:t>
      </w:r>
      <w:proofErr w:type="spellStart"/>
      <w:r>
        <w:t>Longpre</w:t>
      </w:r>
      <w:proofErr w:type="spellEnd"/>
      <w:r>
        <w:t xml:space="preserve">, N. (2021). Radicalisation in the Social Media Era: Understanding the Relationship Between Self-Radicalisation and the Internet. International Journal of Offender Therapy, Vol NA, pp. 1-18. </w:t>
      </w:r>
      <w:r w:rsidR="005D15F6">
        <w:t xml:space="preserve">Accessed: </w:t>
      </w:r>
      <w:r w:rsidR="005D15F6">
        <w:t>17</w:t>
      </w:r>
      <w:r w:rsidR="005D15F6" w:rsidRPr="005D15F6">
        <w:rPr>
          <w:vertAlign w:val="superscript"/>
        </w:rPr>
        <w:t>th</w:t>
      </w:r>
      <w:r w:rsidR="005D15F6">
        <w:t xml:space="preserve"> </w:t>
      </w:r>
      <w:r w:rsidR="005D15F6">
        <w:t xml:space="preserve">December 2021. </w:t>
      </w:r>
      <w:r>
        <w:t>Doi: 10.1177/0306624X211028771</w:t>
      </w:r>
    </w:p>
    <w:p w14:paraId="24A97BC2" w14:textId="14FD9A1F" w:rsidR="001C4699" w:rsidRDefault="001C4699" w:rsidP="00FE4B81"/>
    <w:p w14:paraId="600E462A" w14:textId="25A89CF1" w:rsidR="001C4699" w:rsidRDefault="001C4699" w:rsidP="00FE4B81">
      <w:r>
        <w:t xml:space="preserve">Lee, C, Choi, K, </w:t>
      </w:r>
      <w:proofErr w:type="spellStart"/>
      <w:r>
        <w:t>Shandler</w:t>
      </w:r>
      <w:proofErr w:type="spellEnd"/>
      <w:r>
        <w:t xml:space="preserve">, R and </w:t>
      </w:r>
      <w:proofErr w:type="spellStart"/>
      <w:r>
        <w:t>Kayser</w:t>
      </w:r>
      <w:proofErr w:type="spellEnd"/>
      <w:r>
        <w:t xml:space="preserve">, C. (2021). Mapping Global </w:t>
      </w:r>
      <w:proofErr w:type="spellStart"/>
      <w:r>
        <w:t>Cyberterror</w:t>
      </w:r>
      <w:proofErr w:type="spellEnd"/>
      <w:r>
        <w:t xml:space="preserve"> Networks: An Empirical Study of Al-Qaeda and ISIS Cyberterrorism Events. Journal of Contemporary Criminal Justice, Vol 37 (3), pp. 333-355. </w:t>
      </w:r>
      <w:r w:rsidR="005D15F6">
        <w:t xml:space="preserve">Accessed: </w:t>
      </w:r>
      <w:r w:rsidR="005D15F6">
        <w:t>15</w:t>
      </w:r>
      <w:r w:rsidR="005D15F6" w:rsidRPr="005D15F6">
        <w:rPr>
          <w:vertAlign w:val="superscript"/>
        </w:rPr>
        <w:t>th</w:t>
      </w:r>
      <w:r w:rsidR="005D15F6">
        <w:t xml:space="preserve"> </w:t>
      </w:r>
      <w:r w:rsidR="005D15F6">
        <w:t xml:space="preserve">December 2021. </w:t>
      </w:r>
      <w:r>
        <w:t>Doi: 10.1177/10439862211001606</w:t>
      </w:r>
    </w:p>
    <w:p w14:paraId="0AA84050" w14:textId="73B805F7" w:rsidR="004C0C6D" w:rsidRDefault="004C0C6D" w:rsidP="00FE4B81"/>
    <w:p w14:paraId="75C9CAD1" w14:textId="7B69D1F5" w:rsidR="004C0C6D" w:rsidRDefault="004C0C6D" w:rsidP="00FE4B81">
      <w:r>
        <w:t xml:space="preserve">Meserve, S and </w:t>
      </w:r>
      <w:proofErr w:type="spellStart"/>
      <w:r>
        <w:t>Pemstein</w:t>
      </w:r>
      <w:proofErr w:type="spellEnd"/>
      <w:r>
        <w:t xml:space="preserve">, D. (2020). Terrorism and Internet Censorship. Journal of Peace Research, Vol 57 (6), pp. 752-763. </w:t>
      </w:r>
      <w:r w:rsidR="005D15F6">
        <w:t xml:space="preserve">Accessed: </w:t>
      </w:r>
      <w:r w:rsidR="005D15F6">
        <w:t>27</w:t>
      </w:r>
      <w:r w:rsidR="005D15F6" w:rsidRPr="005D15F6">
        <w:rPr>
          <w:vertAlign w:val="superscript"/>
        </w:rPr>
        <w:t>th</w:t>
      </w:r>
      <w:r w:rsidR="005D15F6">
        <w:t xml:space="preserve"> December 2021. </w:t>
      </w:r>
      <w:r>
        <w:t>Doi: 10.1177/0022343320959369</w:t>
      </w:r>
    </w:p>
    <w:p w14:paraId="62ED376C" w14:textId="41740A25" w:rsidR="00014730" w:rsidRDefault="00014730" w:rsidP="00FE4B81"/>
    <w:p w14:paraId="1BB5F41A" w14:textId="55DAB694" w:rsidR="00014730" w:rsidRDefault="00014730" w:rsidP="00FE4B81">
      <w:r>
        <w:t xml:space="preserve">Murthy, D. (2021). Evaluating Platform Accountability: Terrorist Content on </w:t>
      </w:r>
      <w:proofErr w:type="spellStart"/>
      <w:r>
        <w:t>Youtube</w:t>
      </w:r>
      <w:proofErr w:type="spellEnd"/>
      <w:r>
        <w:t xml:space="preserve">. American Behavioural Scientist, Vol 65 (6), pp. 800-824. </w:t>
      </w:r>
      <w:r w:rsidR="005D15F6">
        <w:t>Accessed: 21</w:t>
      </w:r>
      <w:r w:rsidR="005D15F6" w:rsidRPr="005D15F6">
        <w:rPr>
          <w:vertAlign w:val="superscript"/>
        </w:rPr>
        <w:t>st</w:t>
      </w:r>
      <w:r w:rsidR="005D15F6">
        <w:t xml:space="preserve"> December 2021. </w:t>
      </w:r>
      <w:r>
        <w:t>Doi: 10.1177/0002764221989774</w:t>
      </w:r>
    </w:p>
    <w:p w14:paraId="4D9885E4" w14:textId="6F55499A" w:rsidR="00272800" w:rsidRDefault="00272800" w:rsidP="00FE4B81"/>
    <w:p w14:paraId="35F5879E" w14:textId="1728EE49" w:rsidR="00272800" w:rsidRDefault="00272800" w:rsidP="00FE4B81">
      <w:r>
        <w:lastRenderedPageBreak/>
        <w:t xml:space="preserve">O’Callaghan, D, Greene, D, Conway, M, </w:t>
      </w:r>
      <w:proofErr w:type="spellStart"/>
      <w:r>
        <w:t>Carthy</w:t>
      </w:r>
      <w:proofErr w:type="spellEnd"/>
      <w:r>
        <w:t xml:space="preserve">, J and Cunningham, P. (2014). Down the (White) Rabbit Hole: The Extreme Right and Online Recommender Systems. Social Science Computer Review, Vol 33 (4), pp. 459-478. </w:t>
      </w:r>
      <w:r w:rsidR="005D15F6">
        <w:t>Accessed: 2</w:t>
      </w:r>
      <w:r w:rsidR="005D15F6">
        <w:t>8</w:t>
      </w:r>
      <w:r w:rsidR="005D15F6" w:rsidRPr="005D15F6">
        <w:rPr>
          <w:vertAlign w:val="superscript"/>
        </w:rPr>
        <w:t>th</w:t>
      </w:r>
      <w:r w:rsidR="005D15F6">
        <w:t xml:space="preserve"> December 2021. </w:t>
      </w:r>
      <w:r>
        <w:t>Doi: 10.1177/0894439314555329</w:t>
      </w:r>
    </w:p>
    <w:p w14:paraId="414D30EB" w14:textId="495A86C1" w:rsidR="006E5C57" w:rsidRDefault="006E5C57" w:rsidP="00FE4B81"/>
    <w:p w14:paraId="30F07CB8" w14:textId="6AE20DE1" w:rsidR="006E5C57" w:rsidRDefault="006E5C57" w:rsidP="00FE4B81">
      <w:proofErr w:type="spellStart"/>
      <w:r>
        <w:t>Pitcavage</w:t>
      </w:r>
      <w:proofErr w:type="spellEnd"/>
      <w:r>
        <w:t xml:space="preserve">, M. (2015). Cerberus Unleashed: The Three Faces of the Lone Wolf Terrorist. American Behavioural Scientist, Vol 59 (13), pp. 1655-1680. </w:t>
      </w:r>
      <w:r w:rsidR="005D15F6">
        <w:t xml:space="preserve">Accessed: </w:t>
      </w:r>
      <w:r w:rsidR="005D15F6">
        <w:t>19</w:t>
      </w:r>
      <w:r w:rsidR="005D15F6" w:rsidRPr="005D15F6">
        <w:rPr>
          <w:vertAlign w:val="superscript"/>
        </w:rPr>
        <w:t>th</w:t>
      </w:r>
      <w:r w:rsidR="005D15F6">
        <w:t xml:space="preserve"> December 2021. </w:t>
      </w:r>
      <w:r>
        <w:t>Doi: 10.1177/0002764215588817</w:t>
      </w:r>
    </w:p>
    <w:p w14:paraId="6565DCEB" w14:textId="0FD90BE6" w:rsidR="0001076C" w:rsidRDefault="0001076C" w:rsidP="00FE4B81"/>
    <w:p w14:paraId="14AA38F2" w14:textId="21DA428A" w:rsidR="0001076C" w:rsidRDefault="0001076C" w:rsidP="00FE4B81">
      <w:r>
        <w:t xml:space="preserve">Rieger, D, </w:t>
      </w:r>
      <w:proofErr w:type="spellStart"/>
      <w:r>
        <w:t>Frischlich</w:t>
      </w:r>
      <w:proofErr w:type="spellEnd"/>
      <w:r>
        <w:t xml:space="preserve">, L and </w:t>
      </w:r>
      <w:proofErr w:type="spellStart"/>
      <w:r>
        <w:t>Bente</w:t>
      </w:r>
      <w:proofErr w:type="spellEnd"/>
      <w:r>
        <w:t xml:space="preserve">, G. (2019). Dealing With the Dark Side: The Effects of Right-Wing Extremist and Islamist Extremist Propaganda From a Social Identity Perspective. Media, War and Conflict, Vol 13 (3), pp. 280-299. </w:t>
      </w:r>
      <w:r w:rsidR="005D15F6">
        <w:t xml:space="preserve">Accessed: </w:t>
      </w:r>
      <w:r w:rsidR="005D15F6">
        <w:t>17</w:t>
      </w:r>
      <w:r w:rsidR="005D15F6" w:rsidRPr="005D15F6">
        <w:rPr>
          <w:vertAlign w:val="superscript"/>
        </w:rPr>
        <w:t>th</w:t>
      </w:r>
      <w:r w:rsidR="005D15F6">
        <w:t xml:space="preserve"> December 2021. </w:t>
      </w:r>
      <w:r>
        <w:t>Doi: 10.1177/1750635219829165</w:t>
      </w:r>
    </w:p>
    <w:p w14:paraId="3FF23DD1" w14:textId="4B3A55BD" w:rsidR="00555014" w:rsidRDefault="00555014" w:rsidP="00FE4B81"/>
    <w:p w14:paraId="17F81332" w14:textId="1E2B8012" w:rsidR="00555014" w:rsidRPr="00FE4B81" w:rsidRDefault="00555014" w:rsidP="00FE4B81">
      <w:r>
        <w:t xml:space="preserve">Shortland, N, Nader, E, </w:t>
      </w:r>
      <w:proofErr w:type="spellStart"/>
      <w:r>
        <w:t>Imperillo</w:t>
      </w:r>
      <w:proofErr w:type="spellEnd"/>
      <w:r>
        <w:t xml:space="preserve">, N, Ross, K and </w:t>
      </w:r>
      <w:proofErr w:type="spellStart"/>
      <w:r>
        <w:t>Dmello</w:t>
      </w:r>
      <w:proofErr w:type="spellEnd"/>
      <w:r>
        <w:t xml:space="preserve">, J. (2017). The Interaction of Extremist Propaganda and Anger as Predictors of Violent Responses. Journal of Interpersonal Violence, Vol 36 (3-4), pp. 1391-1411. </w:t>
      </w:r>
      <w:r w:rsidR="005D15F6">
        <w:t>Accessed: 2</w:t>
      </w:r>
      <w:r w:rsidR="005D15F6">
        <w:t>2</w:t>
      </w:r>
      <w:r w:rsidR="005D15F6" w:rsidRPr="005D15F6">
        <w:rPr>
          <w:vertAlign w:val="superscript"/>
        </w:rPr>
        <w:t>nd</w:t>
      </w:r>
      <w:r w:rsidR="005D15F6">
        <w:t xml:space="preserve"> </w:t>
      </w:r>
      <w:r w:rsidR="005D15F6">
        <w:t xml:space="preserve">December 2021. </w:t>
      </w:r>
      <w:r>
        <w:t>Doi: 10.1177/0886260517747599</w:t>
      </w:r>
    </w:p>
    <w:sectPr w:rsidR="00555014" w:rsidRPr="00FE4B81" w:rsidSect="00E27A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278"/>
    <w:rsid w:val="0001076C"/>
    <w:rsid w:val="00014730"/>
    <w:rsid w:val="001C4699"/>
    <w:rsid w:val="0024071E"/>
    <w:rsid w:val="00272800"/>
    <w:rsid w:val="002C5ECF"/>
    <w:rsid w:val="004A605D"/>
    <w:rsid w:val="004C0C6D"/>
    <w:rsid w:val="00516627"/>
    <w:rsid w:val="00555014"/>
    <w:rsid w:val="005567DB"/>
    <w:rsid w:val="00563F84"/>
    <w:rsid w:val="005D15F6"/>
    <w:rsid w:val="00645787"/>
    <w:rsid w:val="00686EEB"/>
    <w:rsid w:val="006E1095"/>
    <w:rsid w:val="006E5C57"/>
    <w:rsid w:val="007C5F45"/>
    <w:rsid w:val="00855ADF"/>
    <w:rsid w:val="00874E41"/>
    <w:rsid w:val="0088132D"/>
    <w:rsid w:val="00887FA6"/>
    <w:rsid w:val="008B5196"/>
    <w:rsid w:val="00A55AC3"/>
    <w:rsid w:val="00A618F8"/>
    <w:rsid w:val="00B92E89"/>
    <w:rsid w:val="00C4598C"/>
    <w:rsid w:val="00D736CE"/>
    <w:rsid w:val="00E21075"/>
    <w:rsid w:val="00E27A9F"/>
    <w:rsid w:val="00E441A9"/>
    <w:rsid w:val="00E446D8"/>
    <w:rsid w:val="00E81278"/>
    <w:rsid w:val="00EA0AE6"/>
    <w:rsid w:val="00F17A7B"/>
    <w:rsid w:val="00FE1FE4"/>
    <w:rsid w:val="00FE4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3BA7A"/>
  <w15:chartTrackingRefBased/>
  <w15:docId w15:val="{E1835622-4D27-2248-A3CE-D24070413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7A9F"/>
    <w:rPr>
      <w:rFonts w:eastAsiaTheme="minorEastAsia"/>
      <w:sz w:val="22"/>
      <w:szCs w:val="22"/>
      <w:lang w:val="en-US" w:eastAsia="zh-CN"/>
    </w:rPr>
  </w:style>
  <w:style w:type="character" w:customStyle="1" w:styleId="NoSpacingChar">
    <w:name w:val="No Spacing Char"/>
    <w:basedOn w:val="DefaultParagraphFont"/>
    <w:link w:val="NoSpacing"/>
    <w:uiPriority w:val="1"/>
    <w:rsid w:val="00E27A9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2025</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Battlefield: A Critical Examination of the Relationship Between Terrorism and the Internet</dc:title>
  <dc:subject>Terrorism and Cybercrime (BMCJ7003)</dc:subject>
  <dc:creator>Lewis Tandy (2016893)</dc:creator>
  <cp:keywords/>
  <dc:description/>
  <cp:lastModifiedBy>Lewis Brandon Tandy (2016893)</cp:lastModifiedBy>
  <cp:revision>2</cp:revision>
  <dcterms:created xsi:type="dcterms:W3CDTF">2021-12-31T11:20:00Z</dcterms:created>
  <dcterms:modified xsi:type="dcterms:W3CDTF">2021-12-31T11:20:00Z</dcterms:modified>
</cp:coreProperties>
</file>