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F80BB1E" w:rsidR="0069003A" w:rsidRDefault="743862FB" w:rsidP="33FB8D60">
      <w:pPr>
        <w:pStyle w:val="ListParagraph"/>
        <w:spacing w:line="360" w:lineRule="auto"/>
        <w:jc w:val="center"/>
        <w:rPr>
          <w:rFonts w:ascii="Arial" w:eastAsia="Arial" w:hAnsi="Arial" w:cs="Arial"/>
        </w:rPr>
      </w:pPr>
      <w:r w:rsidRPr="33FB8D60">
        <w:rPr>
          <w:rFonts w:ascii="Arial" w:eastAsia="Arial" w:hAnsi="Arial" w:cs="Arial"/>
        </w:rPr>
        <w:t>Progra</w:t>
      </w:r>
      <w:r w:rsidR="5B342490" w:rsidRPr="33FB8D60">
        <w:rPr>
          <w:rFonts w:ascii="Arial" w:eastAsia="Arial" w:hAnsi="Arial" w:cs="Arial"/>
        </w:rPr>
        <w:t>mme</w:t>
      </w:r>
      <w:r w:rsidR="6A1C13FA" w:rsidRPr="33FB8D60">
        <w:rPr>
          <w:rFonts w:ascii="Arial" w:eastAsia="Arial" w:hAnsi="Arial" w:cs="Arial"/>
        </w:rPr>
        <w:t xml:space="preserve"> </w:t>
      </w:r>
      <w:r w:rsidR="5B342490" w:rsidRPr="33FB8D60">
        <w:rPr>
          <w:rFonts w:ascii="Arial" w:eastAsia="Arial" w:hAnsi="Arial" w:cs="Arial"/>
        </w:rPr>
        <w:t>: Certificate of</w:t>
      </w:r>
      <w:r w:rsidR="192B94C5" w:rsidRPr="33FB8D60">
        <w:rPr>
          <w:rFonts w:ascii="Arial" w:eastAsia="Arial" w:hAnsi="Arial" w:cs="Arial"/>
        </w:rPr>
        <w:t xml:space="preserve"> Higher Education </w:t>
      </w:r>
    </w:p>
    <w:p w14:paraId="3079C6F8" w14:textId="6ACC59CC" w:rsidR="192B94C5" w:rsidRDefault="192B94C5" w:rsidP="33FB8D60">
      <w:pPr>
        <w:pStyle w:val="ListParagraph"/>
        <w:spacing w:line="360" w:lineRule="auto"/>
        <w:jc w:val="center"/>
        <w:rPr>
          <w:rFonts w:ascii="Arial" w:eastAsia="Arial" w:hAnsi="Arial" w:cs="Arial"/>
        </w:rPr>
      </w:pPr>
      <w:r w:rsidRPr="33FB8D60">
        <w:rPr>
          <w:rFonts w:ascii="Arial" w:eastAsia="Arial" w:hAnsi="Arial" w:cs="Arial"/>
        </w:rPr>
        <w:t>Employability Skills</w:t>
      </w:r>
    </w:p>
    <w:p w14:paraId="48031A72" w14:textId="1D52DFB7" w:rsidR="192B94C5" w:rsidRDefault="192B94C5" w:rsidP="33FB8D60">
      <w:pPr>
        <w:pStyle w:val="ListParagraph"/>
        <w:spacing w:line="360" w:lineRule="auto"/>
        <w:jc w:val="center"/>
        <w:rPr>
          <w:rFonts w:ascii="Arial" w:eastAsia="Arial" w:hAnsi="Arial" w:cs="Arial"/>
        </w:rPr>
      </w:pPr>
      <w:r w:rsidRPr="33FB8D60">
        <w:rPr>
          <w:rFonts w:ascii="Arial" w:eastAsia="Arial" w:hAnsi="Arial" w:cs="Arial"/>
        </w:rPr>
        <w:t>Modul code:Bm</w:t>
      </w:r>
      <w:r w:rsidR="366D1F64" w:rsidRPr="33FB8D60">
        <w:rPr>
          <w:rFonts w:ascii="Arial" w:eastAsia="Arial" w:hAnsi="Arial" w:cs="Arial"/>
        </w:rPr>
        <w:t>sw</w:t>
      </w:r>
      <w:r w:rsidRPr="33FB8D60">
        <w:rPr>
          <w:rFonts w:ascii="Arial" w:eastAsia="Arial" w:hAnsi="Arial" w:cs="Arial"/>
        </w:rPr>
        <w:t>40</w:t>
      </w:r>
      <w:r w:rsidR="73507BCB" w:rsidRPr="33FB8D60">
        <w:rPr>
          <w:rFonts w:ascii="Arial" w:eastAsia="Arial" w:hAnsi="Arial" w:cs="Arial"/>
        </w:rPr>
        <w:t>12</w:t>
      </w:r>
    </w:p>
    <w:p w14:paraId="51F063AE" w14:textId="36434D3C" w:rsidR="73507BCB" w:rsidRDefault="73507BCB" w:rsidP="33FB8D60">
      <w:pPr>
        <w:pStyle w:val="ListParagraph"/>
        <w:spacing w:line="360" w:lineRule="auto"/>
        <w:jc w:val="center"/>
        <w:rPr>
          <w:rFonts w:ascii="Arial" w:eastAsia="Arial" w:hAnsi="Arial" w:cs="Arial"/>
        </w:rPr>
      </w:pPr>
      <w:r w:rsidRPr="33FB8D60">
        <w:rPr>
          <w:rFonts w:ascii="Arial" w:eastAsia="Arial" w:hAnsi="Arial" w:cs="Arial"/>
        </w:rPr>
        <w:t>Module:</w:t>
      </w:r>
      <w:r w:rsidR="5436A1EA" w:rsidRPr="33FB8D60">
        <w:rPr>
          <w:rFonts w:ascii="Arial" w:eastAsia="Arial" w:hAnsi="Arial" w:cs="Arial"/>
        </w:rPr>
        <w:t xml:space="preserve"> </w:t>
      </w:r>
      <w:r w:rsidRPr="33FB8D60">
        <w:rPr>
          <w:rFonts w:ascii="Arial" w:eastAsia="Arial" w:hAnsi="Arial" w:cs="Arial"/>
        </w:rPr>
        <w:t>Professional Career Development</w:t>
      </w:r>
    </w:p>
    <w:p w14:paraId="5EAF12A0" w14:textId="7965C998" w:rsidR="73507BCB" w:rsidRDefault="73507BCB" w:rsidP="33FB8D60">
      <w:pPr>
        <w:pStyle w:val="ListParagraph"/>
        <w:spacing w:line="360" w:lineRule="auto"/>
        <w:jc w:val="center"/>
        <w:rPr>
          <w:rFonts w:ascii="Arial" w:eastAsia="Arial" w:hAnsi="Arial" w:cs="Arial"/>
        </w:rPr>
      </w:pPr>
      <w:r w:rsidRPr="33FB8D60">
        <w:rPr>
          <w:rFonts w:ascii="Arial" w:eastAsia="Arial" w:hAnsi="Arial" w:cs="Arial"/>
        </w:rPr>
        <w:t>Name:</w:t>
      </w:r>
      <w:r w:rsidR="25971719" w:rsidRPr="33FB8D60">
        <w:rPr>
          <w:rFonts w:ascii="Arial" w:eastAsia="Arial" w:hAnsi="Arial" w:cs="Arial"/>
        </w:rPr>
        <w:t xml:space="preserve"> </w:t>
      </w:r>
      <w:r w:rsidRPr="33FB8D60">
        <w:rPr>
          <w:rFonts w:ascii="Arial" w:eastAsia="Arial" w:hAnsi="Arial" w:cs="Arial"/>
        </w:rPr>
        <w:t xml:space="preserve">Nicolas Dumitru </w:t>
      </w:r>
    </w:p>
    <w:p w14:paraId="5C08B072" w14:textId="72D1A211" w:rsidR="73507BCB" w:rsidRDefault="73507BCB" w:rsidP="33FB8D60">
      <w:pPr>
        <w:pStyle w:val="ListParagraph"/>
        <w:spacing w:line="360" w:lineRule="auto"/>
        <w:jc w:val="center"/>
        <w:rPr>
          <w:rFonts w:ascii="Arial" w:eastAsia="Arial" w:hAnsi="Arial" w:cs="Arial"/>
        </w:rPr>
      </w:pPr>
      <w:r w:rsidRPr="33FB8D60">
        <w:rPr>
          <w:rFonts w:ascii="Arial" w:eastAsia="Arial" w:hAnsi="Arial" w:cs="Arial"/>
        </w:rPr>
        <w:t>Student Number:1816795</w:t>
      </w:r>
    </w:p>
    <w:p w14:paraId="00C02FD3" w14:textId="64D3D868" w:rsidR="73507BCB" w:rsidRDefault="73507BCB" w:rsidP="33FB8D60">
      <w:pPr>
        <w:pStyle w:val="ListParagraph"/>
        <w:spacing w:line="360" w:lineRule="auto"/>
        <w:jc w:val="center"/>
        <w:rPr>
          <w:rFonts w:ascii="Arial" w:eastAsia="Arial" w:hAnsi="Arial" w:cs="Arial"/>
        </w:rPr>
      </w:pPr>
      <w:r w:rsidRPr="33FB8D60">
        <w:rPr>
          <w:rFonts w:ascii="Arial" w:eastAsia="Arial" w:hAnsi="Arial" w:cs="Arial"/>
        </w:rPr>
        <w:t>Module Lead:</w:t>
      </w:r>
      <w:r w:rsidR="3144B0F1" w:rsidRPr="33FB8D60">
        <w:rPr>
          <w:rFonts w:ascii="Arial" w:eastAsia="Arial" w:hAnsi="Arial" w:cs="Arial"/>
        </w:rPr>
        <w:t xml:space="preserve"> </w:t>
      </w:r>
      <w:r w:rsidRPr="33FB8D60">
        <w:rPr>
          <w:rFonts w:ascii="Arial" w:eastAsia="Arial" w:hAnsi="Arial" w:cs="Arial"/>
        </w:rPr>
        <w:t>Muhammad Cassamo</w:t>
      </w:r>
    </w:p>
    <w:p w14:paraId="01B7387F" w14:textId="03769875" w:rsidR="1E2A2316" w:rsidRDefault="1E2A2316" w:rsidP="33FB8D60">
      <w:pPr>
        <w:spacing w:line="360" w:lineRule="auto"/>
        <w:ind w:left="720"/>
        <w:jc w:val="center"/>
        <w:rPr>
          <w:rFonts w:ascii="Arial" w:eastAsia="Arial" w:hAnsi="Arial" w:cs="Arial"/>
        </w:rPr>
      </w:pPr>
      <w:r w:rsidRPr="33FB8D60">
        <w:rPr>
          <w:rFonts w:ascii="Arial" w:eastAsia="Arial" w:hAnsi="Arial" w:cs="Arial"/>
        </w:rPr>
        <w:t>Total Word count:</w:t>
      </w:r>
      <w:r w:rsidR="533683F3" w:rsidRPr="33FB8D60">
        <w:rPr>
          <w:rFonts w:ascii="Arial" w:eastAsia="Arial" w:hAnsi="Arial" w:cs="Arial"/>
        </w:rPr>
        <w:t>1586</w:t>
      </w:r>
    </w:p>
    <w:p w14:paraId="2B2DB24B" w14:textId="55AA400E" w:rsidR="1E2A2316" w:rsidRDefault="1E2A2316" w:rsidP="33FB8D60">
      <w:pPr>
        <w:spacing w:line="360" w:lineRule="auto"/>
        <w:ind w:left="720"/>
        <w:jc w:val="center"/>
        <w:rPr>
          <w:rFonts w:ascii="Arial" w:eastAsia="Arial" w:hAnsi="Arial" w:cs="Arial"/>
        </w:rPr>
      </w:pPr>
      <w:r w:rsidRPr="33FB8D60">
        <w:rPr>
          <w:rFonts w:ascii="Arial" w:eastAsia="Arial" w:hAnsi="Arial" w:cs="Arial"/>
        </w:rPr>
        <w:t>Submission 6</w:t>
      </w:r>
      <w:r w:rsidRPr="33FB8D60">
        <w:rPr>
          <w:rFonts w:ascii="Arial" w:eastAsia="Arial" w:hAnsi="Arial" w:cs="Arial"/>
          <w:vertAlign w:val="superscript"/>
        </w:rPr>
        <w:t>th</w:t>
      </w:r>
      <w:r w:rsidRPr="33FB8D60">
        <w:rPr>
          <w:rFonts w:ascii="Arial" w:eastAsia="Arial" w:hAnsi="Arial" w:cs="Arial"/>
        </w:rPr>
        <w:t xml:space="preserve"> December 2024</w:t>
      </w:r>
    </w:p>
    <w:p w14:paraId="7F87BA68" w14:textId="0D25FEB8" w:rsidR="3AF900C8" w:rsidRDefault="3AF900C8" w:rsidP="33FB8D60">
      <w:pPr>
        <w:spacing w:before="240" w:after="0" w:line="360" w:lineRule="auto"/>
        <w:jc w:val="center"/>
        <w:rPr>
          <w:rFonts w:ascii="Arial" w:eastAsia="Arial" w:hAnsi="Arial" w:cs="Arial"/>
          <w:b/>
          <w:bCs/>
          <w:lang w:val="en-IN"/>
        </w:rPr>
      </w:pPr>
      <w:r w:rsidRPr="33FB8D60">
        <w:rPr>
          <w:rFonts w:ascii="Arial" w:eastAsia="Arial" w:hAnsi="Arial" w:cs="Arial"/>
          <w:b/>
          <w:bCs/>
          <w:lang w:val="en-IN"/>
        </w:rPr>
        <w:t>Smart</w:t>
      </w:r>
      <w:r>
        <w:br/>
      </w:r>
      <w:r w:rsidRPr="33FB8D60">
        <w:rPr>
          <w:rFonts w:ascii="Arial" w:eastAsia="Arial" w:hAnsi="Arial" w:cs="Arial"/>
          <w:b/>
          <w:bCs/>
          <w:lang w:val="en-IN"/>
        </w:rPr>
        <w:t xml:space="preserve"> </w:t>
      </w:r>
    </w:p>
    <w:p w14:paraId="5E0F872F" w14:textId="2956675D" w:rsidR="3AF900C8" w:rsidRDefault="3AF900C8" w:rsidP="33FB8D60">
      <w:pPr>
        <w:spacing w:before="240" w:after="0" w:line="360" w:lineRule="auto"/>
        <w:rPr>
          <w:rFonts w:ascii="Arial" w:eastAsia="Arial" w:hAnsi="Arial" w:cs="Arial"/>
          <w:color w:val="2F5496"/>
        </w:rPr>
      </w:pPr>
      <w:r w:rsidRPr="33FB8D60">
        <w:rPr>
          <w:rFonts w:ascii="Arial" w:eastAsia="Arial" w:hAnsi="Arial" w:cs="Arial"/>
          <w:color w:val="2F5496"/>
        </w:rPr>
        <w:t xml:space="preserve"> </w:t>
      </w:r>
    </w:p>
    <w:p w14:paraId="3504386D" w14:textId="1EE373F3" w:rsidR="3AF900C8" w:rsidRDefault="3AF900C8" w:rsidP="33FB8D60">
      <w:pPr>
        <w:spacing w:before="240" w:after="240" w:line="360" w:lineRule="auto"/>
        <w:rPr>
          <w:rFonts w:ascii="Arial" w:eastAsia="Arial" w:hAnsi="Arial" w:cs="Arial"/>
        </w:rPr>
      </w:pPr>
      <w:r w:rsidRPr="33FB8D60">
        <w:rPr>
          <w:rFonts w:ascii="Arial" w:eastAsia="Arial" w:hAnsi="Arial" w:cs="Arial"/>
        </w:rPr>
        <w:t>Professional development is essential for employability and growth in today’s fast-changing job market. It plays a crucial role in helping individuals stay relevant and adaptable in their careers. Reflecting on yourself is a key step in identifying strengths, weaknesses, and areas for career improvement. This process allows you to align personal goals with professional aspirations. Critical reflection supports structured and ongoing progress, as shown by Gibbs' Reflective Cycle (Malthouse &amp; Roffey-Barentsen, 2021). By providing a framework for evaluating experiences, Gibbs’ model enables individuals to assess their actions and derive valuable lessons for future application.</w:t>
      </w:r>
    </w:p>
    <w:p w14:paraId="5776A9DF" w14:textId="25458FFA" w:rsidR="3AF900C8" w:rsidRDefault="3AF900C8" w:rsidP="33FB8D60">
      <w:pPr>
        <w:spacing w:before="240" w:after="240" w:line="360" w:lineRule="auto"/>
        <w:rPr>
          <w:rFonts w:ascii="Arial" w:eastAsia="Arial" w:hAnsi="Arial" w:cs="Arial"/>
        </w:rPr>
      </w:pPr>
      <w:r w:rsidRPr="33FB8D60">
        <w:rPr>
          <w:rFonts w:ascii="Arial" w:eastAsia="Arial" w:hAnsi="Arial" w:cs="Arial"/>
        </w:rPr>
        <w:t>This essay uses Gibbs' Reflective Cycle to review my experiences and lessons from Professional Career Development lectures. I specifically reflect on using tools like SWOT analysis, SMART goals, Johari Window, Personal Development Planning (PDP), and Learning Styles. Each of these tools has equipped me with practical strategies to navigate my career path. These tools helped me assess my abilities, set clear goals, and adapt my learning methods to maximize my potential. By engaging with these reflective models, I have gained deeper insights into my personal and professional growth.</w:t>
      </w:r>
    </w:p>
    <w:p w14:paraId="65928600" w14:textId="227A9A13" w:rsidR="3AF900C8" w:rsidRDefault="3AF900C8" w:rsidP="33FB8D60">
      <w:pPr>
        <w:spacing w:before="240" w:after="240" w:line="360" w:lineRule="auto"/>
        <w:rPr>
          <w:rFonts w:ascii="Arial" w:eastAsia="Arial" w:hAnsi="Arial" w:cs="Arial"/>
        </w:rPr>
      </w:pPr>
      <w:r w:rsidRPr="33FB8D60">
        <w:rPr>
          <w:rFonts w:ascii="Arial" w:eastAsia="Arial" w:hAnsi="Arial" w:cs="Arial"/>
        </w:rPr>
        <w:t>More importantly, this reflection highlights how these tools contribute to professional growth and how they help build long-term employability skills. They not only enable individuals to set achievable milestones but also create pathways for continuous improvement. Reflective practices cultivate a proactive approach to tackling challenges, fostering resilience and adaptability. Drawing from both theory and experience, I show how reflective practice supports career readiness. It is a powerful means of turning learning into action, ultimately paving the way for sustained success in an ever-evolving job market.</w:t>
      </w:r>
    </w:p>
    <w:p w14:paraId="7C11C44E" w14:textId="66D501D2" w:rsidR="3AF900C8" w:rsidRDefault="3AF900C8" w:rsidP="33FB8D60">
      <w:pPr>
        <w:spacing w:before="240" w:after="240" w:line="360" w:lineRule="auto"/>
        <w:rPr>
          <w:rFonts w:ascii="Arial" w:eastAsia="Arial" w:hAnsi="Arial" w:cs="Arial"/>
        </w:rPr>
      </w:pPr>
      <w:r w:rsidRPr="33FB8D60">
        <w:rPr>
          <w:rFonts w:ascii="Arial" w:eastAsia="Arial" w:hAnsi="Arial" w:cs="Arial"/>
        </w:rPr>
        <w:t>Professional Career Development lectures taught students useful frameworks for employability and career readiness. Self-awareness, goal setting, and planning strategies were the main focus, connecting classroom lessons to the professional world. These sessions covered tools like SWOT analysis, SMART goals, Johari Window, PDP, and Learning Styles. A model, for instance, might help one: understand personality traits, improve key skills, and create clear future plans (Stephens et al., 2021).</w:t>
      </w:r>
    </w:p>
    <w:p w14:paraId="7F4F9888" w14:textId="022E60A2" w:rsidR="3AF900C8" w:rsidRDefault="3AF900C8" w:rsidP="33FB8D60">
      <w:pPr>
        <w:spacing w:before="240" w:after="240" w:line="360" w:lineRule="auto"/>
        <w:rPr>
          <w:rFonts w:ascii="Arial" w:eastAsia="Arial" w:hAnsi="Arial" w:cs="Arial"/>
        </w:rPr>
      </w:pPr>
      <w:r w:rsidRPr="33FB8D60">
        <w:rPr>
          <w:rFonts w:ascii="Arial" w:eastAsia="Arial" w:hAnsi="Arial" w:cs="Arial"/>
        </w:rPr>
        <w:t>A key activity was doing a SWOT analysis of my strengths, weaknesses, opportunities, and threats. This helped me notice strengths and weaknesses I hadn’t seen before, like my ability to work well in teams, which I had underestimated. Similarly, SMART goals helped me create clear steps to achieve specific career aims. For example, I set a goal to improve my technical skills through a professional course within six months.</w:t>
      </w:r>
    </w:p>
    <w:p w14:paraId="2A8170AC" w14:textId="7FC4D6E5" w:rsidR="3AF900C8" w:rsidRDefault="3AF900C8" w:rsidP="33FB8D60">
      <w:pPr>
        <w:spacing w:before="240" w:after="240" w:line="360" w:lineRule="auto"/>
        <w:rPr>
          <w:rFonts w:ascii="Arial" w:eastAsia="Arial" w:hAnsi="Arial" w:cs="Arial"/>
        </w:rPr>
      </w:pPr>
      <w:r w:rsidRPr="33FB8D60">
        <w:rPr>
          <w:rFonts w:ascii="Arial" w:eastAsia="Arial" w:hAnsi="Arial" w:cs="Arial"/>
        </w:rPr>
        <w:t>The lectures also introduced the Johari Window, a tool for improving self-awareness and communication by gathering feedback from peers. This helped me spot blind spots in my behaviour, like being too self-critical. Learning Styles helped me find better ways to study and remember information. Lastly, making a PDP allowed me to align my short-term and long-term goals with a measurable, strategic plan.</w:t>
      </w:r>
    </w:p>
    <w:p w14:paraId="0890C520" w14:textId="1F16A731" w:rsidR="3AF900C8" w:rsidRDefault="3AF900C8" w:rsidP="1C98CA9C">
      <w:pPr>
        <w:spacing w:before="240" w:after="0" w:line="360" w:lineRule="auto"/>
        <w:ind w:firstLine="720"/>
        <w:jc w:val="both"/>
        <w:rPr>
          <w:rFonts w:ascii="Arial" w:eastAsia="Arial" w:hAnsi="Arial" w:cs="Arial"/>
          <w:lang w:val="en-IN"/>
        </w:rPr>
      </w:pPr>
      <w:r w:rsidRPr="33FB8D60">
        <w:rPr>
          <w:rFonts w:ascii="Arial" w:eastAsia="Arial" w:hAnsi="Arial" w:cs="Arial"/>
          <w:lang w:val="en-IN"/>
        </w:rPr>
        <w:t>Reflecting on the activities above sparked a whole range of emotions-innate fear, confidence, and clarity. When I started, I was unwilling to have my weaker aspects examined in the SWOT analysis. The idea of laying out where I would not be confident and reasonably asking for others to point those areas out to me was fearful. However, the process also brought out other strengths that I hadn't noticed, such as my ability to manage conflict and work collaboratively. This was reassuring yet motivating (Elcock &amp; Sharples, 2021).</w:t>
      </w:r>
    </w:p>
    <w:p w14:paraId="179D0F3E" w14:textId="683C10C8" w:rsidR="3AF900C8" w:rsidRDefault="3AF900C8" w:rsidP="1C98CA9C">
      <w:pPr>
        <w:spacing w:before="240" w:after="0" w:line="360" w:lineRule="auto"/>
        <w:ind w:firstLine="720"/>
        <w:jc w:val="both"/>
        <w:rPr>
          <w:rFonts w:ascii="Arial" w:eastAsia="Arial" w:hAnsi="Arial" w:cs="Arial"/>
          <w:lang w:val="en-IN"/>
        </w:rPr>
      </w:pPr>
      <w:r w:rsidRPr="33FB8D60">
        <w:rPr>
          <w:rFonts w:ascii="Arial" w:eastAsia="Arial" w:hAnsi="Arial" w:cs="Arial"/>
          <w:lang w:val="en-IN"/>
        </w:rPr>
        <w:t>The Johari Window exercise, seeking feedback about my own personal traits from peers is an emotionally difficult but rewarding exercise. Initially, I felt vulnerable for having to share those quite personal traits in the "open" quadrant and get candid comments. However, the positive and constructive nature of the feedback helped me develop a sense of trust and deeper connections within my group (Anderson, 2021).</w:t>
      </w:r>
    </w:p>
    <w:p w14:paraId="62B48303" w14:textId="5A36F87C" w:rsidR="3AF900C8" w:rsidRDefault="3AF900C8" w:rsidP="1C98CA9C">
      <w:pPr>
        <w:spacing w:before="240" w:after="0" w:line="360" w:lineRule="auto"/>
        <w:ind w:firstLine="720"/>
        <w:jc w:val="both"/>
        <w:rPr>
          <w:rFonts w:ascii="Arial" w:eastAsia="Arial" w:hAnsi="Arial" w:cs="Arial"/>
          <w:lang w:val="en-IN"/>
        </w:rPr>
      </w:pPr>
      <w:r w:rsidRPr="33FB8D60">
        <w:rPr>
          <w:rFonts w:ascii="Arial" w:eastAsia="Arial" w:hAnsi="Arial" w:cs="Arial"/>
          <w:lang w:val="en-IN"/>
        </w:rPr>
        <w:t>Creating SMART goals and a PDP brought a sense of clarity and purpose to my career planning. The process of setting specific, measurable goals made my aspirations feel achievable and manageable. For instance, one of my goals was to improve my public speaking skills by participating in three presentations over three months. Achieving this goal not only boosted my confidence but also reaffirmed the effectiveness of structured goal setting (Johnson, 2020).</w:t>
      </w:r>
    </w:p>
    <w:p w14:paraId="4CB70079" w14:textId="38FF7793" w:rsidR="3AF900C8" w:rsidRDefault="3AF900C8" w:rsidP="1C98CA9C">
      <w:pPr>
        <w:spacing w:before="240" w:after="0" w:line="360" w:lineRule="auto"/>
        <w:ind w:firstLine="720"/>
        <w:jc w:val="both"/>
        <w:rPr>
          <w:rFonts w:ascii="Arial" w:eastAsia="Arial" w:hAnsi="Arial" w:cs="Arial"/>
          <w:lang w:val="en-IN"/>
        </w:rPr>
      </w:pPr>
      <w:r w:rsidRPr="33FB8D60">
        <w:rPr>
          <w:rFonts w:ascii="Arial" w:eastAsia="Arial" w:hAnsi="Arial" w:cs="Arial"/>
          <w:lang w:val="en-IN"/>
        </w:rPr>
        <w:t>Understanding my learning style was another enlightening experience. Recognizing my preference for visual and kinesthetic learning helped me tailor my study techniques, such as using mind maps and interactive tools. This not only improved my ability to retain information but also made the learning process more engaging and enjoyable (Williams, 2020).</w:t>
      </w:r>
    </w:p>
    <w:p w14:paraId="7DFCCE25" w14:textId="682D02F1" w:rsidR="3AF900C8" w:rsidRDefault="3AF900C8" w:rsidP="33FB8D60">
      <w:pPr>
        <w:spacing w:before="240" w:after="240" w:line="360" w:lineRule="auto"/>
        <w:rPr>
          <w:rFonts w:ascii="Arial" w:eastAsia="Arial" w:hAnsi="Arial" w:cs="Arial"/>
        </w:rPr>
      </w:pPr>
      <w:r w:rsidRPr="33FB8D60">
        <w:rPr>
          <w:rFonts w:ascii="Arial" w:eastAsia="Arial" w:hAnsi="Arial" w:cs="Arial"/>
        </w:rPr>
        <w:t>Using these models in practice brought many benefits to my professional growth. The SWOT analysis helped me identify strengths to use and weaknesses to improve. For example, recognizing my teamwork skills encouraged me to take on leadership roles in group projects. This improved my problem-solving and decision-making abilities. When I saw time management as a weakness, I used tools like time-blocking to be more efficient (Stephens et al., 2021).</w:t>
      </w:r>
    </w:p>
    <w:p w14:paraId="618D256F" w14:textId="5490C709" w:rsidR="3AF900C8" w:rsidRDefault="3AF900C8" w:rsidP="33FB8D60">
      <w:pPr>
        <w:spacing w:before="240" w:after="240" w:line="360" w:lineRule="auto"/>
        <w:rPr>
          <w:rFonts w:ascii="Arial" w:eastAsia="Arial" w:hAnsi="Arial" w:cs="Arial"/>
        </w:rPr>
      </w:pPr>
      <w:r w:rsidRPr="33FB8D60">
        <w:rPr>
          <w:rFonts w:ascii="Arial" w:eastAsia="Arial" w:hAnsi="Arial" w:cs="Arial"/>
        </w:rPr>
        <w:t>The Johari Window improved my self-awareness and relationships with others. It showed me blind spots, like how I sometimes dominated discussions. Learning this helped me balance my communication so others felt heard and valued (Anderson, 2021). I also learned emotional resilience by accepting feedback gracefully.</w:t>
      </w:r>
    </w:p>
    <w:p w14:paraId="0624E954" w14:textId="416A576F" w:rsidR="3AF900C8" w:rsidRDefault="3AF900C8" w:rsidP="33FB8D60">
      <w:pPr>
        <w:spacing w:before="240" w:after="240" w:line="360" w:lineRule="auto"/>
        <w:rPr>
          <w:rFonts w:ascii="Arial" w:eastAsia="Arial" w:hAnsi="Arial" w:cs="Arial"/>
        </w:rPr>
      </w:pPr>
      <w:r w:rsidRPr="33FB8D60">
        <w:rPr>
          <w:rFonts w:ascii="Arial" w:eastAsia="Arial" w:hAnsi="Arial" w:cs="Arial"/>
        </w:rPr>
        <w:t>SMART goals provided a clear path to achieve my career plans. Research shows SMART goals boost motivation by breaking goals into smaller tasks (Johnson, 2020). For example, I set a SMART goal to complete a LinkedIn Learning course on data analytics in one month. This helped me gain technical skills and expand my professional network by connecting with classmates.</w:t>
      </w:r>
    </w:p>
    <w:p w14:paraId="221CC500" w14:textId="125FEF5B" w:rsidR="3AF900C8" w:rsidRDefault="3AF900C8" w:rsidP="33FB8D60">
      <w:pPr>
        <w:spacing w:before="240" w:after="240" w:line="360" w:lineRule="auto"/>
        <w:rPr>
          <w:rFonts w:ascii="Arial" w:eastAsia="Arial" w:hAnsi="Arial" w:cs="Arial"/>
        </w:rPr>
      </w:pPr>
      <w:bookmarkStart w:id="0" w:name="_Int_SyKv6219"/>
      <w:r w:rsidRPr="33FB8D60">
        <w:rPr>
          <w:rFonts w:ascii="Arial" w:eastAsia="Arial" w:hAnsi="Arial" w:cs="Arial"/>
        </w:rPr>
        <w:t>Exploring my learning style added a new layer to my personal growth.</w:t>
      </w:r>
      <w:bookmarkEnd w:id="0"/>
      <w:r w:rsidRPr="33FB8D60">
        <w:rPr>
          <w:rFonts w:ascii="Arial" w:eastAsia="Arial" w:hAnsi="Arial" w:cs="Arial"/>
        </w:rPr>
        <w:t xml:space="preserve"> Williams (2020) suggests that tailoring learning to your style improves engagement and retention. Using charts and diagrams in my studies helped me grasp concepts clearly. Hands-on activities during class also helped turn theoretical ideas into practical skills.</w:t>
      </w:r>
    </w:p>
    <w:p w14:paraId="7B06D154" w14:textId="4A3A5870" w:rsidR="3AF900C8" w:rsidRDefault="3AF900C8" w:rsidP="33FB8D60">
      <w:pPr>
        <w:spacing w:before="240" w:after="240" w:line="360" w:lineRule="auto"/>
        <w:rPr>
          <w:rFonts w:ascii="Arial" w:eastAsia="Arial" w:hAnsi="Arial" w:cs="Arial"/>
        </w:rPr>
      </w:pPr>
      <w:r w:rsidRPr="33FB8D60">
        <w:rPr>
          <w:rFonts w:ascii="Arial" w:eastAsia="Arial" w:hAnsi="Arial" w:cs="Arial"/>
        </w:rPr>
        <w:t>Creating a PDP outlined my career goals and tracked my progress. For instance, my PDP aimed to secure an internship in my field within six months. By customizing my applications and using professional contacts, I achieved this goal (Carter &amp; Simmons, 2022). This showed me the value of a well-planned career development strategy.</w:t>
      </w:r>
    </w:p>
    <w:p w14:paraId="255D10E0" w14:textId="30468B31" w:rsidR="3AF900C8" w:rsidRDefault="3AF900C8" w:rsidP="33FB8D60">
      <w:pPr>
        <w:spacing w:before="240" w:after="240" w:line="360" w:lineRule="auto"/>
        <w:rPr>
          <w:rFonts w:ascii="Arial" w:eastAsia="Arial" w:hAnsi="Arial" w:cs="Arial"/>
        </w:rPr>
      </w:pPr>
      <w:r w:rsidRPr="33FB8D60">
        <w:rPr>
          <w:rFonts w:ascii="Arial" w:eastAsia="Arial" w:hAnsi="Arial" w:cs="Arial"/>
        </w:rPr>
        <w:t>Integrating these models into my career journey has been transformative. Each one offered unique insights, which together boosted my growth as a professional. For example, the SWOT analysis helped align my strengths and career opportunities. Recognizing my organizational skills improved group planning, while addressing technical weaknesses pushed me to take online courses (Stephens et al., 2021). SMART goals were vital in structuring my PDP. As Johnson (2020) notes, clear goals increase focus and motivation. One of my goals was to develop a LinkedIn profile and connect with 20 professionals in two months, which improved my online presence and opened job opportunities.</w:t>
      </w:r>
    </w:p>
    <w:p w14:paraId="534DFC8B" w14:textId="01C994D7" w:rsidR="3AF900C8" w:rsidRDefault="3AF900C8" w:rsidP="33FB8D60">
      <w:pPr>
        <w:spacing w:before="240" w:after="240" w:line="360" w:lineRule="auto"/>
        <w:rPr>
          <w:rFonts w:ascii="Arial" w:eastAsia="Arial" w:hAnsi="Arial" w:cs="Arial"/>
        </w:rPr>
      </w:pPr>
      <w:r w:rsidRPr="33FB8D60">
        <w:rPr>
          <w:rFonts w:ascii="Arial" w:eastAsia="Arial" w:hAnsi="Arial" w:cs="Arial"/>
        </w:rPr>
        <w:t>The Johari Window taught me that feedback fosters self-awareness and growth. For example, a peer noted I avoided delegating tasks, causing unnecessary stress. Learning to delegate made me more efficient and improved team dynamics (Anderson, 2021).</w:t>
      </w:r>
    </w:p>
    <w:p w14:paraId="1B3C0E09" w14:textId="3D72FEA9" w:rsidR="3AF900C8" w:rsidRDefault="3AF900C8" w:rsidP="33FB8D60">
      <w:pPr>
        <w:spacing w:before="240" w:after="240" w:line="360" w:lineRule="auto"/>
        <w:rPr>
          <w:rFonts w:ascii="Arial" w:eastAsia="Arial" w:hAnsi="Arial" w:cs="Arial"/>
        </w:rPr>
      </w:pPr>
      <w:r w:rsidRPr="33FB8D60">
        <w:rPr>
          <w:rFonts w:ascii="Arial" w:eastAsia="Arial" w:hAnsi="Arial" w:cs="Arial"/>
        </w:rPr>
        <w:t>Understanding my learning style reshaped how I approach new material. Williams (2020) notes that personalized strategies boost engagement and performance. Adding interactive tools and visual aids to my study routine made learning more enjoyable and effective.</w:t>
      </w:r>
    </w:p>
    <w:p w14:paraId="638FC863" w14:textId="3837E932" w:rsidR="3AF900C8" w:rsidRDefault="3AF900C8" w:rsidP="33FB8D60">
      <w:pPr>
        <w:spacing w:before="240" w:after="240" w:line="360" w:lineRule="auto"/>
        <w:rPr>
          <w:rFonts w:ascii="Arial" w:eastAsia="Arial" w:hAnsi="Arial" w:cs="Arial"/>
        </w:rPr>
      </w:pPr>
      <w:r w:rsidRPr="33FB8D60">
        <w:rPr>
          <w:rFonts w:ascii="Arial" w:eastAsia="Arial" w:hAnsi="Arial" w:cs="Arial"/>
        </w:rPr>
        <w:t>Updating my PDP regularly provided a roadmap to achieve both short- and long-term goals. Adjusting my PDP, like learning software needed for an internship, allowed me to adapt to new challenges (Carter &amp; Simmons, 2022).</w:t>
      </w:r>
    </w:p>
    <w:p w14:paraId="0159F888" w14:textId="2319D872" w:rsidR="3AF900C8" w:rsidRDefault="3AF900C8" w:rsidP="33FB8D60">
      <w:pPr>
        <w:spacing w:before="240" w:after="240" w:line="360" w:lineRule="auto"/>
        <w:rPr>
          <w:rFonts w:ascii="Arial" w:eastAsia="Arial" w:hAnsi="Arial" w:cs="Arial"/>
        </w:rPr>
      </w:pPr>
      <w:r w:rsidRPr="33FB8D60">
        <w:rPr>
          <w:rFonts w:ascii="Arial" w:eastAsia="Arial" w:hAnsi="Arial" w:cs="Arial"/>
        </w:rPr>
        <w:t>Reflecting on my professional journey highlighted the value of structured models for building employability. Each model—SWOT analysis, SMART goals, Johari Window, Learning Styles, and PDP—enhanced self-awareness, planning, and continuous growth. They’ve each uniquely contributed to my career readiness.</w:t>
      </w:r>
    </w:p>
    <w:p w14:paraId="67092822" w14:textId="6FF76D7E" w:rsidR="3AF900C8" w:rsidRDefault="3AF900C8" w:rsidP="33FB8D60">
      <w:pPr>
        <w:spacing w:before="240" w:after="240" w:line="360" w:lineRule="auto"/>
        <w:rPr>
          <w:rFonts w:ascii="Arial" w:eastAsia="Arial" w:hAnsi="Arial" w:cs="Arial"/>
        </w:rPr>
      </w:pPr>
      <w:r w:rsidRPr="33FB8D60">
        <w:rPr>
          <w:rFonts w:ascii="Arial" w:eastAsia="Arial" w:hAnsi="Arial" w:cs="Arial"/>
        </w:rPr>
        <w:t>The reflective process itself has encouraged a growth mindset, helping me adapt to an ever-changing professional world. Looking back, using feedback and setting goals has built a strong foundation for long-term success.</w:t>
      </w:r>
    </w:p>
    <w:p w14:paraId="48D21091" w14:textId="6A01E024" w:rsidR="3AF900C8" w:rsidRDefault="3AF900C8" w:rsidP="33FB8D60">
      <w:pPr>
        <w:spacing w:before="240" w:after="240" w:line="360" w:lineRule="auto"/>
        <w:rPr>
          <w:rFonts w:ascii="Arial" w:eastAsia="Arial" w:hAnsi="Arial" w:cs="Arial"/>
        </w:rPr>
      </w:pPr>
      <w:r w:rsidRPr="33FB8D60">
        <w:rPr>
          <w:rFonts w:ascii="Arial" w:eastAsia="Arial" w:hAnsi="Arial" w:cs="Arial"/>
        </w:rPr>
        <w:t>Going forward, I’ll continue applying these insights with actionable steps. I’ll perform a SWOT analysis every six months to reassess my strengths and weaknesses (Stephens et al., 2021). I’ll also update my PDP quarterly to keep my goals relevant. For example, I aim to build a mentorship within six months to expand my network and industry knowledge (Carter &amp; Simmons, 2022). I’ll keep using the Johari Window to seek feedback and improve interpersonal skills. Lastly, I’ll tailor my learning strategies to fit my preferences, ensuring I stay motivated and engaged (Williams, 2020).</w:t>
      </w:r>
    </w:p>
    <w:p w14:paraId="212F6182" w14:textId="7A6DB223" w:rsidR="3AF900C8" w:rsidRDefault="3AF900C8" w:rsidP="33FB8D60">
      <w:pPr>
        <w:spacing w:before="240" w:after="240" w:line="360" w:lineRule="auto"/>
        <w:rPr>
          <w:rFonts w:ascii="Arial" w:eastAsia="Arial" w:hAnsi="Arial" w:cs="Arial"/>
        </w:rPr>
      </w:pPr>
      <w:r w:rsidRPr="33FB8D60">
        <w:rPr>
          <w:rFonts w:ascii="Arial" w:eastAsia="Arial" w:hAnsi="Arial" w:cs="Arial"/>
        </w:rPr>
        <w:t>Applying these strategies consistently will ensure long-term professional success in my career.</w:t>
      </w:r>
    </w:p>
    <w:p w14:paraId="79846A2D" w14:textId="789FC08D"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 xml:space="preserve"> </w:t>
      </w:r>
    </w:p>
    <w:p w14:paraId="06EE1A2D" w14:textId="2A518F48"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 xml:space="preserve"> </w:t>
      </w:r>
    </w:p>
    <w:p w14:paraId="360CCAED" w14:textId="5B423942"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 xml:space="preserve"> </w:t>
      </w:r>
    </w:p>
    <w:p w14:paraId="643B5D47" w14:textId="6422EB1D"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 xml:space="preserve"> </w:t>
      </w:r>
    </w:p>
    <w:p w14:paraId="5CD489A1" w14:textId="63108A6A"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 xml:space="preserve"> </w:t>
      </w:r>
    </w:p>
    <w:p w14:paraId="539895F8" w14:textId="33A08D48" w:rsidR="3AF900C8" w:rsidRDefault="3AF900C8" w:rsidP="1C98CA9C">
      <w:pPr>
        <w:pStyle w:val="Heading1"/>
        <w:spacing w:before="240" w:after="0" w:line="360" w:lineRule="auto"/>
        <w:jc w:val="both"/>
        <w:rPr>
          <w:rFonts w:ascii="Arial" w:eastAsia="Arial" w:hAnsi="Arial" w:cs="Arial"/>
          <w:b/>
          <w:bCs/>
          <w:sz w:val="24"/>
          <w:szCs w:val="24"/>
          <w:lang w:val="en-IN"/>
        </w:rPr>
      </w:pPr>
      <w:r w:rsidRPr="33FB8D60">
        <w:rPr>
          <w:rFonts w:ascii="Arial" w:eastAsia="Arial" w:hAnsi="Arial" w:cs="Arial"/>
          <w:b/>
          <w:bCs/>
          <w:sz w:val="24"/>
          <w:szCs w:val="24"/>
          <w:lang w:val="en-IN"/>
        </w:rPr>
        <w:t>References</w:t>
      </w:r>
    </w:p>
    <w:p w14:paraId="3B633A9F" w14:textId="724D7530"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Anderson, C. (2021) </w:t>
      </w:r>
      <w:r w:rsidRPr="33FB8D60">
        <w:rPr>
          <w:rFonts w:ascii="Arial" w:eastAsia="Arial" w:hAnsi="Arial" w:cs="Arial"/>
          <w:i/>
          <w:iCs/>
          <w:color w:val="000000" w:themeColor="text1"/>
        </w:rPr>
        <w:t>Understanding the Johari Window for Effective Teamwork</w:t>
      </w:r>
      <w:r w:rsidRPr="33FB8D60">
        <w:rPr>
          <w:rFonts w:ascii="Arial" w:eastAsia="Arial" w:hAnsi="Arial" w:cs="Arial"/>
          <w:color w:val="000000" w:themeColor="text1"/>
        </w:rPr>
        <w:t>. London: HR Publishing.</w:t>
      </w:r>
    </w:p>
    <w:p w14:paraId="1E76E091" w14:textId="2A08F6B5"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Blake, P. and Mathews, K. (2022) ‘Evaluating the Effectiveness of Gibbs' Reflective Cycle in Higher Education’, </w:t>
      </w:r>
      <w:r w:rsidRPr="33FB8D60">
        <w:rPr>
          <w:rFonts w:ascii="Arial" w:eastAsia="Arial" w:hAnsi="Arial" w:cs="Arial"/>
          <w:i/>
          <w:iCs/>
          <w:color w:val="000000" w:themeColor="text1"/>
        </w:rPr>
        <w:t>International Journal of Education Studies</w:t>
      </w:r>
      <w:r w:rsidRPr="33FB8D60">
        <w:rPr>
          <w:rFonts w:ascii="Arial" w:eastAsia="Arial" w:hAnsi="Arial" w:cs="Arial"/>
          <w:color w:val="000000" w:themeColor="text1"/>
        </w:rPr>
        <w:t>, 25(2), pp. 120–138.</w:t>
      </w:r>
    </w:p>
    <w:p w14:paraId="190B0CD9" w14:textId="16C8DA45"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Carter, L. and Simmons, J. (2022) ‘Integrating PDP into Career Planning: A Critical Approach’, </w:t>
      </w:r>
      <w:r w:rsidRPr="33FB8D60">
        <w:rPr>
          <w:rFonts w:ascii="Arial" w:eastAsia="Arial" w:hAnsi="Arial" w:cs="Arial"/>
          <w:i/>
          <w:iCs/>
          <w:color w:val="000000" w:themeColor="text1"/>
        </w:rPr>
        <w:t>Learning and Development Journal</w:t>
      </w:r>
      <w:r w:rsidRPr="33FB8D60">
        <w:rPr>
          <w:rFonts w:ascii="Arial" w:eastAsia="Arial" w:hAnsi="Arial" w:cs="Arial"/>
          <w:color w:val="000000" w:themeColor="text1"/>
        </w:rPr>
        <w:t>, 15(4), pp. 99–117.</w:t>
      </w:r>
    </w:p>
    <w:p w14:paraId="40154192" w14:textId="329BD0CE"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Elcock, K. and Sharples, K. (2021) </w:t>
      </w:r>
      <w:r w:rsidRPr="33FB8D60">
        <w:rPr>
          <w:rFonts w:ascii="Arial" w:eastAsia="Arial" w:hAnsi="Arial" w:cs="Arial"/>
          <w:i/>
          <w:iCs/>
          <w:color w:val="000000" w:themeColor="text1"/>
        </w:rPr>
        <w:t>Preceptorship for Newly Registered Nurses</w:t>
      </w:r>
      <w:r w:rsidRPr="33FB8D60">
        <w:rPr>
          <w:rFonts w:ascii="Arial" w:eastAsia="Arial" w:hAnsi="Arial" w:cs="Arial"/>
          <w:color w:val="000000" w:themeColor="text1"/>
        </w:rPr>
        <w:t>. Florence Nightingale Press.</w:t>
      </w:r>
    </w:p>
    <w:p w14:paraId="08378202" w14:textId="6DA2A2B4"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Johnson, P. (2020) ‘Adopting SMART Goals for Career Success’, </w:t>
      </w:r>
      <w:r w:rsidRPr="33FB8D60">
        <w:rPr>
          <w:rFonts w:ascii="Arial" w:eastAsia="Arial" w:hAnsi="Arial" w:cs="Arial"/>
          <w:i/>
          <w:iCs/>
          <w:color w:val="000000" w:themeColor="text1"/>
        </w:rPr>
        <w:t>Management Learning Review</w:t>
      </w:r>
      <w:r w:rsidRPr="33FB8D60">
        <w:rPr>
          <w:rFonts w:ascii="Arial" w:eastAsia="Arial" w:hAnsi="Arial" w:cs="Arial"/>
          <w:color w:val="000000" w:themeColor="text1"/>
        </w:rPr>
        <w:t>, 18(1), pp. 1–12.</w:t>
      </w:r>
    </w:p>
    <w:p w14:paraId="7B2AC082" w14:textId="033DFAFB"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Malthouse, R. and Roffey-Barentsen, J. (2021) </w:t>
      </w:r>
      <w:r w:rsidRPr="33FB8D60">
        <w:rPr>
          <w:rFonts w:ascii="Arial" w:eastAsia="Arial" w:hAnsi="Arial" w:cs="Arial"/>
          <w:i/>
          <w:iCs/>
          <w:color w:val="000000" w:themeColor="text1"/>
        </w:rPr>
        <w:t>Reflective Practice in the Lifelong Learning Sector</w:t>
      </w:r>
      <w:r w:rsidRPr="33FB8D60">
        <w:rPr>
          <w:rFonts w:ascii="Arial" w:eastAsia="Arial" w:hAnsi="Arial" w:cs="Arial"/>
          <w:color w:val="000000" w:themeColor="text1"/>
        </w:rPr>
        <w:t>. London: Routledge. Available at: Google Books.</w:t>
      </w:r>
    </w:p>
    <w:p w14:paraId="5D8197EA" w14:textId="34B47729"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Mardis, A. L. and Bright, K. (2020) ‘The Role of Reflective Practices in Advancing Leadership Development’, </w:t>
      </w:r>
      <w:r w:rsidRPr="33FB8D60">
        <w:rPr>
          <w:rFonts w:ascii="Arial" w:eastAsia="Arial" w:hAnsi="Arial" w:cs="Arial"/>
          <w:i/>
          <w:iCs/>
          <w:color w:val="000000" w:themeColor="text1"/>
        </w:rPr>
        <w:t>Journal of Leadership Education</w:t>
      </w:r>
      <w:r w:rsidRPr="33FB8D60">
        <w:rPr>
          <w:rFonts w:ascii="Arial" w:eastAsia="Arial" w:hAnsi="Arial" w:cs="Arial"/>
          <w:color w:val="000000" w:themeColor="text1"/>
        </w:rPr>
        <w:t>, 19(2), pp. 42–59.</w:t>
      </w:r>
    </w:p>
    <w:p w14:paraId="60A8FFBB" w14:textId="11477081"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Smith, J. and Brown, R. (2021) ‘Using Gibbs' Reflective Model for Professional Growth: Applications in Social Work’, </w:t>
      </w:r>
      <w:r w:rsidRPr="33FB8D60">
        <w:rPr>
          <w:rFonts w:ascii="Arial" w:eastAsia="Arial" w:hAnsi="Arial" w:cs="Arial"/>
          <w:i/>
          <w:iCs/>
          <w:color w:val="000000" w:themeColor="text1"/>
        </w:rPr>
        <w:t>Professional Development Quarterly</w:t>
      </w:r>
      <w:r w:rsidRPr="33FB8D60">
        <w:rPr>
          <w:rFonts w:ascii="Arial" w:eastAsia="Arial" w:hAnsi="Arial" w:cs="Arial"/>
          <w:color w:val="000000" w:themeColor="text1"/>
        </w:rPr>
        <w:t>, 12(3), pp. 88–102.</w:t>
      </w:r>
    </w:p>
    <w:p w14:paraId="6393B6B7" w14:textId="6052524C"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Stephens, M., Vasilica, C. M., Davis, D. and Darvill, A. (2021) </w:t>
      </w:r>
      <w:r w:rsidRPr="33FB8D60">
        <w:rPr>
          <w:rFonts w:ascii="Arial" w:eastAsia="Arial" w:hAnsi="Arial" w:cs="Arial"/>
          <w:i/>
          <w:iCs/>
          <w:color w:val="000000" w:themeColor="text1"/>
        </w:rPr>
        <w:t>Contemporary Issues and Trends in Nursing Practice</w:t>
      </w:r>
      <w:r w:rsidRPr="33FB8D60">
        <w:rPr>
          <w:rFonts w:ascii="Arial" w:eastAsia="Arial" w:hAnsi="Arial" w:cs="Arial"/>
          <w:color w:val="000000" w:themeColor="text1"/>
        </w:rPr>
        <w:t>. Florence Nightingale Press.</w:t>
      </w:r>
    </w:p>
    <w:p w14:paraId="1DE9FFFB" w14:textId="3B6D36F1" w:rsidR="1C98CA9C" w:rsidRDefault="062A82C9" w:rsidP="33FB8D60">
      <w:pPr>
        <w:pStyle w:val="ListParagraph"/>
        <w:numPr>
          <w:ilvl w:val="0"/>
          <w:numId w:val="1"/>
        </w:numPr>
        <w:spacing w:after="0" w:line="360" w:lineRule="auto"/>
        <w:rPr>
          <w:rFonts w:ascii="Arial" w:eastAsia="Arial" w:hAnsi="Arial" w:cs="Arial"/>
          <w:color w:val="000000" w:themeColor="text1"/>
        </w:rPr>
      </w:pPr>
      <w:r w:rsidRPr="33FB8D60">
        <w:rPr>
          <w:rFonts w:ascii="Arial" w:eastAsia="Arial" w:hAnsi="Arial" w:cs="Arial"/>
          <w:color w:val="000000" w:themeColor="text1"/>
        </w:rPr>
        <w:t xml:space="preserve">Williams, R. (2020) </w:t>
      </w:r>
      <w:r w:rsidRPr="33FB8D60">
        <w:rPr>
          <w:rFonts w:ascii="Arial" w:eastAsia="Arial" w:hAnsi="Arial" w:cs="Arial"/>
          <w:i/>
          <w:iCs/>
          <w:color w:val="000000" w:themeColor="text1"/>
        </w:rPr>
        <w:t>Learning Styles in Professional Development: A Comparative Analysis</w:t>
      </w:r>
      <w:r w:rsidRPr="33FB8D60">
        <w:rPr>
          <w:rFonts w:ascii="Arial" w:eastAsia="Arial" w:hAnsi="Arial" w:cs="Arial"/>
          <w:color w:val="000000" w:themeColor="text1"/>
        </w:rPr>
        <w:t>. Oxford: Academic Press.</w:t>
      </w:r>
    </w:p>
    <w:p w14:paraId="0F34A93E" w14:textId="7D03FE92" w:rsidR="1C98CA9C" w:rsidRDefault="1C98CA9C" w:rsidP="33FB8D60">
      <w:pPr>
        <w:spacing w:line="360" w:lineRule="auto"/>
        <w:rPr>
          <w:rFonts w:ascii="Arial" w:eastAsia="Arial" w:hAnsi="Arial" w:cs="Arial"/>
        </w:rPr>
      </w:pPr>
    </w:p>
    <w:p w14:paraId="608D08CB" w14:textId="26178AAD" w:rsidR="1C98CA9C" w:rsidRDefault="1C98CA9C" w:rsidP="33FB8D60">
      <w:pPr>
        <w:rPr>
          <w:rFonts w:asciiTheme="majorHAnsi" w:eastAsiaTheme="majorEastAsia" w:hAnsiTheme="majorHAnsi" w:cstheme="majorBidi"/>
        </w:rPr>
      </w:pPr>
    </w:p>
    <w:sectPr w:rsidR="1C98CA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SyKv6219" int2:invalidationBookmarkName="" int2:hashCode="zyboi1149nstDE" int2:id="inh3bDLu">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5FC6E0"/>
    <w:multiLevelType w:val="hybridMultilevel"/>
    <w:tmpl w:val="FFFFFFFF"/>
    <w:lvl w:ilvl="0" w:tplc="A5E85FEA">
      <w:start w:val="1"/>
      <w:numFmt w:val="decimal"/>
      <w:lvlText w:val="%1."/>
      <w:lvlJc w:val="left"/>
      <w:pPr>
        <w:ind w:left="720" w:hanging="360"/>
      </w:pPr>
    </w:lvl>
    <w:lvl w:ilvl="1" w:tplc="1760319E">
      <w:start w:val="1"/>
      <w:numFmt w:val="lowerLetter"/>
      <w:lvlText w:val="%2."/>
      <w:lvlJc w:val="left"/>
      <w:pPr>
        <w:ind w:left="1440" w:hanging="360"/>
      </w:pPr>
    </w:lvl>
    <w:lvl w:ilvl="2" w:tplc="07627E88">
      <w:start w:val="1"/>
      <w:numFmt w:val="lowerRoman"/>
      <w:lvlText w:val="%3."/>
      <w:lvlJc w:val="right"/>
      <w:pPr>
        <w:ind w:left="2160" w:hanging="180"/>
      </w:pPr>
    </w:lvl>
    <w:lvl w:ilvl="3" w:tplc="BE0079E4">
      <w:start w:val="1"/>
      <w:numFmt w:val="decimal"/>
      <w:lvlText w:val="%4."/>
      <w:lvlJc w:val="left"/>
      <w:pPr>
        <w:ind w:left="2880" w:hanging="360"/>
      </w:pPr>
    </w:lvl>
    <w:lvl w:ilvl="4" w:tplc="9F2A9FE8">
      <w:start w:val="1"/>
      <w:numFmt w:val="lowerLetter"/>
      <w:lvlText w:val="%5."/>
      <w:lvlJc w:val="left"/>
      <w:pPr>
        <w:ind w:left="3600" w:hanging="360"/>
      </w:pPr>
    </w:lvl>
    <w:lvl w:ilvl="5" w:tplc="22E653AE">
      <w:start w:val="1"/>
      <w:numFmt w:val="lowerRoman"/>
      <w:lvlText w:val="%6."/>
      <w:lvlJc w:val="right"/>
      <w:pPr>
        <w:ind w:left="4320" w:hanging="180"/>
      </w:pPr>
    </w:lvl>
    <w:lvl w:ilvl="6" w:tplc="D5885C44">
      <w:start w:val="1"/>
      <w:numFmt w:val="decimal"/>
      <w:lvlText w:val="%7."/>
      <w:lvlJc w:val="left"/>
      <w:pPr>
        <w:ind w:left="5040" w:hanging="360"/>
      </w:pPr>
    </w:lvl>
    <w:lvl w:ilvl="7" w:tplc="28FCC02A">
      <w:start w:val="1"/>
      <w:numFmt w:val="lowerLetter"/>
      <w:lvlText w:val="%8."/>
      <w:lvlJc w:val="left"/>
      <w:pPr>
        <w:ind w:left="5760" w:hanging="360"/>
      </w:pPr>
    </w:lvl>
    <w:lvl w:ilvl="8" w:tplc="A16AEEC8">
      <w:start w:val="1"/>
      <w:numFmt w:val="lowerRoman"/>
      <w:lvlText w:val="%9."/>
      <w:lvlJc w:val="right"/>
      <w:pPr>
        <w:ind w:left="6480" w:hanging="180"/>
      </w:pPr>
    </w:lvl>
  </w:abstractNum>
  <w:abstractNum w:abstractNumId="1" w15:restartNumberingAfterBreak="0">
    <w:nsid w:val="6225FDB1"/>
    <w:multiLevelType w:val="hybridMultilevel"/>
    <w:tmpl w:val="FFFFFFFF"/>
    <w:lvl w:ilvl="0" w:tplc="725EDB38">
      <w:start w:val="1"/>
      <w:numFmt w:val="bullet"/>
      <w:lvlText w:val=""/>
      <w:lvlJc w:val="left"/>
      <w:pPr>
        <w:ind w:left="720" w:hanging="360"/>
      </w:pPr>
      <w:rPr>
        <w:rFonts w:ascii="Symbol" w:hAnsi="Symbol" w:hint="default"/>
      </w:rPr>
    </w:lvl>
    <w:lvl w:ilvl="1" w:tplc="7DD4A1DA">
      <w:start w:val="1"/>
      <w:numFmt w:val="bullet"/>
      <w:lvlText w:val="o"/>
      <w:lvlJc w:val="left"/>
      <w:pPr>
        <w:ind w:left="1440" w:hanging="360"/>
      </w:pPr>
      <w:rPr>
        <w:rFonts w:ascii="Courier New" w:hAnsi="Courier New" w:hint="default"/>
      </w:rPr>
    </w:lvl>
    <w:lvl w:ilvl="2" w:tplc="A15CDF6C">
      <w:start w:val="1"/>
      <w:numFmt w:val="bullet"/>
      <w:lvlText w:val=""/>
      <w:lvlJc w:val="left"/>
      <w:pPr>
        <w:ind w:left="2160" w:hanging="360"/>
      </w:pPr>
      <w:rPr>
        <w:rFonts w:ascii="Wingdings" w:hAnsi="Wingdings" w:hint="default"/>
      </w:rPr>
    </w:lvl>
    <w:lvl w:ilvl="3" w:tplc="BA5CE932">
      <w:start w:val="1"/>
      <w:numFmt w:val="bullet"/>
      <w:lvlText w:val=""/>
      <w:lvlJc w:val="left"/>
      <w:pPr>
        <w:ind w:left="2880" w:hanging="360"/>
      </w:pPr>
      <w:rPr>
        <w:rFonts w:ascii="Symbol" w:hAnsi="Symbol" w:hint="default"/>
      </w:rPr>
    </w:lvl>
    <w:lvl w:ilvl="4" w:tplc="E2A428F6">
      <w:start w:val="1"/>
      <w:numFmt w:val="bullet"/>
      <w:lvlText w:val="o"/>
      <w:lvlJc w:val="left"/>
      <w:pPr>
        <w:ind w:left="3600" w:hanging="360"/>
      </w:pPr>
      <w:rPr>
        <w:rFonts w:ascii="Courier New" w:hAnsi="Courier New" w:hint="default"/>
      </w:rPr>
    </w:lvl>
    <w:lvl w:ilvl="5" w:tplc="B0D09EE0">
      <w:start w:val="1"/>
      <w:numFmt w:val="bullet"/>
      <w:lvlText w:val=""/>
      <w:lvlJc w:val="left"/>
      <w:pPr>
        <w:ind w:left="4320" w:hanging="360"/>
      </w:pPr>
      <w:rPr>
        <w:rFonts w:ascii="Wingdings" w:hAnsi="Wingdings" w:hint="default"/>
      </w:rPr>
    </w:lvl>
    <w:lvl w:ilvl="6" w:tplc="76DEAB3A">
      <w:start w:val="1"/>
      <w:numFmt w:val="bullet"/>
      <w:lvlText w:val=""/>
      <w:lvlJc w:val="left"/>
      <w:pPr>
        <w:ind w:left="5040" w:hanging="360"/>
      </w:pPr>
      <w:rPr>
        <w:rFonts w:ascii="Symbol" w:hAnsi="Symbol" w:hint="default"/>
      </w:rPr>
    </w:lvl>
    <w:lvl w:ilvl="7" w:tplc="53762BEE">
      <w:start w:val="1"/>
      <w:numFmt w:val="bullet"/>
      <w:lvlText w:val="o"/>
      <w:lvlJc w:val="left"/>
      <w:pPr>
        <w:ind w:left="5760" w:hanging="360"/>
      </w:pPr>
      <w:rPr>
        <w:rFonts w:ascii="Courier New" w:hAnsi="Courier New" w:hint="default"/>
      </w:rPr>
    </w:lvl>
    <w:lvl w:ilvl="8" w:tplc="AF4A35B4">
      <w:start w:val="1"/>
      <w:numFmt w:val="bullet"/>
      <w:lvlText w:val=""/>
      <w:lvlJc w:val="left"/>
      <w:pPr>
        <w:ind w:left="6480" w:hanging="360"/>
      </w:pPr>
      <w:rPr>
        <w:rFonts w:ascii="Wingdings" w:hAnsi="Wingdings" w:hint="default"/>
      </w:rPr>
    </w:lvl>
  </w:abstractNum>
  <w:abstractNum w:abstractNumId="2" w15:restartNumberingAfterBreak="0">
    <w:nsid w:val="798A5842"/>
    <w:multiLevelType w:val="hybridMultilevel"/>
    <w:tmpl w:val="FFFFFFFF"/>
    <w:lvl w:ilvl="0" w:tplc="40DE048E">
      <w:start w:val="1"/>
      <w:numFmt w:val="bullet"/>
      <w:lvlText w:val=""/>
      <w:lvlJc w:val="left"/>
      <w:pPr>
        <w:ind w:left="720" w:hanging="360"/>
      </w:pPr>
      <w:rPr>
        <w:rFonts w:ascii="Symbol" w:hAnsi="Symbol" w:hint="default"/>
      </w:rPr>
    </w:lvl>
    <w:lvl w:ilvl="1" w:tplc="0FFC7C42">
      <w:start w:val="1"/>
      <w:numFmt w:val="bullet"/>
      <w:lvlText w:val="o"/>
      <w:lvlJc w:val="left"/>
      <w:pPr>
        <w:ind w:left="1440" w:hanging="360"/>
      </w:pPr>
      <w:rPr>
        <w:rFonts w:ascii="Courier New" w:hAnsi="Courier New" w:hint="default"/>
      </w:rPr>
    </w:lvl>
    <w:lvl w:ilvl="2" w:tplc="8432D236">
      <w:start w:val="1"/>
      <w:numFmt w:val="bullet"/>
      <w:lvlText w:val=""/>
      <w:lvlJc w:val="left"/>
      <w:pPr>
        <w:ind w:left="2160" w:hanging="360"/>
      </w:pPr>
      <w:rPr>
        <w:rFonts w:ascii="Wingdings" w:hAnsi="Wingdings" w:hint="default"/>
      </w:rPr>
    </w:lvl>
    <w:lvl w:ilvl="3" w:tplc="E3FCB5F2">
      <w:start w:val="1"/>
      <w:numFmt w:val="bullet"/>
      <w:lvlText w:val=""/>
      <w:lvlJc w:val="left"/>
      <w:pPr>
        <w:ind w:left="2880" w:hanging="360"/>
      </w:pPr>
      <w:rPr>
        <w:rFonts w:ascii="Symbol" w:hAnsi="Symbol" w:hint="default"/>
      </w:rPr>
    </w:lvl>
    <w:lvl w:ilvl="4" w:tplc="7F1CE1D0">
      <w:start w:val="1"/>
      <w:numFmt w:val="bullet"/>
      <w:lvlText w:val="o"/>
      <w:lvlJc w:val="left"/>
      <w:pPr>
        <w:ind w:left="3600" w:hanging="360"/>
      </w:pPr>
      <w:rPr>
        <w:rFonts w:ascii="Courier New" w:hAnsi="Courier New" w:hint="default"/>
      </w:rPr>
    </w:lvl>
    <w:lvl w:ilvl="5" w:tplc="895C36A4">
      <w:start w:val="1"/>
      <w:numFmt w:val="bullet"/>
      <w:lvlText w:val=""/>
      <w:lvlJc w:val="left"/>
      <w:pPr>
        <w:ind w:left="4320" w:hanging="360"/>
      </w:pPr>
      <w:rPr>
        <w:rFonts w:ascii="Wingdings" w:hAnsi="Wingdings" w:hint="default"/>
      </w:rPr>
    </w:lvl>
    <w:lvl w:ilvl="6" w:tplc="84AC44BE">
      <w:start w:val="1"/>
      <w:numFmt w:val="bullet"/>
      <w:lvlText w:val=""/>
      <w:lvlJc w:val="left"/>
      <w:pPr>
        <w:ind w:left="5040" w:hanging="360"/>
      </w:pPr>
      <w:rPr>
        <w:rFonts w:ascii="Symbol" w:hAnsi="Symbol" w:hint="default"/>
      </w:rPr>
    </w:lvl>
    <w:lvl w:ilvl="7" w:tplc="AA2A9738">
      <w:start w:val="1"/>
      <w:numFmt w:val="bullet"/>
      <w:lvlText w:val="o"/>
      <w:lvlJc w:val="left"/>
      <w:pPr>
        <w:ind w:left="5760" w:hanging="360"/>
      </w:pPr>
      <w:rPr>
        <w:rFonts w:ascii="Courier New" w:hAnsi="Courier New" w:hint="default"/>
      </w:rPr>
    </w:lvl>
    <w:lvl w:ilvl="8" w:tplc="DEFE6B52">
      <w:start w:val="1"/>
      <w:numFmt w:val="bullet"/>
      <w:lvlText w:val=""/>
      <w:lvlJc w:val="left"/>
      <w:pPr>
        <w:ind w:left="6480" w:hanging="360"/>
      </w:pPr>
      <w:rPr>
        <w:rFonts w:ascii="Wingdings" w:hAnsi="Wingdings" w:hint="default"/>
      </w:rPr>
    </w:lvl>
  </w:abstractNum>
  <w:num w:numId="1" w16cid:durableId="1603681726">
    <w:abstractNumId w:val="1"/>
  </w:num>
  <w:num w:numId="2" w16cid:durableId="661784445">
    <w:abstractNumId w:val="2"/>
  </w:num>
  <w:num w:numId="3" w16cid:durableId="908463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78BCD3"/>
    <w:rsid w:val="0069003A"/>
    <w:rsid w:val="007C2AE4"/>
    <w:rsid w:val="009F34E6"/>
    <w:rsid w:val="00E540E5"/>
    <w:rsid w:val="062A82C9"/>
    <w:rsid w:val="0DD76E18"/>
    <w:rsid w:val="11F01EF6"/>
    <w:rsid w:val="1478BCD3"/>
    <w:rsid w:val="14D89333"/>
    <w:rsid w:val="153E9281"/>
    <w:rsid w:val="192B94C5"/>
    <w:rsid w:val="1C98CA9C"/>
    <w:rsid w:val="1E2A2316"/>
    <w:rsid w:val="1E3DE325"/>
    <w:rsid w:val="245487AA"/>
    <w:rsid w:val="258F1920"/>
    <w:rsid w:val="25971719"/>
    <w:rsid w:val="27717783"/>
    <w:rsid w:val="3144B0F1"/>
    <w:rsid w:val="33FB8D60"/>
    <w:rsid w:val="34E05649"/>
    <w:rsid w:val="366D1F64"/>
    <w:rsid w:val="38611C5E"/>
    <w:rsid w:val="38FCC5B0"/>
    <w:rsid w:val="3AF900C8"/>
    <w:rsid w:val="40C74DD0"/>
    <w:rsid w:val="479B836B"/>
    <w:rsid w:val="5074DD42"/>
    <w:rsid w:val="533683F3"/>
    <w:rsid w:val="5436A1EA"/>
    <w:rsid w:val="5ABA8143"/>
    <w:rsid w:val="5B342490"/>
    <w:rsid w:val="5F288D0D"/>
    <w:rsid w:val="6729D618"/>
    <w:rsid w:val="698C169A"/>
    <w:rsid w:val="69BD8F6D"/>
    <w:rsid w:val="6A1C13FA"/>
    <w:rsid w:val="73507BCB"/>
    <w:rsid w:val="743862FB"/>
    <w:rsid w:val="7AB40625"/>
    <w:rsid w:val="7DAA334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60F8B"/>
  <w15:chartTrackingRefBased/>
  <w15:docId w15:val="{B5A13D4F-24DB-46EA-954B-40EC2A963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C98CA9C"/>
    <w:pPr>
      <w:ind w:left="720"/>
      <w:contextualSpacing/>
    </w:pPr>
  </w:style>
  <w:style w:type="character" w:styleId="Hyperlink">
    <w:name w:val="Hyperlink"/>
    <w:basedOn w:val="DefaultParagraphFont"/>
    <w:uiPriority w:val="99"/>
    <w:unhideWhenUsed/>
    <w:rsid w:val="1C98CA9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1645</Words>
  <Characters>9379</Characters>
  <Application>Microsoft Office Word</Application>
  <DocSecurity>4</DocSecurity>
  <Lines>78</Lines>
  <Paragraphs>22</Paragraphs>
  <ScaleCrop>false</ScaleCrop>
  <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Dumitru (2331904)</dc:creator>
  <cp:keywords/>
  <dc:description/>
  <cp:lastModifiedBy>Nicolas Dumitru (2331904)</cp:lastModifiedBy>
  <cp:revision>3</cp:revision>
  <dcterms:created xsi:type="dcterms:W3CDTF">2024-12-03T18:18:00Z</dcterms:created>
  <dcterms:modified xsi:type="dcterms:W3CDTF">2024-12-04T00:32:00Z</dcterms:modified>
</cp:coreProperties>
</file>