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4A680" w14:textId="2DF5C54E" w:rsidR="003A4C62" w:rsidRPr="000B4DE2" w:rsidRDefault="003A4C62" w:rsidP="000B4DE2">
      <w:pPr>
        <w:spacing w:line="240" w:lineRule="auto"/>
        <w:rPr>
          <w:rFonts w:ascii="Arial" w:hAnsi="Arial" w:cs="Arial"/>
          <w:b/>
          <w:bCs/>
          <w:sz w:val="24"/>
          <w:szCs w:val="24"/>
          <w:u w:val="single"/>
        </w:rPr>
      </w:pPr>
      <w:r w:rsidRPr="000B4DE2">
        <w:rPr>
          <w:rFonts w:ascii="Arial" w:hAnsi="Arial" w:cs="Arial"/>
          <w:b/>
          <w:bCs/>
          <w:sz w:val="24"/>
          <w:szCs w:val="24"/>
          <w:u w:val="single"/>
        </w:rPr>
        <w:t>Detailed research design</w:t>
      </w:r>
    </w:p>
    <w:p w14:paraId="69B7611F" w14:textId="489F1EEC" w:rsidR="00F64E33" w:rsidRPr="000B4DE2" w:rsidRDefault="00F64E33" w:rsidP="000B4DE2">
      <w:pPr>
        <w:spacing w:line="240" w:lineRule="auto"/>
        <w:rPr>
          <w:rFonts w:ascii="Arial" w:hAnsi="Arial" w:cs="Arial"/>
          <w:sz w:val="24"/>
          <w:szCs w:val="24"/>
        </w:rPr>
      </w:pPr>
      <w:r w:rsidRPr="000B4DE2">
        <w:rPr>
          <w:rFonts w:ascii="Arial" w:hAnsi="Arial" w:cs="Arial"/>
          <w:b/>
          <w:bCs/>
          <w:sz w:val="24"/>
          <w:szCs w:val="24"/>
        </w:rPr>
        <w:t>Introduction</w:t>
      </w:r>
    </w:p>
    <w:p w14:paraId="396264A7" w14:textId="476C74F1" w:rsidR="00E41728" w:rsidRPr="000B4DE2" w:rsidRDefault="00F64E33" w:rsidP="000B4DE2">
      <w:pPr>
        <w:spacing w:line="240" w:lineRule="auto"/>
        <w:rPr>
          <w:rFonts w:ascii="Arial" w:hAnsi="Arial" w:cs="Arial"/>
          <w:sz w:val="24"/>
          <w:szCs w:val="24"/>
        </w:rPr>
      </w:pPr>
      <w:r w:rsidRPr="000B4DE2">
        <w:rPr>
          <w:rFonts w:ascii="Arial" w:hAnsi="Arial" w:cs="Arial"/>
          <w:sz w:val="24"/>
          <w:szCs w:val="24"/>
        </w:rPr>
        <w:t xml:space="preserve">High-quality pedagogy in early childhood education and care is acknowledged </w:t>
      </w:r>
      <w:r w:rsidR="00C020F1" w:rsidRPr="000B4DE2">
        <w:rPr>
          <w:rFonts w:ascii="Arial" w:hAnsi="Arial" w:cs="Arial"/>
          <w:sz w:val="24"/>
          <w:szCs w:val="24"/>
        </w:rPr>
        <w:t xml:space="preserve">by several studies </w:t>
      </w:r>
      <w:r w:rsidRPr="000B4DE2">
        <w:rPr>
          <w:rFonts w:ascii="Arial" w:hAnsi="Arial" w:cs="Arial"/>
          <w:sz w:val="24"/>
          <w:szCs w:val="24"/>
        </w:rPr>
        <w:t>as a key factor in supporting children’s learning, development, and long-term outcomes</w:t>
      </w:r>
      <w:r w:rsidR="00800EE5" w:rsidRPr="000B4DE2">
        <w:rPr>
          <w:rFonts w:ascii="Arial" w:hAnsi="Arial" w:cs="Arial"/>
          <w:sz w:val="24"/>
          <w:szCs w:val="24"/>
        </w:rPr>
        <w:t xml:space="preserve"> (</w:t>
      </w:r>
      <w:r w:rsidR="00800EE5" w:rsidRPr="000B4DE2">
        <w:rPr>
          <w:rFonts w:ascii="Arial" w:hAnsi="Arial" w:cs="Arial"/>
          <w:bCs/>
          <w:sz w:val="24"/>
          <w:szCs w:val="24"/>
        </w:rPr>
        <w:t xml:space="preserve">Sylva, 2004 and Sylva and Siraj-Blatchford, 2002) </w:t>
      </w:r>
      <w:r w:rsidRPr="000B4DE2">
        <w:rPr>
          <w:rFonts w:ascii="Arial" w:hAnsi="Arial" w:cs="Arial"/>
          <w:sz w:val="24"/>
          <w:szCs w:val="24"/>
        </w:rPr>
        <w:t xml:space="preserve">. </w:t>
      </w:r>
      <w:r w:rsidR="00E41728" w:rsidRPr="000B4DE2">
        <w:rPr>
          <w:rFonts w:ascii="Arial" w:hAnsi="Arial" w:cs="Arial"/>
          <w:sz w:val="24"/>
          <w:szCs w:val="24"/>
        </w:rPr>
        <w:t>While policy frameworks and curricul</w:t>
      </w:r>
      <w:r w:rsidR="001A1386" w:rsidRPr="000B4DE2">
        <w:rPr>
          <w:rFonts w:ascii="Arial" w:hAnsi="Arial" w:cs="Arial"/>
          <w:sz w:val="24"/>
          <w:szCs w:val="24"/>
        </w:rPr>
        <w:t>um</w:t>
      </w:r>
      <w:r w:rsidR="00E41728" w:rsidRPr="000B4DE2">
        <w:rPr>
          <w:rFonts w:ascii="Arial" w:hAnsi="Arial" w:cs="Arial"/>
          <w:sz w:val="24"/>
          <w:szCs w:val="24"/>
        </w:rPr>
        <w:t xml:space="preserve"> guidance provide a structur</w:t>
      </w:r>
      <w:r w:rsidR="001A1386" w:rsidRPr="000B4DE2">
        <w:rPr>
          <w:rFonts w:ascii="Arial" w:hAnsi="Arial" w:cs="Arial"/>
          <w:sz w:val="24"/>
          <w:szCs w:val="24"/>
        </w:rPr>
        <w:t>e</w:t>
      </w:r>
      <w:r w:rsidR="00E41728" w:rsidRPr="000B4DE2">
        <w:rPr>
          <w:rFonts w:ascii="Arial" w:hAnsi="Arial" w:cs="Arial"/>
          <w:sz w:val="24"/>
          <w:szCs w:val="24"/>
        </w:rPr>
        <w:t xml:space="preserve"> for practice, research consistently highlights the central role of practitioners in interpreting and enacting pedagogy within early years settings (</w:t>
      </w:r>
      <w:r w:rsidR="00F973D0" w:rsidRPr="000B4DE2">
        <w:rPr>
          <w:rFonts w:ascii="Arial" w:hAnsi="Arial" w:cs="Arial"/>
          <w:sz w:val="24"/>
          <w:szCs w:val="24"/>
        </w:rPr>
        <w:t xml:space="preserve">Sylva and </w:t>
      </w:r>
      <w:r w:rsidR="00E41728" w:rsidRPr="000B4DE2">
        <w:rPr>
          <w:rFonts w:ascii="Arial" w:hAnsi="Arial" w:cs="Arial"/>
          <w:sz w:val="24"/>
          <w:szCs w:val="24"/>
        </w:rPr>
        <w:t>Siraj-Blatchford, 2002; Kingdon and Gourd, 2013; Sim et al, 2018; Dickerson and Trodd, 2020; Giampapa and Bowen, 2025).</w:t>
      </w:r>
    </w:p>
    <w:p w14:paraId="60EE8406" w14:textId="47B1BFB4" w:rsidR="00F64E33" w:rsidRPr="000B4DE2" w:rsidRDefault="001A1386" w:rsidP="000B4DE2">
      <w:pPr>
        <w:spacing w:line="240" w:lineRule="auto"/>
        <w:rPr>
          <w:rFonts w:ascii="Arial" w:hAnsi="Arial" w:cs="Arial"/>
          <w:sz w:val="24"/>
          <w:szCs w:val="24"/>
        </w:rPr>
      </w:pPr>
      <w:r w:rsidRPr="000B4DE2">
        <w:rPr>
          <w:rFonts w:ascii="Arial" w:hAnsi="Arial" w:cs="Arial"/>
          <w:sz w:val="24"/>
          <w:szCs w:val="24"/>
        </w:rPr>
        <w:t>Recent s</w:t>
      </w:r>
      <w:r w:rsidR="007A2161" w:rsidRPr="000B4DE2">
        <w:rPr>
          <w:rFonts w:ascii="Arial" w:hAnsi="Arial" w:cs="Arial"/>
          <w:sz w:val="24"/>
          <w:szCs w:val="24"/>
        </w:rPr>
        <w:t xml:space="preserve">tudies have indicated that </w:t>
      </w:r>
      <w:r w:rsidR="00DB79DA" w:rsidRPr="000B4DE2">
        <w:rPr>
          <w:rFonts w:ascii="Arial" w:hAnsi="Arial" w:cs="Arial"/>
          <w:sz w:val="24"/>
          <w:szCs w:val="24"/>
        </w:rPr>
        <w:t>practitioners’</w:t>
      </w:r>
      <w:r w:rsidR="003675FD" w:rsidRPr="000B4DE2">
        <w:rPr>
          <w:rFonts w:ascii="Arial" w:hAnsi="Arial" w:cs="Arial"/>
          <w:sz w:val="24"/>
          <w:szCs w:val="24"/>
        </w:rPr>
        <w:t xml:space="preserve"> pedagogical</w:t>
      </w:r>
      <w:r w:rsidR="00F64E33" w:rsidRPr="000B4DE2">
        <w:rPr>
          <w:rFonts w:ascii="Arial" w:hAnsi="Arial" w:cs="Arial"/>
          <w:sz w:val="24"/>
          <w:szCs w:val="24"/>
        </w:rPr>
        <w:t xml:space="preserve"> decisions are </w:t>
      </w:r>
      <w:r w:rsidR="007A2161" w:rsidRPr="000B4DE2">
        <w:rPr>
          <w:rFonts w:ascii="Arial" w:hAnsi="Arial" w:cs="Arial"/>
          <w:sz w:val="24"/>
          <w:szCs w:val="24"/>
        </w:rPr>
        <w:t xml:space="preserve">often </w:t>
      </w:r>
      <w:r w:rsidR="00F64E33" w:rsidRPr="000B4DE2">
        <w:rPr>
          <w:rFonts w:ascii="Arial" w:hAnsi="Arial" w:cs="Arial"/>
          <w:sz w:val="24"/>
          <w:szCs w:val="24"/>
        </w:rPr>
        <w:t>shaped by their beliefs, values, experiences, and understanding of children and learning</w:t>
      </w:r>
      <w:r w:rsidR="00E41728" w:rsidRPr="000B4DE2">
        <w:rPr>
          <w:rFonts w:ascii="Arial" w:hAnsi="Arial" w:cs="Arial"/>
          <w:sz w:val="24"/>
          <w:szCs w:val="24"/>
        </w:rPr>
        <w:t xml:space="preserve"> ( Salamon and Harrison, 2025; Alderson, 2007; and van Rooyen et al, 2015) </w:t>
      </w:r>
      <w:r w:rsidR="007A2161" w:rsidRPr="000B4DE2">
        <w:rPr>
          <w:rFonts w:ascii="Arial" w:hAnsi="Arial" w:cs="Arial"/>
          <w:sz w:val="24"/>
          <w:szCs w:val="24"/>
        </w:rPr>
        <w:t>therefore e</w:t>
      </w:r>
      <w:r w:rsidR="00F64E33" w:rsidRPr="000B4DE2">
        <w:rPr>
          <w:rFonts w:ascii="Arial" w:hAnsi="Arial" w:cs="Arial"/>
          <w:sz w:val="24"/>
          <w:szCs w:val="24"/>
        </w:rPr>
        <w:t>xploring practitioners’ views is cr</w:t>
      </w:r>
      <w:r w:rsidR="007A2161" w:rsidRPr="000B4DE2">
        <w:rPr>
          <w:rFonts w:ascii="Arial" w:hAnsi="Arial" w:cs="Arial"/>
          <w:sz w:val="24"/>
          <w:szCs w:val="24"/>
        </w:rPr>
        <w:t>ucial for</w:t>
      </w:r>
      <w:r w:rsidR="00F64E33" w:rsidRPr="000B4DE2">
        <w:rPr>
          <w:rFonts w:ascii="Arial" w:hAnsi="Arial" w:cs="Arial"/>
          <w:sz w:val="24"/>
          <w:szCs w:val="24"/>
        </w:rPr>
        <w:t xml:space="preserve"> developing a</w:t>
      </w:r>
      <w:r w:rsidR="00E41728" w:rsidRPr="000B4DE2">
        <w:rPr>
          <w:rFonts w:ascii="Arial" w:hAnsi="Arial" w:cs="Arial"/>
          <w:sz w:val="24"/>
          <w:szCs w:val="24"/>
        </w:rPr>
        <w:t xml:space="preserve"> better </w:t>
      </w:r>
      <w:r w:rsidR="00F64E33" w:rsidRPr="000B4DE2">
        <w:rPr>
          <w:rFonts w:ascii="Arial" w:hAnsi="Arial" w:cs="Arial"/>
          <w:sz w:val="24"/>
          <w:szCs w:val="24"/>
        </w:rPr>
        <w:t>understanding of how pedagogy is constructed and enacted in practice.</w:t>
      </w:r>
      <w:r w:rsidR="00F567F6" w:rsidRPr="000B4DE2">
        <w:rPr>
          <w:rFonts w:ascii="Arial" w:hAnsi="Arial" w:cs="Arial"/>
          <w:sz w:val="24"/>
          <w:szCs w:val="24"/>
        </w:rPr>
        <w:t xml:space="preserve"> </w:t>
      </w:r>
      <w:r w:rsidR="00F64E33" w:rsidRPr="000B4DE2">
        <w:rPr>
          <w:rFonts w:ascii="Arial" w:hAnsi="Arial" w:cs="Arial"/>
          <w:sz w:val="24"/>
          <w:szCs w:val="24"/>
        </w:rPr>
        <w:t xml:space="preserve">However, much of this research is situated within broader early years contexts and does not </w:t>
      </w:r>
      <w:r w:rsidRPr="000B4DE2">
        <w:rPr>
          <w:rFonts w:ascii="Arial" w:hAnsi="Arial" w:cs="Arial"/>
          <w:sz w:val="24"/>
          <w:szCs w:val="24"/>
        </w:rPr>
        <w:t xml:space="preserve">suitably </w:t>
      </w:r>
      <w:r w:rsidR="00F64E33" w:rsidRPr="000B4DE2">
        <w:rPr>
          <w:rFonts w:ascii="Arial" w:hAnsi="Arial" w:cs="Arial"/>
          <w:sz w:val="24"/>
          <w:szCs w:val="24"/>
        </w:rPr>
        <w:t xml:space="preserve">account for the unique policy, social, and </w:t>
      </w:r>
      <w:r w:rsidRPr="000B4DE2">
        <w:rPr>
          <w:rFonts w:ascii="Arial" w:hAnsi="Arial" w:cs="Arial"/>
          <w:sz w:val="24"/>
          <w:szCs w:val="24"/>
        </w:rPr>
        <w:t>curriculum for</w:t>
      </w:r>
      <w:r w:rsidR="00F64E33" w:rsidRPr="000B4DE2">
        <w:rPr>
          <w:rFonts w:ascii="Arial" w:hAnsi="Arial" w:cs="Arial"/>
          <w:sz w:val="24"/>
          <w:szCs w:val="24"/>
        </w:rPr>
        <w:t xml:space="preserve"> Flying Start provision in Wales. This highlights the need for focused research that </w:t>
      </w:r>
      <w:r w:rsidRPr="000B4DE2">
        <w:rPr>
          <w:rFonts w:ascii="Arial" w:hAnsi="Arial" w:cs="Arial"/>
          <w:sz w:val="24"/>
          <w:szCs w:val="24"/>
        </w:rPr>
        <w:t xml:space="preserve">analyses </w:t>
      </w:r>
      <w:r w:rsidR="00F64E33" w:rsidRPr="000B4DE2">
        <w:rPr>
          <w:rFonts w:ascii="Arial" w:hAnsi="Arial" w:cs="Arial"/>
          <w:sz w:val="24"/>
          <w:szCs w:val="24"/>
        </w:rPr>
        <w:t>the voices of Flying Start childcare practitioners and examines pedagogy as it is understood and enacted within this specific context.</w:t>
      </w:r>
    </w:p>
    <w:p w14:paraId="7F6D3565" w14:textId="77777777" w:rsidR="00E556C7" w:rsidRPr="000B4DE2" w:rsidRDefault="00E556C7" w:rsidP="000B4DE2">
      <w:pPr>
        <w:spacing w:line="240" w:lineRule="auto"/>
        <w:rPr>
          <w:rFonts w:ascii="Arial" w:hAnsi="Arial" w:cs="Arial"/>
          <w:b/>
          <w:bCs/>
          <w:sz w:val="24"/>
          <w:szCs w:val="24"/>
        </w:rPr>
      </w:pPr>
      <w:r w:rsidRPr="000B4DE2">
        <w:rPr>
          <w:rFonts w:ascii="Arial" w:hAnsi="Arial" w:cs="Arial"/>
          <w:b/>
          <w:bCs/>
          <w:sz w:val="24"/>
          <w:szCs w:val="24"/>
        </w:rPr>
        <w:t>Rationale and Vision</w:t>
      </w:r>
    </w:p>
    <w:p w14:paraId="6919B963" w14:textId="39EBB597" w:rsidR="002C6244" w:rsidRPr="002C6244" w:rsidRDefault="002C6244" w:rsidP="000B4DE2">
      <w:pPr>
        <w:spacing w:line="240" w:lineRule="auto"/>
        <w:rPr>
          <w:rFonts w:ascii="Arial" w:hAnsi="Arial" w:cs="Arial"/>
          <w:sz w:val="24"/>
          <w:szCs w:val="24"/>
        </w:rPr>
      </w:pPr>
      <w:r w:rsidRPr="002C6244">
        <w:rPr>
          <w:rFonts w:ascii="Arial" w:hAnsi="Arial" w:cs="Arial"/>
          <w:sz w:val="24"/>
          <w:szCs w:val="24"/>
        </w:rPr>
        <w:t>Flying Start is a Welsh Government initiative to reduce the impact of poverty on children’s development through high</w:t>
      </w:r>
      <w:r w:rsidRPr="002C6244">
        <w:rPr>
          <w:rFonts w:ascii="Arial" w:hAnsi="Arial" w:cs="Arial"/>
          <w:sz w:val="24"/>
          <w:szCs w:val="24"/>
        </w:rPr>
        <w:noBreakHyphen/>
        <w:t>quality early years provision in disadvantaged communities (Welsh Government, 2023). Although policy frameworks and curriculum guidance present adults as enablers and the child as capable, deficit views persist among some practitioners (Welsh Government, 202</w:t>
      </w:r>
      <w:r w:rsidR="00365724" w:rsidRPr="000B4DE2">
        <w:rPr>
          <w:rFonts w:ascii="Arial" w:hAnsi="Arial" w:cs="Arial"/>
          <w:sz w:val="24"/>
          <w:szCs w:val="24"/>
        </w:rPr>
        <w:t>3b</w:t>
      </w:r>
      <w:r w:rsidRPr="002C6244">
        <w:rPr>
          <w:rFonts w:ascii="Arial" w:hAnsi="Arial" w:cs="Arial"/>
          <w:sz w:val="24"/>
          <w:szCs w:val="24"/>
        </w:rPr>
        <w:t>; Welsh Government, 2022; Waters</w:t>
      </w:r>
      <w:r w:rsidRPr="002C6244">
        <w:rPr>
          <w:rFonts w:ascii="Arial" w:hAnsi="Arial" w:cs="Arial"/>
          <w:sz w:val="24"/>
          <w:szCs w:val="24"/>
        </w:rPr>
        <w:noBreakHyphen/>
        <w:t xml:space="preserve">Davies &amp; MacDonald, 2022). These views constrain pedagogies that foster autonomy, curiosity, and conceptual thinking, </w:t>
      </w:r>
      <w:r w:rsidRPr="000B4DE2">
        <w:rPr>
          <w:rFonts w:ascii="Arial" w:hAnsi="Arial" w:cs="Arial"/>
          <w:sz w:val="24"/>
          <w:szCs w:val="24"/>
        </w:rPr>
        <w:t>highlighting</w:t>
      </w:r>
      <w:r w:rsidRPr="002C6244">
        <w:rPr>
          <w:rFonts w:ascii="Arial" w:hAnsi="Arial" w:cs="Arial"/>
          <w:sz w:val="24"/>
          <w:szCs w:val="24"/>
        </w:rPr>
        <w:t xml:space="preserve"> the need to examine practitioner beliefs and their influence on pedagogy (Waters</w:t>
      </w:r>
      <w:r w:rsidRPr="002C6244">
        <w:rPr>
          <w:rFonts w:ascii="Arial" w:hAnsi="Arial" w:cs="Arial"/>
          <w:sz w:val="24"/>
          <w:szCs w:val="24"/>
        </w:rPr>
        <w:noBreakHyphen/>
        <w:t>Davies &amp; MacDonald, 2022).</w:t>
      </w:r>
    </w:p>
    <w:p w14:paraId="1AE9E867" w14:textId="0474184A" w:rsidR="002C6244" w:rsidRPr="002C6244" w:rsidRDefault="002C6244" w:rsidP="000B4DE2">
      <w:pPr>
        <w:spacing w:line="240" w:lineRule="auto"/>
        <w:rPr>
          <w:rFonts w:ascii="Arial" w:hAnsi="Arial" w:cs="Arial"/>
          <w:sz w:val="24"/>
          <w:szCs w:val="24"/>
        </w:rPr>
      </w:pPr>
      <w:r w:rsidRPr="002C6244">
        <w:rPr>
          <w:rFonts w:ascii="Arial" w:hAnsi="Arial" w:cs="Arial"/>
          <w:sz w:val="24"/>
          <w:szCs w:val="24"/>
        </w:rPr>
        <w:t>Approaches such as Reggio Emilia, Froebelian principles, and Forest School emphasise the competent child, meaningful play, appropriate risk, and adults who trust children’s agency (Bruce, 1991; McNally &amp; Slutsky, 2016; Bullard, 2022). Yet implementation gaps persist</w:t>
      </w:r>
      <w:r w:rsidRPr="000B4DE2">
        <w:rPr>
          <w:rFonts w:ascii="Arial" w:hAnsi="Arial" w:cs="Arial"/>
          <w:sz w:val="24"/>
          <w:szCs w:val="24"/>
        </w:rPr>
        <w:t xml:space="preserve"> as </w:t>
      </w:r>
      <w:r w:rsidRPr="002C6244">
        <w:rPr>
          <w:rFonts w:ascii="Arial" w:hAnsi="Arial" w:cs="Arial"/>
          <w:sz w:val="24"/>
          <w:szCs w:val="24"/>
        </w:rPr>
        <w:t xml:space="preserve">many settings still do not support children’s independence and confidence </w:t>
      </w:r>
      <w:r w:rsidRPr="000B4DE2">
        <w:rPr>
          <w:rFonts w:ascii="Arial" w:hAnsi="Arial" w:cs="Arial"/>
          <w:sz w:val="24"/>
          <w:szCs w:val="24"/>
        </w:rPr>
        <w:t xml:space="preserve">well enough </w:t>
      </w:r>
      <w:r w:rsidRPr="002C6244">
        <w:rPr>
          <w:rFonts w:ascii="Arial" w:hAnsi="Arial" w:cs="Arial"/>
          <w:sz w:val="24"/>
          <w:szCs w:val="24"/>
        </w:rPr>
        <w:t xml:space="preserve">(Estyn, 2024). This suggests professional learning has not fully addressed the threshold concept of the “capable child,” </w:t>
      </w:r>
      <w:r w:rsidR="00BC7D95" w:rsidRPr="000B4DE2">
        <w:rPr>
          <w:rFonts w:ascii="Arial" w:hAnsi="Arial" w:cs="Arial"/>
          <w:sz w:val="24"/>
          <w:szCs w:val="24"/>
        </w:rPr>
        <w:t xml:space="preserve">a transformative idea, </w:t>
      </w:r>
      <w:r w:rsidRPr="002C6244">
        <w:rPr>
          <w:rFonts w:ascii="Arial" w:hAnsi="Arial" w:cs="Arial"/>
          <w:sz w:val="24"/>
          <w:szCs w:val="24"/>
        </w:rPr>
        <w:t>which requires re</w:t>
      </w:r>
      <w:r w:rsidRPr="002C6244">
        <w:rPr>
          <w:rFonts w:ascii="Arial" w:hAnsi="Arial" w:cs="Arial"/>
          <w:sz w:val="24"/>
          <w:szCs w:val="24"/>
        </w:rPr>
        <w:noBreakHyphen/>
        <w:t>examining assumptions about childhood, competence, and risk (Cousin, 2006; Meyer &amp; Land, 2003).</w:t>
      </w:r>
    </w:p>
    <w:p w14:paraId="16C174A5" w14:textId="1DC84A77" w:rsidR="003E7060" w:rsidRPr="000B4DE2" w:rsidRDefault="003E7060" w:rsidP="000B4DE2">
      <w:pPr>
        <w:spacing w:line="240" w:lineRule="auto"/>
        <w:rPr>
          <w:rFonts w:ascii="Arial" w:hAnsi="Arial" w:cs="Arial"/>
          <w:sz w:val="24"/>
          <w:szCs w:val="24"/>
        </w:rPr>
      </w:pPr>
      <w:r w:rsidRPr="000B4DE2">
        <w:rPr>
          <w:rFonts w:ascii="Arial" w:hAnsi="Arial" w:cs="Arial"/>
          <w:sz w:val="24"/>
          <w:szCs w:val="24"/>
        </w:rPr>
        <w:t>Th</w:t>
      </w:r>
      <w:r w:rsidR="00F567F6" w:rsidRPr="000B4DE2">
        <w:rPr>
          <w:rFonts w:ascii="Arial" w:hAnsi="Arial" w:cs="Arial"/>
          <w:sz w:val="24"/>
          <w:szCs w:val="24"/>
        </w:rPr>
        <w:t>is</w:t>
      </w:r>
      <w:r w:rsidRPr="000B4DE2">
        <w:rPr>
          <w:rFonts w:ascii="Arial" w:hAnsi="Arial" w:cs="Arial"/>
          <w:sz w:val="24"/>
          <w:szCs w:val="24"/>
        </w:rPr>
        <w:t xml:space="preserve"> proposed study seeks to address these gaps by exploring how Flying Start practitioners view children’s capabilities and how these beliefs shape pedagogical decisions (Biesta, 2015; Priestley, Biesta, &amp; Robinson, 2015). </w:t>
      </w:r>
      <w:r w:rsidR="00DB79DA" w:rsidRPr="000B4DE2">
        <w:rPr>
          <w:rFonts w:ascii="Arial" w:hAnsi="Arial" w:cs="Arial"/>
          <w:sz w:val="24"/>
          <w:szCs w:val="24"/>
        </w:rPr>
        <w:t>By u</w:t>
      </w:r>
      <w:r w:rsidRPr="000B4DE2">
        <w:rPr>
          <w:rFonts w:ascii="Arial" w:hAnsi="Arial" w:cs="Arial"/>
          <w:sz w:val="24"/>
          <w:szCs w:val="24"/>
        </w:rPr>
        <w:t xml:space="preserve">sing semi-structured interviews, the </w:t>
      </w:r>
      <w:r w:rsidR="00FB217E" w:rsidRPr="000B4DE2">
        <w:rPr>
          <w:rFonts w:ascii="Arial" w:hAnsi="Arial" w:cs="Arial"/>
          <w:sz w:val="24"/>
          <w:szCs w:val="24"/>
        </w:rPr>
        <w:t xml:space="preserve">study </w:t>
      </w:r>
      <w:r w:rsidRPr="000B4DE2">
        <w:rPr>
          <w:rFonts w:ascii="Arial" w:hAnsi="Arial" w:cs="Arial"/>
          <w:sz w:val="24"/>
          <w:szCs w:val="24"/>
        </w:rPr>
        <w:t xml:space="preserve">will seek to provide rich insights into the interplay between practitioner beliefs, curriculum enactment, and children’s experiences (Kvale &amp; Brinkmann, 2015; Silverman, 2021). The analysis will use reflexive thematic analysis to explore recurring ideas in the conversations, alongside discourse analysis to look at how people use language to shape ideas about competence, </w:t>
      </w:r>
      <w:r w:rsidRPr="000B4DE2">
        <w:rPr>
          <w:rFonts w:ascii="Arial" w:hAnsi="Arial" w:cs="Arial"/>
          <w:sz w:val="24"/>
          <w:szCs w:val="24"/>
        </w:rPr>
        <w:lastRenderedPageBreak/>
        <w:t>choice, and agency (Braun &amp; Clarke, 2019; Gee, 2014). Using both approaches will help show not just what practitioners think, but how those views are formed and reinforced through wider policy and cultural influences (Moss, 2016; Welsh Government, 2023a).</w:t>
      </w:r>
    </w:p>
    <w:p w14:paraId="16A48A9A" w14:textId="52C2AA7C" w:rsidR="003E7060" w:rsidRPr="000B4DE2" w:rsidRDefault="003E7060" w:rsidP="000B4DE2">
      <w:pPr>
        <w:spacing w:line="240" w:lineRule="auto"/>
        <w:rPr>
          <w:rFonts w:ascii="Arial" w:hAnsi="Arial" w:cs="Arial"/>
          <w:sz w:val="24"/>
          <w:szCs w:val="24"/>
        </w:rPr>
      </w:pPr>
      <w:r w:rsidRPr="000B4DE2">
        <w:rPr>
          <w:rFonts w:ascii="Arial" w:hAnsi="Arial" w:cs="Arial"/>
          <w:sz w:val="24"/>
          <w:szCs w:val="24"/>
        </w:rPr>
        <w:t xml:space="preserve">The vision for this research is to inform </w:t>
      </w:r>
      <w:r w:rsidR="00D36714" w:rsidRPr="000B4DE2">
        <w:rPr>
          <w:rFonts w:ascii="Arial" w:hAnsi="Arial" w:cs="Arial"/>
          <w:sz w:val="24"/>
          <w:szCs w:val="24"/>
        </w:rPr>
        <w:t xml:space="preserve">a </w:t>
      </w:r>
      <w:r w:rsidRPr="000B4DE2">
        <w:rPr>
          <w:rFonts w:ascii="Arial" w:hAnsi="Arial" w:cs="Arial"/>
          <w:sz w:val="24"/>
          <w:szCs w:val="24"/>
        </w:rPr>
        <w:t xml:space="preserve">professional learning </w:t>
      </w:r>
      <w:r w:rsidR="00D36714" w:rsidRPr="000B4DE2">
        <w:rPr>
          <w:rFonts w:ascii="Arial" w:hAnsi="Arial" w:cs="Arial"/>
          <w:sz w:val="24"/>
          <w:szCs w:val="24"/>
        </w:rPr>
        <w:t>offer which</w:t>
      </w:r>
      <w:r w:rsidRPr="000B4DE2">
        <w:rPr>
          <w:rFonts w:ascii="Arial" w:hAnsi="Arial" w:cs="Arial"/>
          <w:sz w:val="24"/>
          <w:szCs w:val="24"/>
        </w:rPr>
        <w:t xml:space="preserve"> challenges deficit narratives and supports practitioners to embrace pedagogies aligned with the curriculum’s ethos, where children are trusted as confident, curious, and capable learners (Bennett &amp; Pascal, 2020; Pascal &amp; Bertram, 2021; Welsh Government, 2022). </w:t>
      </w:r>
      <w:r w:rsidR="00F567F6" w:rsidRPr="000B4DE2">
        <w:rPr>
          <w:rFonts w:ascii="Arial" w:hAnsi="Arial" w:cs="Arial"/>
          <w:sz w:val="24"/>
          <w:szCs w:val="24"/>
        </w:rPr>
        <w:t xml:space="preserve">By investigating the relationship between practitioners’ views and pedagogy, this study seeks to contribute to a deeper understanding of early years practice within Flying Start provision (Burchinal et al., 2010; </w:t>
      </w:r>
      <w:r w:rsidR="00E61ECF" w:rsidRPr="000B4DE2">
        <w:rPr>
          <w:rFonts w:ascii="Arial" w:hAnsi="Arial" w:cs="Arial"/>
          <w:sz w:val="24"/>
          <w:szCs w:val="24"/>
        </w:rPr>
        <w:t xml:space="preserve">Sylva and </w:t>
      </w:r>
      <w:r w:rsidR="00F567F6" w:rsidRPr="000B4DE2">
        <w:rPr>
          <w:rFonts w:ascii="Arial" w:hAnsi="Arial" w:cs="Arial"/>
          <w:sz w:val="24"/>
          <w:szCs w:val="24"/>
        </w:rPr>
        <w:t>Siraj-Blatchford, 2002). The findings have the potential to inform reflective practice, professional development, and future research, as well as offering insights that may support the continued development of high-quality pedagogy in early childhood education in Wales (Education Endowment Foundation, 20</w:t>
      </w:r>
      <w:r w:rsidR="00E61ECF" w:rsidRPr="000B4DE2">
        <w:rPr>
          <w:rFonts w:ascii="Arial" w:hAnsi="Arial" w:cs="Arial"/>
          <w:sz w:val="24"/>
          <w:szCs w:val="24"/>
        </w:rPr>
        <w:t>23</w:t>
      </w:r>
      <w:r w:rsidR="00F567F6" w:rsidRPr="000B4DE2">
        <w:rPr>
          <w:rFonts w:ascii="Arial" w:hAnsi="Arial" w:cs="Arial"/>
          <w:sz w:val="24"/>
          <w:szCs w:val="24"/>
        </w:rPr>
        <w:t>; Welsh Government, 2023b).</w:t>
      </w:r>
    </w:p>
    <w:p w14:paraId="4165F350" w14:textId="1154538E" w:rsidR="003E7060" w:rsidRPr="000B4DE2" w:rsidRDefault="003E7060" w:rsidP="000B4DE2">
      <w:pPr>
        <w:spacing w:line="240" w:lineRule="auto"/>
        <w:rPr>
          <w:rFonts w:ascii="Arial" w:hAnsi="Arial" w:cs="Arial"/>
          <w:sz w:val="24"/>
          <w:szCs w:val="24"/>
        </w:rPr>
      </w:pPr>
      <w:r w:rsidRPr="000B4DE2">
        <w:rPr>
          <w:rFonts w:ascii="Arial" w:hAnsi="Arial" w:cs="Arial"/>
          <w:sz w:val="24"/>
          <w:szCs w:val="24"/>
        </w:rPr>
        <w:t>This research design outlines a pilot qualitative study that aims to explore whether and how practitioners’ views shape their pedagogy within Flying Start childcare settings (Creswell &amp; Poth, 2018; Maxwell, 2013). A qualitative</w:t>
      </w:r>
      <w:r w:rsidR="00F567F6" w:rsidRPr="000B4DE2">
        <w:rPr>
          <w:rFonts w:ascii="Arial" w:hAnsi="Arial" w:cs="Arial"/>
          <w:sz w:val="24"/>
          <w:szCs w:val="24"/>
        </w:rPr>
        <w:t xml:space="preserve"> </w:t>
      </w:r>
      <w:r w:rsidRPr="000B4DE2">
        <w:rPr>
          <w:rFonts w:ascii="Arial" w:hAnsi="Arial" w:cs="Arial"/>
          <w:sz w:val="24"/>
          <w:szCs w:val="24"/>
        </w:rPr>
        <w:t xml:space="preserve">approach </w:t>
      </w:r>
      <w:r w:rsidR="00F567F6" w:rsidRPr="000B4DE2">
        <w:rPr>
          <w:rFonts w:ascii="Arial" w:hAnsi="Arial" w:cs="Arial"/>
          <w:sz w:val="24"/>
          <w:szCs w:val="24"/>
        </w:rPr>
        <w:t xml:space="preserve">will be used </w:t>
      </w:r>
      <w:r w:rsidRPr="000B4DE2">
        <w:rPr>
          <w:rFonts w:ascii="Arial" w:hAnsi="Arial" w:cs="Arial"/>
          <w:sz w:val="24"/>
          <w:szCs w:val="24"/>
        </w:rPr>
        <w:t>to capture practitioners’ subjective experiences (Denzin &amp; Lincoln, 2018). Semi-structured interviews are proposed as the primary method of data collection, as they offer the flexibility to explore participants’ perspectives in depth while maintaining a degree of consistency across interviews (Bryman, 2016; Kallio et al., 2016). As a pilot study, the research also seeks to assess the feasibility and effectiveness of this methodological approach, including the suitability of the interview questions and the practical considerations of conducting research in Flying Start settings (Leon, Davis, &amp; Kraemer, 2011;</w:t>
      </w:r>
      <w:r w:rsidR="00FB217E" w:rsidRPr="000B4DE2">
        <w:rPr>
          <w:rFonts w:ascii="Arial" w:hAnsi="Arial" w:cs="Arial"/>
          <w:sz w:val="24"/>
          <w:szCs w:val="24"/>
        </w:rPr>
        <w:t xml:space="preserve"> </w:t>
      </w:r>
      <w:r w:rsidRPr="000B4DE2">
        <w:rPr>
          <w:rFonts w:ascii="Arial" w:hAnsi="Arial" w:cs="Arial"/>
          <w:sz w:val="24"/>
          <w:szCs w:val="24"/>
        </w:rPr>
        <w:t>van Teijlingen &amp; Hundley, 2001).</w:t>
      </w:r>
    </w:p>
    <w:p w14:paraId="234D980B" w14:textId="77777777" w:rsidR="003A4C62" w:rsidRPr="000B4DE2" w:rsidRDefault="003A4C62" w:rsidP="000B4DE2">
      <w:pPr>
        <w:spacing w:line="240" w:lineRule="auto"/>
        <w:rPr>
          <w:rFonts w:ascii="Arial" w:hAnsi="Arial" w:cs="Arial"/>
          <w:b/>
          <w:bCs/>
          <w:sz w:val="24"/>
          <w:szCs w:val="24"/>
        </w:rPr>
      </w:pPr>
      <w:r w:rsidRPr="000B4DE2">
        <w:rPr>
          <w:rFonts w:ascii="Arial" w:hAnsi="Arial" w:cs="Arial"/>
          <w:b/>
          <w:bCs/>
          <w:sz w:val="24"/>
          <w:szCs w:val="24"/>
        </w:rPr>
        <w:t>Overarching aims and objectives</w:t>
      </w:r>
    </w:p>
    <w:p w14:paraId="0D80D5A8" w14:textId="73F6304C" w:rsidR="009B1E35" w:rsidRPr="009B1E35" w:rsidRDefault="009B1E35" w:rsidP="000B4DE2">
      <w:pPr>
        <w:spacing w:line="240" w:lineRule="auto"/>
        <w:rPr>
          <w:rFonts w:ascii="Arial" w:hAnsi="Arial" w:cs="Arial"/>
          <w:sz w:val="24"/>
          <w:szCs w:val="24"/>
        </w:rPr>
      </w:pPr>
      <w:r w:rsidRPr="009B1E35">
        <w:rPr>
          <w:rFonts w:ascii="Arial" w:hAnsi="Arial" w:cs="Arial"/>
          <w:sz w:val="24"/>
          <w:szCs w:val="24"/>
        </w:rPr>
        <w:t xml:space="preserve">The aim of this study is to explore whether early years practitioners’ views of children’s competence and capability influence their practice and pedagogy within Flying Start settings in Wales. Specifically, it examines how practitioners’ constructions of young children shape the environments and resources provided (Jerebine et al., 2022), and whether these views affect the nature and quality of </w:t>
      </w:r>
      <w:r w:rsidRPr="000B4DE2">
        <w:rPr>
          <w:rFonts w:ascii="Arial" w:hAnsi="Arial" w:cs="Arial"/>
          <w:sz w:val="24"/>
          <w:szCs w:val="24"/>
        </w:rPr>
        <w:t xml:space="preserve">their </w:t>
      </w:r>
      <w:r w:rsidRPr="009B1E35">
        <w:rPr>
          <w:rFonts w:ascii="Arial" w:hAnsi="Arial" w:cs="Arial"/>
          <w:sz w:val="24"/>
          <w:szCs w:val="24"/>
        </w:rPr>
        <w:t>interactions</w:t>
      </w:r>
      <w:r w:rsidRPr="000B4DE2">
        <w:rPr>
          <w:rFonts w:ascii="Arial" w:hAnsi="Arial" w:cs="Arial"/>
          <w:sz w:val="24"/>
          <w:szCs w:val="24"/>
        </w:rPr>
        <w:t xml:space="preserve"> with children</w:t>
      </w:r>
      <w:r w:rsidRPr="009B1E35">
        <w:rPr>
          <w:rFonts w:ascii="Arial" w:hAnsi="Arial" w:cs="Arial"/>
          <w:sz w:val="24"/>
          <w:szCs w:val="24"/>
        </w:rPr>
        <w:t>. The study also investigates the role of professional development in supporting practitioners to adopt perspectives that recognise children as capable and competent. By exploring these aspects, the research will offer insights into how practitioner beliefs impact early years provision and how targeted learning opportunities could enhance practice. This pilot study will inform a larger</w:t>
      </w:r>
      <w:r w:rsidRPr="009B1E35">
        <w:rPr>
          <w:rFonts w:ascii="Arial" w:hAnsi="Arial" w:cs="Arial"/>
          <w:sz w:val="24"/>
          <w:szCs w:val="24"/>
        </w:rPr>
        <w:noBreakHyphen/>
        <w:t>scale investigation and contribute to the evidence base for improving early years pedagogy in Flying Start settings.</w:t>
      </w:r>
    </w:p>
    <w:p w14:paraId="2D36BE2D" w14:textId="77777777" w:rsidR="009B1E35" w:rsidRPr="000B4DE2" w:rsidRDefault="009B1E35" w:rsidP="000B4DE2">
      <w:pPr>
        <w:spacing w:line="240" w:lineRule="auto"/>
        <w:rPr>
          <w:rFonts w:ascii="Arial" w:hAnsi="Arial" w:cs="Arial"/>
          <w:b/>
          <w:bCs/>
          <w:sz w:val="24"/>
          <w:szCs w:val="24"/>
        </w:rPr>
      </w:pPr>
    </w:p>
    <w:p w14:paraId="6D54B2B3" w14:textId="46A7C4D3" w:rsidR="007A2161" w:rsidRPr="000B4DE2" w:rsidRDefault="007A2161" w:rsidP="000B4DE2">
      <w:pPr>
        <w:spacing w:line="240" w:lineRule="auto"/>
        <w:rPr>
          <w:rFonts w:ascii="Arial" w:hAnsi="Arial" w:cs="Arial"/>
          <w:b/>
          <w:bCs/>
          <w:sz w:val="24"/>
          <w:szCs w:val="24"/>
        </w:rPr>
      </w:pPr>
      <w:r w:rsidRPr="000B4DE2">
        <w:rPr>
          <w:rFonts w:ascii="Arial" w:hAnsi="Arial" w:cs="Arial"/>
          <w:b/>
          <w:bCs/>
          <w:sz w:val="24"/>
          <w:szCs w:val="24"/>
        </w:rPr>
        <w:t>Overview of the study</w:t>
      </w:r>
    </w:p>
    <w:p w14:paraId="7B61372E" w14:textId="77777777" w:rsidR="009B1E35" w:rsidRPr="009B1E35" w:rsidRDefault="009B1E35" w:rsidP="000B4DE2">
      <w:pPr>
        <w:spacing w:line="240" w:lineRule="auto"/>
        <w:rPr>
          <w:rFonts w:ascii="Arial" w:hAnsi="Arial" w:cs="Arial"/>
          <w:sz w:val="24"/>
          <w:szCs w:val="24"/>
        </w:rPr>
      </w:pPr>
      <w:r w:rsidRPr="009B1E35">
        <w:rPr>
          <w:rFonts w:ascii="Arial" w:hAnsi="Arial" w:cs="Arial"/>
          <w:sz w:val="24"/>
          <w:szCs w:val="24"/>
        </w:rPr>
        <w:t xml:space="preserve">A growing body of research (Tovey, 2017; Athey, 2007; Bruce, 2021) challenges deficit views of the child, positioning them instead as capable thinkers and decision makers. Recent work (Waters Davies &amp; MacDonald, 2022) shows that children in deprived areas, including those with language delay, demonstrate exploration and </w:t>
      </w:r>
      <w:r w:rsidRPr="009B1E35">
        <w:rPr>
          <w:rFonts w:ascii="Arial" w:hAnsi="Arial" w:cs="Arial"/>
          <w:sz w:val="24"/>
          <w:szCs w:val="24"/>
        </w:rPr>
        <w:lastRenderedPageBreak/>
        <w:t>learning when supported by an enabling adult. Yet entrenched practitioner beliefs often hinder change despite understanding developmentally appropriate pedagogy (Murphy, Greenway &amp; Conn, 2024). Whitters (2017) and Gramling (2015) frame this as an implementation gap, with the threshold concept of the capable child central to bridging it (Waters Davies &amp; MacDonald, 2022). However, challenging “common sense” assumptions is troublesome and emotionally demanding (Cousin, 2015), requiring practitioners to reconstruct thinking and discard deficit notions (Neaum, 2016; Meyer &amp; Land, 2003; Kurt, 2022).</w:t>
      </w:r>
    </w:p>
    <w:p w14:paraId="5B8EDD70" w14:textId="77777777" w:rsidR="009B1E35" w:rsidRPr="009B1E35" w:rsidRDefault="009B1E35" w:rsidP="000B4DE2">
      <w:pPr>
        <w:spacing w:line="240" w:lineRule="auto"/>
        <w:rPr>
          <w:rFonts w:ascii="Arial" w:hAnsi="Arial" w:cs="Arial"/>
          <w:sz w:val="24"/>
          <w:szCs w:val="24"/>
        </w:rPr>
      </w:pPr>
      <w:r w:rsidRPr="009B1E35">
        <w:rPr>
          <w:rFonts w:ascii="Arial" w:hAnsi="Arial" w:cs="Arial"/>
          <w:sz w:val="24"/>
          <w:szCs w:val="24"/>
        </w:rPr>
        <w:t>This action research (McAteer, 2013) will take place in a setting where the capable child concept is not yet embedded. As an insider inquiry (Saidin, 2017), it seeks to challenge deficit discourse and foster professional curiosity. The Welsh Government curriculum for funded non</w:t>
      </w:r>
      <w:r w:rsidRPr="009B1E35">
        <w:rPr>
          <w:rFonts w:ascii="Arial" w:hAnsi="Arial" w:cs="Arial"/>
          <w:sz w:val="24"/>
          <w:szCs w:val="24"/>
        </w:rPr>
        <w:noBreakHyphen/>
        <w:t>maintained nursery settings (2022) provides the analytical lens, emphasising the enabling adult who views children as competent.</w:t>
      </w:r>
    </w:p>
    <w:p w14:paraId="12D20A1A" w14:textId="5AEC3180" w:rsidR="009B1E35" w:rsidRPr="009B1E35" w:rsidRDefault="009B1E35" w:rsidP="000B4DE2">
      <w:pPr>
        <w:spacing w:line="240" w:lineRule="auto"/>
        <w:rPr>
          <w:rFonts w:ascii="Arial" w:hAnsi="Arial" w:cs="Arial"/>
          <w:sz w:val="24"/>
          <w:szCs w:val="24"/>
        </w:rPr>
      </w:pPr>
      <w:r w:rsidRPr="009B1E35">
        <w:rPr>
          <w:rFonts w:ascii="Arial" w:hAnsi="Arial" w:cs="Arial"/>
          <w:sz w:val="24"/>
          <w:szCs w:val="24"/>
        </w:rPr>
        <w:t>Findings will inform a bespoke professional learning programme using Video Enhanced Reflective Practice (Guard, 2023) alongside training and modelling. Knowledge will be co</w:t>
      </w:r>
      <w:r w:rsidRPr="009B1E35">
        <w:rPr>
          <w:rFonts w:ascii="Arial" w:hAnsi="Arial" w:cs="Arial"/>
          <w:sz w:val="24"/>
          <w:szCs w:val="24"/>
        </w:rPr>
        <w:noBreakHyphen/>
        <w:t xml:space="preserve">constructed to ensure relevance and impact (Ince &amp; Kitto, 2019). Longer term, the project aims to embed a sustainable reflective culture (Dweck, 2006), strengthen practitioner confidence, and improve outcomes for children, with pedagogical understanding </w:t>
      </w:r>
      <w:r w:rsidRPr="000B4DE2">
        <w:rPr>
          <w:rFonts w:ascii="Arial" w:hAnsi="Arial" w:cs="Arial"/>
          <w:sz w:val="24"/>
          <w:szCs w:val="24"/>
        </w:rPr>
        <w:t xml:space="preserve">which is genuinely co-constructed, </w:t>
      </w:r>
      <w:r w:rsidRPr="009B1E35">
        <w:rPr>
          <w:rFonts w:ascii="Arial" w:hAnsi="Arial" w:cs="Arial"/>
          <w:sz w:val="24"/>
          <w:szCs w:val="24"/>
        </w:rPr>
        <w:t>authentically Welsh and aligned with Flying Start principles (Sinnema, Nieveen &amp; Priestley, 2020).</w:t>
      </w:r>
    </w:p>
    <w:p w14:paraId="72CEABC5" w14:textId="6156D014" w:rsidR="003A4C62" w:rsidRPr="000B4DE2" w:rsidRDefault="003A4C62" w:rsidP="000B4DE2">
      <w:pPr>
        <w:spacing w:line="240" w:lineRule="auto"/>
        <w:rPr>
          <w:rFonts w:ascii="Arial" w:hAnsi="Arial" w:cs="Arial"/>
          <w:b/>
          <w:bCs/>
          <w:sz w:val="24"/>
          <w:szCs w:val="24"/>
        </w:rPr>
      </w:pPr>
      <w:r w:rsidRPr="000B4DE2">
        <w:rPr>
          <w:rFonts w:ascii="Arial" w:hAnsi="Arial" w:cs="Arial"/>
          <w:b/>
          <w:bCs/>
          <w:sz w:val="24"/>
          <w:szCs w:val="24"/>
        </w:rPr>
        <w:t>Research design</w:t>
      </w:r>
    </w:p>
    <w:p w14:paraId="0A41472B" w14:textId="212B0358" w:rsidR="003A4C62" w:rsidRPr="000B4DE2" w:rsidRDefault="007D1684" w:rsidP="000B4DE2">
      <w:pPr>
        <w:autoSpaceDE w:val="0"/>
        <w:autoSpaceDN w:val="0"/>
        <w:adjustRightInd w:val="0"/>
        <w:spacing w:line="240" w:lineRule="auto"/>
        <w:rPr>
          <w:rFonts w:ascii="Arial" w:hAnsi="Arial" w:cs="Arial"/>
          <w:sz w:val="24"/>
          <w:szCs w:val="24"/>
        </w:rPr>
      </w:pPr>
      <w:r w:rsidRPr="000B4DE2">
        <w:rPr>
          <w:rFonts w:ascii="Arial" w:hAnsi="Arial" w:cs="Arial"/>
          <w:sz w:val="24"/>
          <w:szCs w:val="24"/>
        </w:rPr>
        <w:t xml:space="preserve">This </w:t>
      </w:r>
      <w:r w:rsidR="00D36714" w:rsidRPr="000B4DE2">
        <w:rPr>
          <w:rFonts w:ascii="Arial" w:hAnsi="Arial" w:cs="Arial"/>
          <w:sz w:val="24"/>
          <w:szCs w:val="24"/>
        </w:rPr>
        <w:t xml:space="preserve">pilot </w:t>
      </w:r>
      <w:r w:rsidRPr="000B4DE2">
        <w:rPr>
          <w:rFonts w:ascii="Arial" w:hAnsi="Arial" w:cs="Arial"/>
          <w:sz w:val="24"/>
          <w:szCs w:val="24"/>
        </w:rPr>
        <w:t xml:space="preserve">study adopts a qualitative descriptive design </w:t>
      </w:r>
      <w:r w:rsidRPr="000B4DE2">
        <w:rPr>
          <w:rFonts w:ascii="Arial" w:hAnsi="Arial" w:cs="Arial"/>
          <w:bCs/>
          <w:sz w:val="24"/>
          <w:szCs w:val="24"/>
        </w:rPr>
        <w:t xml:space="preserve">(Hall and Liebenberg, 2024) </w:t>
      </w:r>
      <w:r w:rsidRPr="000B4DE2">
        <w:rPr>
          <w:rFonts w:ascii="Arial" w:hAnsi="Arial" w:cs="Arial"/>
          <w:sz w:val="24"/>
          <w:szCs w:val="24"/>
        </w:rPr>
        <w:t>within a pragmatic paradigm, which supports practical solutions to real-world problems (Sorrell, 2013) and aligns with the aim of challenging deficit views of young children. Semi-structured interviews (Mukherji and Albon, 2009) will be conducted with three childcare practitioners to explore how their perceptions of children’s competence and capability influence practice and pedagogy. This method allows flexibility for probing complex ideas while maintaining consistency across interviews</w:t>
      </w:r>
      <w:r w:rsidR="00365724" w:rsidRPr="000B4DE2">
        <w:rPr>
          <w:rFonts w:ascii="Arial" w:hAnsi="Arial" w:cs="Arial"/>
          <w:sz w:val="24"/>
          <w:szCs w:val="24"/>
        </w:rPr>
        <w:t xml:space="preserve"> (Smith, 1994)</w:t>
      </w:r>
      <w:r w:rsidRPr="000B4DE2">
        <w:rPr>
          <w:rFonts w:ascii="Arial" w:hAnsi="Arial" w:cs="Arial"/>
          <w:sz w:val="24"/>
          <w:szCs w:val="24"/>
        </w:rPr>
        <w:t>.</w:t>
      </w:r>
    </w:p>
    <w:p w14:paraId="1806A0B6" w14:textId="25932524" w:rsidR="00161AD8" w:rsidRPr="000B4DE2" w:rsidRDefault="00D36714" w:rsidP="000B4DE2">
      <w:pPr>
        <w:spacing w:line="240" w:lineRule="auto"/>
        <w:rPr>
          <w:rFonts w:ascii="Arial" w:hAnsi="Arial" w:cs="Arial"/>
          <w:b/>
          <w:bCs/>
          <w:sz w:val="24"/>
          <w:szCs w:val="24"/>
        </w:rPr>
      </w:pPr>
      <w:r w:rsidRPr="000B4DE2">
        <w:rPr>
          <w:rFonts w:ascii="Arial" w:hAnsi="Arial" w:cs="Arial"/>
          <w:b/>
          <w:bCs/>
          <w:sz w:val="24"/>
          <w:szCs w:val="24"/>
        </w:rPr>
        <w:t>Type of study</w:t>
      </w:r>
    </w:p>
    <w:p w14:paraId="394650CD" w14:textId="57E31A08" w:rsidR="00D36714" w:rsidRPr="000B4DE2" w:rsidRDefault="00D36714" w:rsidP="000B4DE2">
      <w:pPr>
        <w:spacing w:line="240" w:lineRule="auto"/>
        <w:rPr>
          <w:rFonts w:ascii="Arial" w:hAnsi="Arial" w:cs="Arial"/>
          <w:sz w:val="24"/>
          <w:szCs w:val="24"/>
        </w:rPr>
      </w:pPr>
      <w:r w:rsidRPr="000B4DE2">
        <w:rPr>
          <w:rFonts w:ascii="Arial" w:hAnsi="Arial" w:cs="Arial"/>
          <w:sz w:val="24"/>
          <w:szCs w:val="24"/>
        </w:rPr>
        <w:t xml:space="preserve">This is designed as an action research study, </w:t>
      </w:r>
      <w:r w:rsidR="00021BD1" w:rsidRPr="000B4DE2">
        <w:rPr>
          <w:rFonts w:ascii="Arial" w:hAnsi="Arial" w:cs="Arial"/>
          <w:sz w:val="24"/>
          <w:szCs w:val="24"/>
        </w:rPr>
        <w:t xml:space="preserve">with </w:t>
      </w:r>
      <w:r w:rsidRPr="000B4DE2">
        <w:rPr>
          <w:rFonts w:ascii="Arial" w:hAnsi="Arial" w:cs="Arial"/>
          <w:sz w:val="24"/>
          <w:szCs w:val="24"/>
        </w:rPr>
        <w:t xml:space="preserve">iterative cycles of planning, acting, observing, and reflecting, with the explicit purpose of improving practice within </w:t>
      </w:r>
      <w:r w:rsidR="00021BD1" w:rsidRPr="000B4DE2">
        <w:rPr>
          <w:rFonts w:ascii="Arial" w:hAnsi="Arial" w:cs="Arial"/>
          <w:sz w:val="24"/>
          <w:szCs w:val="24"/>
        </w:rPr>
        <w:t>Flying Start childcare</w:t>
      </w:r>
      <w:r w:rsidRPr="000B4DE2">
        <w:rPr>
          <w:rFonts w:ascii="Arial" w:hAnsi="Arial" w:cs="Arial"/>
          <w:sz w:val="24"/>
          <w:szCs w:val="24"/>
        </w:rPr>
        <w:t>. Action research is particularly suited to the early years because it empowers practitioners as co</w:t>
      </w:r>
      <w:r w:rsidRPr="000B4DE2">
        <w:rPr>
          <w:rFonts w:ascii="Arial" w:hAnsi="Arial" w:cs="Arial"/>
          <w:sz w:val="24"/>
          <w:szCs w:val="24"/>
        </w:rPr>
        <w:noBreakHyphen/>
        <w:t xml:space="preserve">researchers who collaboratively examine and transform their own practice (McAteer, 2014; Ince &amp; Kitto, 2019). </w:t>
      </w:r>
    </w:p>
    <w:p w14:paraId="5996AB74" w14:textId="6E2883DF" w:rsidR="00D36714" w:rsidRPr="000B4DE2" w:rsidRDefault="00161AD8" w:rsidP="000B4DE2">
      <w:pPr>
        <w:spacing w:line="240" w:lineRule="auto"/>
        <w:rPr>
          <w:rFonts w:ascii="Arial" w:hAnsi="Arial" w:cs="Arial"/>
          <w:sz w:val="24"/>
          <w:szCs w:val="24"/>
        </w:rPr>
      </w:pPr>
      <w:r w:rsidRPr="000B4DE2">
        <w:rPr>
          <w:rFonts w:ascii="Arial" w:hAnsi="Arial" w:cs="Arial"/>
          <w:sz w:val="24"/>
          <w:szCs w:val="24"/>
        </w:rPr>
        <w:t>The nature of the employ</w:t>
      </w:r>
      <w:r w:rsidR="00E20F56" w:rsidRPr="000B4DE2">
        <w:rPr>
          <w:rFonts w:ascii="Arial" w:hAnsi="Arial" w:cs="Arial"/>
          <w:sz w:val="24"/>
          <w:szCs w:val="24"/>
        </w:rPr>
        <w:t xml:space="preserve">ment </w:t>
      </w:r>
      <w:r w:rsidRPr="000B4DE2">
        <w:rPr>
          <w:rFonts w:ascii="Arial" w:hAnsi="Arial" w:cs="Arial"/>
          <w:sz w:val="24"/>
          <w:szCs w:val="24"/>
        </w:rPr>
        <w:t>of the researcher as a Flying Start Advisory Teacher and Responsible Individual for the two local authority settings, alongside living in an area of socio-economic deprivation places them as an insider researcher</w:t>
      </w:r>
      <w:r w:rsidR="00365724" w:rsidRPr="000B4DE2">
        <w:rPr>
          <w:rFonts w:ascii="Arial" w:hAnsi="Arial" w:cs="Arial"/>
          <w:sz w:val="24"/>
          <w:szCs w:val="24"/>
        </w:rPr>
        <w:t xml:space="preserve"> (Strunel and Cordoba, 2025)</w:t>
      </w:r>
      <w:r w:rsidRPr="000B4DE2">
        <w:rPr>
          <w:rFonts w:ascii="Arial" w:hAnsi="Arial" w:cs="Arial"/>
          <w:sz w:val="24"/>
          <w:szCs w:val="24"/>
        </w:rPr>
        <w:t>, which allows improved understanding of the research, context and the phenomena being studied (Saidin, 2017). There would be ethical implications to consider (BERA, 2024) given the nature of the dual role of the researcher (Bell and Waters, 2024)</w:t>
      </w:r>
      <w:r w:rsidR="005B57E8" w:rsidRPr="000B4DE2">
        <w:rPr>
          <w:rFonts w:ascii="Arial" w:hAnsi="Arial" w:cs="Arial"/>
          <w:sz w:val="24"/>
          <w:szCs w:val="24"/>
        </w:rPr>
        <w:t>.</w:t>
      </w:r>
      <w:r w:rsidRPr="000B4DE2">
        <w:rPr>
          <w:rFonts w:ascii="Arial" w:hAnsi="Arial" w:cs="Arial"/>
          <w:sz w:val="24"/>
          <w:szCs w:val="24"/>
        </w:rPr>
        <w:t xml:space="preserve"> </w:t>
      </w:r>
      <w:r w:rsidR="005B57E8" w:rsidRPr="000B4DE2">
        <w:rPr>
          <w:rFonts w:ascii="Arial" w:hAnsi="Arial" w:cs="Arial"/>
          <w:sz w:val="24"/>
          <w:szCs w:val="24"/>
        </w:rPr>
        <w:t>A</w:t>
      </w:r>
      <w:r w:rsidRPr="000B4DE2">
        <w:rPr>
          <w:rFonts w:ascii="Arial" w:hAnsi="Arial" w:cs="Arial"/>
          <w:sz w:val="24"/>
          <w:szCs w:val="24"/>
        </w:rPr>
        <w:t>s the Responsible Individual</w:t>
      </w:r>
      <w:r w:rsidRPr="000B4DE2">
        <w:rPr>
          <w:rStyle w:val="FootnoteReference"/>
          <w:rFonts w:ascii="Arial" w:hAnsi="Arial" w:cs="Arial"/>
          <w:sz w:val="24"/>
          <w:szCs w:val="24"/>
        </w:rPr>
        <w:footnoteReference w:id="1"/>
      </w:r>
      <w:r w:rsidRPr="000B4DE2">
        <w:rPr>
          <w:rFonts w:ascii="Arial" w:hAnsi="Arial" w:cs="Arial"/>
          <w:sz w:val="24"/>
          <w:szCs w:val="24"/>
        </w:rPr>
        <w:t xml:space="preserve"> of the setting, the </w:t>
      </w:r>
      <w:r w:rsidRPr="000B4DE2">
        <w:rPr>
          <w:rFonts w:ascii="Arial" w:hAnsi="Arial" w:cs="Arial"/>
          <w:sz w:val="24"/>
          <w:szCs w:val="24"/>
        </w:rPr>
        <w:lastRenderedPageBreak/>
        <w:t>participants would need to be assured that any finding would not have any repercussions for their work</w:t>
      </w:r>
      <w:r w:rsidR="00D36714" w:rsidRPr="000B4DE2">
        <w:rPr>
          <w:rFonts w:ascii="Arial" w:hAnsi="Arial" w:cs="Arial"/>
          <w:sz w:val="24"/>
          <w:szCs w:val="24"/>
        </w:rPr>
        <w:t xml:space="preserve">. Mertler (2021) emphasises that insider action research enables practitioners to investigate authentic problems of practice and generate meaningful, situated knowledge from within their own professional setting. </w:t>
      </w:r>
    </w:p>
    <w:p w14:paraId="13BF9F13" w14:textId="552346C8" w:rsidR="00D36714" w:rsidRPr="000B4DE2" w:rsidRDefault="00D36714" w:rsidP="000B4DE2">
      <w:pPr>
        <w:spacing w:line="240" w:lineRule="auto"/>
        <w:rPr>
          <w:rFonts w:ascii="Arial" w:hAnsi="Arial" w:cs="Arial"/>
          <w:sz w:val="24"/>
          <w:szCs w:val="24"/>
        </w:rPr>
      </w:pPr>
      <w:r w:rsidRPr="000B4DE2">
        <w:rPr>
          <w:rFonts w:ascii="Arial" w:hAnsi="Arial" w:cs="Arial"/>
          <w:sz w:val="24"/>
          <w:szCs w:val="24"/>
        </w:rPr>
        <w:t xml:space="preserve">Bleach (2013) found that early </w:t>
      </w:r>
      <w:r w:rsidR="000775E5" w:rsidRPr="000B4DE2">
        <w:rPr>
          <w:rFonts w:ascii="Arial" w:hAnsi="Arial" w:cs="Arial"/>
          <w:sz w:val="24"/>
          <w:szCs w:val="24"/>
        </w:rPr>
        <w:t>year’s</w:t>
      </w:r>
      <w:r w:rsidRPr="000B4DE2">
        <w:rPr>
          <w:rFonts w:ascii="Arial" w:hAnsi="Arial" w:cs="Arial"/>
          <w:sz w:val="24"/>
          <w:szCs w:val="24"/>
        </w:rPr>
        <w:t xml:space="preserve"> practitioners engaging i</w:t>
      </w:r>
      <w:r w:rsidR="000775E5" w:rsidRPr="000B4DE2">
        <w:rPr>
          <w:rFonts w:ascii="Arial" w:hAnsi="Arial" w:cs="Arial"/>
          <w:sz w:val="24"/>
          <w:szCs w:val="24"/>
        </w:rPr>
        <w:t xml:space="preserve">n </w:t>
      </w:r>
      <w:r w:rsidRPr="000B4DE2">
        <w:rPr>
          <w:rFonts w:ascii="Arial" w:hAnsi="Arial" w:cs="Arial"/>
          <w:sz w:val="24"/>
          <w:szCs w:val="24"/>
        </w:rPr>
        <w:t xml:space="preserve">action research developed stronger reflective capacities, improved quality of interactions, and were able to embed curriculum frameworks more confidently into everyday practice. </w:t>
      </w:r>
      <w:r w:rsidR="003B170B" w:rsidRPr="000B4DE2">
        <w:rPr>
          <w:rFonts w:ascii="Arial" w:hAnsi="Arial" w:cs="Arial"/>
          <w:sz w:val="24"/>
          <w:szCs w:val="24"/>
        </w:rPr>
        <w:t>It promotes collaborative reflection and shared professional dialogue, which Bleach (2013) highlights as essential for embedding high</w:t>
      </w:r>
      <w:r w:rsidR="003B170B" w:rsidRPr="000B4DE2">
        <w:rPr>
          <w:rFonts w:ascii="Arial" w:hAnsi="Arial" w:cs="Arial"/>
          <w:sz w:val="24"/>
          <w:szCs w:val="24"/>
        </w:rPr>
        <w:noBreakHyphen/>
        <w:t>quality early childhood pedagogy. Ince and Kitto (2019) hold congruence with this notion where they argue that practitioners are most engaged when investigating issues rooted in their own setting which can help to foster ownership and sustain their professional growth. Its cyclical nature also supports continuous quality improvement, enabling practitioners to test, reflect on, and refine strategies in ways that align closely with the ethos of Flying Start. Welsh research on child participation demonstrates that practitioners’ views of children’s capability directly influence the opportunities that children receive to participate meaningfully (Waters Davies et al., 2024). This reinforces the value of reflective methodologies such as action research, which help challenge assumptions and encourage more enabling and participatory pedagogies</w:t>
      </w:r>
      <w:r w:rsidR="006355AD" w:rsidRPr="000B4DE2">
        <w:rPr>
          <w:rFonts w:ascii="Arial" w:hAnsi="Arial" w:cs="Arial"/>
          <w:sz w:val="24"/>
          <w:szCs w:val="24"/>
        </w:rPr>
        <w:t xml:space="preserve"> (Clark, 2012)</w:t>
      </w:r>
      <w:r w:rsidR="003B170B" w:rsidRPr="000B4DE2">
        <w:rPr>
          <w:rFonts w:ascii="Arial" w:hAnsi="Arial" w:cs="Arial"/>
          <w:sz w:val="24"/>
          <w:szCs w:val="24"/>
        </w:rPr>
        <w:t>.</w:t>
      </w:r>
    </w:p>
    <w:p w14:paraId="356A4307" w14:textId="031A4C01" w:rsidR="003A4C62" w:rsidRPr="000B4DE2" w:rsidRDefault="003A4C62" w:rsidP="000B4DE2">
      <w:pPr>
        <w:spacing w:line="240" w:lineRule="auto"/>
        <w:rPr>
          <w:rFonts w:ascii="Arial" w:hAnsi="Arial" w:cs="Arial"/>
          <w:sz w:val="24"/>
          <w:szCs w:val="24"/>
        </w:rPr>
      </w:pPr>
      <w:r w:rsidRPr="000B4DE2">
        <w:rPr>
          <w:rFonts w:ascii="Arial" w:hAnsi="Arial" w:cs="Arial"/>
          <w:b/>
          <w:bCs/>
          <w:sz w:val="24"/>
          <w:szCs w:val="24"/>
        </w:rPr>
        <w:t>Research Philosophy and Approach</w:t>
      </w:r>
    </w:p>
    <w:p w14:paraId="694C00E5" w14:textId="6A1BCA12" w:rsidR="00784B4D" w:rsidRPr="000B4DE2" w:rsidRDefault="00784B4D" w:rsidP="000B4DE2">
      <w:pPr>
        <w:pStyle w:val="BodyText"/>
        <w:jc w:val="both"/>
        <w:rPr>
          <w:rFonts w:ascii="Arial" w:hAnsi="Arial" w:cs="Arial"/>
          <w:bCs/>
          <w:sz w:val="24"/>
          <w:szCs w:val="24"/>
        </w:rPr>
      </w:pPr>
      <w:r w:rsidRPr="000B4DE2">
        <w:rPr>
          <w:rFonts w:ascii="Arial" w:hAnsi="Arial" w:cs="Arial"/>
          <w:bCs/>
          <w:sz w:val="24"/>
          <w:szCs w:val="24"/>
        </w:rPr>
        <w:t>This research proposal is positioned within the pragmatic paradigm as it provides</w:t>
      </w:r>
      <w:r w:rsidRPr="000B4DE2">
        <w:rPr>
          <w:rFonts w:ascii="Arial" w:hAnsi="Arial" w:cs="Arial"/>
          <w:bCs/>
          <w:sz w:val="24"/>
          <w:szCs w:val="24"/>
          <w:shd w:val="clear" w:color="auto" w:fill="FFFFFF"/>
        </w:rPr>
        <w:t xml:space="preserve"> a reliable method for exploring and resolving a moral problem in a way that drives toward objectivity and refinement in application in a particular situation</w:t>
      </w:r>
      <w:r w:rsidR="003B170B" w:rsidRPr="000B4DE2">
        <w:rPr>
          <w:rFonts w:ascii="Arial" w:hAnsi="Arial" w:cs="Arial"/>
          <w:bCs/>
          <w:sz w:val="24"/>
          <w:szCs w:val="24"/>
          <w:shd w:val="clear" w:color="auto" w:fill="FFFFFF"/>
        </w:rPr>
        <w:t xml:space="preserve"> </w:t>
      </w:r>
      <w:r w:rsidRPr="000B4DE2">
        <w:rPr>
          <w:rFonts w:ascii="Arial" w:hAnsi="Arial" w:cs="Arial"/>
          <w:bCs/>
          <w:sz w:val="24"/>
          <w:szCs w:val="24"/>
          <w:shd w:val="clear" w:color="auto" w:fill="FFFFFF"/>
        </w:rPr>
        <w:t>(Sorrell, 2013). This research aims to challenge long held and deep-rooted views that children are incapable and pragmatism ‘precludes participants from merely evoking past practice, as it asks: What justifies this practice </w:t>
      </w:r>
      <w:r w:rsidRPr="000B4DE2">
        <w:rPr>
          <w:rFonts w:ascii="Arial" w:hAnsi="Arial" w:cs="Arial"/>
          <w:bCs/>
          <w:i/>
          <w:iCs/>
          <w:sz w:val="24"/>
          <w:szCs w:val="24"/>
          <w:shd w:val="clear" w:color="auto" w:fill="FFFFFF"/>
        </w:rPr>
        <w:t>now</w:t>
      </w:r>
      <w:r w:rsidRPr="000B4DE2">
        <w:rPr>
          <w:rFonts w:ascii="Arial" w:hAnsi="Arial" w:cs="Arial"/>
          <w:bCs/>
          <w:sz w:val="24"/>
          <w:szCs w:val="24"/>
          <w:shd w:val="clear" w:color="auto" w:fill="FFFFFF"/>
        </w:rPr>
        <w:t xml:space="preserve">, in light of current conditions and consequences, for all those involved?’ (Sorrell, 2013). </w:t>
      </w:r>
      <w:r w:rsidR="00202426" w:rsidRPr="000B4DE2">
        <w:rPr>
          <w:rFonts w:ascii="Arial" w:hAnsi="Arial" w:cs="Arial"/>
          <w:sz w:val="24"/>
          <w:szCs w:val="24"/>
        </w:rPr>
        <w:t xml:space="preserve">This aligns with the study’s intention to challenge entrenched deficit views of young children and to examine how practitioners’ conceptions of capability influence their pedagogical decisions. </w:t>
      </w:r>
      <w:r w:rsidRPr="000B4DE2">
        <w:rPr>
          <w:rFonts w:ascii="Arial" w:hAnsi="Arial" w:cs="Arial"/>
          <w:bCs/>
          <w:sz w:val="24"/>
          <w:szCs w:val="24"/>
        </w:rPr>
        <w:t>The Deweyan Pragmatism theoretical perspective is suitably situated within this paradigm and links to the research question and methods well as this paradigm supports the researcher goal to find solutions to real world problems (Cresswell and Poth, 2016)</w:t>
      </w:r>
    </w:p>
    <w:p w14:paraId="23CB4ED9" w14:textId="77777777" w:rsidR="00784B4D" w:rsidRPr="000B4DE2" w:rsidRDefault="00784B4D" w:rsidP="000B4DE2">
      <w:pPr>
        <w:pStyle w:val="BodyText"/>
        <w:jc w:val="both"/>
        <w:rPr>
          <w:rFonts w:ascii="Arial" w:hAnsi="Arial" w:cs="Arial"/>
          <w:b/>
          <w:sz w:val="24"/>
          <w:szCs w:val="24"/>
        </w:rPr>
      </w:pPr>
      <w:r w:rsidRPr="000B4DE2">
        <w:rPr>
          <w:rFonts w:ascii="Arial" w:hAnsi="Arial" w:cs="Arial"/>
          <w:b/>
          <w:sz w:val="24"/>
          <w:szCs w:val="24"/>
        </w:rPr>
        <w:t>Methodological position rationale</w:t>
      </w:r>
    </w:p>
    <w:p w14:paraId="24E1DA29" w14:textId="77777777" w:rsidR="004676F9" w:rsidRPr="000B4DE2" w:rsidRDefault="00784B4D" w:rsidP="000B4DE2">
      <w:pPr>
        <w:pStyle w:val="BodyText"/>
        <w:jc w:val="both"/>
        <w:rPr>
          <w:rFonts w:ascii="Arial" w:hAnsi="Arial" w:cs="Arial"/>
          <w:bCs/>
          <w:sz w:val="24"/>
          <w:szCs w:val="24"/>
        </w:rPr>
      </w:pPr>
      <w:r w:rsidRPr="000B4DE2">
        <w:rPr>
          <w:rFonts w:ascii="Arial" w:hAnsi="Arial" w:cs="Arial"/>
          <w:bCs/>
          <w:sz w:val="24"/>
          <w:szCs w:val="24"/>
        </w:rPr>
        <w:t>Cresswell and Poth (2016) provide a useful framework for research design. They argue that researchers often overlook the initial phase of the research process in which they should consider what they bring to the inquiry. For this research proposal the researcher brings: the view that young children can be capable and curious if supported to do so by enabling adults</w:t>
      </w:r>
      <w:r w:rsidR="004676F9" w:rsidRPr="000B4DE2">
        <w:rPr>
          <w:rFonts w:ascii="Arial" w:hAnsi="Arial" w:cs="Arial"/>
          <w:bCs/>
          <w:sz w:val="24"/>
          <w:szCs w:val="24"/>
        </w:rPr>
        <w:t>.</w:t>
      </w:r>
      <w:r w:rsidRPr="000B4DE2">
        <w:rPr>
          <w:rFonts w:ascii="Arial" w:hAnsi="Arial" w:cs="Arial"/>
          <w:bCs/>
          <w:sz w:val="24"/>
          <w:szCs w:val="24"/>
        </w:rPr>
        <w:t xml:space="preserve"> </w:t>
      </w:r>
    </w:p>
    <w:p w14:paraId="12FAF4BF" w14:textId="38CEFA86" w:rsidR="003A4C62" w:rsidRPr="000B4DE2" w:rsidRDefault="00784B4D" w:rsidP="000B4DE2">
      <w:pPr>
        <w:pStyle w:val="BodyText"/>
        <w:jc w:val="both"/>
        <w:rPr>
          <w:rFonts w:ascii="Arial" w:hAnsi="Arial" w:cs="Arial"/>
          <w:bCs/>
          <w:sz w:val="24"/>
          <w:szCs w:val="24"/>
        </w:rPr>
      </w:pPr>
      <w:r w:rsidRPr="000B4DE2">
        <w:rPr>
          <w:rFonts w:ascii="Arial" w:hAnsi="Arial" w:cs="Arial"/>
          <w:bCs/>
          <w:sz w:val="24"/>
          <w:szCs w:val="24"/>
        </w:rPr>
        <w:t>This research proposal will employ qualitative description. This pragmatic method offers an accessible entry point for first time researchers and emphasises direct, rich descriptions of experiences (Hall and Liebenberg, 2024) It allows for flexibility in data collection strategies and is straightforward in that it focuses on the perspectives of the participants and remains close to the data</w:t>
      </w:r>
      <w:r w:rsidR="00CC0AF3" w:rsidRPr="000B4DE2">
        <w:rPr>
          <w:rFonts w:ascii="Arial" w:hAnsi="Arial" w:cs="Arial"/>
          <w:bCs/>
          <w:sz w:val="24"/>
          <w:szCs w:val="24"/>
        </w:rPr>
        <w:t xml:space="preserve"> </w:t>
      </w:r>
      <w:r w:rsidRPr="000B4DE2">
        <w:rPr>
          <w:rFonts w:ascii="Arial" w:hAnsi="Arial" w:cs="Arial"/>
          <w:bCs/>
          <w:sz w:val="24"/>
          <w:szCs w:val="24"/>
        </w:rPr>
        <w:t>(Doyle et al, 20</w:t>
      </w:r>
      <w:r w:rsidR="004571C6" w:rsidRPr="000B4DE2">
        <w:rPr>
          <w:rFonts w:ascii="Arial" w:hAnsi="Arial" w:cs="Arial"/>
          <w:bCs/>
          <w:sz w:val="24"/>
          <w:szCs w:val="24"/>
        </w:rPr>
        <w:t>19</w:t>
      </w:r>
      <w:r w:rsidRPr="000B4DE2">
        <w:rPr>
          <w:rFonts w:ascii="Arial" w:hAnsi="Arial" w:cs="Arial"/>
          <w:bCs/>
          <w:sz w:val="24"/>
          <w:szCs w:val="24"/>
        </w:rPr>
        <w:t>)</w:t>
      </w:r>
      <w:r w:rsidR="00CC0AF3" w:rsidRPr="000B4DE2">
        <w:rPr>
          <w:rFonts w:ascii="Arial" w:hAnsi="Arial" w:cs="Arial"/>
          <w:bCs/>
          <w:sz w:val="24"/>
          <w:szCs w:val="24"/>
        </w:rPr>
        <w:t>.</w:t>
      </w:r>
      <w:r w:rsidRPr="000B4DE2">
        <w:rPr>
          <w:rFonts w:ascii="Arial" w:hAnsi="Arial" w:cs="Arial"/>
          <w:bCs/>
          <w:sz w:val="24"/>
          <w:szCs w:val="24"/>
        </w:rPr>
        <w:t xml:space="preserve"> </w:t>
      </w:r>
      <w:r w:rsidRPr="000B4DE2">
        <w:rPr>
          <w:rFonts w:ascii="Arial" w:hAnsi="Arial" w:cs="Arial"/>
          <w:bCs/>
          <w:sz w:val="24"/>
          <w:szCs w:val="24"/>
          <w:shd w:val="clear" w:color="auto" w:fill="FFFFFF"/>
        </w:rPr>
        <w:t xml:space="preserve">A qualitative descriptive design is appropriate in this context as it recognises the subjective nature of the </w:t>
      </w:r>
      <w:r w:rsidRPr="000B4DE2">
        <w:rPr>
          <w:rFonts w:ascii="Arial" w:hAnsi="Arial" w:cs="Arial"/>
          <w:bCs/>
          <w:sz w:val="24"/>
          <w:szCs w:val="24"/>
          <w:shd w:val="clear" w:color="auto" w:fill="FFFFFF"/>
        </w:rPr>
        <w:lastRenderedPageBreak/>
        <w:t>problem, the different experiences participants have and will present the findings in a way that closely resembles the terminology used in the initial research question (Doyle et al, 20</w:t>
      </w:r>
      <w:r w:rsidR="004571C6" w:rsidRPr="000B4DE2">
        <w:rPr>
          <w:rFonts w:ascii="Arial" w:hAnsi="Arial" w:cs="Arial"/>
          <w:bCs/>
          <w:sz w:val="24"/>
          <w:szCs w:val="24"/>
          <w:shd w:val="clear" w:color="auto" w:fill="FFFFFF"/>
        </w:rPr>
        <w:t>19</w:t>
      </w:r>
      <w:r w:rsidRPr="000B4DE2">
        <w:rPr>
          <w:rFonts w:ascii="Arial" w:hAnsi="Arial" w:cs="Arial"/>
          <w:bCs/>
          <w:sz w:val="24"/>
          <w:szCs w:val="24"/>
          <w:shd w:val="clear" w:color="auto" w:fill="FFFFFF"/>
        </w:rPr>
        <w:t>).</w:t>
      </w:r>
      <w:r w:rsidR="00D36714" w:rsidRPr="000B4DE2">
        <w:rPr>
          <w:rFonts w:ascii="Arial" w:hAnsi="Arial" w:cs="Arial"/>
          <w:bCs/>
          <w:sz w:val="24"/>
          <w:szCs w:val="24"/>
        </w:rPr>
        <w:t xml:space="preserve"> </w:t>
      </w:r>
      <w:r w:rsidRPr="000B4DE2">
        <w:rPr>
          <w:rFonts w:ascii="Arial" w:hAnsi="Arial" w:cs="Arial"/>
          <w:bCs/>
          <w:sz w:val="24"/>
          <w:szCs w:val="24"/>
          <w:shd w:val="clear" w:color="auto" w:fill="FFFFFF"/>
        </w:rPr>
        <w:t xml:space="preserve">There is a limitation with this method as it can be </w:t>
      </w:r>
      <w:r w:rsidRPr="000B4DE2">
        <w:rPr>
          <w:rFonts w:ascii="Arial" w:hAnsi="Arial" w:cs="Arial"/>
          <w:bCs/>
          <w:sz w:val="24"/>
          <w:szCs w:val="24"/>
        </w:rPr>
        <w:t>perceived as a less sophisticated form of research</w:t>
      </w:r>
      <w:r w:rsidRPr="000B4DE2">
        <w:rPr>
          <w:rFonts w:ascii="Arial" w:hAnsi="Arial" w:cs="Arial"/>
          <w:bCs/>
          <w:sz w:val="24"/>
          <w:szCs w:val="24"/>
          <w:shd w:val="clear" w:color="auto" w:fill="FFFFFF"/>
        </w:rPr>
        <w:t xml:space="preserve"> </w:t>
      </w:r>
      <w:r w:rsidRPr="000B4DE2">
        <w:rPr>
          <w:rFonts w:ascii="Arial" w:hAnsi="Arial" w:cs="Arial"/>
          <w:bCs/>
          <w:sz w:val="24"/>
          <w:szCs w:val="24"/>
        </w:rPr>
        <w:t>(Hall and Liebenberg, 2024)</w:t>
      </w:r>
      <w:r w:rsidRPr="000B4DE2">
        <w:rPr>
          <w:rFonts w:ascii="Arial" w:hAnsi="Arial" w:cs="Arial"/>
          <w:bCs/>
          <w:sz w:val="24"/>
          <w:szCs w:val="24"/>
          <w:shd w:val="clear" w:color="auto" w:fill="FFFFFF"/>
        </w:rPr>
        <w:t xml:space="preserve"> however, </w:t>
      </w:r>
      <w:r w:rsidR="004676F9" w:rsidRPr="000B4DE2">
        <w:rPr>
          <w:rFonts w:ascii="Arial" w:hAnsi="Arial" w:cs="Arial"/>
          <w:bCs/>
          <w:sz w:val="24"/>
          <w:szCs w:val="24"/>
          <w:shd w:val="clear" w:color="auto" w:fill="FFFFFF"/>
        </w:rPr>
        <w:t>for this pilot study t</w:t>
      </w:r>
      <w:r w:rsidRPr="000B4DE2">
        <w:rPr>
          <w:rFonts w:ascii="Arial" w:hAnsi="Arial" w:cs="Arial"/>
          <w:bCs/>
          <w:sz w:val="24"/>
          <w:szCs w:val="24"/>
          <w:shd w:val="clear" w:color="auto" w:fill="FFFFFF"/>
        </w:rPr>
        <w:t xml:space="preserve">he focus is not on increasing theoretical  </w:t>
      </w:r>
      <w:r w:rsidR="004571C6" w:rsidRPr="000B4DE2">
        <w:rPr>
          <w:rFonts w:ascii="Arial" w:hAnsi="Arial" w:cs="Arial"/>
          <w:bCs/>
          <w:sz w:val="24"/>
          <w:szCs w:val="24"/>
          <w:shd w:val="clear" w:color="auto" w:fill="FFFFFF"/>
        </w:rPr>
        <w:t>understanding but</w:t>
      </w:r>
      <w:r w:rsidRPr="000B4DE2">
        <w:rPr>
          <w:rFonts w:ascii="Arial" w:hAnsi="Arial" w:cs="Arial"/>
          <w:bCs/>
          <w:sz w:val="24"/>
          <w:szCs w:val="24"/>
          <w:shd w:val="clear" w:color="auto" w:fill="FFFFFF"/>
        </w:rPr>
        <w:t xml:space="preserve"> rather contributing to change and quality improvement</w:t>
      </w:r>
      <w:r w:rsidR="004571C6" w:rsidRPr="000B4DE2">
        <w:rPr>
          <w:rFonts w:ascii="Arial" w:hAnsi="Arial" w:cs="Arial"/>
          <w:bCs/>
          <w:sz w:val="24"/>
          <w:szCs w:val="24"/>
          <w:shd w:val="clear" w:color="auto" w:fill="FFFFFF"/>
        </w:rPr>
        <w:t xml:space="preserve"> (Sorrell, 2013) </w:t>
      </w:r>
      <w:r w:rsidR="00202426" w:rsidRPr="000B4DE2">
        <w:rPr>
          <w:rFonts w:ascii="Arial" w:hAnsi="Arial" w:cs="Arial"/>
          <w:bCs/>
          <w:sz w:val="24"/>
          <w:szCs w:val="24"/>
          <w:shd w:val="clear" w:color="auto" w:fill="FFFFFF"/>
        </w:rPr>
        <w:t>making this approach both fit</w:t>
      </w:r>
      <w:r w:rsidR="00202426" w:rsidRPr="000B4DE2">
        <w:rPr>
          <w:rFonts w:ascii="Arial" w:hAnsi="Arial" w:cs="Arial"/>
          <w:bCs/>
          <w:sz w:val="24"/>
          <w:szCs w:val="24"/>
          <w:shd w:val="clear" w:color="auto" w:fill="FFFFFF"/>
        </w:rPr>
        <w:noBreakHyphen/>
        <w:t>for</w:t>
      </w:r>
      <w:r w:rsidR="00202426" w:rsidRPr="000B4DE2">
        <w:rPr>
          <w:rFonts w:ascii="Arial" w:hAnsi="Arial" w:cs="Arial"/>
          <w:bCs/>
          <w:sz w:val="24"/>
          <w:szCs w:val="24"/>
          <w:shd w:val="clear" w:color="auto" w:fill="FFFFFF"/>
        </w:rPr>
        <w:noBreakHyphen/>
        <w:t>purpose and methodologically defensible.</w:t>
      </w:r>
    </w:p>
    <w:p w14:paraId="5FA5F1E7" w14:textId="77777777" w:rsidR="00BC7D95" w:rsidRPr="00BC7D95" w:rsidRDefault="00BC7D95" w:rsidP="000B4DE2">
      <w:pPr>
        <w:spacing w:line="240" w:lineRule="auto"/>
        <w:rPr>
          <w:rFonts w:ascii="Arial" w:hAnsi="Arial" w:cs="Arial"/>
          <w:sz w:val="24"/>
          <w:szCs w:val="24"/>
        </w:rPr>
      </w:pPr>
      <w:r w:rsidRPr="00BC7D95">
        <w:rPr>
          <w:rFonts w:ascii="Arial" w:hAnsi="Arial" w:cs="Arial"/>
          <w:b/>
          <w:bCs/>
          <w:sz w:val="24"/>
          <w:szCs w:val="24"/>
        </w:rPr>
        <w:t>Sample</w:t>
      </w:r>
      <w:r w:rsidRPr="00BC7D95">
        <w:rPr>
          <w:rFonts w:ascii="Arial" w:hAnsi="Arial" w:cs="Arial"/>
          <w:sz w:val="24"/>
          <w:szCs w:val="24"/>
        </w:rPr>
        <w:br/>
        <w:t>This pilot study will be conducted within a local</w:t>
      </w:r>
      <w:r w:rsidRPr="00BC7D95">
        <w:rPr>
          <w:rFonts w:ascii="Arial" w:hAnsi="Arial" w:cs="Arial"/>
          <w:sz w:val="24"/>
          <w:szCs w:val="24"/>
        </w:rPr>
        <w:noBreakHyphen/>
        <w:t>authority</w:t>
      </w:r>
      <w:r w:rsidRPr="00BC7D95">
        <w:rPr>
          <w:rFonts w:ascii="Arial" w:hAnsi="Arial" w:cs="Arial"/>
          <w:sz w:val="24"/>
          <w:szCs w:val="24"/>
        </w:rPr>
        <w:noBreakHyphen/>
        <w:t>run Flying Start childcare setting in South Wales. The research will draw on a wider sampling frame of approximately 10 practitioners employed within the Flying Start team. A combination of convenience and purposive sampling strategies will be used (Cohen et al., 2018). Convenience sampling is suitable because the researcher, as RI, has direct access to the settings and staff, ensuring feasibility within the limited pilot timeframe (Andrade, 2020). Although convenience sampling poses challenges around the researcher’s ‘insider’ role (BERA, 2024), it remains a common non</w:t>
      </w:r>
      <w:r w:rsidRPr="00BC7D95">
        <w:rPr>
          <w:rFonts w:ascii="Arial" w:hAnsi="Arial" w:cs="Arial"/>
          <w:sz w:val="24"/>
          <w:szCs w:val="24"/>
        </w:rPr>
        <w:noBreakHyphen/>
        <w:t>probability approach in qualitative studies exploring attitudes within naturally occurring groups. Purposive sampling strengthens the strategy by ensuring selected participants hold roles aligned with the study’s aims (Campbell et al., 2020). Flying Start settings serve children in areas of low socio</w:t>
      </w:r>
      <w:r w:rsidRPr="00BC7D95">
        <w:rPr>
          <w:rFonts w:ascii="Arial" w:hAnsi="Arial" w:cs="Arial"/>
          <w:sz w:val="24"/>
          <w:szCs w:val="24"/>
        </w:rPr>
        <w:noBreakHyphen/>
        <w:t>economic status, positioning practitioners to offer relevant insights.</w:t>
      </w:r>
    </w:p>
    <w:p w14:paraId="7C3E1AB5" w14:textId="77777777" w:rsidR="00BC7D95" w:rsidRPr="00BC7D95" w:rsidRDefault="00BC7D95" w:rsidP="000B4DE2">
      <w:pPr>
        <w:spacing w:line="240" w:lineRule="auto"/>
        <w:rPr>
          <w:rFonts w:ascii="Arial" w:hAnsi="Arial" w:cs="Arial"/>
          <w:sz w:val="24"/>
          <w:szCs w:val="24"/>
        </w:rPr>
      </w:pPr>
      <w:r w:rsidRPr="00BC7D95">
        <w:rPr>
          <w:rFonts w:ascii="Arial" w:hAnsi="Arial" w:cs="Arial"/>
          <w:b/>
          <w:bCs/>
          <w:sz w:val="24"/>
          <w:szCs w:val="24"/>
        </w:rPr>
        <w:t>Participants</w:t>
      </w:r>
      <w:r w:rsidRPr="00BC7D95">
        <w:rPr>
          <w:rFonts w:ascii="Arial" w:hAnsi="Arial" w:cs="Arial"/>
          <w:sz w:val="24"/>
          <w:szCs w:val="24"/>
        </w:rPr>
        <w:br/>
        <w:t>Three participants will be purposively selected from the wider group of Flying Start practitioners. This small number is appropriate for a pilot study, allowing the researcher to test the semi</w:t>
      </w:r>
      <w:r w:rsidRPr="00BC7D95">
        <w:rPr>
          <w:rFonts w:ascii="Arial" w:hAnsi="Arial" w:cs="Arial"/>
          <w:sz w:val="24"/>
          <w:szCs w:val="24"/>
        </w:rPr>
        <w:noBreakHyphen/>
        <w:t>structured interview method and refine draft questions within a manageable timeframe. Planned participants include a childcare leader, deputy leader, and practitioner, all employed in local</w:t>
      </w:r>
      <w:r w:rsidRPr="00BC7D95">
        <w:rPr>
          <w:rFonts w:ascii="Arial" w:hAnsi="Arial" w:cs="Arial"/>
          <w:sz w:val="24"/>
          <w:szCs w:val="24"/>
        </w:rPr>
        <w:noBreakHyphen/>
        <w:t>authority</w:t>
      </w:r>
      <w:r w:rsidRPr="00BC7D95">
        <w:rPr>
          <w:rFonts w:ascii="Arial" w:hAnsi="Arial" w:cs="Arial"/>
          <w:sz w:val="24"/>
          <w:szCs w:val="24"/>
        </w:rPr>
        <w:noBreakHyphen/>
        <w:t>run Flying Start settings. Purposive sampling is justified as these individuals offer distinct perspectives essential to the research aims (Campbell et al., 2020; Cohen et al., 2018). All participants will provide opt</w:t>
      </w:r>
      <w:r w:rsidRPr="00BC7D95">
        <w:rPr>
          <w:rFonts w:ascii="Arial" w:hAnsi="Arial" w:cs="Arial"/>
          <w:sz w:val="24"/>
          <w:szCs w:val="24"/>
        </w:rPr>
        <w:noBreakHyphen/>
        <w:t>in informed consent and retain the right to withdraw at any time, following BERA (2024) guidelines. The researcher will emphasise that participation is voluntary and non</w:t>
      </w:r>
      <w:r w:rsidRPr="00BC7D95">
        <w:rPr>
          <w:rFonts w:ascii="Arial" w:hAnsi="Arial" w:cs="Arial"/>
          <w:sz w:val="24"/>
          <w:szCs w:val="24"/>
        </w:rPr>
        <w:noBreakHyphen/>
        <w:t>participation is acceptable</w:t>
      </w:r>
    </w:p>
    <w:p w14:paraId="211C601C" w14:textId="77777777" w:rsidR="003A4C62" w:rsidRPr="000B4DE2" w:rsidRDefault="003A4C62" w:rsidP="000B4DE2">
      <w:pPr>
        <w:spacing w:line="240" w:lineRule="auto"/>
        <w:rPr>
          <w:rFonts w:ascii="Arial" w:hAnsi="Arial" w:cs="Arial"/>
          <w:sz w:val="24"/>
          <w:szCs w:val="24"/>
        </w:rPr>
      </w:pPr>
      <w:r w:rsidRPr="000B4DE2">
        <w:rPr>
          <w:rFonts w:ascii="Arial" w:hAnsi="Arial" w:cs="Arial"/>
          <w:b/>
          <w:bCs/>
          <w:sz w:val="24"/>
          <w:szCs w:val="24"/>
        </w:rPr>
        <w:t>Methods</w:t>
      </w:r>
    </w:p>
    <w:p w14:paraId="58E75C0E" w14:textId="77777777" w:rsidR="0031582B" w:rsidRPr="000B4DE2" w:rsidRDefault="0031582B" w:rsidP="000B4DE2">
      <w:pPr>
        <w:spacing w:line="240" w:lineRule="auto"/>
        <w:rPr>
          <w:rFonts w:ascii="Arial" w:hAnsi="Arial" w:cs="Arial"/>
          <w:sz w:val="24"/>
          <w:szCs w:val="24"/>
        </w:rPr>
      </w:pPr>
      <w:r w:rsidRPr="000B4DE2">
        <w:rPr>
          <w:rFonts w:ascii="Arial" w:hAnsi="Arial" w:cs="Arial"/>
          <w:sz w:val="24"/>
          <w:szCs w:val="24"/>
        </w:rPr>
        <w:t>Data will be generated through semi</w:t>
      </w:r>
      <w:r w:rsidRPr="000B4DE2">
        <w:rPr>
          <w:rFonts w:ascii="Arial" w:hAnsi="Arial" w:cs="Arial"/>
          <w:sz w:val="24"/>
          <w:szCs w:val="24"/>
        </w:rPr>
        <w:noBreakHyphen/>
        <w:t xml:space="preserve">structured interviews, a method valued for its balance of structure and flexibility, enabling exploration of complex professional beliefs while maintaining consistency across interviews (Mukherji &amp; Albon, 2022). </w:t>
      </w:r>
    </w:p>
    <w:p w14:paraId="20F8F127" w14:textId="3AD63372" w:rsidR="007A2161" w:rsidRPr="000B4DE2" w:rsidRDefault="007A2161" w:rsidP="000B4DE2">
      <w:pPr>
        <w:spacing w:line="240" w:lineRule="auto"/>
        <w:rPr>
          <w:rFonts w:ascii="Arial" w:hAnsi="Arial" w:cs="Arial"/>
          <w:sz w:val="24"/>
          <w:szCs w:val="24"/>
        </w:rPr>
      </w:pPr>
      <w:r w:rsidRPr="000B4DE2">
        <w:rPr>
          <w:rFonts w:ascii="Arial" w:hAnsi="Arial" w:cs="Arial"/>
          <w:sz w:val="24"/>
          <w:szCs w:val="24"/>
        </w:rPr>
        <w:t>Semi</w:t>
      </w:r>
      <w:r w:rsidRPr="000B4DE2">
        <w:rPr>
          <w:rFonts w:ascii="Arial" w:hAnsi="Arial" w:cs="Arial"/>
          <w:sz w:val="24"/>
          <w:szCs w:val="24"/>
        </w:rPr>
        <w:noBreakHyphen/>
        <w:t>structured interviews are particularly well</w:t>
      </w:r>
      <w:r w:rsidRPr="000B4DE2">
        <w:rPr>
          <w:rFonts w:ascii="Arial" w:hAnsi="Arial" w:cs="Arial"/>
          <w:sz w:val="24"/>
          <w:szCs w:val="24"/>
        </w:rPr>
        <w:noBreakHyphen/>
        <w:t xml:space="preserve">suited to this study because they enable the exploration of practitioners’ perceptions, beliefs, and experiences in depth while still maintaining enough structure to align with the research aims. In </w:t>
      </w:r>
      <w:r w:rsidR="00202426" w:rsidRPr="000B4DE2">
        <w:rPr>
          <w:rFonts w:ascii="Arial" w:hAnsi="Arial" w:cs="Arial"/>
          <w:sz w:val="24"/>
          <w:szCs w:val="24"/>
        </w:rPr>
        <w:t xml:space="preserve">a recent study by </w:t>
      </w:r>
      <w:r w:rsidRPr="000B4DE2">
        <w:rPr>
          <w:rFonts w:ascii="Arial" w:hAnsi="Arial" w:cs="Arial"/>
          <w:sz w:val="24"/>
          <w:szCs w:val="24"/>
        </w:rPr>
        <w:t>Waters</w:t>
      </w:r>
      <w:r w:rsidRPr="000B4DE2">
        <w:rPr>
          <w:rFonts w:ascii="Arial" w:hAnsi="Arial" w:cs="Arial"/>
          <w:sz w:val="24"/>
          <w:szCs w:val="24"/>
        </w:rPr>
        <w:noBreakHyphen/>
        <w:t>Davies et al (2023), interviews were successfully used to understand how practitioners conceptualise children’s participation and capability. Roberts (2023) also utilised intervi</w:t>
      </w:r>
      <w:r w:rsidR="00202426" w:rsidRPr="000B4DE2">
        <w:rPr>
          <w:rFonts w:ascii="Arial" w:hAnsi="Arial" w:cs="Arial"/>
          <w:sz w:val="24"/>
          <w:szCs w:val="24"/>
        </w:rPr>
        <w:t xml:space="preserve">ews </w:t>
      </w:r>
      <w:r w:rsidRPr="000B4DE2">
        <w:rPr>
          <w:rFonts w:ascii="Arial" w:hAnsi="Arial" w:cs="Arial"/>
          <w:sz w:val="24"/>
          <w:szCs w:val="24"/>
        </w:rPr>
        <w:t xml:space="preserve">to access the nuances of practitioner thinking, highlighting the suitability of interviews for capturing </w:t>
      </w:r>
      <w:r w:rsidR="00362E5C" w:rsidRPr="000B4DE2">
        <w:rPr>
          <w:rFonts w:ascii="Arial" w:hAnsi="Arial" w:cs="Arial"/>
          <w:sz w:val="24"/>
          <w:szCs w:val="24"/>
        </w:rPr>
        <w:t>practitioner voice</w:t>
      </w:r>
      <w:r w:rsidRPr="000B4DE2">
        <w:rPr>
          <w:rFonts w:ascii="Arial" w:hAnsi="Arial" w:cs="Arial"/>
          <w:sz w:val="24"/>
          <w:szCs w:val="24"/>
        </w:rPr>
        <w:t xml:space="preserve"> within early years practice.</w:t>
      </w:r>
    </w:p>
    <w:p w14:paraId="4AD6D66F" w14:textId="7F263D6E" w:rsidR="00945A13" w:rsidRPr="000B4DE2" w:rsidRDefault="0031582B" w:rsidP="000B4DE2">
      <w:pPr>
        <w:spacing w:line="240" w:lineRule="auto"/>
        <w:rPr>
          <w:rFonts w:ascii="Arial" w:hAnsi="Arial" w:cs="Arial"/>
          <w:sz w:val="24"/>
          <w:szCs w:val="24"/>
        </w:rPr>
      </w:pPr>
      <w:r w:rsidRPr="000B4DE2">
        <w:rPr>
          <w:rFonts w:ascii="Arial" w:hAnsi="Arial" w:cs="Arial"/>
          <w:sz w:val="24"/>
          <w:szCs w:val="24"/>
        </w:rPr>
        <w:t>S</w:t>
      </w:r>
      <w:r w:rsidR="007A2161" w:rsidRPr="000B4DE2">
        <w:rPr>
          <w:rFonts w:ascii="Arial" w:hAnsi="Arial" w:cs="Arial"/>
          <w:sz w:val="24"/>
          <w:szCs w:val="24"/>
        </w:rPr>
        <w:t>emi</w:t>
      </w:r>
      <w:r w:rsidR="007A2161" w:rsidRPr="000B4DE2">
        <w:rPr>
          <w:rFonts w:ascii="Arial" w:hAnsi="Arial" w:cs="Arial"/>
          <w:sz w:val="24"/>
          <w:szCs w:val="24"/>
        </w:rPr>
        <w:noBreakHyphen/>
        <w:t xml:space="preserve">structured interviews offer researchers </w:t>
      </w:r>
      <w:r w:rsidRPr="000B4DE2">
        <w:rPr>
          <w:rFonts w:ascii="Arial" w:hAnsi="Arial" w:cs="Arial"/>
          <w:sz w:val="24"/>
          <w:szCs w:val="24"/>
        </w:rPr>
        <w:t xml:space="preserve">the opportunity </w:t>
      </w:r>
      <w:r w:rsidR="007A2161" w:rsidRPr="000B4DE2">
        <w:rPr>
          <w:rFonts w:ascii="Arial" w:hAnsi="Arial" w:cs="Arial"/>
          <w:sz w:val="24"/>
          <w:szCs w:val="24"/>
        </w:rPr>
        <w:t>to gather rich, detailed, and context</w:t>
      </w:r>
      <w:r w:rsidR="007A2161" w:rsidRPr="000B4DE2">
        <w:rPr>
          <w:rFonts w:ascii="Arial" w:hAnsi="Arial" w:cs="Arial"/>
          <w:sz w:val="24"/>
          <w:szCs w:val="24"/>
        </w:rPr>
        <w:noBreakHyphen/>
        <w:t>specific data, making them more powerful than structured formats for understanding practitioners’ reasoning and professional judgement</w:t>
      </w:r>
      <w:r w:rsidR="00362E5C" w:rsidRPr="000B4DE2">
        <w:rPr>
          <w:rFonts w:ascii="Arial" w:hAnsi="Arial" w:cs="Arial"/>
          <w:sz w:val="24"/>
          <w:szCs w:val="24"/>
        </w:rPr>
        <w:t xml:space="preserve"> (</w:t>
      </w:r>
      <w:r w:rsidR="007A2161" w:rsidRPr="000B4DE2">
        <w:rPr>
          <w:rFonts w:ascii="Arial" w:hAnsi="Arial" w:cs="Arial"/>
          <w:sz w:val="24"/>
          <w:szCs w:val="24"/>
        </w:rPr>
        <w:t>Ruslin et al.</w:t>
      </w:r>
      <w:r w:rsidR="00362E5C" w:rsidRPr="000B4DE2">
        <w:rPr>
          <w:rFonts w:ascii="Arial" w:hAnsi="Arial" w:cs="Arial"/>
          <w:sz w:val="24"/>
          <w:szCs w:val="24"/>
        </w:rPr>
        <w:t xml:space="preserve">, </w:t>
      </w:r>
      <w:r w:rsidR="007A2161" w:rsidRPr="000B4DE2">
        <w:rPr>
          <w:rFonts w:ascii="Arial" w:hAnsi="Arial" w:cs="Arial"/>
          <w:sz w:val="24"/>
          <w:szCs w:val="24"/>
        </w:rPr>
        <w:lastRenderedPageBreak/>
        <w:t xml:space="preserve">2022) </w:t>
      </w:r>
      <w:r w:rsidRPr="000B4DE2">
        <w:rPr>
          <w:rFonts w:ascii="Arial" w:hAnsi="Arial" w:cs="Arial"/>
          <w:sz w:val="24"/>
          <w:szCs w:val="24"/>
        </w:rPr>
        <w:t xml:space="preserve">Magaldi &amp; Berler (2020) </w:t>
      </w:r>
      <w:r w:rsidR="00362E5C" w:rsidRPr="000B4DE2">
        <w:rPr>
          <w:rFonts w:ascii="Arial" w:hAnsi="Arial" w:cs="Arial"/>
          <w:sz w:val="24"/>
          <w:szCs w:val="24"/>
        </w:rPr>
        <w:t xml:space="preserve">also </w:t>
      </w:r>
      <w:r w:rsidRPr="000B4DE2">
        <w:rPr>
          <w:rFonts w:ascii="Arial" w:hAnsi="Arial" w:cs="Arial"/>
          <w:sz w:val="24"/>
          <w:szCs w:val="24"/>
        </w:rPr>
        <w:t xml:space="preserve">recognise that </w:t>
      </w:r>
      <w:r w:rsidR="007A2161" w:rsidRPr="000B4DE2">
        <w:rPr>
          <w:rFonts w:ascii="Arial" w:hAnsi="Arial" w:cs="Arial"/>
          <w:sz w:val="24"/>
          <w:szCs w:val="24"/>
        </w:rPr>
        <w:t>semi</w:t>
      </w:r>
      <w:r w:rsidR="007A2161" w:rsidRPr="000B4DE2">
        <w:rPr>
          <w:rFonts w:ascii="Arial" w:hAnsi="Arial" w:cs="Arial"/>
          <w:sz w:val="24"/>
          <w:szCs w:val="24"/>
        </w:rPr>
        <w:noBreakHyphen/>
        <w:t xml:space="preserve">structured interviews </w:t>
      </w:r>
      <w:r w:rsidR="00362E5C" w:rsidRPr="000B4DE2">
        <w:rPr>
          <w:rFonts w:ascii="Arial" w:hAnsi="Arial" w:cs="Arial"/>
          <w:sz w:val="24"/>
          <w:szCs w:val="24"/>
        </w:rPr>
        <w:t xml:space="preserve">are </w:t>
      </w:r>
      <w:r w:rsidR="007A2161" w:rsidRPr="000B4DE2">
        <w:rPr>
          <w:rFonts w:ascii="Arial" w:hAnsi="Arial" w:cs="Arial"/>
          <w:sz w:val="24"/>
          <w:szCs w:val="24"/>
        </w:rPr>
        <w:t>appropriate when studying subjective experiences</w:t>
      </w:r>
      <w:r w:rsidRPr="000B4DE2">
        <w:rPr>
          <w:rFonts w:ascii="Arial" w:hAnsi="Arial" w:cs="Arial"/>
          <w:sz w:val="24"/>
          <w:szCs w:val="24"/>
        </w:rPr>
        <w:t xml:space="preserve"> and </w:t>
      </w:r>
      <w:r w:rsidR="007A2161" w:rsidRPr="000B4DE2">
        <w:rPr>
          <w:rFonts w:ascii="Arial" w:hAnsi="Arial" w:cs="Arial"/>
          <w:sz w:val="24"/>
          <w:szCs w:val="24"/>
        </w:rPr>
        <w:t>professional reasoning</w:t>
      </w:r>
      <w:r w:rsidRPr="000B4DE2">
        <w:rPr>
          <w:rFonts w:ascii="Arial" w:hAnsi="Arial" w:cs="Arial"/>
          <w:sz w:val="24"/>
          <w:szCs w:val="24"/>
        </w:rPr>
        <w:t xml:space="preserve"> </w:t>
      </w:r>
      <w:r w:rsidR="007A2161" w:rsidRPr="000B4DE2">
        <w:rPr>
          <w:rFonts w:ascii="Arial" w:hAnsi="Arial" w:cs="Arial"/>
          <w:sz w:val="24"/>
          <w:szCs w:val="24"/>
        </w:rPr>
        <w:t xml:space="preserve">which are central to </w:t>
      </w:r>
      <w:r w:rsidRPr="000B4DE2">
        <w:rPr>
          <w:rFonts w:ascii="Arial" w:hAnsi="Arial" w:cs="Arial"/>
          <w:sz w:val="24"/>
          <w:szCs w:val="24"/>
        </w:rPr>
        <w:t>this study</w:t>
      </w:r>
      <w:r w:rsidR="007A2161" w:rsidRPr="000B4DE2">
        <w:rPr>
          <w:rFonts w:ascii="Arial" w:hAnsi="Arial" w:cs="Arial"/>
          <w:sz w:val="24"/>
          <w:szCs w:val="24"/>
        </w:rPr>
        <w:t xml:space="preserve"> into deficit views and practitioner conceptions of children’s capability. </w:t>
      </w:r>
    </w:p>
    <w:p w14:paraId="546408E4" w14:textId="719FEB24" w:rsidR="00945A13" w:rsidRPr="000B4DE2" w:rsidRDefault="009B1E35" w:rsidP="000B4DE2">
      <w:pPr>
        <w:spacing w:line="240" w:lineRule="auto"/>
        <w:rPr>
          <w:rFonts w:ascii="Arial" w:hAnsi="Arial" w:cs="Arial"/>
          <w:b/>
          <w:bCs/>
          <w:sz w:val="24"/>
          <w:szCs w:val="24"/>
        </w:rPr>
      </w:pPr>
      <w:r w:rsidRPr="000B4DE2">
        <w:rPr>
          <w:rFonts w:ascii="Arial" w:hAnsi="Arial" w:cs="Arial"/>
          <w:b/>
          <w:bCs/>
          <w:sz w:val="24"/>
          <w:szCs w:val="24"/>
        </w:rPr>
        <w:t>C</w:t>
      </w:r>
      <w:r w:rsidR="00433961" w:rsidRPr="000B4DE2">
        <w:rPr>
          <w:rFonts w:ascii="Arial" w:hAnsi="Arial" w:cs="Arial"/>
          <w:b/>
          <w:bCs/>
          <w:sz w:val="24"/>
          <w:szCs w:val="24"/>
        </w:rPr>
        <w:t>ollecting the data</w:t>
      </w:r>
    </w:p>
    <w:p w14:paraId="7F90E0CB" w14:textId="5E52B738" w:rsidR="00E529C6" w:rsidRPr="000B4DE2" w:rsidRDefault="00433961" w:rsidP="000B4DE2">
      <w:pPr>
        <w:autoSpaceDE w:val="0"/>
        <w:autoSpaceDN w:val="0"/>
        <w:adjustRightInd w:val="0"/>
        <w:spacing w:line="240" w:lineRule="auto"/>
        <w:rPr>
          <w:rFonts w:ascii="Arial" w:hAnsi="Arial" w:cs="Arial"/>
          <w:sz w:val="24"/>
          <w:szCs w:val="24"/>
        </w:rPr>
      </w:pPr>
      <w:r w:rsidRPr="000B4DE2">
        <w:rPr>
          <w:rFonts w:ascii="Arial" w:hAnsi="Arial" w:cs="Arial"/>
          <w:sz w:val="24"/>
          <w:szCs w:val="24"/>
        </w:rPr>
        <w:t xml:space="preserve">Each interview will </w:t>
      </w:r>
      <w:r w:rsidR="00781E22" w:rsidRPr="000B4DE2">
        <w:rPr>
          <w:rFonts w:ascii="Arial" w:hAnsi="Arial" w:cs="Arial"/>
          <w:sz w:val="24"/>
          <w:szCs w:val="24"/>
        </w:rPr>
        <w:t xml:space="preserve">follow a pre-prepared schedule and </w:t>
      </w:r>
      <w:r w:rsidRPr="000B4DE2">
        <w:rPr>
          <w:rFonts w:ascii="Arial" w:hAnsi="Arial" w:cs="Arial"/>
          <w:sz w:val="24"/>
          <w:szCs w:val="24"/>
        </w:rPr>
        <w:t xml:space="preserve">last approximately 30–45 minutes and will take place in a private office space within the childcare setting </w:t>
      </w:r>
      <w:r w:rsidR="006355AD" w:rsidRPr="000B4DE2">
        <w:rPr>
          <w:rFonts w:ascii="Arial" w:hAnsi="Arial" w:cs="Arial"/>
          <w:sz w:val="24"/>
          <w:szCs w:val="24"/>
        </w:rPr>
        <w:t xml:space="preserve">(Galletta and Cross, 2013). </w:t>
      </w:r>
      <w:r w:rsidR="00781E22" w:rsidRPr="000B4DE2">
        <w:rPr>
          <w:rFonts w:ascii="Arial" w:hAnsi="Arial" w:cs="Arial"/>
          <w:sz w:val="24"/>
          <w:szCs w:val="24"/>
        </w:rPr>
        <w:t xml:space="preserve">Each interview will include the opportunity for a pre-meet to discuss the purpose of the study </w:t>
      </w:r>
      <w:r w:rsidR="00173515" w:rsidRPr="000B4DE2">
        <w:rPr>
          <w:rFonts w:ascii="Arial" w:hAnsi="Arial" w:cs="Arial"/>
          <w:sz w:val="24"/>
          <w:szCs w:val="24"/>
        </w:rPr>
        <w:t>(</w:t>
      </w:r>
      <w:r w:rsidR="00173515" w:rsidRPr="000B4DE2">
        <w:rPr>
          <w:rFonts w:ascii="Arial" w:hAnsi="Arial" w:cs="Arial"/>
          <w:sz w:val="24"/>
          <w:szCs w:val="24"/>
        </w:rPr>
        <w:t>Mawson et al,.2025)</w:t>
      </w:r>
      <w:r w:rsidR="00781E22" w:rsidRPr="000B4DE2">
        <w:rPr>
          <w:rFonts w:ascii="Arial" w:hAnsi="Arial" w:cs="Arial"/>
          <w:sz w:val="24"/>
          <w:szCs w:val="24"/>
        </w:rPr>
        <w:t xml:space="preserve">. </w:t>
      </w:r>
      <w:r w:rsidR="00E529C6" w:rsidRPr="000B4DE2">
        <w:rPr>
          <w:rFonts w:ascii="Arial" w:hAnsi="Arial" w:cs="Arial"/>
          <w:bCs/>
          <w:sz w:val="24"/>
          <w:szCs w:val="24"/>
        </w:rPr>
        <w:t xml:space="preserve">The exact wording and sequence of questions are determined in </w:t>
      </w:r>
      <w:r w:rsidR="00CC0AF3" w:rsidRPr="000B4DE2">
        <w:rPr>
          <w:rFonts w:ascii="Arial" w:hAnsi="Arial" w:cs="Arial"/>
          <w:bCs/>
          <w:sz w:val="24"/>
          <w:szCs w:val="24"/>
        </w:rPr>
        <w:t>advance,</w:t>
      </w:r>
      <w:r w:rsidR="00E529C6" w:rsidRPr="000B4DE2">
        <w:rPr>
          <w:rFonts w:ascii="Arial" w:hAnsi="Arial" w:cs="Arial"/>
          <w:bCs/>
          <w:sz w:val="24"/>
          <w:szCs w:val="24"/>
        </w:rPr>
        <w:t xml:space="preserve"> and all interviewees will be asked the same questions in the same order (Cohen et al, 2018) </w:t>
      </w:r>
    </w:p>
    <w:p w14:paraId="67A12615" w14:textId="41778E72" w:rsidR="00E529C6" w:rsidRPr="000B4DE2" w:rsidRDefault="00E529C6" w:rsidP="000B4DE2">
      <w:pPr>
        <w:spacing w:line="240" w:lineRule="auto"/>
        <w:rPr>
          <w:rFonts w:ascii="Arial" w:hAnsi="Arial" w:cs="Arial"/>
          <w:bCs/>
          <w:sz w:val="24"/>
          <w:szCs w:val="24"/>
        </w:rPr>
      </w:pPr>
      <w:r w:rsidRPr="000B4DE2">
        <w:rPr>
          <w:rFonts w:ascii="Arial" w:hAnsi="Arial" w:cs="Arial"/>
          <w:bCs/>
          <w:sz w:val="24"/>
          <w:szCs w:val="24"/>
        </w:rPr>
        <w:t xml:space="preserve">The participants will be reminded of two statements from ‘A curriculum for funded non-maintained nursery settings’ (Welsh Government, 2022) </w:t>
      </w:r>
      <w:r w:rsidRPr="000B4DE2">
        <w:rPr>
          <w:rFonts w:ascii="Arial" w:hAnsi="Arial" w:cs="Arial"/>
          <w:bCs/>
          <w:i/>
          <w:iCs/>
          <w:sz w:val="24"/>
          <w:szCs w:val="24"/>
        </w:rPr>
        <w:t xml:space="preserve">“My development is enhanced by adults who view me as confident, capable and curious”; “An enabling adult should support children to make decisions and choices” </w:t>
      </w:r>
      <w:r w:rsidRPr="000B4DE2">
        <w:rPr>
          <w:rFonts w:ascii="Arial" w:hAnsi="Arial" w:cs="Arial"/>
          <w:bCs/>
          <w:sz w:val="24"/>
          <w:szCs w:val="24"/>
        </w:rPr>
        <w:t>and will be reminded that there are no right or wrong answers.</w:t>
      </w:r>
    </w:p>
    <w:p w14:paraId="42E94F39" w14:textId="2061644A" w:rsidR="00E529C6" w:rsidRPr="000B4DE2" w:rsidRDefault="00E529C6" w:rsidP="000B4DE2">
      <w:pPr>
        <w:spacing w:line="240" w:lineRule="auto"/>
        <w:rPr>
          <w:rFonts w:ascii="Arial" w:hAnsi="Arial" w:cs="Arial"/>
          <w:bCs/>
          <w:sz w:val="24"/>
          <w:szCs w:val="24"/>
        </w:rPr>
      </w:pPr>
      <w:r w:rsidRPr="000B4DE2">
        <w:rPr>
          <w:rFonts w:ascii="Arial" w:hAnsi="Arial" w:cs="Arial"/>
          <w:bCs/>
          <w:sz w:val="24"/>
          <w:szCs w:val="24"/>
        </w:rPr>
        <w:t>Participants will then be asked eight questions</w:t>
      </w:r>
      <w:r w:rsidR="00362E5C" w:rsidRPr="000B4DE2">
        <w:rPr>
          <w:rStyle w:val="FootnoteReference"/>
          <w:rFonts w:ascii="Arial" w:hAnsi="Arial" w:cs="Arial"/>
          <w:bCs/>
          <w:sz w:val="24"/>
          <w:szCs w:val="24"/>
        </w:rPr>
        <w:footnoteReference w:id="2"/>
      </w:r>
      <w:r w:rsidRPr="000B4DE2">
        <w:rPr>
          <w:rFonts w:ascii="Arial" w:hAnsi="Arial" w:cs="Arial"/>
          <w:bCs/>
          <w:sz w:val="24"/>
          <w:szCs w:val="24"/>
        </w:rPr>
        <w:t xml:space="preserve"> and invited to provide a narrative of their understanding and experience of the questions. The researcher may use follow up prompts</w:t>
      </w:r>
      <w:r w:rsidR="00C6753E" w:rsidRPr="000B4DE2">
        <w:rPr>
          <w:rStyle w:val="FootnoteReference"/>
          <w:rFonts w:ascii="Arial" w:hAnsi="Arial" w:cs="Arial"/>
          <w:bCs/>
          <w:sz w:val="24"/>
          <w:szCs w:val="24"/>
        </w:rPr>
        <w:footnoteReference w:id="3"/>
      </w:r>
      <w:r w:rsidRPr="000B4DE2">
        <w:rPr>
          <w:rFonts w:ascii="Arial" w:hAnsi="Arial" w:cs="Arial"/>
          <w:bCs/>
          <w:sz w:val="24"/>
          <w:szCs w:val="24"/>
        </w:rPr>
        <w:t xml:space="preserve"> to elicit more detail from the participants if required. The distinctive feature of the interview is the prior analysis by the researcher of the situation in which participants have been involved (Cohen et al, 2018). </w:t>
      </w:r>
    </w:p>
    <w:p w14:paraId="2D2973D4" w14:textId="2F7A8D37" w:rsidR="00362E5C" w:rsidRPr="000B4DE2" w:rsidRDefault="00C6753E" w:rsidP="000B4DE2">
      <w:pPr>
        <w:pStyle w:val="ListBullet"/>
        <w:numPr>
          <w:ilvl w:val="0"/>
          <w:numId w:val="0"/>
        </w:numPr>
        <w:spacing w:line="240" w:lineRule="auto"/>
        <w:rPr>
          <w:rFonts w:ascii="Arial" w:hAnsi="Arial" w:cs="Arial"/>
        </w:rPr>
      </w:pPr>
      <w:r w:rsidRPr="000B4DE2">
        <w:rPr>
          <w:rFonts w:ascii="Arial" w:eastAsia="Times New Roman" w:hAnsi="Arial" w:cs="Arial"/>
        </w:rPr>
        <w:t>The s</w:t>
      </w:r>
      <w:r w:rsidR="00E529C6" w:rsidRPr="000B4DE2">
        <w:rPr>
          <w:rFonts w:ascii="Arial" w:eastAsia="Times New Roman" w:hAnsi="Arial" w:cs="Arial"/>
        </w:rPr>
        <w:t>emi</w:t>
      </w:r>
      <w:r w:rsidR="00E529C6" w:rsidRPr="000B4DE2">
        <w:rPr>
          <w:rFonts w:ascii="Arial" w:eastAsia="Times New Roman" w:hAnsi="Arial" w:cs="Arial"/>
        </w:rPr>
        <w:noBreakHyphen/>
        <w:t>structured interviews will take place face</w:t>
      </w:r>
      <w:r w:rsidR="00E529C6" w:rsidRPr="000B4DE2">
        <w:rPr>
          <w:rFonts w:ascii="Arial" w:eastAsia="Times New Roman" w:hAnsi="Arial" w:cs="Arial"/>
        </w:rPr>
        <w:noBreakHyphen/>
        <w:t>to</w:t>
      </w:r>
      <w:r w:rsidR="00E529C6" w:rsidRPr="000B4DE2">
        <w:rPr>
          <w:rFonts w:ascii="Arial" w:eastAsia="Times New Roman" w:hAnsi="Arial" w:cs="Arial"/>
        </w:rPr>
        <w:noBreakHyphen/>
        <w:t>face in the childcare setting office in South Wales, a location that is comfortable, private, and familiar to staff, eliminating the need for travel and helping maintain participant comfort while reducing disruption to their working day. Microsoft Teams will be used to record and transcribe the interviews, with the camera function disabled so that only audio is captured, and the researcher will access the platform via a password</w:t>
      </w:r>
      <w:r w:rsidR="00E529C6" w:rsidRPr="000B4DE2">
        <w:rPr>
          <w:rFonts w:ascii="Arial" w:eastAsia="Times New Roman" w:hAnsi="Arial" w:cs="Arial"/>
        </w:rPr>
        <w:noBreakHyphen/>
        <w:t>protected university account. After each interview, the audio recording will be transcribed using the platform’s built</w:t>
      </w:r>
      <w:r w:rsidR="00E529C6" w:rsidRPr="000B4DE2">
        <w:rPr>
          <w:rFonts w:ascii="Arial" w:eastAsia="Times New Roman" w:hAnsi="Arial" w:cs="Arial"/>
        </w:rPr>
        <w:noBreakHyphen/>
        <w:t>in transcription tool, followed by an immediate sense</w:t>
      </w:r>
      <w:r w:rsidR="00E529C6" w:rsidRPr="000B4DE2">
        <w:rPr>
          <w:rFonts w:ascii="Arial" w:eastAsia="Times New Roman" w:hAnsi="Arial" w:cs="Arial"/>
        </w:rPr>
        <w:noBreakHyphen/>
        <w:t>check to address any inaccuracies, particularly those arising from regional accents. At this stage, participants will be assigned unique identifier codes linked to their transcripts, and the original audio recordings will be securely deleted to maintain confidentiality and uphold ethical data</w:t>
      </w:r>
      <w:r w:rsidR="00E529C6" w:rsidRPr="000B4DE2">
        <w:rPr>
          <w:rFonts w:ascii="Arial" w:eastAsia="Times New Roman" w:hAnsi="Arial" w:cs="Arial"/>
        </w:rPr>
        <w:noBreakHyphen/>
        <w:t>handling requirements.</w:t>
      </w:r>
    </w:p>
    <w:p w14:paraId="14CE1000" w14:textId="22804024" w:rsidR="003A4C62" w:rsidRPr="000B4DE2" w:rsidRDefault="000A6EF5" w:rsidP="000B4DE2">
      <w:pPr>
        <w:spacing w:line="240" w:lineRule="auto"/>
        <w:rPr>
          <w:rFonts w:ascii="Arial" w:hAnsi="Arial" w:cs="Arial"/>
          <w:b/>
          <w:bCs/>
          <w:sz w:val="24"/>
          <w:szCs w:val="24"/>
        </w:rPr>
      </w:pPr>
      <w:r w:rsidRPr="000B4DE2">
        <w:rPr>
          <w:rFonts w:ascii="Arial" w:hAnsi="Arial" w:cs="Arial"/>
          <w:b/>
          <w:bCs/>
          <w:sz w:val="24"/>
          <w:szCs w:val="24"/>
        </w:rPr>
        <w:t>T</w:t>
      </w:r>
      <w:r w:rsidR="003A4C62" w:rsidRPr="000B4DE2">
        <w:rPr>
          <w:rFonts w:ascii="Arial" w:hAnsi="Arial" w:cs="Arial"/>
          <w:b/>
          <w:bCs/>
          <w:sz w:val="24"/>
          <w:szCs w:val="24"/>
        </w:rPr>
        <w:t>riangulat</w:t>
      </w:r>
      <w:r w:rsidRPr="000B4DE2">
        <w:rPr>
          <w:rFonts w:ascii="Arial" w:hAnsi="Arial" w:cs="Arial"/>
          <w:b/>
          <w:bCs/>
          <w:sz w:val="24"/>
          <w:szCs w:val="24"/>
        </w:rPr>
        <w:t>ing the data</w:t>
      </w:r>
    </w:p>
    <w:p w14:paraId="0EFD940D" w14:textId="0B884AC1" w:rsidR="003A4C62" w:rsidRPr="000B4DE2" w:rsidRDefault="00FC7F78" w:rsidP="000B4DE2">
      <w:pPr>
        <w:spacing w:line="240" w:lineRule="auto"/>
        <w:rPr>
          <w:rFonts w:ascii="Arial" w:hAnsi="Arial" w:cs="Arial"/>
          <w:sz w:val="24"/>
          <w:szCs w:val="24"/>
        </w:rPr>
      </w:pPr>
      <w:r w:rsidRPr="000B4DE2">
        <w:rPr>
          <w:rFonts w:ascii="Arial" w:hAnsi="Arial" w:cs="Arial"/>
          <w:sz w:val="24"/>
          <w:szCs w:val="24"/>
        </w:rPr>
        <w:t>This small</w:t>
      </w:r>
      <w:r w:rsidRPr="000B4DE2">
        <w:rPr>
          <w:rFonts w:ascii="Arial" w:hAnsi="Arial" w:cs="Arial"/>
          <w:sz w:val="24"/>
          <w:szCs w:val="24"/>
        </w:rPr>
        <w:noBreakHyphen/>
        <w:t>scale pilot focuses on gathering practitioner views through</w:t>
      </w:r>
      <w:r w:rsidR="00E20F56" w:rsidRPr="000B4DE2">
        <w:rPr>
          <w:rFonts w:ascii="Arial" w:hAnsi="Arial" w:cs="Arial"/>
          <w:sz w:val="24"/>
          <w:szCs w:val="24"/>
        </w:rPr>
        <w:t xml:space="preserve"> </w:t>
      </w:r>
      <w:r w:rsidRPr="000B4DE2">
        <w:rPr>
          <w:rFonts w:ascii="Arial" w:hAnsi="Arial" w:cs="Arial"/>
          <w:sz w:val="24"/>
          <w:szCs w:val="24"/>
        </w:rPr>
        <w:t>semi</w:t>
      </w:r>
      <w:r w:rsidRPr="000B4DE2">
        <w:rPr>
          <w:rFonts w:ascii="Arial" w:hAnsi="Arial" w:cs="Arial"/>
          <w:sz w:val="24"/>
          <w:szCs w:val="24"/>
        </w:rPr>
        <w:noBreakHyphen/>
        <w:t xml:space="preserve">structured interviews and analysing the data thematically through a Foucauldian lens. Given the pilot’s scope, interpretations will be contextualised </w:t>
      </w:r>
      <w:r w:rsidRPr="000B4DE2">
        <w:rPr>
          <w:rFonts w:ascii="Arial" w:hAnsi="Arial" w:cs="Arial"/>
          <w:sz w:val="24"/>
          <w:szCs w:val="24"/>
        </w:rPr>
        <w:lastRenderedPageBreak/>
        <w:t>rather than generalised by triangulating interview</w:t>
      </w:r>
      <w:r w:rsidRPr="000B4DE2">
        <w:rPr>
          <w:rFonts w:ascii="Arial" w:hAnsi="Arial" w:cs="Arial"/>
          <w:sz w:val="24"/>
          <w:szCs w:val="24"/>
        </w:rPr>
        <w:noBreakHyphen/>
        <w:t>based insights with relevant findings from comparable studies. In the next action</w:t>
      </w:r>
      <w:r w:rsidRPr="000B4DE2">
        <w:rPr>
          <w:rFonts w:ascii="Arial" w:hAnsi="Arial" w:cs="Arial"/>
          <w:sz w:val="24"/>
          <w:szCs w:val="24"/>
        </w:rPr>
        <w:noBreakHyphen/>
        <w:t>research cycle, a mixed</w:t>
      </w:r>
      <w:r w:rsidRPr="000B4DE2">
        <w:rPr>
          <w:rFonts w:ascii="Arial" w:hAnsi="Arial" w:cs="Arial"/>
          <w:sz w:val="24"/>
          <w:szCs w:val="24"/>
        </w:rPr>
        <w:noBreakHyphen/>
        <w:t>methods design will be introduced, where questionnaires will be added alongside and structured observations to triangulate accounts (Creswell and Plano Clark, 2017; Flick, 2018). Triangulation in the follow</w:t>
      </w:r>
      <w:r w:rsidRPr="000B4DE2">
        <w:rPr>
          <w:rFonts w:ascii="Arial" w:hAnsi="Arial" w:cs="Arial"/>
          <w:sz w:val="24"/>
          <w:szCs w:val="24"/>
        </w:rPr>
        <w:noBreakHyphen/>
        <w:t>on study will be planned explicitly to examine links between interview data, data from questionnaires and observations  which will deepen interpretation and support planning for professional learning (Creswell and Plano Clark, 2017; Flick, 2018).</w:t>
      </w:r>
    </w:p>
    <w:p w14:paraId="03F381E6" w14:textId="77777777" w:rsidR="00331222" w:rsidRPr="000B4DE2" w:rsidRDefault="00331222" w:rsidP="000B4DE2">
      <w:pPr>
        <w:spacing w:line="240" w:lineRule="auto"/>
        <w:rPr>
          <w:rFonts w:ascii="Arial" w:hAnsi="Arial" w:cs="Arial"/>
          <w:b/>
          <w:bCs/>
          <w:sz w:val="24"/>
          <w:szCs w:val="24"/>
        </w:rPr>
      </w:pPr>
      <w:r w:rsidRPr="000B4DE2">
        <w:rPr>
          <w:rFonts w:ascii="Arial" w:hAnsi="Arial" w:cs="Arial"/>
          <w:b/>
          <w:bCs/>
          <w:sz w:val="24"/>
          <w:szCs w:val="24"/>
        </w:rPr>
        <w:t>Data Analysis</w:t>
      </w:r>
    </w:p>
    <w:p w14:paraId="6B3A88E8" w14:textId="30B7DF62" w:rsidR="00696713" w:rsidRPr="000B4DE2" w:rsidRDefault="00343BFF" w:rsidP="000B4DE2">
      <w:pPr>
        <w:spacing w:line="240" w:lineRule="auto"/>
        <w:rPr>
          <w:rFonts w:ascii="Arial" w:hAnsi="Arial" w:cs="Arial"/>
          <w:b/>
          <w:bCs/>
          <w:sz w:val="24"/>
          <w:szCs w:val="24"/>
        </w:rPr>
      </w:pPr>
      <w:r w:rsidRPr="000B4DE2">
        <w:rPr>
          <w:rFonts w:ascii="Arial" w:hAnsi="Arial" w:cs="Arial"/>
          <w:sz w:val="24"/>
          <w:szCs w:val="24"/>
        </w:rPr>
        <w:t>The data analysis approach will be reflexive thematic analysis, which treats themes as patterns of shared meaning organised around a central concept and developed through the researcher’s active, reflexive engagement with the data rather than through frequency counts or codebook reliability claims (Braun and Clarke, 2006; Braun and Clarke, 2019).</w:t>
      </w:r>
      <w:r w:rsidRPr="000B4DE2">
        <w:rPr>
          <w:rFonts w:ascii="Arial" w:hAnsi="Arial" w:cs="Arial"/>
          <w:b/>
          <w:bCs/>
          <w:sz w:val="24"/>
          <w:szCs w:val="24"/>
        </w:rPr>
        <w:t xml:space="preserve"> </w:t>
      </w:r>
      <w:r w:rsidR="00696713" w:rsidRPr="000B4DE2">
        <w:rPr>
          <w:rFonts w:ascii="Arial" w:hAnsi="Arial" w:cs="Arial"/>
          <w:sz w:val="24"/>
          <w:szCs w:val="24"/>
        </w:rPr>
        <w:t>The analysis will follow an iterative process that begins with repeated reading of the transcripts and ongoing memo</w:t>
      </w:r>
      <w:r w:rsidR="00696713" w:rsidRPr="000B4DE2">
        <w:rPr>
          <w:rFonts w:ascii="Arial" w:hAnsi="Arial" w:cs="Arial"/>
          <w:sz w:val="24"/>
          <w:szCs w:val="24"/>
        </w:rPr>
        <w:noBreakHyphen/>
        <w:t>writing to build familiarity with the data. Coding will then be carried out at both the semantic level (what is said directly) and the latent level (the underlying ideas and assumptions), with deliberate “over</w:t>
      </w:r>
      <w:r w:rsidR="00696713" w:rsidRPr="000B4DE2">
        <w:rPr>
          <w:rFonts w:ascii="Arial" w:hAnsi="Arial" w:cs="Arial"/>
          <w:sz w:val="24"/>
          <w:szCs w:val="24"/>
        </w:rPr>
        <w:noBreakHyphen/>
        <w:t>coding” in the early stages to ensure important nuances are not missed. These codes will then be refined and organised into developing themes, which are reviewed, clarified, and defined before producing an analytic account supported by vivid and representative data extracts (Braun and Clarke, 2006</w:t>
      </w:r>
      <w:r w:rsidR="00B336C9" w:rsidRPr="000B4DE2">
        <w:rPr>
          <w:rFonts w:ascii="Arial" w:hAnsi="Arial" w:cs="Arial"/>
          <w:sz w:val="24"/>
          <w:szCs w:val="24"/>
        </w:rPr>
        <w:t>; Braun and Clarke, 2021</w:t>
      </w:r>
      <w:r w:rsidR="00696713" w:rsidRPr="000B4DE2">
        <w:rPr>
          <w:rFonts w:ascii="Arial" w:hAnsi="Arial" w:cs="Arial"/>
          <w:sz w:val="24"/>
          <w:szCs w:val="24"/>
        </w:rPr>
        <w:t>).</w:t>
      </w:r>
      <w:r w:rsidR="00696713" w:rsidRPr="000B4DE2">
        <w:rPr>
          <w:rFonts w:ascii="Arial" w:hAnsi="Arial" w:cs="Arial"/>
          <w:b/>
          <w:bCs/>
          <w:sz w:val="24"/>
          <w:szCs w:val="24"/>
        </w:rPr>
        <w:t xml:space="preserve"> </w:t>
      </w:r>
      <w:r w:rsidR="00696713" w:rsidRPr="000B4DE2">
        <w:rPr>
          <w:rFonts w:ascii="Arial" w:hAnsi="Arial" w:cs="Arial"/>
          <w:sz w:val="24"/>
          <w:szCs w:val="24"/>
        </w:rPr>
        <w:t>Although reflexive thematic analysis does not rely on counting how often something appears, simple descriptive tables may be used to support sense</w:t>
      </w:r>
      <w:r w:rsidR="00696713" w:rsidRPr="000B4DE2">
        <w:rPr>
          <w:rFonts w:ascii="Arial" w:hAnsi="Arial" w:cs="Arial"/>
          <w:sz w:val="24"/>
          <w:szCs w:val="24"/>
        </w:rPr>
        <w:noBreakHyphen/>
        <w:t>checking during the analysis. These tables help to organise the material and highlight patterns without treating numerical frequency as evidence of importance (Miles, Huberman and Saldaña, 2014)</w:t>
      </w:r>
    </w:p>
    <w:p w14:paraId="718085A2" w14:textId="35E234E5" w:rsidR="00343BFF" w:rsidRPr="000B4DE2" w:rsidRDefault="00343BFF" w:rsidP="000B4DE2">
      <w:pPr>
        <w:spacing w:line="240" w:lineRule="auto"/>
        <w:rPr>
          <w:rFonts w:ascii="Arial" w:hAnsi="Arial" w:cs="Arial"/>
          <w:sz w:val="24"/>
          <w:szCs w:val="24"/>
        </w:rPr>
      </w:pPr>
      <w:r w:rsidRPr="000B4DE2">
        <w:rPr>
          <w:rFonts w:ascii="Arial" w:hAnsi="Arial" w:cs="Arial"/>
          <w:sz w:val="24"/>
          <w:szCs w:val="24"/>
        </w:rPr>
        <w:t xml:space="preserve">The researcher will use </w:t>
      </w:r>
      <w:r w:rsidR="003A4DB0" w:rsidRPr="000B4DE2">
        <w:rPr>
          <w:rFonts w:ascii="Arial" w:hAnsi="Arial" w:cs="Arial"/>
          <w:sz w:val="24"/>
          <w:szCs w:val="24"/>
        </w:rPr>
        <w:t xml:space="preserve">copilot to support early identification of patterns and themes, helping to organise data and prioritise time for deeper interpretation. All decisions will remain with the </w:t>
      </w:r>
      <w:r w:rsidR="006D1CAD" w:rsidRPr="000B4DE2">
        <w:rPr>
          <w:rFonts w:ascii="Arial" w:hAnsi="Arial" w:cs="Arial"/>
          <w:sz w:val="24"/>
          <w:szCs w:val="24"/>
        </w:rPr>
        <w:t>researcher,</w:t>
      </w:r>
      <w:r w:rsidR="003A4DB0" w:rsidRPr="000B4DE2">
        <w:rPr>
          <w:rFonts w:ascii="Arial" w:hAnsi="Arial" w:cs="Arial"/>
          <w:sz w:val="24"/>
          <w:szCs w:val="24"/>
        </w:rPr>
        <w:t xml:space="preserve"> </w:t>
      </w:r>
      <w:r w:rsidR="006D1CAD" w:rsidRPr="000B4DE2">
        <w:rPr>
          <w:rFonts w:ascii="Arial" w:hAnsi="Arial" w:cs="Arial"/>
          <w:sz w:val="24"/>
          <w:szCs w:val="24"/>
        </w:rPr>
        <w:t xml:space="preserve">and </w:t>
      </w:r>
      <w:r w:rsidR="003A4DB0" w:rsidRPr="000B4DE2">
        <w:rPr>
          <w:rFonts w:ascii="Arial" w:hAnsi="Arial" w:cs="Arial"/>
          <w:sz w:val="24"/>
          <w:szCs w:val="24"/>
        </w:rPr>
        <w:t>any AI</w:t>
      </w:r>
      <w:r w:rsidR="003A4DB0" w:rsidRPr="000B4DE2">
        <w:rPr>
          <w:rFonts w:ascii="Arial" w:hAnsi="Arial" w:cs="Arial"/>
          <w:sz w:val="24"/>
          <w:szCs w:val="24"/>
        </w:rPr>
        <w:noBreakHyphen/>
        <w:t>supported steps will be recorded in the audit trail for transparency (Miles, Huberman and Saldaña, 2014).</w:t>
      </w:r>
    </w:p>
    <w:p w14:paraId="6A938F23" w14:textId="6DFAA31B" w:rsidR="00343BFF" w:rsidRPr="000B4DE2" w:rsidRDefault="003A4DB0" w:rsidP="000B4DE2">
      <w:pPr>
        <w:spacing w:line="240" w:lineRule="auto"/>
        <w:rPr>
          <w:rFonts w:ascii="Arial" w:hAnsi="Arial" w:cs="Arial"/>
          <w:sz w:val="24"/>
          <w:szCs w:val="24"/>
        </w:rPr>
      </w:pPr>
      <w:r w:rsidRPr="000B4DE2">
        <w:rPr>
          <w:rFonts w:ascii="Arial" w:hAnsi="Arial" w:cs="Arial"/>
          <w:sz w:val="24"/>
          <w:szCs w:val="24"/>
        </w:rPr>
        <w:t xml:space="preserve">A focused discourse analysis </w:t>
      </w:r>
      <w:r w:rsidR="006355AD" w:rsidRPr="000B4DE2">
        <w:rPr>
          <w:rFonts w:ascii="Arial" w:hAnsi="Arial" w:cs="Arial"/>
          <w:sz w:val="24"/>
          <w:szCs w:val="24"/>
        </w:rPr>
        <w:t xml:space="preserve">(Dunn and Neumann, 2016) </w:t>
      </w:r>
      <w:r w:rsidRPr="000B4DE2">
        <w:rPr>
          <w:rFonts w:ascii="Arial" w:hAnsi="Arial" w:cs="Arial"/>
          <w:sz w:val="24"/>
          <w:szCs w:val="24"/>
        </w:rPr>
        <w:t xml:space="preserve">will then be conducted on selected extracts within key themes. This will draw on a Foucauldian lens </w:t>
      </w:r>
      <w:r w:rsidR="00781E22" w:rsidRPr="000B4DE2">
        <w:rPr>
          <w:rFonts w:ascii="Arial" w:hAnsi="Arial" w:cs="Arial"/>
          <w:sz w:val="24"/>
          <w:szCs w:val="24"/>
        </w:rPr>
        <w:t xml:space="preserve">(Ball, 2013) </w:t>
      </w:r>
      <w:r w:rsidRPr="000B4DE2">
        <w:rPr>
          <w:rFonts w:ascii="Arial" w:hAnsi="Arial" w:cs="Arial"/>
          <w:sz w:val="24"/>
          <w:szCs w:val="24"/>
        </w:rPr>
        <w:t>to examine how practitioners construct the child as confident, curious, and competent and how policy and accountability discourses such as safeguarding and school readiness shape what is acceptable to say and do</w:t>
      </w:r>
      <w:r w:rsidR="00213352" w:rsidRPr="000B4DE2">
        <w:rPr>
          <w:rFonts w:ascii="Arial" w:hAnsi="Arial" w:cs="Arial"/>
          <w:sz w:val="24"/>
          <w:szCs w:val="24"/>
        </w:rPr>
        <w:t xml:space="preserve"> (Henward, 2018)</w:t>
      </w:r>
      <w:r w:rsidRPr="000B4DE2">
        <w:rPr>
          <w:rFonts w:ascii="Arial" w:hAnsi="Arial" w:cs="Arial"/>
          <w:sz w:val="24"/>
          <w:szCs w:val="24"/>
        </w:rPr>
        <w:t xml:space="preserve">. It will also highlight how subject positions </w:t>
      </w:r>
      <w:r w:rsidR="00781E22" w:rsidRPr="000B4DE2">
        <w:rPr>
          <w:rFonts w:ascii="Arial" w:hAnsi="Arial" w:cs="Arial"/>
          <w:sz w:val="24"/>
          <w:szCs w:val="24"/>
        </w:rPr>
        <w:t>(Arribas-Ayllon &amp; Walkerdine, 2017)</w:t>
      </w:r>
      <w:r w:rsidR="00781E22" w:rsidRPr="000B4DE2">
        <w:rPr>
          <w:rFonts w:ascii="Arial" w:hAnsi="Arial" w:cs="Arial"/>
          <w:sz w:val="24"/>
          <w:szCs w:val="24"/>
        </w:rPr>
        <w:t xml:space="preserve"> </w:t>
      </w:r>
      <w:r w:rsidRPr="000B4DE2">
        <w:rPr>
          <w:rFonts w:ascii="Arial" w:hAnsi="Arial" w:cs="Arial"/>
          <w:sz w:val="24"/>
          <w:szCs w:val="24"/>
        </w:rPr>
        <w:t>such as  “independent child,” “</w:t>
      </w:r>
      <w:r w:rsidR="006D1CAD" w:rsidRPr="000B4DE2">
        <w:rPr>
          <w:rFonts w:ascii="Arial" w:hAnsi="Arial" w:cs="Arial"/>
          <w:sz w:val="24"/>
          <w:szCs w:val="24"/>
        </w:rPr>
        <w:t>vulnerable</w:t>
      </w:r>
      <w:r w:rsidRPr="000B4DE2">
        <w:rPr>
          <w:rFonts w:ascii="Arial" w:hAnsi="Arial" w:cs="Arial"/>
          <w:sz w:val="24"/>
          <w:szCs w:val="24"/>
        </w:rPr>
        <w:t xml:space="preserve"> child,” </w:t>
      </w:r>
      <w:r w:rsidR="00781E22" w:rsidRPr="000B4DE2">
        <w:rPr>
          <w:rFonts w:ascii="Arial" w:hAnsi="Arial" w:cs="Arial"/>
          <w:sz w:val="24"/>
          <w:szCs w:val="24"/>
        </w:rPr>
        <w:t>(</w:t>
      </w:r>
      <w:r w:rsidR="00781E22" w:rsidRPr="000B4DE2">
        <w:rPr>
          <w:rFonts w:ascii="Arial" w:hAnsi="Arial" w:cs="Arial"/>
          <w:sz w:val="24"/>
          <w:szCs w:val="24"/>
        </w:rPr>
        <w:t>Heracleous,</w:t>
      </w:r>
      <w:r w:rsidR="00781E22" w:rsidRPr="000B4DE2">
        <w:rPr>
          <w:rFonts w:ascii="Arial" w:hAnsi="Arial" w:cs="Arial"/>
          <w:sz w:val="24"/>
          <w:szCs w:val="24"/>
        </w:rPr>
        <w:t xml:space="preserve"> </w:t>
      </w:r>
      <w:r w:rsidR="00781E22" w:rsidRPr="000B4DE2">
        <w:rPr>
          <w:rFonts w:ascii="Arial" w:hAnsi="Arial" w:cs="Arial"/>
          <w:sz w:val="24"/>
          <w:szCs w:val="24"/>
        </w:rPr>
        <w:t xml:space="preserve">2006) </w:t>
      </w:r>
      <w:r w:rsidRPr="000B4DE2">
        <w:rPr>
          <w:rFonts w:ascii="Arial" w:hAnsi="Arial" w:cs="Arial"/>
          <w:sz w:val="24"/>
          <w:szCs w:val="24"/>
        </w:rPr>
        <w:t xml:space="preserve">“responsible practitioner” </w:t>
      </w:r>
      <w:r w:rsidR="00213352" w:rsidRPr="000B4DE2">
        <w:rPr>
          <w:rFonts w:ascii="Arial" w:hAnsi="Arial" w:cs="Arial"/>
          <w:sz w:val="24"/>
          <w:szCs w:val="24"/>
        </w:rPr>
        <w:t xml:space="preserve">(Millei, 2005) </w:t>
      </w:r>
      <w:r w:rsidRPr="000B4DE2">
        <w:rPr>
          <w:rFonts w:ascii="Arial" w:hAnsi="Arial" w:cs="Arial"/>
          <w:sz w:val="24"/>
          <w:szCs w:val="24"/>
        </w:rPr>
        <w:t>are negotiated in the way that the practitioners talk</w:t>
      </w:r>
      <w:r w:rsidR="00781E22" w:rsidRPr="000B4DE2">
        <w:rPr>
          <w:rFonts w:ascii="Arial" w:hAnsi="Arial" w:cs="Arial"/>
          <w:sz w:val="24"/>
          <w:szCs w:val="24"/>
        </w:rPr>
        <w:t xml:space="preserve">. </w:t>
      </w:r>
      <w:r w:rsidRPr="000B4DE2">
        <w:rPr>
          <w:rFonts w:ascii="Arial" w:hAnsi="Arial" w:cs="Arial"/>
          <w:sz w:val="24"/>
          <w:szCs w:val="24"/>
        </w:rPr>
        <w:t>The researcher will pay careful attention to modality language such as “we must,” “we’re allowed to”</w:t>
      </w:r>
      <w:r w:rsidR="00696713" w:rsidRPr="000B4DE2">
        <w:rPr>
          <w:rFonts w:ascii="Arial" w:hAnsi="Arial" w:cs="Arial"/>
          <w:sz w:val="24"/>
          <w:szCs w:val="24"/>
        </w:rPr>
        <w:t>, “the children are allowed to”</w:t>
      </w:r>
      <w:r w:rsidR="006D1CAD" w:rsidRPr="000B4DE2">
        <w:rPr>
          <w:rFonts w:ascii="Arial" w:hAnsi="Arial" w:cs="Arial"/>
          <w:sz w:val="24"/>
          <w:szCs w:val="24"/>
        </w:rPr>
        <w:t>;</w:t>
      </w:r>
      <w:r w:rsidRPr="000B4DE2">
        <w:rPr>
          <w:rFonts w:ascii="Arial" w:hAnsi="Arial" w:cs="Arial"/>
          <w:sz w:val="24"/>
          <w:szCs w:val="24"/>
        </w:rPr>
        <w:t xml:space="preserve"> </w:t>
      </w:r>
      <w:r w:rsidR="00696713" w:rsidRPr="000B4DE2">
        <w:rPr>
          <w:rFonts w:ascii="Arial" w:hAnsi="Arial" w:cs="Arial"/>
          <w:sz w:val="24"/>
          <w:szCs w:val="24"/>
        </w:rPr>
        <w:t>the view</w:t>
      </w:r>
      <w:r w:rsidR="006D1CAD" w:rsidRPr="000B4DE2">
        <w:rPr>
          <w:rFonts w:ascii="Arial" w:hAnsi="Arial" w:cs="Arial"/>
          <w:sz w:val="24"/>
          <w:szCs w:val="24"/>
        </w:rPr>
        <w:t>-</w:t>
      </w:r>
      <w:r w:rsidR="00696713" w:rsidRPr="000B4DE2">
        <w:rPr>
          <w:rFonts w:ascii="Arial" w:hAnsi="Arial" w:cs="Arial"/>
          <w:sz w:val="24"/>
          <w:szCs w:val="24"/>
        </w:rPr>
        <w:t xml:space="preserve">point of the importance of </w:t>
      </w:r>
      <w:r w:rsidRPr="000B4DE2">
        <w:rPr>
          <w:rFonts w:ascii="Arial" w:hAnsi="Arial" w:cs="Arial"/>
          <w:sz w:val="24"/>
          <w:szCs w:val="24"/>
        </w:rPr>
        <w:t>choice</w:t>
      </w:r>
      <w:r w:rsidR="00696713" w:rsidRPr="000B4DE2">
        <w:rPr>
          <w:rFonts w:ascii="Arial" w:hAnsi="Arial" w:cs="Arial"/>
          <w:sz w:val="24"/>
          <w:szCs w:val="24"/>
        </w:rPr>
        <w:t xml:space="preserve"> versus maintaining </w:t>
      </w:r>
      <w:r w:rsidRPr="000B4DE2">
        <w:rPr>
          <w:rFonts w:ascii="Arial" w:hAnsi="Arial" w:cs="Arial"/>
          <w:sz w:val="24"/>
          <w:szCs w:val="24"/>
        </w:rPr>
        <w:t>safety</w:t>
      </w:r>
      <w:r w:rsidR="00696713" w:rsidRPr="000B4DE2">
        <w:rPr>
          <w:rFonts w:ascii="Arial" w:hAnsi="Arial" w:cs="Arial"/>
          <w:sz w:val="24"/>
          <w:szCs w:val="24"/>
        </w:rPr>
        <w:t>, and supporting</w:t>
      </w:r>
      <w:r w:rsidRPr="000B4DE2">
        <w:rPr>
          <w:rFonts w:ascii="Arial" w:hAnsi="Arial" w:cs="Arial"/>
          <w:sz w:val="24"/>
          <w:szCs w:val="24"/>
        </w:rPr>
        <w:t xml:space="preserve"> independence</w:t>
      </w:r>
      <w:r w:rsidR="00696713" w:rsidRPr="000B4DE2">
        <w:rPr>
          <w:rFonts w:ascii="Arial" w:hAnsi="Arial" w:cs="Arial"/>
          <w:sz w:val="24"/>
          <w:szCs w:val="24"/>
        </w:rPr>
        <w:t xml:space="preserve"> versus encouraging </w:t>
      </w:r>
      <w:r w:rsidRPr="000B4DE2">
        <w:rPr>
          <w:rFonts w:ascii="Arial" w:hAnsi="Arial" w:cs="Arial"/>
          <w:sz w:val="24"/>
          <w:szCs w:val="24"/>
        </w:rPr>
        <w:t>compliance</w:t>
      </w:r>
      <w:r w:rsidR="006D1CAD" w:rsidRPr="000B4DE2">
        <w:rPr>
          <w:rFonts w:ascii="Arial" w:hAnsi="Arial" w:cs="Arial"/>
          <w:sz w:val="24"/>
          <w:szCs w:val="24"/>
        </w:rPr>
        <w:t>;</w:t>
      </w:r>
      <w:r w:rsidR="00696713" w:rsidRPr="000B4DE2">
        <w:rPr>
          <w:rFonts w:ascii="Arial" w:hAnsi="Arial" w:cs="Arial"/>
          <w:sz w:val="24"/>
          <w:szCs w:val="24"/>
        </w:rPr>
        <w:t xml:space="preserve"> </w:t>
      </w:r>
      <w:r w:rsidRPr="000B4DE2">
        <w:rPr>
          <w:rFonts w:ascii="Arial" w:hAnsi="Arial" w:cs="Arial"/>
          <w:sz w:val="24"/>
          <w:szCs w:val="24"/>
        </w:rPr>
        <w:t>and</w:t>
      </w:r>
      <w:r w:rsidR="00696713" w:rsidRPr="000B4DE2">
        <w:rPr>
          <w:rFonts w:ascii="Arial" w:hAnsi="Arial" w:cs="Arial"/>
          <w:sz w:val="24"/>
          <w:szCs w:val="24"/>
        </w:rPr>
        <w:t xml:space="preserve"> any </w:t>
      </w:r>
      <w:r w:rsidRPr="000B4DE2">
        <w:rPr>
          <w:rFonts w:ascii="Arial" w:hAnsi="Arial" w:cs="Arial"/>
          <w:sz w:val="24"/>
          <w:szCs w:val="24"/>
        </w:rPr>
        <w:t>references to training or policy</w:t>
      </w:r>
      <w:r w:rsidR="00781E22" w:rsidRPr="000B4DE2">
        <w:rPr>
          <w:rFonts w:ascii="Arial" w:hAnsi="Arial" w:cs="Arial"/>
          <w:sz w:val="24"/>
          <w:szCs w:val="24"/>
        </w:rPr>
        <w:t xml:space="preserve"> (Ball, 2013)</w:t>
      </w:r>
      <w:r w:rsidRPr="000B4DE2">
        <w:rPr>
          <w:rFonts w:ascii="Arial" w:hAnsi="Arial" w:cs="Arial"/>
          <w:sz w:val="24"/>
          <w:szCs w:val="24"/>
        </w:rPr>
        <w:t xml:space="preserve">. </w:t>
      </w:r>
    </w:p>
    <w:p w14:paraId="71DEAE8F" w14:textId="54050D60" w:rsidR="00633618" w:rsidRPr="000B4DE2" w:rsidRDefault="00FC7F78" w:rsidP="000B4DE2">
      <w:pPr>
        <w:spacing w:line="240" w:lineRule="auto"/>
        <w:rPr>
          <w:rFonts w:ascii="Arial" w:hAnsi="Arial" w:cs="Arial"/>
          <w:sz w:val="24"/>
          <w:szCs w:val="24"/>
        </w:rPr>
      </w:pPr>
      <w:r w:rsidRPr="000B4DE2">
        <w:rPr>
          <w:rFonts w:ascii="Arial" w:hAnsi="Arial" w:cs="Arial"/>
          <w:sz w:val="24"/>
          <w:szCs w:val="24"/>
        </w:rPr>
        <w:t>Chicken (2022) draws on a Foucauldian discourse to outline that discourse of school readiness has a 'stranglehold' on early years policy in England</w:t>
      </w:r>
      <w:r w:rsidR="000C539E" w:rsidRPr="000B4DE2">
        <w:rPr>
          <w:rFonts w:ascii="Arial" w:hAnsi="Arial" w:cs="Arial"/>
          <w:sz w:val="24"/>
          <w:szCs w:val="24"/>
        </w:rPr>
        <w:t xml:space="preserve"> and </w:t>
      </w:r>
      <w:r w:rsidRPr="000B4DE2">
        <w:rPr>
          <w:rFonts w:ascii="Arial" w:hAnsi="Arial" w:cs="Arial"/>
          <w:sz w:val="24"/>
          <w:szCs w:val="24"/>
        </w:rPr>
        <w:t xml:space="preserve">argues that regimes of truth govern practice towards 'desirable norms' such as school readiness and then deems what is appropriate within pedagogical practice if children are to achieve these desirable norms. Similarly, Garden also uses Foucault's ideas on </w:t>
      </w:r>
      <w:r w:rsidRPr="000B4DE2">
        <w:rPr>
          <w:rFonts w:ascii="Arial" w:hAnsi="Arial" w:cs="Arial"/>
          <w:sz w:val="24"/>
          <w:szCs w:val="24"/>
        </w:rPr>
        <w:lastRenderedPageBreak/>
        <w:t xml:space="preserve">power as a lens for her </w:t>
      </w:r>
      <w:r w:rsidR="000C539E" w:rsidRPr="000B4DE2">
        <w:rPr>
          <w:rFonts w:ascii="Arial" w:hAnsi="Arial" w:cs="Arial"/>
          <w:sz w:val="24"/>
          <w:szCs w:val="24"/>
        </w:rPr>
        <w:t xml:space="preserve">2024 </w:t>
      </w:r>
      <w:r w:rsidRPr="000B4DE2">
        <w:rPr>
          <w:rFonts w:ascii="Arial" w:hAnsi="Arial" w:cs="Arial"/>
          <w:sz w:val="24"/>
          <w:szCs w:val="24"/>
        </w:rPr>
        <w:t>study</w:t>
      </w:r>
      <w:r w:rsidR="000C539E" w:rsidRPr="000B4DE2">
        <w:rPr>
          <w:rFonts w:ascii="Arial" w:hAnsi="Arial" w:cs="Arial"/>
          <w:sz w:val="24"/>
          <w:szCs w:val="24"/>
        </w:rPr>
        <w:t>.</w:t>
      </w:r>
      <w:r w:rsidRPr="000B4DE2">
        <w:rPr>
          <w:rFonts w:ascii="Arial" w:hAnsi="Arial" w:cs="Arial"/>
          <w:sz w:val="24"/>
          <w:szCs w:val="24"/>
        </w:rPr>
        <w:t xml:space="preserve"> She argues that it is crucial to challenge educators to reassess traditional notions of knowledge and learning environments</w:t>
      </w:r>
      <w:r w:rsidR="006D1CAD" w:rsidRPr="000B4DE2">
        <w:rPr>
          <w:rFonts w:ascii="Arial" w:hAnsi="Arial" w:cs="Arial"/>
          <w:sz w:val="24"/>
          <w:szCs w:val="24"/>
        </w:rPr>
        <w:t xml:space="preserve"> while </w:t>
      </w:r>
      <w:r w:rsidRPr="000B4DE2">
        <w:rPr>
          <w:rFonts w:ascii="Arial" w:hAnsi="Arial" w:cs="Arial"/>
          <w:sz w:val="24"/>
          <w:szCs w:val="24"/>
        </w:rPr>
        <w:t>questioning hierarchical structures. This chimes with the idea of a threshold concept and might be useful in supporting practitioners to reach the threshold concept as the young child is capable and competent (Waters-Davies and MacDonald, 2022)</w:t>
      </w:r>
      <w:r w:rsidR="00CF0388" w:rsidRPr="000B4DE2">
        <w:rPr>
          <w:rFonts w:ascii="Arial" w:hAnsi="Arial" w:cs="Arial"/>
          <w:sz w:val="24"/>
          <w:szCs w:val="24"/>
        </w:rPr>
        <w:t xml:space="preserve"> </w:t>
      </w:r>
      <w:r w:rsidR="000A6EF5" w:rsidRPr="000B4DE2">
        <w:rPr>
          <w:rFonts w:ascii="Arial" w:hAnsi="Arial" w:cs="Arial"/>
          <w:sz w:val="24"/>
          <w:szCs w:val="24"/>
        </w:rPr>
        <w:t xml:space="preserve">Analysing practitioner talk </w:t>
      </w:r>
      <w:r w:rsidR="00F11F21" w:rsidRPr="000B4DE2">
        <w:rPr>
          <w:rFonts w:ascii="Arial" w:hAnsi="Arial" w:cs="Arial"/>
          <w:sz w:val="24"/>
          <w:szCs w:val="24"/>
        </w:rPr>
        <w:t xml:space="preserve">using a Foucauldian lens </w:t>
      </w:r>
      <w:r w:rsidR="000A6EF5" w:rsidRPr="000B4DE2">
        <w:rPr>
          <w:rFonts w:ascii="Arial" w:hAnsi="Arial" w:cs="Arial"/>
          <w:sz w:val="24"/>
          <w:szCs w:val="24"/>
        </w:rPr>
        <w:t xml:space="preserve">allows the </w:t>
      </w:r>
      <w:r w:rsidR="00F11F21" w:rsidRPr="000B4DE2">
        <w:rPr>
          <w:rFonts w:ascii="Arial" w:hAnsi="Arial" w:cs="Arial"/>
          <w:sz w:val="24"/>
          <w:szCs w:val="24"/>
        </w:rPr>
        <w:t xml:space="preserve">researcher </w:t>
      </w:r>
      <w:r w:rsidR="000A6EF5" w:rsidRPr="000B4DE2">
        <w:rPr>
          <w:rFonts w:ascii="Arial" w:hAnsi="Arial" w:cs="Arial"/>
          <w:sz w:val="24"/>
          <w:szCs w:val="24"/>
        </w:rPr>
        <w:t xml:space="preserve">to </w:t>
      </w:r>
      <w:r w:rsidR="00F11F21" w:rsidRPr="000B4DE2">
        <w:rPr>
          <w:rFonts w:ascii="Arial" w:hAnsi="Arial" w:cs="Arial"/>
          <w:sz w:val="24"/>
          <w:szCs w:val="24"/>
        </w:rPr>
        <w:t>understand</w:t>
      </w:r>
      <w:r w:rsidR="000A6EF5" w:rsidRPr="000B4DE2">
        <w:rPr>
          <w:rFonts w:ascii="Arial" w:hAnsi="Arial" w:cs="Arial"/>
          <w:sz w:val="24"/>
          <w:szCs w:val="24"/>
        </w:rPr>
        <w:t xml:space="preserve"> how power</w:t>
      </w:r>
      <w:r w:rsidR="00F11F21" w:rsidRPr="000B4DE2">
        <w:rPr>
          <w:rFonts w:ascii="Arial" w:hAnsi="Arial" w:cs="Arial"/>
          <w:sz w:val="24"/>
          <w:szCs w:val="24"/>
        </w:rPr>
        <w:t xml:space="preserve"> and </w:t>
      </w:r>
      <w:r w:rsidR="000A6EF5" w:rsidRPr="000B4DE2">
        <w:rPr>
          <w:rFonts w:ascii="Arial" w:hAnsi="Arial" w:cs="Arial"/>
          <w:sz w:val="24"/>
          <w:szCs w:val="24"/>
        </w:rPr>
        <w:t>knowledge operates through everyday norms and routines in local authority Flying Start settings, an</w:t>
      </w:r>
      <w:r w:rsidR="00F11F21" w:rsidRPr="000B4DE2">
        <w:rPr>
          <w:rFonts w:ascii="Arial" w:hAnsi="Arial" w:cs="Arial"/>
          <w:sz w:val="24"/>
          <w:szCs w:val="24"/>
        </w:rPr>
        <w:t xml:space="preserve">d </w:t>
      </w:r>
      <w:r w:rsidR="000A6EF5" w:rsidRPr="000B4DE2">
        <w:rPr>
          <w:rFonts w:ascii="Arial" w:hAnsi="Arial" w:cs="Arial"/>
          <w:sz w:val="24"/>
          <w:szCs w:val="24"/>
        </w:rPr>
        <w:t>the effects of these discourses on pedagogy (Deacon, 2006; MacNaughton, 2005). In early childhood specifically, Foucauldian analyses have shown how “regimes of truth” normalise practice and what counts as professional judgement, making this approach well</w:t>
      </w:r>
      <w:r w:rsidR="000A6EF5" w:rsidRPr="000B4DE2">
        <w:rPr>
          <w:rFonts w:ascii="Arial" w:hAnsi="Arial" w:cs="Arial"/>
          <w:sz w:val="24"/>
          <w:szCs w:val="24"/>
        </w:rPr>
        <w:noBreakHyphen/>
        <w:t xml:space="preserve">suited to examining practitioner perspectives </w:t>
      </w:r>
      <w:r w:rsidR="000C539E" w:rsidRPr="000B4DE2">
        <w:rPr>
          <w:rFonts w:ascii="Arial" w:hAnsi="Arial" w:cs="Arial"/>
          <w:sz w:val="24"/>
          <w:szCs w:val="24"/>
        </w:rPr>
        <w:t xml:space="preserve">of children’s capability </w:t>
      </w:r>
      <w:r w:rsidR="000A6EF5" w:rsidRPr="000B4DE2">
        <w:rPr>
          <w:rFonts w:ascii="Arial" w:hAnsi="Arial" w:cs="Arial"/>
          <w:sz w:val="24"/>
          <w:szCs w:val="24"/>
        </w:rPr>
        <w:t>(Gunn, 2019; Ball, 2013).</w:t>
      </w:r>
    </w:p>
    <w:p w14:paraId="20B599B8" w14:textId="71BC8038" w:rsidR="003A4C62" w:rsidRPr="000B4DE2" w:rsidRDefault="00687AA6" w:rsidP="000B4DE2">
      <w:pPr>
        <w:spacing w:line="240" w:lineRule="auto"/>
        <w:rPr>
          <w:rFonts w:ascii="Arial" w:hAnsi="Arial" w:cs="Arial"/>
          <w:b/>
          <w:bCs/>
          <w:sz w:val="24"/>
          <w:szCs w:val="24"/>
        </w:rPr>
      </w:pPr>
      <w:r w:rsidRPr="000B4DE2">
        <w:rPr>
          <w:rFonts w:ascii="Arial" w:hAnsi="Arial" w:cs="Arial"/>
          <w:b/>
          <w:bCs/>
          <w:sz w:val="24"/>
          <w:szCs w:val="24"/>
        </w:rPr>
        <w:t>Software</w:t>
      </w:r>
    </w:p>
    <w:p w14:paraId="0E594252" w14:textId="49FD89B8" w:rsidR="00903DAE" w:rsidRPr="000B4DE2" w:rsidRDefault="00177172" w:rsidP="000B4DE2">
      <w:pPr>
        <w:spacing w:line="240" w:lineRule="auto"/>
        <w:rPr>
          <w:rFonts w:ascii="Arial" w:hAnsi="Arial" w:cs="Arial"/>
          <w:sz w:val="24"/>
          <w:szCs w:val="24"/>
        </w:rPr>
      </w:pPr>
      <w:r w:rsidRPr="000B4DE2">
        <w:rPr>
          <w:rFonts w:ascii="Arial" w:hAnsi="Arial" w:cs="Arial"/>
          <w:sz w:val="24"/>
          <w:szCs w:val="24"/>
        </w:rPr>
        <w:t>Copilot will be used to assist with transcription and initial analysis of interview data. It provides an efficient way to produce accurate transcripts from audio recordings, reducing time and manual error. Copilot will also support early identification of patterns and themes, helping the researcher organise data and prioritise tim</w:t>
      </w:r>
      <w:r w:rsidR="000C539E" w:rsidRPr="000B4DE2">
        <w:rPr>
          <w:rFonts w:ascii="Arial" w:hAnsi="Arial" w:cs="Arial"/>
          <w:sz w:val="24"/>
          <w:szCs w:val="24"/>
        </w:rPr>
        <w:t>e</w:t>
      </w:r>
      <w:r w:rsidRPr="000B4DE2">
        <w:rPr>
          <w:rFonts w:ascii="Arial" w:hAnsi="Arial" w:cs="Arial"/>
          <w:sz w:val="24"/>
          <w:szCs w:val="24"/>
        </w:rPr>
        <w:t>.</w:t>
      </w:r>
      <w:r w:rsidR="00687AA6" w:rsidRPr="000B4DE2">
        <w:rPr>
          <w:rFonts w:ascii="Arial" w:hAnsi="Arial" w:cs="Arial"/>
          <w:sz w:val="24"/>
          <w:szCs w:val="24"/>
        </w:rPr>
        <w:t xml:space="preserve"> </w:t>
      </w:r>
      <w:r w:rsidRPr="000B4DE2">
        <w:rPr>
          <w:rFonts w:ascii="Arial" w:hAnsi="Arial" w:cs="Arial"/>
          <w:sz w:val="24"/>
          <w:szCs w:val="24"/>
        </w:rPr>
        <w:t>To maintain confidentiality, Copilot will only be accessed through the researcher’s secure university account, which uses two-factor authentication and password protection</w:t>
      </w:r>
      <w:r w:rsidR="00903DAE" w:rsidRPr="000B4DE2">
        <w:rPr>
          <w:rFonts w:ascii="Arial" w:hAnsi="Arial" w:cs="Arial"/>
          <w:sz w:val="24"/>
          <w:szCs w:val="24"/>
        </w:rPr>
        <w:t xml:space="preserve">. The use of AI </w:t>
      </w:r>
      <w:r w:rsidR="00903DAE" w:rsidRPr="000B4DE2">
        <w:rPr>
          <w:rFonts w:ascii="Arial" w:hAnsi="Arial" w:cs="Arial"/>
          <w:sz w:val="24"/>
          <w:szCs w:val="24"/>
        </w:rPr>
        <w:t>outputs will be manually error</w:t>
      </w:r>
      <w:r w:rsidR="00903DAE" w:rsidRPr="000B4DE2">
        <w:rPr>
          <w:rFonts w:ascii="Arial" w:hAnsi="Arial" w:cs="Arial"/>
          <w:sz w:val="24"/>
          <w:szCs w:val="24"/>
        </w:rPr>
        <w:noBreakHyphen/>
        <w:t>checked</w:t>
      </w:r>
      <w:r w:rsidR="00903DAE" w:rsidRPr="000B4DE2">
        <w:rPr>
          <w:rFonts w:ascii="Arial" w:hAnsi="Arial" w:cs="Arial"/>
          <w:sz w:val="24"/>
          <w:szCs w:val="24"/>
        </w:rPr>
        <w:t xml:space="preserve"> </w:t>
      </w:r>
      <w:r w:rsidR="00903DAE" w:rsidRPr="000B4DE2">
        <w:rPr>
          <w:rFonts w:ascii="Arial" w:hAnsi="Arial" w:cs="Arial"/>
          <w:sz w:val="24"/>
          <w:szCs w:val="24"/>
        </w:rPr>
        <w:t>and used only on anonymised data to ensure no sensitive information is processed.</w:t>
      </w:r>
      <w:r w:rsidR="00903DAE" w:rsidRPr="000B4DE2">
        <w:rPr>
          <w:rFonts w:ascii="Arial" w:hAnsi="Arial" w:cs="Arial"/>
          <w:sz w:val="24"/>
          <w:szCs w:val="24"/>
        </w:rPr>
        <w:t xml:space="preserve"> This will be included in the Participant Information Sheet for transparency, and included in the data management plan (</w:t>
      </w:r>
      <w:r w:rsidR="00903DAE" w:rsidRPr="00564760">
        <w:rPr>
          <w:rFonts w:ascii="Arial" w:hAnsi="Arial" w:cs="Arial"/>
          <w:sz w:val="24"/>
          <w:szCs w:val="24"/>
        </w:rPr>
        <w:t>University of Wales Trinity Saint David</w:t>
      </w:r>
      <w:r w:rsidR="00903DAE" w:rsidRPr="000B4DE2">
        <w:rPr>
          <w:rFonts w:ascii="Arial" w:hAnsi="Arial" w:cs="Arial"/>
          <w:sz w:val="24"/>
          <w:szCs w:val="24"/>
        </w:rPr>
        <w:t xml:space="preserve">, </w:t>
      </w:r>
      <w:r w:rsidR="00903DAE" w:rsidRPr="00564760">
        <w:rPr>
          <w:rFonts w:ascii="Arial" w:hAnsi="Arial" w:cs="Arial"/>
          <w:sz w:val="24"/>
          <w:szCs w:val="24"/>
        </w:rPr>
        <w:t xml:space="preserve">2022) </w:t>
      </w:r>
    </w:p>
    <w:p w14:paraId="2DB42984" w14:textId="115200EF" w:rsidR="00173515" w:rsidRPr="000B4DE2" w:rsidRDefault="00173515" w:rsidP="000B4DE2">
      <w:pPr>
        <w:spacing w:line="240" w:lineRule="auto"/>
        <w:rPr>
          <w:rFonts w:ascii="Arial" w:hAnsi="Arial" w:cs="Arial"/>
          <w:sz w:val="24"/>
          <w:szCs w:val="24"/>
        </w:rPr>
      </w:pPr>
    </w:p>
    <w:p w14:paraId="7C9B8E21" w14:textId="5BC2DE5F" w:rsidR="003A4C62" w:rsidRPr="000B4DE2" w:rsidRDefault="003A4C62" w:rsidP="000B4DE2">
      <w:pPr>
        <w:spacing w:line="240" w:lineRule="auto"/>
        <w:rPr>
          <w:rFonts w:ascii="Arial" w:hAnsi="Arial" w:cs="Arial"/>
          <w:sz w:val="24"/>
          <w:szCs w:val="24"/>
          <w:u w:val="single"/>
        </w:rPr>
      </w:pPr>
      <w:r w:rsidRPr="000B4DE2">
        <w:rPr>
          <w:rFonts w:ascii="Arial" w:hAnsi="Arial" w:cs="Arial"/>
          <w:b/>
          <w:bCs/>
          <w:sz w:val="24"/>
          <w:szCs w:val="24"/>
          <w:u w:val="single"/>
        </w:rPr>
        <w:t>Ethical Considerations</w:t>
      </w:r>
    </w:p>
    <w:p w14:paraId="76A870E3" w14:textId="25E56F06" w:rsidR="003A4C62" w:rsidRPr="000B4DE2" w:rsidRDefault="003A4C62" w:rsidP="000B4DE2">
      <w:pPr>
        <w:spacing w:line="240" w:lineRule="auto"/>
        <w:rPr>
          <w:rFonts w:ascii="Arial" w:hAnsi="Arial" w:cs="Arial"/>
          <w:b/>
          <w:bCs/>
          <w:sz w:val="24"/>
          <w:szCs w:val="24"/>
        </w:rPr>
      </w:pPr>
      <w:r w:rsidRPr="000B4DE2">
        <w:rPr>
          <w:rFonts w:ascii="Arial" w:hAnsi="Arial" w:cs="Arial"/>
          <w:b/>
          <w:bCs/>
          <w:sz w:val="24"/>
          <w:szCs w:val="24"/>
        </w:rPr>
        <w:t>Informed consent</w:t>
      </w:r>
    </w:p>
    <w:p w14:paraId="4A636ABA" w14:textId="036DA673" w:rsidR="00784B4D" w:rsidRPr="000B4DE2" w:rsidRDefault="00784B4D" w:rsidP="000B4DE2">
      <w:pPr>
        <w:spacing w:line="240" w:lineRule="auto"/>
        <w:rPr>
          <w:rFonts w:ascii="Arial" w:hAnsi="Arial" w:cs="Arial"/>
          <w:sz w:val="24"/>
          <w:szCs w:val="24"/>
        </w:rPr>
      </w:pPr>
      <w:r w:rsidRPr="000B4DE2">
        <w:rPr>
          <w:rFonts w:ascii="Arial" w:hAnsi="Arial" w:cs="Arial"/>
          <w:sz w:val="24"/>
          <w:szCs w:val="24"/>
        </w:rPr>
        <w:t xml:space="preserve">The gatekeeper for the local authority (Organisational Development) </w:t>
      </w:r>
      <w:r w:rsidR="00942A69" w:rsidRPr="000B4DE2">
        <w:rPr>
          <w:rFonts w:ascii="Arial" w:hAnsi="Arial" w:cs="Arial"/>
          <w:sz w:val="24"/>
          <w:szCs w:val="24"/>
        </w:rPr>
        <w:t>will</w:t>
      </w:r>
      <w:r w:rsidRPr="000B4DE2">
        <w:rPr>
          <w:rFonts w:ascii="Arial" w:hAnsi="Arial" w:cs="Arial"/>
          <w:sz w:val="24"/>
          <w:szCs w:val="24"/>
        </w:rPr>
        <w:t xml:space="preserve"> be informed of intent to carry out research and </w:t>
      </w:r>
      <w:r w:rsidR="00942A69" w:rsidRPr="000B4DE2">
        <w:rPr>
          <w:rFonts w:ascii="Arial" w:hAnsi="Arial" w:cs="Arial"/>
          <w:sz w:val="24"/>
          <w:szCs w:val="24"/>
        </w:rPr>
        <w:t xml:space="preserve">will need to confirm </w:t>
      </w:r>
      <w:r w:rsidRPr="000B4DE2">
        <w:rPr>
          <w:rFonts w:ascii="Arial" w:hAnsi="Arial" w:cs="Arial"/>
          <w:sz w:val="24"/>
          <w:szCs w:val="24"/>
        </w:rPr>
        <w:t>that they give permission for practitioners to be approached. In line with BERA (2024) guidelines, participants will provide voluntary, informed consent via an opt-in process prior to the start of the project.</w:t>
      </w:r>
      <w:r w:rsidR="00687AA6" w:rsidRPr="000B4DE2">
        <w:rPr>
          <w:rFonts w:ascii="Arial" w:hAnsi="Arial" w:cs="Arial"/>
          <w:sz w:val="24"/>
          <w:szCs w:val="24"/>
        </w:rPr>
        <w:t xml:space="preserve"> This will be a form to complete, sign and return to the researcher which will be accompanied by a Participant Information Sheet.</w:t>
      </w:r>
      <w:r w:rsidRPr="000B4DE2">
        <w:rPr>
          <w:rFonts w:ascii="Arial" w:hAnsi="Arial" w:cs="Arial"/>
          <w:sz w:val="24"/>
          <w:szCs w:val="24"/>
        </w:rPr>
        <w:t xml:space="preserve"> The researcher will deliver a </w:t>
      </w:r>
      <w:r w:rsidR="00C6753E" w:rsidRPr="000B4DE2">
        <w:rPr>
          <w:rFonts w:ascii="Arial" w:hAnsi="Arial" w:cs="Arial"/>
          <w:sz w:val="24"/>
          <w:szCs w:val="24"/>
        </w:rPr>
        <w:t xml:space="preserve">verbal and written </w:t>
      </w:r>
      <w:r w:rsidRPr="000B4DE2">
        <w:rPr>
          <w:rFonts w:ascii="Arial" w:hAnsi="Arial" w:cs="Arial"/>
          <w:sz w:val="24"/>
          <w:szCs w:val="24"/>
        </w:rPr>
        <w:t>briefing before the project begins to explain the aims of the research and what participation involves, including semi-structured interviews. Participants will be informed of their right not to participate and their right to withdraw at any stage, even after initially giving consent.</w:t>
      </w:r>
      <w:r w:rsidR="00687AA6" w:rsidRPr="000B4DE2">
        <w:rPr>
          <w:rFonts w:ascii="Arial" w:hAnsi="Arial" w:cs="Arial"/>
          <w:sz w:val="24"/>
          <w:szCs w:val="24"/>
        </w:rPr>
        <w:t xml:space="preserve"> </w:t>
      </w:r>
      <w:r w:rsidRPr="000B4DE2">
        <w:rPr>
          <w:rFonts w:ascii="Arial" w:hAnsi="Arial" w:cs="Arial"/>
          <w:sz w:val="24"/>
          <w:szCs w:val="24"/>
        </w:rPr>
        <w:t xml:space="preserve">Given the researcher’s dual role as the Responsible Individual for the setting, participants will be assured that research findings will have no repercussions for their employment. The only exception is where a safeguarding concern arises, in which case the researcher’s duty to report under the Wales Safeguarding Procedures (Social Care Wales, 2025) will override the research process. </w:t>
      </w:r>
    </w:p>
    <w:p w14:paraId="60B81D36" w14:textId="7FE57625" w:rsidR="00C97889" w:rsidRPr="000B4DE2" w:rsidRDefault="00337B49" w:rsidP="000B4DE2">
      <w:pPr>
        <w:spacing w:after="80" w:line="240" w:lineRule="auto"/>
        <w:jc w:val="both"/>
        <w:rPr>
          <w:rFonts w:ascii="Arial" w:hAnsi="Arial" w:cs="Arial"/>
          <w:sz w:val="24"/>
          <w:szCs w:val="24"/>
        </w:rPr>
      </w:pPr>
      <w:r w:rsidRPr="000B4DE2">
        <w:rPr>
          <w:rFonts w:ascii="Arial" w:hAnsi="Arial" w:cs="Arial"/>
          <w:sz w:val="24"/>
          <w:szCs w:val="24"/>
        </w:rPr>
        <w:t>The P</w:t>
      </w:r>
      <w:r w:rsidR="00687AA6" w:rsidRPr="000B4DE2">
        <w:rPr>
          <w:rFonts w:ascii="Arial" w:hAnsi="Arial" w:cs="Arial"/>
          <w:sz w:val="24"/>
          <w:szCs w:val="24"/>
        </w:rPr>
        <w:t xml:space="preserve">articipant </w:t>
      </w:r>
      <w:r w:rsidRPr="000B4DE2">
        <w:rPr>
          <w:rFonts w:ascii="Arial" w:hAnsi="Arial" w:cs="Arial"/>
          <w:sz w:val="24"/>
          <w:szCs w:val="24"/>
        </w:rPr>
        <w:t>I</w:t>
      </w:r>
      <w:r w:rsidR="00687AA6" w:rsidRPr="000B4DE2">
        <w:rPr>
          <w:rFonts w:ascii="Arial" w:hAnsi="Arial" w:cs="Arial"/>
          <w:sz w:val="24"/>
          <w:szCs w:val="24"/>
        </w:rPr>
        <w:t xml:space="preserve">nformation </w:t>
      </w:r>
      <w:r w:rsidRPr="000B4DE2">
        <w:rPr>
          <w:rFonts w:ascii="Arial" w:hAnsi="Arial" w:cs="Arial"/>
          <w:sz w:val="24"/>
          <w:szCs w:val="24"/>
        </w:rPr>
        <w:t>S</w:t>
      </w:r>
      <w:r w:rsidR="00687AA6" w:rsidRPr="000B4DE2">
        <w:rPr>
          <w:rFonts w:ascii="Arial" w:hAnsi="Arial" w:cs="Arial"/>
          <w:sz w:val="24"/>
          <w:szCs w:val="24"/>
        </w:rPr>
        <w:t>heet</w:t>
      </w:r>
      <w:r w:rsidRPr="000B4DE2">
        <w:rPr>
          <w:rFonts w:ascii="Arial" w:hAnsi="Arial" w:cs="Arial"/>
          <w:sz w:val="24"/>
          <w:szCs w:val="24"/>
        </w:rPr>
        <w:t xml:space="preserve"> will include </w:t>
      </w:r>
      <w:r w:rsidR="00687AA6" w:rsidRPr="000B4DE2">
        <w:rPr>
          <w:rFonts w:ascii="Arial" w:hAnsi="Arial" w:cs="Arial"/>
          <w:sz w:val="24"/>
          <w:szCs w:val="24"/>
        </w:rPr>
        <w:t>a section where the researcher acknowledges their dual role a</w:t>
      </w:r>
      <w:r w:rsidRPr="000B4DE2">
        <w:rPr>
          <w:rFonts w:ascii="Arial" w:hAnsi="Arial" w:cs="Arial"/>
          <w:sz w:val="24"/>
          <w:szCs w:val="24"/>
        </w:rPr>
        <w:t>s the Responsible Individual (RI) for the childcare setting involved in this study</w:t>
      </w:r>
      <w:r w:rsidR="00687AA6" w:rsidRPr="000B4DE2">
        <w:rPr>
          <w:rFonts w:ascii="Arial" w:hAnsi="Arial" w:cs="Arial"/>
          <w:sz w:val="24"/>
          <w:szCs w:val="24"/>
        </w:rPr>
        <w:t xml:space="preserve"> and</w:t>
      </w:r>
      <w:r w:rsidRPr="000B4DE2">
        <w:rPr>
          <w:rFonts w:ascii="Arial" w:hAnsi="Arial" w:cs="Arial"/>
          <w:sz w:val="24"/>
          <w:szCs w:val="24"/>
        </w:rPr>
        <w:t xml:space="preserve"> the potential influence this may have on </w:t>
      </w:r>
      <w:r w:rsidR="00687AA6" w:rsidRPr="000B4DE2">
        <w:rPr>
          <w:rFonts w:ascii="Arial" w:hAnsi="Arial" w:cs="Arial"/>
          <w:sz w:val="24"/>
          <w:szCs w:val="24"/>
        </w:rPr>
        <w:t>their</w:t>
      </w:r>
      <w:r w:rsidRPr="000B4DE2">
        <w:rPr>
          <w:rFonts w:ascii="Arial" w:hAnsi="Arial" w:cs="Arial"/>
          <w:sz w:val="24"/>
          <w:szCs w:val="24"/>
        </w:rPr>
        <w:t xml:space="preserve"> response</w:t>
      </w:r>
      <w:r w:rsidR="00687AA6" w:rsidRPr="000B4DE2">
        <w:rPr>
          <w:rFonts w:ascii="Arial" w:hAnsi="Arial" w:cs="Arial"/>
          <w:sz w:val="24"/>
          <w:szCs w:val="24"/>
        </w:rPr>
        <w:t>s</w:t>
      </w:r>
      <w:r w:rsidRPr="000B4DE2">
        <w:rPr>
          <w:rFonts w:ascii="Arial" w:hAnsi="Arial" w:cs="Arial"/>
          <w:sz w:val="24"/>
          <w:szCs w:val="24"/>
        </w:rPr>
        <w:t>.</w:t>
      </w:r>
      <w:r w:rsidR="00687AA6" w:rsidRPr="000B4DE2">
        <w:rPr>
          <w:rFonts w:ascii="Arial" w:hAnsi="Arial" w:cs="Arial"/>
          <w:sz w:val="24"/>
          <w:szCs w:val="24"/>
        </w:rPr>
        <w:t xml:space="preserve"> </w:t>
      </w:r>
      <w:r w:rsidRPr="000B4DE2">
        <w:rPr>
          <w:rFonts w:ascii="Arial" w:hAnsi="Arial" w:cs="Arial"/>
          <w:sz w:val="24"/>
          <w:szCs w:val="24"/>
        </w:rPr>
        <w:t>To mitigate the risks</w:t>
      </w:r>
      <w:r w:rsidR="00687AA6" w:rsidRPr="000B4DE2">
        <w:rPr>
          <w:rFonts w:ascii="Arial" w:hAnsi="Arial" w:cs="Arial"/>
          <w:sz w:val="24"/>
          <w:szCs w:val="24"/>
        </w:rPr>
        <w:t xml:space="preserve"> of the power dynamic which could affect perceptions </w:t>
      </w:r>
      <w:r w:rsidR="00687AA6" w:rsidRPr="000B4DE2">
        <w:rPr>
          <w:rFonts w:ascii="Arial" w:hAnsi="Arial" w:cs="Arial"/>
          <w:sz w:val="24"/>
          <w:szCs w:val="24"/>
        </w:rPr>
        <w:lastRenderedPageBreak/>
        <w:t>of voluntariness and confidentiality the researcher will remind participants of voluntary participation, confidentiality, and reflexivity in analysis (BERA, 2024; Mawson et al,.2025) </w:t>
      </w:r>
      <w:r w:rsidR="00C97889" w:rsidRPr="000B4DE2">
        <w:rPr>
          <w:rFonts w:ascii="Arial" w:hAnsi="Arial" w:cs="Arial"/>
          <w:sz w:val="24"/>
          <w:szCs w:val="24"/>
        </w:rPr>
        <w:t xml:space="preserve">The researcher </w:t>
      </w:r>
      <w:r w:rsidR="00C97889" w:rsidRPr="000B4DE2">
        <w:rPr>
          <w:rFonts w:ascii="Arial" w:hAnsi="Arial" w:cs="Arial"/>
          <w:sz w:val="24"/>
          <w:szCs w:val="24"/>
        </w:rPr>
        <w:t>will reiterat</w:t>
      </w:r>
      <w:r w:rsidR="00C97889" w:rsidRPr="000B4DE2">
        <w:rPr>
          <w:rFonts w:ascii="Arial" w:hAnsi="Arial" w:cs="Arial"/>
          <w:sz w:val="24"/>
          <w:szCs w:val="24"/>
        </w:rPr>
        <w:t>e</w:t>
      </w:r>
      <w:r w:rsidR="00C97889" w:rsidRPr="000B4DE2">
        <w:rPr>
          <w:rFonts w:ascii="Arial" w:hAnsi="Arial" w:cs="Arial"/>
          <w:sz w:val="24"/>
          <w:szCs w:val="24"/>
        </w:rPr>
        <w:t xml:space="preserve"> that the research focuses on </w:t>
      </w:r>
      <w:r w:rsidR="00C97889" w:rsidRPr="000B4DE2">
        <w:rPr>
          <w:rFonts w:ascii="Arial" w:hAnsi="Arial" w:cs="Arial"/>
          <w:sz w:val="24"/>
          <w:szCs w:val="24"/>
        </w:rPr>
        <w:t xml:space="preserve">understanding their </w:t>
      </w:r>
      <w:r w:rsidR="00C97889" w:rsidRPr="000B4DE2">
        <w:rPr>
          <w:rFonts w:ascii="Arial" w:hAnsi="Arial" w:cs="Arial"/>
          <w:sz w:val="24"/>
          <w:szCs w:val="24"/>
        </w:rPr>
        <w:t xml:space="preserve">constructions of children and how these shape practice, ensuring participants understand the purpose and how their insights </w:t>
      </w:r>
      <w:r w:rsidR="00C97889" w:rsidRPr="000B4DE2">
        <w:rPr>
          <w:rFonts w:ascii="Arial" w:hAnsi="Arial" w:cs="Arial"/>
          <w:sz w:val="24"/>
          <w:szCs w:val="24"/>
        </w:rPr>
        <w:t xml:space="preserve">will </w:t>
      </w:r>
      <w:r w:rsidR="00C97889" w:rsidRPr="000B4DE2">
        <w:rPr>
          <w:rFonts w:ascii="Arial" w:hAnsi="Arial" w:cs="Arial"/>
          <w:sz w:val="24"/>
          <w:szCs w:val="24"/>
        </w:rPr>
        <w:t xml:space="preserve">support </w:t>
      </w:r>
      <w:r w:rsidR="00C97889" w:rsidRPr="000B4DE2">
        <w:rPr>
          <w:rFonts w:ascii="Arial" w:hAnsi="Arial" w:cs="Arial"/>
          <w:sz w:val="24"/>
          <w:szCs w:val="24"/>
        </w:rPr>
        <w:t xml:space="preserve">bespoke </w:t>
      </w:r>
      <w:r w:rsidR="00C97889" w:rsidRPr="000B4DE2">
        <w:rPr>
          <w:rFonts w:ascii="Arial" w:hAnsi="Arial" w:cs="Arial"/>
          <w:sz w:val="24"/>
          <w:szCs w:val="24"/>
        </w:rPr>
        <w:t>professional learning</w:t>
      </w:r>
      <w:r w:rsidR="00C97889" w:rsidRPr="000B4DE2">
        <w:rPr>
          <w:rFonts w:ascii="Arial" w:hAnsi="Arial" w:cs="Arial"/>
          <w:sz w:val="24"/>
          <w:szCs w:val="24"/>
        </w:rPr>
        <w:t>, as outlined in the Participant Information Sheet (Mawson et al,. 2025)</w:t>
      </w:r>
    </w:p>
    <w:p w14:paraId="63B6C57C" w14:textId="77777777" w:rsidR="00C6753E" w:rsidRPr="000B4DE2" w:rsidRDefault="00C6753E" w:rsidP="000B4DE2">
      <w:pPr>
        <w:spacing w:after="80" w:line="240" w:lineRule="auto"/>
        <w:jc w:val="both"/>
        <w:rPr>
          <w:rFonts w:ascii="Arial" w:hAnsi="Arial" w:cs="Arial"/>
          <w:sz w:val="24"/>
          <w:szCs w:val="24"/>
        </w:rPr>
      </w:pPr>
    </w:p>
    <w:p w14:paraId="63E373FE" w14:textId="7E8F821B" w:rsidR="00784B4D" w:rsidRPr="000B4DE2" w:rsidRDefault="003A4C62" w:rsidP="000B4DE2">
      <w:pPr>
        <w:spacing w:line="240" w:lineRule="auto"/>
        <w:rPr>
          <w:rFonts w:ascii="Arial" w:hAnsi="Arial" w:cs="Arial"/>
          <w:b/>
          <w:bCs/>
          <w:sz w:val="24"/>
          <w:szCs w:val="24"/>
        </w:rPr>
      </w:pPr>
      <w:r w:rsidRPr="000B4DE2">
        <w:rPr>
          <w:rFonts w:ascii="Arial" w:hAnsi="Arial" w:cs="Arial"/>
          <w:b/>
          <w:bCs/>
          <w:sz w:val="24"/>
          <w:szCs w:val="24"/>
        </w:rPr>
        <w:t>Confidentiality and anonymity</w:t>
      </w:r>
    </w:p>
    <w:p w14:paraId="461CB221" w14:textId="0E691C70" w:rsidR="00C474C8" w:rsidRPr="000B4DE2" w:rsidRDefault="00784B4D" w:rsidP="000B4DE2">
      <w:pPr>
        <w:spacing w:line="240" w:lineRule="auto"/>
        <w:rPr>
          <w:rFonts w:ascii="Arial" w:hAnsi="Arial" w:cs="Arial"/>
          <w:sz w:val="24"/>
          <w:szCs w:val="24"/>
        </w:rPr>
      </w:pPr>
      <w:r w:rsidRPr="000B4DE2">
        <w:rPr>
          <w:rFonts w:ascii="Arial" w:hAnsi="Arial" w:cs="Arial"/>
          <w:sz w:val="24"/>
          <w:szCs w:val="24"/>
        </w:rPr>
        <w:t>Anonymity cannot be guaranteed within this study due to the sampling strategy employed. The use of a convenience sample (Andrade, 2020) necessitates the inclusion of participants already known to the researcher, as they are professional colleagues</w:t>
      </w:r>
      <w:r w:rsidRPr="000B4DE2">
        <w:rPr>
          <w:rFonts w:ascii="Arial" w:hAnsi="Arial" w:cs="Arial"/>
          <w:b/>
          <w:bCs/>
          <w:sz w:val="24"/>
          <w:szCs w:val="24"/>
        </w:rPr>
        <w:t>.</w:t>
      </w:r>
      <w:r w:rsidR="00281124" w:rsidRPr="000B4DE2">
        <w:rPr>
          <w:rFonts w:ascii="Arial" w:hAnsi="Arial" w:cs="Arial"/>
          <w:b/>
          <w:bCs/>
          <w:sz w:val="24"/>
          <w:szCs w:val="24"/>
        </w:rPr>
        <w:t xml:space="preserve"> </w:t>
      </w:r>
      <w:r w:rsidR="00281124" w:rsidRPr="000B4DE2">
        <w:rPr>
          <w:rFonts w:ascii="Arial" w:hAnsi="Arial" w:cs="Arial"/>
          <w:sz w:val="24"/>
          <w:szCs w:val="24"/>
        </w:rPr>
        <w:t>Participants will be informed of this at the outset</w:t>
      </w:r>
      <w:r w:rsidR="00C6753E" w:rsidRPr="000B4DE2">
        <w:rPr>
          <w:rFonts w:ascii="Arial" w:hAnsi="Arial" w:cs="Arial"/>
          <w:sz w:val="24"/>
          <w:szCs w:val="24"/>
        </w:rPr>
        <w:t>.</w:t>
      </w:r>
      <w:r w:rsidR="00281124" w:rsidRPr="000B4DE2">
        <w:rPr>
          <w:rFonts w:ascii="Arial" w:hAnsi="Arial" w:cs="Arial"/>
          <w:sz w:val="24"/>
          <w:szCs w:val="24"/>
        </w:rPr>
        <w:t xml:space="preserve"> </w:t>
      </w:r>
      <w:r w:rsidR="00C474C8" w:rsidRPr="000B4DE2">
        <w:rPr>
          <w:rFonts w:ascii="Arial" w:hAnsi="Arial" w:cs="Arial"/>
          <w:sz w:val="24"/>
          <w:szCs w:val="24"/>
        </w:rPr>
        <w:t xml:space="preserve">Minimal personal data will be gathered and will only be used for the purpose of the study. </w:t>
      </w:r>
      <w:r w:rsidR="00C474C8" w:rsidRPr="000B4DE2">
        <w:rPr>
          <w:rFonts w:ascii="Arial" w:hAnsi="Arial" w:cs="Arial"/>
          <w:sz w:val="24"/>
          <w:szCs w:val="24"/>
        </w:rPr>
        <w:t xml:space="preserve">To reduce ethical risks linked to </w:t>
      </w:r>
      <w:r w:rsidR="00C474C8" w:rsidRPr="000B4DE2">
        <w:rPr>
          <w:rFonts w:ascii="Arial" w:hAnsi="Arial" w:cs="Arial"/>
          <w:sz w:val="24"/>
          <w:szCs w:val="24"/>
        </w:rPr>
        <w:t xml:space="preserve">the </w:t>
      </w:r>
      <w:r w:rsidR="00C474C8" w:rsidRPr="000B4DE2">
        <w:rPr>
          <w:rFonts w:ascii="Arial" w:hAnsi="Arial" w:cs="Arial"/>
          <w:sz w:val="24"/>
          <w:szCs w:val="24"/>
        </w:rPr>
        <w:t xml:space="preserve">dual role, clear boundaries </w:t>
      </w:r>
      <w:r w:rsidR="00C474C8" w:rsidRPr="000B4DE2">
        <w:rPr>
          <w:rFonts w:ascii="Arial" w:hAnsi="Arial" w:cs="Arial"/>
          <w:sz w:val="24"/>
          <w:szCs w:val="24"/>
        </w:rPr>
        <w:t>will be established to</w:t>
      </w:r>
      <w:r w:rsidR="00C474C8" w:rsidRPr="000B4DE2">
        <w:rPr>
          <w:rFonts w:ascii="Arial" w:hAnsi="Arial" w:cs="Arial"/>
          <w:sz w:val="24"/>
          <w:szCs w:val="24"/>
        </w:rPr>
        <w:t xml:space="preserve"> handle participants’ personal data transparently and securely.</w:t>
      </w:r>
    </w:p>
    <w:p w14:paraId="06B8046E" w14:textId="4D4679B8" w:rsidR="003A4C62" w:rsidRPr="000B4DE2" w:rsidRDefault="00784B4D" w:rsidP="000B4DE2">
      <w:pPr>
        <w:spacing w:line="240" w:lineRule="auto"/>
        <w:rPr>
          <w:rFonts w:ascii="Arial" w:hAnsi="Arial" w:cs="Arial"/>
          <w:sz w:val="24"/>
          <w:szCs w:val="24"/>
        </w:rPr>
      </w:pPr>
      <w:r w:rsidRPr="000B4DE2">
        <w:rPr>
          <w:rFonts w:ascii="Arial" w:hAnsi="Arial" w:cs="Arial"/>
          <w:sz w:val="24"/>
          <w:szCs w:val="24"/>
        </w:rPr>
        <w:t>Confidentiality, however, will be rigorously maintained. Each participant will be assigned a unique identifier and upon completion of data collection and coding, the document containing the link between participant identities and their respective codes will be permanently destroyed. Electronic data will be saved on secure networks such as UWTSD OneDrive, protected by passwords and two-factor authentication (BERA, 2024).</w:t>
      </w:r>
      <w:r w:rsidR="00281124" w:rsidRPr="000B4DE2">
        <w:rPr>
          <w:rFonts w:ascii="Arial" w:hAnsi="Arial" w:cs="Arial"/>
          <w:sz w:val="24"/>
          <w:szCs w:val="24"/>
        </w:rPr>
        <w:t xml:space="preserve"> </w:t>
      </w:r>
      <w:r w:rsidRPr="000B4DE2">
        <w:rPr>
          <w:rFonts w:ascii="Arial" w:hAnsi="Arial" w:cs="Arial"/>
          <w:sz w:val="24"/>
          <w:szCs w:val="24"/>
        </w:rPr>
        <w:t>Hard cop</w:t>
      </w:r>
      <w:r w:rsidR="00942A69" w:rsidRPr="000B4DE2">
        <w:rPr>
          <w:rFonts w:ascii="Arial" w:hAnsi="Arial" w:cs="Arial"/>
          <w:sz w:val="24"/>
          <w:szCs w:val="24"/>
        </w:rPr>
        <w:t xml:space="preserve">ies of any </w:t>
      </w:r>
      <w:r w:rsidRPr="000B4DE2">
        <w:rPr>
          <w:rFonts w:ascii="Arial" w:hAnsi="Arial" w:cs="Arial"/>
          <w:sz w:val="24"/>
          <w:szCs w:val="24"/>
        </w:rPr>
        <w:t>interview notes will be kept under lock and key on secure premises until digitised. This procedure will be clearly communicated to participants during the informed consent process and reiterated in the debrief documentation.</w:t>
      </w:r>
      <w:r w:rsidR="00281124" w:rsidRPr="000B4DE2">
        <w:rPr>
          <w:rFonts w:ascii="Arial" w:hAnsi="Arial" w:cs="Arial"/>
          <w:sz w:val="24"/>
          <w:szCs w:val="24"/>
        </w:rPr>
        <w:t xml:space="preserve"> </w:t>
      </w:r>
      <w:r w:rsidRPr="000B4DE2">
        <w:rPr>
          <w:rFonts w:ascii="Arial" w:hAnsi="Arial" w:cs="Arial"/>
          <w:sz w:val="24"/>
          <w:szCs w:val="24"/>
        </w:rPr>
        <w:t>Interviews will involve adults only. If participants mention children by name during interviews, these names will be replaced with pseudonyms during transcription to protect confidentiality.</w:t>
      </w:r>
      <w:r w:rsidR="00281124" w:rsidRPr="000B4DE2">
        <w:rPr>
          <w:rFonts w:ascii="Arial" w:hAnsi="Arial" w:cs="Arial"/>
          <w:sz w:val="24"/>
          <w:szCs w:val="24"/>
        </w:rPr>
        <w:t xml:space="preserve"> </w:t>
      </w:r>
      <w:r w:rsidRPr="000B4DE2">
        <w:rPr>
          <w:rFonts w:ascii="Arial" w:hAnsi="Arial" w:cs="Arial"/>
          <w:sz w:val="24"/>
          <w:szCs w:val="24"/>
        </w:rPr>
        <w:t>B</w:t>
      </w:r>
      <w:r w:rsidR="00924EF2" w:rsidRPr="000B4DE2">
        <w:rPr>
          <w:rFonts w:ascii="Arial" w:hAnsi="Arial" w:cs="Arial"/>
          <w:sz w:val="24"/>
          <w:szCs w:val="24"/>
        </w:rPr>
        <w:t>ERA</w:t>
      </w:r>
      <w:r w:rsidRPr="000B4DE2">
        <w:rPr>
          <w:rFonts w:ascii="Arial" w:hAnsi="Arial" w:cs="Arial"/>
          <w:sz w:val="24"/>
          <w:szCs w:val="24"/>
        </w:rPr>
        <w:t xml:space="preserve"> (2024) acknowledges that some individuals may wish to be named in research outputs. While direct identification within the narrative of findings will not be feasible, participants who express this preference will be appropriately acknowledged for their contribution in any written reports.</w:t>
      </w:r>
      <w:r w:rsidR="009B1E35" w:rsidRPr="000B4DE2">
        <w:rPr>
          <w:rFonts w:ascii="Arial" w:hAnsi="Arial" w:cs="Arial"/>
          <w:sz w:val="24"/>
          <w:szCs w:val="24"/>
        </w:rPr>
        <w:t xml:space="preserve"> </w:t>
      </w:r>
      <w:r w:rsidRPr="000B4DE2">
        <w:rPr>
          <w:rFonts w:ascii="Arial" w:hAnsi="Arial" w:cs="Arial"/>
          <w:sz w:val="24"/>
          <w:szCs w:val="24"/>
        </w:rPr>
        <w:t xml:space="preserve">It is not anticipated that this pilot research will be published, however findings may shape subsequent professional learning, and the participants will be acknowledged if they choose. </w:t>
      </w:r>
    </w:p>
    <w:p w14:paraId="0FD7DF68" w14:textId="31A9F4EE" w:rsidR="00C97889" w:rsidRPr="000B4DE2" w:rsidRDefault="00177172" w:rsidP="000B4DE2">
      <w:pPr>
        <w:pStyle w:val="NormalWeb"/>
        <w:rPr>
          <w:rFonts w:ascii="Arial" w:hAnsi="Arial" w:cs="Arial"/>
          <w:color w:val="FF0000"/>
        </w:rPr>
      </w:pPr>
      <w:r w:rsidRPr="000B4DE2">
        <w:rPr>
          <w:rStyle w:val="Strong"/>
          <w:rFonts w:ascii="Arial" w:eastAsiaTheme="majorEastAsia" w:hAnsi="Arial" w:cs="Arial"/>
        </w:rPr>
        <w:t>Ethical Risks and Mitigation Strategies</w:t>
      </w:r>
      <w:r w:rsidRPr="000B4DE2">
        <w:rPr>
          <w:rFonts w:ascii="Arial" w:hAnsi="Arial" w:cs="Arial"/>
        </w:rPr>
        <w:br/>
        <w:t xml:space="preserve">The research design acknowledges potential social and relational risks arising from the researcher’s dual role as Responsible Individual, which could create perceived pressure to participate or influence responses. To mitigate this, participants will be explicitly informed that involvement is voluntary, that non-participation will have no impact on their professional standing, and that the research process is entirely separate from performance appraisal (BERA, 2024). A positionality and reflexivity statement will be included in participant information sheets, and the researcher will adopt a neutral, curious stance throughout interviews, reminding participants that consent may be withdrawn at any stage without consequence. Reflexive language will be used to acknowledge the researcher’s positionality </w:t>
      </w:r>
      <w:r w:rsidR="00213352" w:rsidRPr="000B4DE2">
        <w:rPr>
          <w:rFonts w:ascii="Arial" w:hAnsi="Arial" w:cs="Arial"/>
        </w:rPr>
        <w:t xml:space="preserve">(Holmes, 2020) </w:t>
      </w:r>
      <w:r w:rsidRPr="000B4DE2">
        <w:rPr>
          <w:rFonts w:ascii="Arial" w:hAnsi="Arial" w:cs="Arial"/>
        </w:rPr>
        <w:t>and to reassure participants that honest responses are welcomed and that they may decline to answer any question (BERA, 2024; Mawson et al., 2025).</w:t>
      </w:r>
      <w:r w:rsidR="00173515" w:rsidRPr="000B4DE2">
        <w:rPr>
          <w:rFonts w:ascii="Arial" w:hAnsi="Arial" w:cs="Arial"/>
        </w:rPr>
        <w:t xml:space="preserve"> </w:t>
      </w:r>
    </w:p>
    <w:p w14:paraId="5EB79752" w14:textId="5A8E1EC2" w:rsidR="00177172" w:rsidRPr="000B4DE2" w:rsidRDefault="00177172" w:rsidP="000B4DE2">
      <w:pPr>
        <w:pStyle w:val="NormalWeb"/>
        <w:rPr>
          <w:rFonts w:ascii="Arial" w:hAnsi="Arial" w:cs="Arial"/>
        </w:rPr>
      </w:pPr>
      <w:r w:rsidRPr="000B4DE2">
        <w:rPr>
          <w:rStyle w:val="Strong"/>
          <w:rFonts w:ascii="Arial" w:eastAsiaTheme="majorEastAsia" w:hAnsi="Arial" w:cs="Arial"/>
        </w:rPr>
        <w:lastRenderedPageBreak/>
        <w:t>Legal, Safeguarding, and Reputational Risks</w:t>
      </w:r>
      <w:r w:rsidRPr="000B4DE2">
        <w:rPr>
          <w:rFonts w:ascii="Arial" w:hAnsi="Arial" w:cs="Arial"/>
        </w:rPr>
        <w:br/>
        <w:t xml:space="preserve">Although the likelihood is minimal, participants may disclose safeguarding concerns or criminal activity. Participants will be informed during the consent process that such disclosures cannot remain confidential and will be managed in accordance with Wales Safeguarding Procedures (Social Care Wales, 2025), including referral to the appropriate Information, Advice and Assistance team and, if necessary, law enforcement. Reputational risks to the University will be mitigated by strict adherence to the UWTSD Research Ethics and Integrity Code of Practice (UWTSD, 2022) and BERA (2024) guidelines. Data security will be ensured through encrypted storage on UWTSD OneDrive with two-factor authentication, password protection for sensitive files, and anonymisation of transcripts. All interviews will take place in a setting that meets health and safety standards, and participants will be reminded of their right to withdraw at any time. </w:t>
      </w:r>
      <w:r w:rsidR="00C97889" w:rsidRPr="000B4DE2">
        <w:rPr>
          <w:rFonts w:ascii="Arial" w:hAnsi="Arial" w:cs="Arial"/>
        </w:rPr>
        <w:t xml:space="preserve">As a Circle of Security </w:t>
      </w:r>
      <w:r w:rsidR="00C97889" w:rsidRPr="000B4DE2">
        <w:rPr>
          <w:rFonts w:ascii="Arial" w:hAnsi="Arial" w:cs="Arial"/>
        </w:rPr>
        <w:t>(Roberts, 2023) f</w:t>
      </w:r>
      <w:r w:rsidR="00C97889" w:rsidRPr="000B4DE2">
        <w:rPr>
          <w:rFonts w:ascii="Arial" w:hAnsi="Arial" w:cs="Arial"/>
        </w:rPr>
        <w:t>acilitato</w:t>
      </w:r>
      <w:r w:rsidR="00C97889" w:rsidRPr="000B4DE2">
        <w:rPr>
          <w:rFonts w:ascii="Arial" w:hAnsi="Arial" w:cs="Arial"/>
        </w:rPr>
        <w:t xml:space="preserve">r the researcher will endeavour to </w:t>
      </w:r>
      <w:r w:rsidR="00C97889" w:rsidRPr="000B4DE2">
        <w:rPr>
          <w:rFonts w:ascii="Arial" w:hAnsi="Arial" w:cs="Arial"/>
        </w:rPr>
        <w:t>creat</w:t>
      </w:r>
      <w:r w:rsidR="00C97889" w:rsidRPr="000B4DE2">
        <w:rPr>
          <w:rFonts w:ascii="Arial" w:hAnsi="Arial" w:cs="Arial"/>
        </w:rPr>
        <w:t>e</w:t>
      </w:r>
      <w:r w:rsidR="00C97889" w:rsidRPr="000B4DE2">
        <w:rPr>
          <w:rFonts w:ascii="Arial" w:hAnsi="Arial" w:cs="Arial"/>
        </w:rPr>
        <w:t xml:space="preserve"> emotionally safe spaces to support participants, managing any discomfort sensitively and offering a </w:t>
      </w:r>
      <w:r w:rsidR="00C97889" w:rsidRPr="000B4DE2">
        <w:rPr>
          <w:rFonts w:ascii="Arial" w:hAnsi="Arial" w:cs="Arial"/>
        </w:rPr>
        <w:t xml:space="preserve">separate </w:t>
      </w:r>
      <w:r w:rsidR="00C97889" w:rsidRPr="000B4DE2">
        <w:rPr>
          <w:rFonts w:ascii="Arial" w:hAnsi="Arial" w:cs="Arial"/>
        </w:rPr>
        <w:t>debrief to help them process reflections on their constructions of children and childhood.</w:t>
      </w:r>
      <w:r w:rsidR="00C97889" w:rsidRPr="000B4DE2">
        <w:rPr>
          <w:rFonts w:ascii="Arial" w:hAnsi="Arial" w:cs="Arial"/>
        </w:rPr>
        <w:t xml:space="preserve"> </w:t>
      </w:r>
      <w:r w:rsidRPr="000B4DE2">
        <w:rPr>
          <w:rFonts w:ascii="Arial" w:hAnsi="Arial" w:cs="Arial"/>
        </w:rPr>
        <w:t>The researcher’s training in Trauma-Informed Supervision (Roberts, 2023) will further support an approach that minimises distress and prioritises participant wellbeing</w:t>
      </w:r>
    </w:p>
    <w:p w14:paraId="57DAAB43" w14:textId="61225428" w:rsidR="00173515" w:rsidRPr="000B4DE2" w:rsidRDefault="003A4C62" w:rsidP="000B4DE2">
      <w:pPr>
        <w:spacing w:line="240" w:lineRule="auto"/>
        <w:rPr>
          <w:rFonts w:ascii="Arial" w:hAnsi="Arial" w:cs="Arial"/>
          <w:b/>
          <w:bCs/>
          <w:sz w:val="24"/>
          <w:szCs w:val="24"/>
        </w:rPr>
      </w:pPr>
      <w:r w:rsidRPr="000B4DE2">
        <w:rPr>
          <w:rFonts w:ascii="Arial" w:hAnsi="Arial" w:cs="Arial"/>
          <w:b/>
          <w:bCs/>
          <w:sz w:val="24"/>
          <w:szCs w:val="24"/>
        </w:rPr>
        <w:t>Data protection</w:t>
      </w:r>
    </w:p>
    <w:p w14:paraId="66AF2B8C" w14:textId="00703346" w:rsidR="00281124" w:rsidRPr="000B4DE2" w:rsidRDefault="00281124" w:rsidP="000B4DE2">
      <w:pPr>
        <w:spacing w:line="240" w:lineRule="auto"/>
        <w:rPr>
          <w:rFonts w:ascii="Arial" w:hAnsi="Arial" w:cs="Arial"/>
          <w:sz w:val="24"/>
          <w:szCs w:val="24"/>
        </w:rPr>
      </w:pPr>
      <w:r w:rsidRPr="000B4DE2">
        <w:rPr>
          <w:rFonts w:ascii="Arial" w:hAnsi="Arial" w:cs="Arial"/>
          <w:sz w:val="24"/>
          <w:szCs w:val="24"/>
        </w:rPr>
        <w:t>Semi</w:t>
      </w:r>
      <w:r w:rsidRPr="000B4DE2">
        <w:rPr>
          <w:rFonts w:ascii="Arial" w:hAnsi="Arial" w:cs="Arial"/>
          <w:sz w:val="24"/>
          <w:szCs w:val="24"/>
        </w:rPr>
        <w:noBreakHyphen/>
        <w:t>structured interviews will be conducted face-to-face and recorded via Microsoft Teams solely for the purpose of producing verbatim transcripts. Transcription will be followed immediately by accuracy checks, with amendments documented using tracked changes to maintain a transparent audit trail (Silverman, 2017). Once verified, all direct identifiers such as names, job roles, or organisational settings will be removed and replaced with unique codes to safeguard participant anonymity (BERA, 2021). The original audio recordings will then be permanently deleted.</w:t>
      </w:r>
    </w:p>
    <w:p w14:paraId="08D18AE9" w14:textId="14C690BB" w:rsidR="00281124" w:rsidRPr="000B4DE2" w:rsidRDefault="00281124" w:rsidP="000B4DE2">
      <w:pPr>
        <w:spacing w:line="240" w:lineRule="auto"/>
        <w:rPr>
          <w:rFonts w:ascii="Arial" w:hAnsi="Arial" w:cs="Arial"/>
          <w:sz w:val="24"/>
          <w:szCs w:val="24"/>
        </w:rPr>
      </w:pPr>
      <w:r w:rsidRPr="000B4DE2">
        <w:rPr>
          <w:rFonts w:ascii="Arial" w:hAnsi="Arial" w:cs="Arial"/>
          <w:sz w:val="24"/>
          <w:szCs w:val="24"/>
        </w:rPr>
        <w:t xml:space="preserve">Materials associated with the consent process </w:t>
      </w:r>
      <w:r w:rsidR="00C86677" w:rsidRPr="000B4DE2">
        <w:rPr>
          <w:rFonts w:ascii="Arial" w:hAnsi="Arial" w:cs="Arial"/>
          <w:sz w:val="24"/>
          <w:szCs w:val="24"/>
        </w:rPr>
        <w:t xml:space="preserve">such as </w:t>
      </w:r>
      <w:r w:rsidRPr="000B4DE2">
        <w:rPr>
          <w:rFonts w:ascii="Arial" w:hAnsi="Arial" w:cs="Arial"/>
          <w:sz w:val="24"/>
          <w:szCs w:val="24"/>
        </w:rPr>
        <w:t>consent forms and participant information sheets</w:t>
      </w:r>
      <w:r w:rsidR="00C86677" w:rsidRPr="000B4DE2">
        <w:rPr>
          <w:rFonts w:ascii="Arial" w:hAnsi="Arial" w:cs="Arial"/>
          <w:sz w:val="24"/>
          <w:szCs w:val="24"/>
        </w:rPr>
        <w:t>,</w:t>
      </w:r>
      <w:r w:rsidRPr="000B4DE2">
        <w:rPr>
          <w:rFonts w:ascii="Arial" w:hAnsi="Arial" w:cs="Arial"/>
          <w:sz w:val="24"/>
          <w:szCs w:val="24"/>
        </w:rPr>
        <w:t xml:space="preserve"> and interview schedules will be stored in password</w:t>
      </w:r>
      <w:r w:rsidRPr="000B4DE2">
        <w:rPr>
          <w:rFonts w:ascii="Arial" w:hAnsi="Arial" w:cs="Arial"/>
          <w:sz w:val="24"/>
          <w:szCs w:val="24"/>
        </w:rPr>
        <w:noBreakHyphen/>
        <w:t>protected folders that are kept separate from anonymised data. All procedures will comply with the Data Protection Act 2018 and the UK GDPR, ensuring that data are processed lawfully, fairly, and transparently (ICO, 2023). Access to identifiable information will remain restricted to the researcher throughout the study, and portable storage devices will not be used at any stage.</w:t>
      </w:r>
    </w:p>
    <w:p w14:paraId="69CAC6A3" w14:textId="4EB2C9BD" w:rsidR="00281124" w:rsidRPr="000B4DE2" w:rsidRDefault="00281124" w:rsidP="000B4DE2">
      <w:pPr>
        <w:spacing w:line="240" w:lineRule="auto"/>
        <w:rPr>
          <w:rFonts w:ascii="Arial" w:hAnsi="Arial" w:cs="Arial"/>
          <w:b/>
          <w:bCs/>
          <w:sz w:val="24"/>
          <w:szCs w:val="24"/>
        </w:rPr>
      </w:pPr>
      <w:r w:rsidRPr="000B4DE2">
        <w:rPr>
          <w:rFonts w:ascii="Arial" w:hAnsi="Arial" w:cs="Arial"/>
          <w:b/>
          <w:bCs/>
          <w:sz w:val="24"/>
          <w:szCs w:val="24"/>
        </w:rPr>
        <w:t>Data Storage</w:t>
      </w:r>
    </w:p>
    <w:p w14:paraId="17806C2B" w14:textId="68511B57" w:rsidR="00BC2CF8" w:rsidRPr="000B4DE2" w:rsidRDefault="00281124" w:rsidP="000B4DE2">
      <w:pPr>
        <w:spacing w:line="240" w:lineRule="auto"/>
        <w:rPr>
          <w:rFonts w:ascii="Arial" w:hAnsi="Arial" w:cs="Arial"/>
          <w:sz w:val="24"/>
          <w:szCs w:val="24"/>
        </w:rPr>
      </w:pPr>
      <w:r w:rsidRPr="000B4DE2">
        <w:rPr>
          <w:rFonts w:ascii="Arial" w:hAnsi="Arial" w:cs="Arial"/>
          <w:sz w:val="24"/>
          <w:szCs w:val="24"/>
        </w:rPr>
        <w:t xml:space="preserve">Anonymised transcripts, analytical notes, and coding frameworks will be stored within UWTSD’s OneDrive environment, which </w:t>
      </w:r>
      <w:r w:rsidR="00C6753E" w:rsidRPr="000B4DE2">
        <w:rPr>
          <w:rFonts w:ascii="Arial" w:hAnsi="Arial" w:cs="Arial"/>
          <w:sz w:val="24"/>
          <w:szCs w:val="24"/>
        </w:rPr>
        <w:t>uses</w:t>
      </w:r>
      <w:r w:rsidRPr="000B4DE2">
        <w:rPr>
          <w:rFonts w:ascii="Arial" w:hAnsi="Arial" w:cs="Arial"/>
          <w:sz w:val="24"/>
          <w:szCs w:val="24"/>
        </w:rPr>
        <w:t xml:space="preserve"> encryption</w:t>
      </w:r>
      <w:r w:rsidR="00C6753E" w:rsidRPr="000B4DE2">
        <w:rPr>
          <w:rFonts w:ascii="Arial" w:hAnsi="Arial" w:cs="Arial"/>
          <w:sz w:val="24"/>
          <w:szCs w:val="24"/>
        </w:rPr>
        <w:t xml:space="preserve"> </w:t>
      </w:r>
      <w:r w:rsidRPr="000B4DE2">
        <w:rPr>
          <w:rFonts w:ascii="Arial" w:hAnsi="Arial" w:cs="Arial"/>
          <w:sz w:val="24"/>
          <w:szCs w:val="24"/>
        </w:rPr>
        <w:t>and two</w:t>
      </w:r>
      <w:r w:rsidRPr="000B4DE2">
        <w:rPr>
          <w:rFonts w:ascii="Arial" w:hAnsi="Arial" w:cs="Arial"/>
          <w:sz w:val="24"/>
          <w:szCs w:val="24"/>
        </w:rPr>
        <w:noBreakHyphen/>
        <w:t>factor authentication consistent with higher</w:t>
      </w:r>
      <w:r w:rsidRPr="000B4DE2">
        <w:rPr>
          <w:rFonts w:ascii="Arial" w:hAnsi="Arial" w:cs="Arial"/>
          <w:sz w:val="24"/>
          <w:szCs w:val="24"/>
        </w:rPr>
        <w:noBreakHyphen/>
        <w:t>education data governance standards (</w:t>
      </w:r>
      <w:r w:rsidR="00C474C8" w:rsidRPr="000B4DE2">
        <w:rPr>
          <w:rFonts w:ascii="Arial" w:hAnsi="Arial" w:cs="Arial"/>
          <w:sz w:val="24"/>
          <w:szCs w:val="24"/>
        </w:rPr>
        <w:t>University of Wales Trinity Saint David, 2022)</w:t>
      </w:r>
      <w:r w:rsidRPr="000B4DE2">
        <w:rPr>
          <w:rFonts w:ascii="Arial" w:hAnsi="Arial" w:cs="Arial"/>
          <w:sz w:val="24"/>
          <w:szCs w:val="24"/>
        </w:rPr>
        <w:t>. Copilot will be used to support the transcription process and to assist with the initial organisation of text data by highlighting tentative thematic patterns. All automated outputs will be reviewed by the researcher to ensure that the analysis remains rigorous, transparent, and firmly researcher</w:t>
      </w:r>
      <w:r w:rsidRPr="000B4DE2">
        <w:rPr>
          <w:rFonts w:ascii="Arial" w:hAnsi="Arial" w:cs="Arial"/>
          <w:sz w:val="24"/>
          <w:szCs w:val="24"/>
        </w:rPr>
        <w:noBreakHyphen/>
        <w:t xml:space="preserve">led (Braun &amp; Clarke, 2022). Data sharing will be limited to the researcher and the academic </w:t>
      </w:r>
      <w:r w:rsidR="00C1392F" w:rsidRPr="000B4DE2">
        <w:rPr>
          <w:rFonts w:ascii="Arial" w:hAnsi="Arial" w:cs="Arial"/>
          <w:sz w:val="24"/>
          <w:szCs w:val="24"/>
        </w:rPr>
        <w:t>supervisor,</w:t>
      </w:r>
      <w:r w:rsidRPr="000B4DE2">
        <w:rPr>
          <w:rFonts w:ascii="Arial" w:hAnsi="Arial" w:cs="Arial"/>
          <w:sz w:val="24"/>
          <w:szCs w:val="24"/>
        </w:rPr>
        <w:t xml:space="preserve"> but only fully anonymised materials will be shared. All identifiable data will be securely deleted in line with UWTSD retention and disposal policies</w:t>
      </w:r>
      <w:r w:rsidR="00705AE6" w:rsidRPr="000B4DE2">
        <w:rPr>
          <w:rFonts w:ascii="Arial" w:hAnsi="Arial" w:cs="Arial"/>
          <w:sz w:val="24"/>
          <w:szCs w:val="24"/>
        </w:rPr>
        <w:t xml:space="preserve"> </w:t>
      </w:r>
      <w:r w:rsidR="00705AE6" w:rsidRPr="000B4DE2">
        <w:rPr>
          <w:rFonts w:ascii="Arial" w:hAnsi="Arial" w:cs="Arial"/>
          <w:sz w:val="24"/>
          <w:szCs w:val="24"/>
        </w:rPr>
        <w:t>(University of Wales Trinity Saint David, 2022)</w:t>
      </w:r>
    </w:p>
    <w:p w14:paraId="3346BD44" w14:textId="77777777" w:rsidR="000B4DE2" w:rsidRDefault="000B4DE2" w:rsidP="000B4DE2">
      <w:pPr>
        <w:spacing w:line="240" w:lineRule="auto"/>
        <w:rPr>
          <w:rFonts w:ascii="Arial" w:hAnsi="Arial" w:cs="Arial"/>
          <w:b/>
          <w:bCs/>
          <w:sz w:val="24"/>
          <w:szCs w:val="24"/>
        </w:rPr>
      </w:pPr>
    </w:p>
    <w:p w14:paraId="61509CDB" w14:textId="5753573E" w:rsidR="003A4C62" w:rsidRPr="000B4DE2" w:rsidRDefault="003A4C62" w:rsidP="000B4DE2">
      <w:pPr>
        <w:spacing w:line="240" w:lineRule="auto"/>
        <w:rPr>
          <w:rFonts w:ascii="Arial" w:hAnsi="Arial" w:cs="Arial"/>
          <w:sz w:val="24"/>
          <w:szCs w:val="24"/>
        </w:rPr>
      </w:pPr>
      <w:r w:rsidRPr="000B4DE2">
        <w:rPr>
          <w:rFonts w:ascii="Arial" w:hAnsi="Arial" w:cs="Arial"/>
          <w:b/>
          <w:bCs/>
          <w:sz w:val="24"/>
          <w:szCs w:val="24"/>
        </w:rPr>
        <w:lastRenderedPageBreak/>
        <w:t>Limitatio</w:t>
      </w:r>
      <w:r w:rsidR="005343B0" w:rsidRPr="000B4DE2">
        <w:rPr>
          <w:rFonts w:ascii="Arial" w:hAnsi="Arial" w:cs="Arial"/>
          <w:b/>
          <w:bCs/>
          <w:sz w:val="24"/>
          <w:szCs w:val="24"/>
        </w:rPr>
        <w:t>ns</w:t>
      </w:r>
      <w:r w:rsidR="00BC2CF8" w:rsidRPr="000B4DE2">
        <w:rPr>
          <w:rFonts w:ascii="Arial" w:hAnsi="Arial" w:cs="Arial"/>
          <w:b/>
          <w:bCs/>
          <w:sz w:val="24"/>
          <w:szCs w:val="24"/>
        </w:rPr>
        <w:t>, Validity and Reliability</w:t>
      </w:r>
    </w:p>
    <w:p w14:paraId="34620235" w14:textId="47E716F8" w:rsidR="005343B0" w:rsidRPr="000B4DE2" w:rsidRDefault="005343B0" w:rsidP="000B4DE2">
      <w:pPr>
        <w:spacing w:line="240" w:lineRule="auto"/>
        <w:rPr>
          <w:rFonts w:ascii="Arial" w:hAnsi="Arial" w:cs="Arial"/>
          <w:sz w:val="24"/>
          <w:szCs w:val="24"/>
        </w:rPr>
      </w:pPr>
      <w:r w:rsidRPr="000B4DE2">
        <w:rPr>
          <w:rFonts w:ascii="Arial" w:hAnsi="Arial" w:cs="Arial"/>
          <w:sz w:val="24"/>
          <w:szCs w:val="24"/>
        </w:rPr>
        <w:t xml:space="preserve">This study has </w:t>
      </w:r>
      <w:r w:rsidR="00C1392F" w:rsidRPr="000B4DE2">
        <w:rPr>
          <w:rFonts w:ascii="Arial" w:hAnsi="Arial" w:cs="Arial"/>
          <w:sz w:val="24"/>
          <w:szCs w:val="24"/>
        </w:rPr>
        <w:t>a few</w:t>
      </w:r>
      <w:r w:rsidRPr="000B4DE2">
        <w:rPr>
          <w:rFonts w:ascii="Arial" w:hAnsi="Arial" w:cs="Arial"/>
          <w:sz w:val="24"/>
          <w:szCs w:val="24"/>
        </w:rPr>
        <w:t xml:space="preserve"> limitations that are important to recognise. To begin with, the sample size </w:t>
      </w:r>
      <w:r w:rsidR="00C86677" w:rsidRPr="000B4DE2">
        <w:rPr>
          <w:rFonts w:ascii="Arial" w:hAnsi="Arial" w:cs="Arial"/>
          <w:sz w:val="24"/>
          <w:szCs w:val="24"/>
        </w:rPr>
        <w:t>i</w:t>
      </w:r>
      <w:r w:rsidRPr="000B4DE2">
        <w:rPr>
          <w:rFonts w:ascii="Arial" w:hAnsi="Arial" w:cs="Arial"/>
          <w:sz w:val="24"/>
          <w:szCs w:val="24"/>
        </w:rPr>
        <w:t xml:space="preserve">s small, which means the findings cannot easily be generalised beyond this specific context. However, the next stage of the action research project will include two additional settings and include other methods for collecting data including questionnaires and observations (Robson &amp; McCartan, 2016). </w:t>
      </w:r>
    </w:p>
    <w:p w14:paraId="200C94D8" w14:textId="6BECEE05" w:rsidR="009B1E35" w:rsidRPr="000B4DE2" w:rsidRDefault="005343B0" w:rsidP="000B4DE2">
      <w:pPr>
        <w:spacing w:line="240" w:lineRule="auto"/>
        <w:rPr>
          <w:rFonts w:ascii="Arial" w:hAnsi="Arial" w:cs="Arial"/>
          <w:sz w:val="24"/>
          <w:szCs w:val="24"/>
        </w:rPr>
      </w:pPr>
      <w:r w:rsidRPr="000B4DE2">
        <w:rPr>
          <w:rFonts w:ascii="Arial" w:hAnsi="Arial" w:cs="Arial"/>
          <w:sz w:val="24"/>
          <w:szCs w:val="24"/>
        </w:rPr>
        <w:t>The researcher’s dual role as the Responsible Individual (RI) may also have shape the way participants respond</w:t>
      </w:r>
      <w:r w:rsidR="009B1E35" w:rsidRPr="000B4DE2">
        <w:rPr>
          <w:rFonts w:ascii="Arial" w:hAnsi="Arial" w:cs="Arial"/>
          <w:sz w:val="24"/>
          <w:szCs w:val="24"/>
        </w:rPr>
        <w:t xml:space="preserve"> and </w:t>
      </w:r>
      <w:r w:rsidRPr="000B4DE2">
        <w:rPr>
          <w:rFonts w:ascii="Arial" w:hAnsi="Arial" w:cs="Arial"/>
          <w:sz w:val="24"/>
          <w:szCs w:val="24"/>
        </w:rPr>
        <w:t>can create subtle pressure to present themself positively</w:t>
      </w:r>
      <w:r w:rsidR="009B1E35" w:rsidRPr="000B4DE2">
        <w:rPr>
          <w:rFonts w:ascii="Arial" w:hAnsi="Arial" w:cs="Arial"/>
          <w:sz w:val="24"/>
          <w:szCs w:val="24"/>
        </w:rPr>
        <w:t xml:space="preserve"> </w:t>
      </w:r>
      <w:r w:rsidR="009B1E35" w:rsidRPr="000B4DE2">
        <w:rPr>
          <w:rFonts w:ascii="Arial" w:hAnsi="Arial" w:cs="Arial"/>
          <w:sz w:val="24"/>
          <w:szCs w:val="24"/>
        </w:rPr>
        <w:t>potentially leading them to describe their practice more favourably. This challenge is widely recognised in interview</w:t>
      </w:r>
      <w:r w:rsidR="009B1E35" w:rsidRPr="000B4DE2">
        <w:rPr>
          <w:rFonts w:ascii="Arial" w:hAnsi="Arial" w:cs="Arial"/>
          <w:sz w:val="24"/>
          <w:szCs w:val="24"/>
        </w:rPr>
        <w:noBreakHyphen/>
        <w:t>based research and highlights the need for careful, reflexive interpretation of participants’ accounts (Braun &amp; Clarke, 2021; Cohen, 2008; Robson &amp; McCartan, 2016</w:t>
      </w:r>
      <w:r w:rsidR="009B1E35" w:rsidRPr="000B4DE2">
        <w:rPr>
          <w:rFonts w:ascii="Arial" w:hAnsi="Arial" w:cs="Arial"/>
          <w:sz w:val="24"/>
          <w:szCs w:val="24"/>
        </w:rPr>
        <w:t xml:space="preserve">; </w:t>
      </w:r>
      <w:r w:rsidR="009B1E35" w:rsidRPr="000B4DE2">
        <w:rPr>
          <w:rFonts w:ascii="Arial" w:hAnsi="Arial" w:cs="Arial"/>
          <w:sz w:val="24"/>
          <w:szCs w:val="24"/>
        </w:rPr>
        <w:t xml:space="preserve">Manion &amp; Morrison, 2018). </w:t>
      </w:r>
    </w:p>
    <w:p w14:paraId="56AD3A13" w14:textId="5C01EB0D" w:rsidR="00E94021" w:rsidRPr="000B4DE2" w:rsidRDefault="005343B0" w:rsidP="000B4DE2">
      <w:pPr>
        <w:spacing w:line="240" w:lineRule="auto"/>
        <w:rPr>
          <w:rFonts w:ascii="Arial" w:hAnsi="Arial" w:cs="Arial"/>
          <w:b/>
          <w:bCs/>
          <w:sz w:val="24"/>
          <w:szCs w:val="24"/>
        </w:rPr>
      </w:pPr>
      <w:r w:rsidRPr="000B4DE2">
        <w:rPr>
          <w:rFonts w:ascii="Arial" w:hAnsi="Arial" w:cs="Arial"/>
          <w:sz w:val="24"/>
          <w:szCs w:val="24"/>
        </w:rPr>
        <w:t>Finally, pilot studies always carry a risk of influencing or ‘contaminating’ participants’ behaviour if they later take part in the main study (van Teijlingen &amp; Hundley, 2001). However, that risk is reduced because the pilot forms part of an iterative action research cycle. Learning and adaptation are built into the methodology, meaning that insights from this stage are expected to inform the next steps (Robson &amp; McCartan, 2016). By combining semi-structured interview</w:t>
      </w:r>
      <w:r w:rsidR="0074668E" w:rsidRPr="000B4DE2">
        <w:rPr>
          <w:rFonts w:ascii="Arial" w:hAnsi="Arial" w:cs="Arial"/>
          <w:sz w:val="24"/>
          <w:szCs w:val="24"/>
        </w:rPr>
        <w:t>s</w:t>
      </w:r>
      <w:r w:rsidRPr="000B4DE2">
        <w:rPr>
          <w:rFonts w:ascii="Arial" w:hAnsi="Arial" w:cs="Arial"/>
          <w:sz w:val="24"/>
          <w:szCs w:val="24"/>
        </w:rPr>
        <w:t xml:space="preserve"> with reflexive positionality</w:t>
      </w:r>
      <w:r w:rsidR="0074668E" w:rsidRPr="000B4DE2">
        <w:rPr>
          <w:rFonts w:ascii="Arial" w:hAnsi="Arial" w:cs="Arial"/>
          <w:sz w:val="24"/>
          <w:szCs w:val="24"/>
        </w:rPr>
        <w:t xml:space="preserve"> (Mawson et al., 2025)</w:t>
      </w:r>
      <w:r w:rsidRPr="000B4DE2">
        <w:rPr>
          <w:rFonts w:ascii="Arial" w:hAnsi="Arial" w:cs="Arial"/>
          <w:sz w:val="24"/>
          <w:szCs w:val="24"/>
        </w:rPr>
        <w:t xml:space="preserve">, this study aims to deliver meaningful findings that are proportionate </w:t>
      </w:r>
      <w:r w:rsidR="0074668E" w:rsidRPr="000B4DE2">
        <w:rPr>
          <w:rFonts w:ascii="Arial" w:hAnsi="Arial" w:cs="Arial"/>
          <w:sz w:val="24"/>
          <w:szCs w:val="24"/>
        </w:rPr>
        <w:t xml:space="preserve">for </w:t>
      </w:r>
      <w:r w:rsidRPr="000B4DE2">
        <w:rPr>
          <w:rFonts w:ascii="Arial" w:hAnsi="Arial" w:cs="Arial"/>
          <w:sz w:val="24"/>
          <w:szCs w:val="24"/>
        </w:rPr>
        <w:t xml:space="preserve">a pilot </w:t>
      </w:r>
      <w:r w:rsidR="0074668E" w:rsidRPr="000B4DE2">
        <w:rPr>
          <w:rFonts w:ascii="Arial" w:hAnsi="Arial" w:cs="Arial"/>
          <w:sz w:val="24"/>
          <w:szCs w:val="24"/>
        </w:rPr>
        <w:t xml:space="preserve">study </w:t>
      </w:r>
      <w:r w:rsidRPr="000B4DE2">
        <w:rPr>
          <w:rFonts w:ascii="Arial" w:hAnsi="Arial" w:cs="Arial"/>
          <w:sz w:val="24"/>
          <w:szCs w:val="24"/>
        </w:rPr>
        <w:t>and provide a robust foundation for the next action</w:t>
      </w:r>
      <w:r w:rsidRPr="000B4DE2">
        <w:rPr>
          <w:rFonts w:ascii="Arial" w:hAnsi="Arial" w:cs="Arial"/>
          <w:sz w:val="24"/>
          <w:szCs w:val="24"/>
        </w:rPr>
        <w:noBreakHyphen/>
        <w:t xml:space="preserve">research </w:t>
      </w:r>
      <w:r w:rsidR="0074668E" w:rsidRPr="000B4DE2">
        <w:rPr>
          <w:rFonts w:ascii="Arial" w:hAnsi="Arial" w:cs="Arial"/>
          <w:sz w:val="24"/>
          <w:szCs w:val="24"/>
        </w:rPr>
        <w:t>stage (van Teijlingen &amp; Hundley, 2001)</w:t>
      </w:r>
      <w:r w:rsidRPr="000B4DE2">
        <w:rPr>
          <w:rFonts w:ascii="Arial" w:hAnsi="Arial" w:cs="Arial"/>
          <w:sz w:val="24"/>
          <w:szCs w:val="24"/>
        </w:rPr>
        <w:t>.</w:t>
      </w:r>
    </w:p>
    <w:p w14:paraId="07E0493F" w14:textId="0FFFF6EB" w:rsidR="00C86677" w:rsidRPr="000B4DE2" w:rsidRDefault="00C86677" w:rsidP="000B4DE2">
      <w:pPr>
        <w:spacing w:line="240" w:lineRule="auto"/>
        <w:rPr>
          <w:rFonts w:ascii="Arial" w:hAnsi="Arial" w:cs="Arial"/>
          <w:sz w:val="24"/>
          <w:szCs w:val="24"/>
        </w:rPr>
      </w:pPr>
      <w:r w:rsidRPr="000B4DE2">
        <w:rPr>
          <w:rFonts w:ascii="Arial" w:hAnsi="Arial" w:cs="Arial"/>
          <w:sz w:val="24"/>
          <w:szCs w:val="24"/>
        </w:rPr>
        <w:t xml:space="preserve">Reliability in this pilot will be ensured through methodological consistency. A single, standardised interview guide will be used so all participants receive </w:t>
      </w:r>
      <w:r w:rsidR="00C6753E" w:rsidRPr="000B4DE2">
        <w:rPr>
          <w:rFonts w:ascii="Arial" w:hAnsi="Arial" w:cs="Arial"/>
          <w:sz w:val="24"/>
          <w:szCs w:val="24"/>
        </w:rPr>
        <w:t>the same</w:t>
      </w:r>
      <w:r w:rsidRPr="000B4DE2">
        <w:rPr>
          <w:rFonts w:ascii="Arial" w:hAnsi="Arial" w:cs="Arial"/>
          <w:sz w:val="24"/>
          <w:szCs w:val="24"/>
        </w:rPr>
        <w:t xml:space="preserve"> questions. An audit trail will be kept to document how interpretations were developed, supporting transparency and grounding findings in the dataset rather than researcher bias (Nowell et al., 2017). The pilot phase will also support the researcher to refine questions and interview procedures (Fereday and Muir Cochrane, 2006).</w:t>
      </w:r>
    </w:p>
    <w:p w14:paraId="510B915F" w14:textId="58DAF494" w:rsidR="007A2161" w:rsidRPr="000B4DE2" w:rsidRDefault="00C86677" w:rsidP="000B4DE2">
      <w:pPr>
        <w:spacing w:line="240" w:lineRule="auto"/>
        <w:rPr>
          <w:rFonts w:ascii="Arial" w:hAnsi="Arial" w:cs="Arial"/>
          <w:sz w:val="24"/>
          <w:szCs w:val="24"/>
        </w:rPr>
      </w:pPr>
      <w:r w:rsidRPr="000B4DE2">
        <w:rPr>
          <w:rFonts w:ascii="Arial" w:hAnsi="Arial" w:cs="Arial"/>
          <w:sz w:val="24"/>
          <w:szCs w:val="24"/>
        </w:rPr>
        <w:t xml:space="preserve">Validity focuses on accurately representing practitioners’ understandings of children’s capabilities. This will be supported through rich data which strongly aligns with the research questions (Cresswell and Poth, </w:t>
      </w:r>
      <w:r w:rsidR="00BC2CF8" w:rsidRPr="000B4DE2">
        <w:rPr>
          <w:rFonts w:ascii="Arial" w:hAnsi="Arial" w:cs="Arial"/>
          <w:sz w:val="24"/>
          <w:szCs w:val="24"/>
        </w:rPr>
        <w:t xml:space="preserve">2016) </w:t>
      </w:r>
      <w:r w:rsidRPr="000B4DE2">
        <w:rPr>
          <w:rFonts w:ascii="Arial" w:hAnsi="Arial" w:cs="Arial"/>
          <w:sz w:val="24"/>
          <w:szCs w:val="24"/>
        </w:rPr>
        <w:t xml:space="preserve">Credibility will </w:t>
      </w:r>
      <w:r w:rsidR="00B336C9" w:rsidRPr="000B4DE2">
        <w:rPr>
          <w:rFonts w:ascii="Arial" w:hAnsi="Arial" w:cs="Arial"/>
          <w:sz w:val="24"/>
          <w:szCs w:val="24"/>
        </w:rPr>
        <w:t>be ensured</w:t>
      </w:r>
      <w:r w:rsidRPr="000B4DE2">
        <w:rPr>
          <w:rFonts w:ascii="Arial" w:hAnsi="Arial" w:cs="Arial"/>
          <w:sz w:val="24"/>
          <w:szCs w:val="24"/>
        </w:rPr>
        <w:t xml:space="preserve"> by transparent coding decisions and reflexive </w:t>
      </w:r>
      <w:r w:rsidR="00BC2CF8" w:rsidRPr="000B4DE2">
        <w:rPr>
          <w:rFonts w:ascii="Arial" w:hAnsi="Arial" w:cs="Arial"/>
          <w:sz w:val="24"/>
          <w:szCs w:val="24"/>
        </w:rPr>
        <w:t xml:space="preserve">recognition </w:t>
      </w:r>
      <w:r w:rsidRPr="000B4DE2">
        <w:rPr>
          <w:rFonts w:ascii="Arial" w:hAnsi="Arial" w:cs="Arial"/>
          <w:sz w:val="24"/>
          <w:szCs w:val="24"/>
        </w:rPr>
        <w:t>of positionality, which improves trustworthiness (Naeem et al., 2023; Yip, 2024).</w:t>
      </w:r>
    </w:p>
    <w:p w14:paraId="491BD2ED" w14:textId="2495E9BA" w:rsidR="009B1E35" w:rsidRPr="000B4DE2" w:rsidRDefault="009B1E35" w:rsidP="000B4DE2">
      <w:pPr>
        <w:spacing w:line="240" w:lineRule="auto"/>
        <w:rPr>
          <w:rFonts w:ascii="Arial" w:hAnsi="Arial" w:cs="Arial"/>
          <w:b/>
          <w:bCs/>
          <w:sz w:val="24"/>
          <w:szCs w:val="24"/>
        </w:rPr>
      </w:pPr>
      <w:r w:rsidRPr="000B4DE2">
        <w:rPr>
          <w:rFonts w:ascii="Arial" w:hAnsi="Arial" w:cs="Arial"/>
          <w:b/>
          <w:bCs/>
          <w:sz w:val="24"/>
          <w:szCs w:val="24"/>
        </w:rPr>
        <w:t>Concluding Summary</w:t>
      </w:r>
    </w:p>
    <w:p w14:paraId="6A6A13AE" w14:textId="538D4B38" w:rsidR="009B1E35" w:rsidRPr="00CA6A79" w:rsidRDefault="009B1E35" w:rsidP="000B4DE2">
      <w:pPr>
        <w:spacing w:line="240" w:lineRule="auto"/>
        <w:rPr>
          <w:rFonts w:ascii="Arial" w:hAnsi="Arial" w:cs="Arial"/>
          <w:sz w:val="24"/>
          <w:szCs w:val="24"/>
        </w:rPr>
      </w:pPr>
      <w:r w:rsidRPr="00CA6A79">
        <w:rPr>
          <w:rFonts w:ascii="Arial" w:hAnsi="Arial" w:cs="Arial"/>
          <w:sz w:val="24"/>
          <w:szCs w:val="24"/>
        </w:rPr>
        <w:t xml:space="preserve">This </w:t>
      </w:r>
      <w:r w:rsidRPr="000B4DE2">
        <w:rPr>
          <w:rFonts w:ascii="Arial" w:hAnsi="Arial" w:cs="Arial"/>
          <w:sz w:val="24"/>
          <w:szCs w:val="24"/>
        </w:rPr>
        <w:t xml:space="preserve">pilot </w:t>
      </w:r>
      <w:r w:rsidRPr="00CA6A79">
        <w:rPr>
          <w:rFonts w:ascii="Arial" w:hAnsi="Arial" w:cs="Arial"/>
          <w:sz w:val="24"/>
          <w:szCs w:val="24"/>
        </w:rPr>
        <w:t xml:space="preserve">study </w:t>
      </w:r>
      <w:r w:rsidRPr="000B4DE2">
        <w:rPr>
          <w:rFonts w:ascii="Arial" w:hAnsi="Arial" w:cs="Arial"/>
          <w:sz w:val="24"/>
          <w:szCs w:val="24"/>
        </w:rPr>
        <w:t xml:space="preserve">will </w:t>
      </w:r>
      <w:r w:rsidRPr="00CA6A79">
        <w:rPr>
          <w:rFonts w:ascii="Arial" w:hAnsi="Arial" w:cs="Arial"/>
          <w:sz w:val="24"/>
          <w:szCs w:val="24"/>
        </w:rPr>
        <w:t xml:space="preserve">examine how Flying Start practitioners </w:t>
      </w:r>
      <w:r w:rsidRPr="000B4DE2">
        <w:rPr>
          <w:rFonts w:ascii="Arial" w:hAnsi="Arial" w:cs="Arial"/>
          <w:sz w:val="24"/>
          <w:szCs w:val="24"/>
        </w:rPr>
        <w:t>view</w:t>
      </w:r>
      <w:r w:rsidRPr="00CA6A79">
        <w:rPr>
          <w:rFonts w:ascii="Arial" w:hAnsi="Arial" w:cs="Arial"/>
          <w:sz w:val="24"/>
          <w:szCs w:val="24"/>
        </w:rPr>
        <w:t xml:space="preserve"> children’s capabilities and how these beliefs shape pedagogy (Biesta, 2015; Priestley et al., 2015). Semi</w:t>
      </w:r>
      <w:r w:rsidRPr="00CA6A79">
        <w:rPr>
          <w:rFonts w:ascii="Arial" w:hAnsi="Arial" w:cs="Arial"/>
          <w:sz w:val="24"/>
          <w:szCs w:val="24"/>
        </w:rPr>
        <w:noBreakHyphen/>
        <w:t xml:space="preserve">structured interviews will elicit rich accounts (Kvale &amp; Brinkmann, 2015; Silverman, 2021). Analysis combines reflexive thematic analysis to </w:t>
      </w:r>
      <w:r w:rsidRPr="000B4DE2">
        <w:rPr>
          <w:rFonts w:ascii="Arial" w:hAnsi="Arial" w:cs="Arial"/>
          <w:sz w:val="24"/>
          <w:szCs w:val="24"/>
        </w:rPr>
        <w:t>identify themes</w:t>
      </w:r>
      <w:r w:rsidRPr="00CA6A79">
        <w:rPr>
          <w:rFonts w:ascii="Arial" w:hAnsi="Arial" w:cs="Arial"/>
          <w:sz w:val="24"/>
          <w:szCs w:val="24"/>
        </w:rPr>
        <w:t xml:space="preserve"> (Braun &amp; Clarke, 2019) with discourse analysis to interrogate how language constructs competence, choice, and agency (Gee, 2014; Alexander, 2008). This </w:t>
      </w:r>
      <w:r w:rsidRPr="000B4DE2">
        <w:rPr>
          <w:rFonts w:ascii="Arial" w:hAnsi="Arial" w:cs="Arial"/>
          <w:sz w:val="24"/>
          <w:szCs w:val="24"/>
        </w:rPr>
        <w:t xml:space="preserve">will highlight </w:t>
      </w:r>
      <w:r w:rsidRPr="00CA6A79">
        <w:rPr>
          <w:rFonts w:ascii="Arial" w:hAnsi="Arial" w:cs="Arial"/>
          <w:sz w:val="24"/>
          <w:szCs w:val="24"/>
        </w:rPr>
        <w:t>what practitioners think and how views are produced through policy and culture (Moss, 2016; Welsh Government, 2023a).</w:t>
      </w:r>
      <w:r w:rsidR="00DC3248" w:rsidRPr="000B4DE2">
        <w:rPr>
          <w:rFonts w:ascii="Arial" w:hAnsi="Arial" w:cs="Arial"/>
          <w:sz w:val="24"/>
          <w:szCs w:val="24"/>
        </w:rPr>
        <w:t xml:space="preserve"> These findings will inform a robust professional learning offer to support practitioners to challenge the notion of the ‘deficit child/ (Waters-</w:t>
      </w:r>
      <w:r w:rsidR="00DC3248" w:rsidRPr="002C6244">
        <w:rPr>
          <w:rFonts w:ascii="Arial" w:hAnsi="Arial" w:cs="Arial"/>
          <w:sz w:val="24"/>
          <w:szCs w:val="24"/>
        </w:rPr>
        <w:t>Davies &amp; MacDonald, 2022</w:t>
      </w:r>
      <w:r w:rsidR="00DC3248" w:rsidRPr="000B4DE2">
        <w:rPr>
          <w:rFonts w:ascii="Arial" w:hAnsi="Arial" w:cs="Arial"/>
          <w:sz w:val="24"/>
          <w:szCs w:val="24"/>
        </w:rPr>
        <w:t>).</w:t>
      </w:r>
    </w:p>
    <w:p w14:paraId="1316AB72" w14:textId="3BD7A814" w:rsidR="00581666" w:rsidRPr="005410B5" w:rsidRDefault="009B1E35" w:rsidP="003A4C62">
      <w:pPr>
        <w:rPr>
          <w:rFonts w:ascii="Arial" w:hAnsi="Arial" w:cs="Arial"/>
          <w:sz w:val="18"/>
          <w:szCs w:val="18"/>
        </w:rPr>
      </w:pPr>
      <w:r w:rsidRPr="005410B5">
        <w:rPr>
          <w:rFonts w:ascii="Arial" w:hAnsi="Arial" w:cs="Arial"/>
          <w:sz w:val="18"/>
          <w:szCs w:val="18"/>
        </w:rPr>
        <w:t>Word Count 54</w:t>
      </w:r>
      <w:r w:rsidR="00DC3248">
        <w:rPr>
          <w:rFonts w:ascii="Arial" w:hAnsi="Arial" w:cs="Arial"/>
          <w:sz w:val="18"/>
          <w:szCs w:val="18"/>
        </w:rPr>
        <w:t>67</w:t>
      </w:r>
    </w:p>
    <w:p w14:paraId="7F4FED0B" w14:textId="0208433B" w:rsidR="00D5265F" w:rsidRPr="005410B5" w:rsidRDefault="005410B5" w:rsidP="003A4C62">
      <w:pPr>
        <w:rPr>
          <w:rFonts w:ascii="Arial" w:hAnsi="Arial" w:cs="Arial"/>
          <w:b/>
          <w:bCs/>
          <w:sz w:val="24"/>
          <w:szCs w:val="24"/>
          <w:u w:val="single"/>
        </w:rPr>
      </w:pPr>
      <w:r w:rsidRPr="005410B5">
        <w:rPr>
          <w:rFonts w:ascii="Arial" w:hAnsi="Arial" w:cs="Arial"/>
          <w:b/>
          <w:bCs/>
          <w:sz w:val="24"/>
          <w:szCs w:val="24"/>
          <w:u w:val="single"/>
        </w:rPr>
        <w:lastRenderedPageBreak/>
        <w:t>Timescales</w:t>
      </w:r>
    </w:p>
    <w:tbl>
      <w:tblPr>
        <w:tblStyle w:val="TableGrid"/>
        <w:tblW w:w="0" w:type="auto"/>
        <w:tblInd w:w="-431" w:type="dxa"/>
        <w:tblLook w:val="04A0" w:firstRow="1" w:lastRow="0" w:firstColumn="1" w:lastColumn="0" w:noHBand="0" w:noVBand="1"/>
      </w:tblPr>
      <w:tblGrid>
        <w:gridCol w:w="1541"/>
        <w:gridCol w:w="1345"/>
        <w:gridCol w:w="1217"/>
        <w:gridCol w:w="1408"/>
        <w:gridCol w:w="1319"/>
        <w:gridCol w:w="1109"/>
        <w:gridCol w:w="1508"/>
      </w:tblGrid>
      <w:tr w:rsidR="00DC3248" w:rsidRPr="00420969" w14:paraId="32276557" w14:textId="1CE4EBE6" w:rsidTr="00DC3248">
        <w:tc>
          <w:tcPr>
            <w:tcW w:w="1541" w:type="dxa"/>
          </w:tcPr>
          <w:p w14:paraId="4CE703DC" w14:textId="77777777" w:rsidR="00DC3248" w:rsidRPr="00420969" w:rsidRDefault="00DC3248">
            <w:pPr>
              <w:pStyle w:val="BodyText"/>
              <w:spacing w:line="360" w:lineRule="auto"/>
              <w:jc w:val="both"/>
              <w:rPr>
                <w:rFonts w:ascii="Arial" w:hAnsi="Arial" w:cs="Arial"/>
                <w:sz w:val="22"/>
                <w:szCs w:val="22"/>
              </w:rPr>
            </w:pPr>
          </w:p>
        </w:tc>
        <w:tc>
          <w:tcPr>
            <w:tcW w:w="1345" w:type="dxa"/>
          </w:tcPr>
          <w:p w14:paraId="73A3F00D" w14:textId="3F76240C"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January 2026</w:t>
            </w:r>
          </w:p>
        </w:tc>
        <w:tc>
          <w:tcPr>
            <w:tcW w:w="1217" w:type="dxa"/>
          </w:tcPr>
          <w:p w14:paraId="733D20E6" w14:textId="3BE61644"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February 2026</w:t>
            </w:r>
          </w:p>
        </w:tc>
        <w:tc>
          <w:tcPr>
            <w:tcW w:w="1408" w:type="dxa"/>
          </w:tcPr>
          <w:p w14:paraId="65F57C9F" w14:textId="3251AA8A"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March 2026</w:t>
            </w:r>
          </w:p>
        </w:tc>
        <w:tc>
          <w:tcPr>
            <w:tcW w:w="1319" w:type="dxa"/>
          </w:tcPr>
          <w:p w14:paraId="3D34AF26" w14:textId="3C991F32"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April 2026</w:t>
            </w:r>
          </w:p>
        </w:tc>
        <w:tc>
          <w:tcPr>
            <w:tcW w:w="1109" w:type="dxa"/>
          </w:tcPr>
          <w:p w14:paraId="336B3044" w14:textId="43F50790"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May 2026</w:t>
            </w:r>
          </w:p>
        </w:tc>
        <w:tc>
          <w:tcPr>
            <w:tcW w:w="1508" w:type="dxa"/>
          </w:tcPr>
          <w:p w14:paraId="153A8B4F" w14:textId="2CF3C679" w:rsidR="00DC3248" w:rsidRDefault="00DC3248">
            <w:pPr>
              <w:pStyle w:val="BodyText"/>
              <w:spacing w:line="360" w:lineRule="auto"/>
              <w:jc w:val="both"/>
              <w:rPr>
                <w:rFonts w:ascii="Arial" w:hAnsi="Arial" w:cs="Arial"/>
                <w:sz w:val="22"/>
                <w:szCs w:val="22"/>
              </w:rPr>
            </w:pPr>
            <w:r>
              <w:rPr>
                <w:rFonts w:ascii="Arial" w:hAnsi="Arial" w:cs="Arial"/>
                <w:sz w:val="22"/>
                <w:szCs w:val="22"/>
              </w:rPr>
              <w:t>June 2026</w:t>
            </w:r>
          </w:p>
        </w:tc>
      </w:tr>
      <w:tr w:rsidR="00DC3248" w:rsidRPr="00420969" w14:paraId="48E5150E" w14:textId="01FF1B63" w:rsidTr="00DC3248">
        <w:tc>
          <w:tcPr>
            <w:tcW w:w="1541" w:type="dxa"/>
          </w:tcPr>
          <w:p w14:paraId="2C677CC5" w14:textId="77777777" w:rsidR="00DC3248" w:rsidRPr="00420969" w:rsidRDefault="00DC3248">
            <w:pPr>
              <w:pStyle w:val="BodyText"/>
              <w:spacing w:line="360" w:lineRule="auto"/>
              <w:jc w:val="both"/>
              <w:rPr>
                <w:rFonts w:ascii="Arial" w:hAnsi="Arial" w:cs="Arial"/>
                <w:sz w:val="22"/>
                <w:szCs w:val="22"/>
              </w:rPr>
            </w:pPr>
            <w:r w:rsidRPr="00420969">
              <w:rPr>
                <w:rFonts w:ascii="Arial" w:hAnsi="Arial" w:cs="Arial"/>
                <w:sz w:val="22"/>
                <w:szCs w:val="22"/>
              </w:rPr>
              <w:t xml:space="preserve">Ethics approval </w:t>
            </w:r>
          </w:p>
        </w:tc>
        <w:tc>
          <w:tcPr>
            <w:tcW w:w="1345" w:type="dxa"/>
          </w:tcPr>
          <w:p w14:paraId="192A53F5" w14:textId="06985AD4" w:rsidR="00DC3248" w:rsidRPr="00420969" w:rsidRDefault="00DC3248">
            <w:pPr>
              <w:pStyle w:val="BodyText"/>
              <w:spacing w:line="360" w:lineRule="auto"/>
              <w:jc w:val="both"/>
              <w:rPr>
                <w:rFonts w:ascii="Arial" w:hAnsi="Arial" w:cs="Arial"/>
                <w:sz w:val="22"/>
                <w:szCs w:val="22"/>
              </w:rPr>
            </w:pPr>
          </w:p>
        </w:tc>
        <w:tc>
          <w:tcPr>
            <w:tcW w:w="1217" w:type="dxa"/>
            <w:shd w:val="clear" w:color="auto" w:fill="ADADAD" w:themeFill="background2" w:themeFillShade="BF"/>
          </w:tcPr>
          <w:p w14:paraId="07E38EF0" w14:textId="1DE12D31"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8</w:t>
            </w:r>
            <w:r w:rsidRPr="00420969">
              <w:rPr>
                <w:rFonts w:ascii="Arial" w:hAnsi="Arial" w:cs="Arial"/>
                <w:sz w:val="22"/>
                <w:szCs w:val="22"/>
              </w:rPr>
              <w:t xml:space="preserve"> hours</w:t>
            </w:r>
          </w:p>
        </w:tc>
        <w:tc>
          <w:tcPr>
            <w:tcW w:w="1408" w:type="dxa"/>
          </w:tcPr>
          <w:p w14:paraId="5654852A" w14:textId="77777777" w:rsidR="00DC3248" w:rsidRPr="00420969" w:rsidRDefault="00DC3248">
            <w:pPr>
              <w:pStyle w:val="BodyText"/>
              <w:spacing w:line="360" w:lineRule="auto"/>
              <w:jc w:val="both"/>
              <w:rPr>
                <w:rFonts w:ascii="Arial" w:hAnsi="Arial" w:cs="Arial"/>
                <w:sz w:val="22"/>
                <w:szCs w:val="22"/>
              </w:rPr>
            </w:pPr>
          </w:p>
        </w:tc>
        <w:tc>
          <w:tcPr>
            <w:tcW w:w="1319" w:type="dxa"/>
          </w:tcPr>
          <w:p w14:paraId="0385841D" w14:textId="77777777" w:rsidR="00DC3248" w:rsidRPr="00420969" w:rsidRDefault="00DC3248">
            <w:pPr>
              <w:pStyle w:val="BodyText"/>
              <w:spacing w:line="360" w:lineRule="auto"/>
              <w:jc w:val="both"/>
              <w:rPr>
                <w:rFonts w:ascii="Arial" w:hAnsi="Arial" w:cs="Arial"/>
                <w:sz w:val="22"/>
                <w:szCs w:val="22"/>
              </w:rPr>
            </w:pPr>
          </w:p>
        </w:tc>
        <w:tc>
          <w:tcPr>
            <w:tcW w:w="1109" w:type="dxa"/>
          </w:tcPr>
          <w:p w14:paraId="3429F692" w14:textId="77777777" w:rsidR="00DC3248" w:rsidRPr="00420969" w:rsidRDefault="00DC3248">
            <w:pPr>
              <w:pStyle w:val="BodyText"/>
              <w:spacing w:line="360" w:lineRule="auto"/>
              <w:jc w:val="both"/>
              <w:rPr>
                <w:rFonts w:ascii="Arial" w:hAnsi="Arial" w:cs="Arial"/>
                <w:sz w:val="22"/>
                <w:szCs w:val="22"/>
              </w:rPr>
            </w:pPr>
          </w:p>
        </w:tc>
        <w:tc>
          <w:tcPr>
            <w:tcW w:w="1508" w:type="dxa"/>
          </w:tcPr>
          <w:p w14:paraId="32CA5598" w14:textId="77777777" w:rsidR="00DC3248" w:rsidRPr="00420969" w:rsidRDefault="00DC3248">
            <w:pPr>
              <w:pStyle w:val="BodyText"/>
              <w:spacing w:line="360" w:lineRule="auto"/>
              <w:jc w:val="both"/>
              <w:rPr>
                <w:rFonts w:ascii="Arial" w:hAnsi="Arial" w:cs="Arial"/>
                <w:sz w:val="22"/>
                <w:szCs w:val="22"/>
              </w:rPr>
            </w:pPr>
          </w:p>
        </w:tc>
      </w:tr>
      <w:tr w:rsidR="00DC3248" w:rsidRPr="00420969" w14:paraId="1DD47A3E" w14:textId="17427DA4" w:rsidTr="00DC3248">
        <w:tc>
          <w:tcPr>
            <w:tcW w:w="1541" w:type="dxa"/>
          </w:tcPr>
          <w:p w14:paraId="1765A802" w14:textId="77777777" w:rsidR="00DC3248" w:rsidRPr="00420969" w:rsidRDefault="00DC3248">
            <w:pPr>
              <w:pStyle w:val="BodyText"/>
              <w:spacing w:line="360" w:lineRule="auto"/>
              <w:jc w:val="both"/>
              <w:rPr>
                <w:rFonts w:ascii="Arial" w:hAnsi="Arial" w:cs="Arial"/>
                <w:sz w:val="22"/>
                <w:szCs w:val="22"/>
              </w:rPr>
            </w:pPr>
            <w:r w:rsidRPr="00420969">
              <w:rPr>
                <w:rFonts w:ascii="Arial" w:hAnsi="Arial" w:cs="Arial"/>
                <w:sz w:val="22"/>
                <w:szCs w:val="22"/>
              </w:rPr>
              <w:t>Lit</w:t>
            </w:r>
            <w:r>
              <w:rPr>
                <w:rFonts w:ascii="Arial" w:hAnsi="Arial" w:cs="Arial"/>
                <w:sz w:val="22"/>
                <w:szCs w:val="22"/>
              </w:rPr>
              <w:t>erature</w:t>
            </w:r>
            <w:r w:rsidRPr="00420969">
              <w:rPr>
                <w:rFonts w:ascii="Arial" w:hAnsi="Arial" w:cs="Arial"/>
                <w:sz w:val="22"/>
                <w:szCs w:val="22"/>
              </w:rPr>
              <w:t xml:space="preserve"> review</w:t>
            </w:r>
          </w:p>
        </w:tc>
        <w:tc>
          <w:tcPr>
            <w:tcW w:w="1345" w:type="dxa"/>
            <w:shd w:val="clear" w:color="auto" w:fill="BFBFBF" w:themeFill="background1" w:themeFillShade="BF"/>
          </w:tcPr>
          <w:p w14:paraId="31EB1A1D" w14:textId="77777777"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 xml:space="preserve">8 </w:t>
            </w:r>
            <w:r w:rsidRPr="00420969">
              <w:rPr>
                <w:rFonts w:ascii="Arial" w:hAnsi="Arial" w:cs="Arial"/>
                <w:sz w:val="22"/>
                <w:szCs w:val="22"/>
              </w:rPr>
              <w:t>hours</w:t>
            </w:r>
          </w:p>
        </w:tc>
        <w:tc>
          <w:tcPr>
            <w:tcW w:w="1217" w:type="dxa"/>
          </w:tcPr>
          <w:p w14:paraId="235585A8" w14:textId="77777777" w:rsidR="00DC3248" w:rsidRPr="00420969" w:rsidRDefault="00DC3248">
            <w:pPr>
              <w:pStyle w:val="BodyText"/>
              <w:spacing w:line="360" w:lineRule="auto"/>
              <w:jc w:val="both"/>
              <w:rPr>
                <w:rFonts w:ascii="Arial" w:hAnsi="Arial" w:cs="Arial"/>
                <w:sz w:val="22"/>
                <w:szCs w:val="22"/>
              </w:rPr>
            </w:pPr>
          </w:p>
        </w:tc>
        <w:tc>
          <w:tcPr>
            <w:tcW w:w="1408" w:type="dxa"/>
          </w:tcPr>
          <w:p w14:paraId="3547E514" w14:textId="77777777" w:rsidR="00DC3248" w:rsidRPr="00420969" w:rsidRDefault="00DC3248">
            <w:pPr>
              <w:pStyle w:val="BodyText"/>
              <w:spacing w:line="360" w:lineRule="auto"/>
              <w:jc w:val="both"/>
              <w:rPr>
                <w:rFonts w:ascii="Arial" w:hAnsi="Arial" w:cs="Arial"/>
                <w:sz w:val="22"/>
                <w:szCs w:val="22"/>
              </w:rPr>
            </w:pPr>
          </w:p>
        </w:tc>
        <w:tc>
          <w:tcPr>
            <w:tcW w:w="1319" w:type="dxa"/>
          </w:tcPr>
          <w:p w14:paraId="222BFE58" w14:textId="77777777" w:rsidR="00DC3248" w:rsidRPr="00420969" w:rsidRDefault="00DC3248">
            <w:pPr>
              <w:pStyle w:val="BodyText"/>
              <w:spacing w:line="360" w:lineRule="auto"/>
              <w:jc w:val="both"/>
              <w:rPr>
                <w:rFonts w:ascii="Arial" w:hAnsi="Arial" w:cs="Arial"/>
                <w:sz w:val="22"/>
                <w:szCs w:val="22"/>
              </w:rPr>
            </w:pPr>
          </w:p>
        </w:tc>
        <w:tc>
          <w:tcPr>
            <w:tcW w:w="1109" w:type="dxa"/>
          </w:tcPr>
          <w:p w14:paraId="0CC933CA" w14:textId="77777777" w:rsidR="00DC3248" w:rsidRPr="00420969" w:rsidRDefault="00DC3248">
            <w:pPr>
              <w:pStyle w:val="BodyText"/>
              <w:spacing w:line="360" w:lineRule="auto"/>
              <w:jc w:val="both"/>
              <w:rPr>
                <w:rFonts w:ascii="Arial" w:hAnsi="Arial" w:cs="Arial"/>
                <w:sz w:val="22"/>
                <w:szCs w:val="22"/>
              </w:rPr>
            </w:pPr>
          </w:p>
        </w:tc>
        <w:tc>
          <w:tcPr>
            <w:tcW w:w="1508" w:type="dxa"/>
          </w:tcPr>
          <w:p w14:paraId="6CDAC9C0" w14:textId="77777777" w:rsidR="00DC3248" w:rsidRPr="00420969" w:rsidRDefault="00DC3248">
            <w:pPr>
              <w:pStyle w:val="BodyText"/>
              <w:spacing w:line="360" w:lineRule="auto"/>
              <w:jc w:val="both"/>
              <w:rPr>
                <w:rFonts w:ascii="Arial" w:hAnsi="Arial" w:cs="Arial"/>
                <w:sz w:val="22"/>
                <w:szCs w:val="22"/>
              </w:rPr>
            </w:pPr>
          </w:p>
        </w:tc>
      </w:tr>
      <w:tr w:rsidR="00DC3248" w:rsidRPr="00420969" w14:paraId="01A200D7" w14:textId="207ACE67" w:rsidTr="00DC3248">
        <w:tc>
          <w:tcPr>
            <w:tcW w:w="1541" w:type="dxa"/>
          </w:tcPr>
          <w:p w14:paraId="7B62564A" w14:textId="17965847" w:rsidR="00DC3248" w:rsidRPr="00420969" w:rsidRDefault="00DC3248">
            <w:pPr>
              <w:pStyle w:val="BodyText"/>
              <w:spacing w:line="360" w:lineRule="auto"/>
              <w:jc w:val="both"/>
              <w:rPr>
                <w:rFonts w:ascii="Arial" w:hAnsi="Arial" w:cs="Arial"/>
                <w:sz w:val="22"/>
                <w:szCs w:val="22"/>
              </w:rPr>
            </w:pPr>
            <w:r w:rsidRPr="00420969">
              <w:rPr>
                <w:rFonts w:ascii="Arial" w:hAnsi="Arial" w:cs="Arial"/>
                <w:sz w:val="22"/>
                <w:szCs w:val="22"/>
              </w:rPr>
              <w:t>Design question</w:t>
            </w:r>
            <w:r>
              <w:rPr>
                <w:rFonts w:ascii="Arial" w:hAnsi="Arial" w:cs="Arial"/>
                <w:sz w:val="22"/>
                <w:szCs w:val="22"/>
              </w:rPr>
              <w:t>s and prompts</w:t>
            </w:r>
          </w:p>
        </w:tc>
        <w:tc>
          <w:tcPr>
            <w:tcW w:w="1345" w:type="dxa"/>
            <w:shd w:val="clear" w:color="auto" w:fill="ADADAD" w:themeFill="background2" w:themeFillShade="BF"/>
          </w:tcPr>
          <w:p w14:paraId="069556D0" w14:textId="419A0B99"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5 hours</w:t>
            </w:r>
          </w:p>
        </w:tc>
        <w:tc>
          <w:tcPr>
            <w:tcW w:w="1217" w:type="dxa"/>
          </w:tcPr>
          <w:p w14:paraId="2A301BD7" w14:textId="0274457A" w:rsidR="00DC3248" w:rsidRPr="00420969" w:rsidRDefault="00DC3248">
            <w:pPr>
              <w:pStyle w:val="BodyText"/>
              <w:spacing w:line="360" w:lineRule="auto"/>
              <w:jc w:val="both"/>
              <w:rPr>
                <w:rFonts w:ascii="Arial" w:hAnsi="Arial" w:cs="Arial"/>
                <w:sz w:val="22"/>
                <w:szCs w:val="22"/>
              </w:rPr>
            </w:pPr>
          </w:p>
        </w:tc>
        <w:tc>
          <w:tcPr>
            <w:tcW w:w="1408" w:type="dxa"/>
          </w:tcPr>
          <w:p w14:paraId="731B1D79" w14:textId="77777777" w:rsidR="00DC3248" w:rsidRPr="00420969" w:rsidRDefault="00DC3248">
            <w:pPr>
              <w:pStyle w:val="BodyText"/>
              <w:spacing w:line="360" w:lineRule="auto"/>
              <w:jc w:val="both"/>
              <w:rPr>
                <w:rFonts w:ascii="Arial" w:hAnsi="Arial" w:cs="Arial"/>
                <w:sz w:val="22"/>
                <w:szCs w:val="22"/>
              </w:rPr>
            </w:pPr>
          </w:p>
        </w:tc>
        <w:tc>
          <w:tcPr>
            <w:tcW w:w="1319" w:type="dxa"/>
          </w:tcPr>
          <w:p w14:paraId="7246998C" w14:textId="77777777" w:rsidR="00DC3248" w:rsidRPr="00420969" w:rsidRDefault="00DC3248">
            <w:pPr>
              <w:pStyle w:val="BodyText"/>
              <w:spacing w:line="360" w:lineRule="auto"/>
              <w:jc w:val="both"/>
              <w:rPr>
                <w:rFonts w:ascii="Arial" w:hAnsi="Arial" w:cs="Arial"/>
                <w:sz w:val="22"/>
                <w:szCs w:val="22"/>
              </w:rPr>
            </w:pPr>
          </w:p>
        </w:tc>
        <w:tc>
          <w:tcPr>
            <w:tcW w:w="1109" w:type="dxa"/>
          </w:tcPr>
          <w:p w14:paraId="197D93F6" w14:textId="77777777" w:rsidR="00DC3248" w:rsidRPr="00420969" w:rsidRDefault="00DC3248">
            <w:pPr>
              <w:pStyle w:val="BodyText"/>
              <w:spacing w:line="360" w:lineRule="auto"/>
              <w:jc w:val="both"/>
              <w:rPr>
                <w:rFonts w:ascii="Arial" w:hAnsi="Arial" w:cs="Arial"/>
                <w:sz w:val="22"/>
                <w:szCs w:val="22"/>
              </w:rPr>
            </w:pPr>
          </w:p>
        </w:tc>
        <w:tc>
          <w:tcPr>
            <w:tcW w:w="1508" w:type="dxa"/>
          </w:tcPr>
          <w:p w14:paraId="224CFE71" w14:textId="77777777" w:rsidR="00DC3248" w:rsidRPr="00420969" w:rsidRDefault="00DC3248">
            <w:pPr>
              <w:pStyle w:val="BodyText"/>
              <w:spacing w:line="360" w:lineRule="auto"/>
              <w:jc w:val="both"/>
              <w:rPr>
                <w:rFonts w:ascii="Arial" w:hAnsi="Arial" w:cs="Arial"/>
                <w:sz w:val="22"/>
                <w:szCs w:val="22"/>
              </w:rPr>
            </w:pPr>
          </w:p>
        </w:tc>
      </w:tr>
      <w:tr w:rsidR="00DC3248" w:rsidRPr="00420969" w14:paraId="2F2E93CF" w14:textId="7EC9F14A" w:rsidTr="00DC3248">
        <w:tc>
          <w:tcPr>
            <w:tcW w:w="1541" w:type="dxa"/>
          </w:tcPr>
          <w:p w14:paraId="00A2FD7B" w14:textId="77777777" w:rsidR="00DC3248" w:rsidRPr="00420969" w:rsidRDefault="00DC3248">
            <w:pPr>
              <w:pStyle w:val="BodyText"/>
              <w:spacing w:line="360" w:lineRule="auto"/>
              <w:jc w:val="both"/>
              <w:rPr>
                <w:rFonts w:ascii="Arial" w:hAnsi="Arial" w:cs="Arial"/>
                <w:sz w:val="22"/>
                <w:szCs w:val="22"/>
              </w:rPr>
            </w:pPr>
            <w:r w:rsidRPr="00420969">
              <w:rPr>
                <w:rFonts w:ascii="Arial" w:hAnsi="Arial" w:cs="Arial"/>
                <w:sz w:val="22"/>
                <w:szCs w:val="22"/>
              </w:rPr>
              <w:t>Collect data</w:t>
            </w:r>
          </w:p>
        </w:tc>
        <w:tc>
          <w:tcPr>
            <w:tcW w:w="1345" w:type="dxa"/>
          </w:tcPr>
          <w:p w14:paraId="07E316B4" w14:textId="77777777" w:rsidR="00DC3248" w:rsidRPr="00420969" w:rsidRDefault="00DC3248">
            <w:pPr>
              <w:pStyle w:val="BodyText"/>
              <w:spacing w:line="360" w:lineRule="auto"/>
              <w:jc w:val="both"/>
              <w:rPr>
                <w:rFonts w:ascii="Arial" w:hAnsi="Arial" w:cs="Arial"/>
                <w:sz w:val="22"/>
                <w:szCs w:val="22"/>
              </w:rPr>
            </w:pPr>
          </w:p>
        </w:tc>
        <w:tc>
          <w:tcPr>
            <w:tcW w:w="1217" w:type="dxa"/>
          </w:tcPr>
          <w:p w14:paraId="2DEAA1A7" w14:textId="77777777" w:rsidR="00DC3248" w:rsidRPr="00420969" w:rsidRDefault="00DC3248">
            <w:pPr>
              <w:pStyle w:val="BodyText"/>
              <w:spacing w:line="360" w:lineRule="auto"/>
              <w:jc w:val="both"/>
              <w:rPr>
                <w:rFonts w:ascii="Arial" w:hAnsi="Arial" w:cs="Arial"/>
                <w:sz w:val="22"/>
                <w:szCs w:val="22"/>
              </w:rPr>
            </w:pPr>
          </w:p>
        </w:tc>
        <w:tc>
          <w:tcPr>
            <w:tcW w:w="1408" w:type="dxa"/>
            <w:shd w:val="clear" w:color="auto" w:fill="BFBFBF" w:themeFill="background1" w:themeFillShade="BF"/>
          </w:tcPr>
          <w:p w14:paraId="57C7F736" w14:textId="4CDC0868" w:rsidR="00DC3248" w:rsidRDefault="00DC3248">
            <w:pPr>
              <w:pStyle w:val="BodyText"/>
              <w:spacing w:line="360" w:lineRule="auto"/>
              <w:jc w:val="both"/>
              <w:rPr>
                <w:rFonts w:ascii="Arial" w:hAnsi="Arial" w:cs="Arial"/>
                <w:sz w:val="22"/>
                <w:szCs w:val="22"/>
              </w:rPr>
            </w:pPr>
            <w:r>
              <w:rPr>
                <w:rFonts w:ascii="Arial" w:hAnsi="Arial" w:cs="Arial"/>
                <w:sz w:val="22"/>
                <w:szCs w:val="22"/>
              </w:rPr>
              <w:t>Interviews (3 x 30 mins)</w:t>
            </w:r>
          </w:p>
          <w:p w14:paraId="2D63BCCB" w14:textId="77777777"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Sending debrief (30 mins)</w:t>
            </w:r>
          </w:p>
        </w:tc>
        <w:tc>
          <w:tcPr>
            <w:tcW w:w="1319" w:type="dxa"/>
          </w:tcPr>
          <w:p w14:paraId="6BAA81E6" w14:textId="2CCD1200" w:rsidR="00DC3248" w:rsidRPr="00420969" w:rsidRDefault="00DC3248">
            <w:pPr>
              <w:pStyle w:val="BodyText"/>
              <w:spacing w:line="360" w:lineRule="auto"/>
              <w:jc w:val="both"/>
              <w:rPr>
                <w:rFonts w:ascii="Arial" w:hAnsi="Arial" w:cs="Arial"/>
                <w:sz w:val="22"/>
                <w:szCs w:val="22"/>
              </w:rPr>
            </w:pPr>
          </w:p>
        </w:tc>
        <w:tc>
          <w:tcPr>
            <w:tcW w:w="1109" w:type="dxa"/>
          </w:tcPr>
          <w:p w14:paraId="07464E18" w14:textId="77777777" w:rsidR="00DC3248" w:rsidRPr="00420969" w:rsidRDefault="00DC3248">
            <w:pPr>
              <w:pStyle w:val="BodyText"/>
              <w:spacing w:line="360" w:lineRule="auto"/>
              <w:jc w:val="both"/>
              <w:rPr>
                <w:rFonts w:ascii="Arial" w:hAnsi="Arial" w:cs="Arial"/>
                <w:sz w:val="22"/>
                <w:szCs w:val="22"/>
              </w:rPr>
            </w:pPr>
          </w:p>
        </w:tc>
        <w:tc>
          <w:tcPr>
            <w:tcW w:w="1508" w:type="dxa"/>
          </w:tcPr>
          <w:p w14:paraId="243AA596" w14:textId="77777777" w:rsidR="00DC3248" w:rsidRPr="00420969" w:rsidRDefault="00DC3248">
            <w:pPr>
              <w:pStyle w:val="BodyText"/>
              <w:spacing w:line="360" w:lineRule="auto"/>
              <w:jc w:val="both"/>
              <w:rPr>
                <w:rFonts w:ascii="Arial" w:hAnsi="Arial" w:cs="Arial"/>
                <w:sz w:val="22"/>
                <w:szCs w:val="22"/>
              </w:rPr>
            </w:pPr>
          </w:p>
        </w:tc>
      </w:tr>
      <w:tr w:rsidR="00DC3248" w:rsidRPr="00420969" w14:paraId="6C14F816" w14:textId="78EF2F26" w:rsidTr="00DC3248">
        <w:tc>
          <w:tcPr>
            <w:tcW w:w="1541" w:type="dxa"/>
          </w:tcPr>
          <w:p w14:paraId="28E942AB" w14:textId="77777777" w:rsidR="00DC3248" w:rsidRPr="00420969" w:rsidRDefault="00DC3248">
            <w:pPr>
              <w:pStyle w:val="BodyText"/>
              <w:spacing w:line="360" w:lineRule="auto"/>
              <w:jc w:val="both"/>
              <w:rPr>
                <w:rFonts w:ascii="Arial" w:hAnsi="Arial" w:cs="Arial"/>
                <w:sz w:val="22"/>
                <w:szCs w:val="22"/>
              </w:rPr>
            </w:pPr>
            <w:r w:rsidRPr="00420969">
              <w:rPr>
                <w:rFonts w:ascii="Arial" w:hAnsi="Arial" w:cs="Arial"/>
                <w:sz w:val="22"/>
                <w:szCs w:val="22"/>
              </w:rPr>
              <w:t>Analyse data</w:t>
            </w:r>
          </w:p>
        </w:tc>
        <w:tc>
          <w:tcPr>
            <w:tcW w:w="1345" w:type="dxa"/>
          </w:tcPr>
          <w:p w14:paraId="17AF6521" w14:textId="77777777" w:rsidR="00DC3248" w:rsidRPr="00420969" w:rsidRDefault="00DC3248">
            <w:pPr>
              <w:pStyle w:val="BodyText"/>
              <w:spacing w:line="360" w:lineRule="auto"/>
              <w:jc w:val="both"/>
              <w:rPr>
                <w:rFonts w:ascii="Arial" w:hAnsi="Arial" w:cs="Arial"/>
                <w:sz w:val="22"/>
                <w:szCs w:val="22"/>
              </w:rPr>
            </w:pPr>
          </w:p>
        </w:tc>
        <w:tc>
          <w:tcPr>
            <w:tcW w:w="1217" w:type="dxa"/>
          </w:tcPr>
          <w:p w14:paraId="3EC74FA5" w14:textId="77777777" w:rsidR="00DC3248" w:rsidRPr="00420969" w:rsidRDefault="00DC3248">
            <w:pPr>
              <w:pStyle w:val="BodyText"/>
              <w:spacing w:line="360" w:lineRule="auto"/>
              <w:jc w:val="both"/>
              <w:rPr>
                <w:rFonts w:ascii="Arial" w:hAnsi="Arial" w:cs="Arial"/>
                <w:sz w:val="22"/>
                <w:szCs w:val="22"/>
              </w:rPr>
            </w:pPr>
          </w:p>
        </w:tc>
        <w:tc>
          <w:tcPr>
            <w:tcW w:w="1408" w:type="dxa"/>
          </w:tcPr>
          <w:p w14:paraId="6DEEA741" w14:textId="77777777" w:rsidR="00DC3248" w:rsidRPr="00420969" w:rsidRDefault="00DC3248">
            <w:pPr>
              <w:pStyle w:val="BodyText"/>
              <w:spacing w:line="360" w:lineRule="auto"/>
              <w:jc w:val="both"/>
              <w:rPr>
                <w:rFonts w:ascii="Arial" w:hAnsi="Arial" w:cs="Arial"/>
                <w:sz w:val="22"/>
                <w:szCs w:val="22"/>
              </w:rPr>
            </w:pPr>
          </w:p>
        </w:tc>
        <w:tc>
          <w:tcPr>
            <w:tcW w:w="2428" w:type="dxa"/>
            <w:gridSpan w:val="2"/>
            <w:shd w:val="clear" w:color="auto" w:fill="BFBFBF" w:themeFill="background1" w:themeFillShade="BF"/>
          </w:tcPr>
          <w:p w14:paraId="7793619F" w14:textId="73089F1D"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16 hours (2 x 8 hour day)</w:t>
            </w:r>
          </w:p>
        </w:tc>
        <w:tc>
          <w:tcPr>
            <w:tcW w:w="1508" w:type="dxa"/>
          </w:tcPr>
          <w:p w14:paraId="0AF0C5D6" w14:textId="77777777" w:rsidR="00DC3248" w:rsidRDefault="00DC3248">
            <w:pPr>
              <w:pStyle w:val="BodyText"/>
              <w:spacing w:line="360" w:lineRule="auto"/>
              <w:jc w:val="both"/>
              <w:rPr>
                <w:rFonts w:ascii="Arial" w:hAnsi="Arial" w:cs="Arial"/>
                <w:sz w:val="22"/>
                <w:szCs w:val="22"/>
              </w:rPr>
            </w:pPr>
          </w:p>
        </w:tc>
      </w:tr>
      <w:tr w:rsidR="00DC3248" w:rsidRPr="00420969" w14:paraId="60D0ECC2" w14:textId="51E24E20" w:rsidTr="00DC3248">
        <w:tc>
          <w:tcPr>
            <w:tcW w:w="1541" w:type="dxa"/>
          </w:tcPr>
          <w:p w14:paraId="7B7E5069" w14:textId="77777777" w:rsidR="00DC3248" w:rsidRPr="00420969" w:rsidRDefault="00DC3248">
            <w:pPr>
              <w:pStyle w:val="BodyText"/>
              <w:spacing w:line="360" w:lineRule="auto"/>
              <w:jc w:val="both"/>
              <w:rPr>
                <w:rFonts w:ascii="Arial" w:hAnsi="Arial" w:cs="Arial"/>
                <w:sz w:val="22"/>
                <w:szCs w:val="22"/>
              </w:rPr>
            </w:pPr>
            <w:r w:rsidRPr="00420969">
              <w:rPr>
                <w:rFonts w:ascii="Arial" w:hAnsi="Arial" w:cs="Arial"/>
                <w:sz w:val="22"/>
                <w:szCs w:val="22"/>
              </w:rPr>
              <w:t>Write report</w:t>
            </w:r>
          </w:p>
        </w:tc>
        <w:tc>
          <w:tcPr>
            <w:tcW w:w="1345" w:type="dxa"/>
          </w:tcPr>
          <w:p w14:paraId="37DFC60E" w14:textId="77777777" w:rsidR="00DC3248" w:rsidRPr="00420969" w:rsidRDefault="00DC3248">
            <w:pPr>
              <w:pStyle w:val="BodyText"/>
              <w:spacing w:line="360" w:lineRule="auto"/>
              <w:jc w:val="both"/>
              <w:rPr>
                <w:rFonts w:ascii="Arial" w:hAnsi="Arial" w:cs="Arial"/>
                <w:sz w:val="22"/>
                <w:szCs w:val="22"/>
              </w:rPr>
            </w:pPr>
          </w:p>
        </w:tc>
        <w:tc>
          <w:tcPr>
            <w:tcW w:w="1217" w:type="dxa"/>
          </w:tcPr>
          <w:p w14:paraId="1EBDCEF2" w14:textId="77777777" w:rsidR="00DC3248" w:rsidRPr="00420969" w:rsidRDefault="00DC3248">
            <w:pPr>
              <w:pStyle w:val="BodyText"/>
              <w:spacing w:line="360" w:lineRule="auto"/>
              <w:jc w:val="both"/>
              <w:rPr>
                <w:rFonts w:ascii="Arial" w:hAnsi="Arial" w:cs="Arial"/>
                <w:sz w:val="22"/>
                <w:szCs w:val="22"/>
              </w:rPr>
            </w:pPr>
          </w:p>
        </w:tc>
        <w:tc>
          <w:tcPr>
            <w:tcW w:w="1408" w:type="dxa"/>
          </w:tcPr>
          <w:p w14:paraId="37C8DA33" w14:textId="77777777" w:rsidR="00DC3248" w:rsidRPr="00420969" w:rsidRDefault="00DC3248">
            <w:pPr>
              <w:pStyle w:val="BodyText"/>
              <w:spacing w:line="360" w:lineRule="auto"/>
              <w:jc w:val="both"/>
              <w:rPr>
                <w:rFonts w:ascii="Arial" w:hAnsi="Arial" w:cs="Arial"/>
                <w:sz w:val="22"/>
                <w:szCs w:val="22"/>
              </w:rPr>
            </w:pPr>
          </w:p>
        </w:tc>
        <w:tc>
          <w:tcPr>
            <w:tcW w:w="1319" w:type="dxa"/>
          </w:tcPr>
          <w:p w14:paraId="2F6797A4" w14:textId="77777777" w:rsidR="00DC3248" w:rsidRPr="00420969" w:rsidRDefault="00DC3248">
            <w:pPr>
              <w:pStyle w:val="BodyText"/>
              <w:spacing w:line="360" w:lineRule="auto"/>
              <w:jc w:val="both"/>
              <w:rPr>
                <w:rFonts w:ascii="Arial" w:hAnsi="Arial" w:cs="Arial"/>
                <w:sz w:val="22"/>
                <w:szCs w:val="22"/>
              </w:rPr>
            </w:pPr>
          </w:p>
        </w:tc>
        <w:tc>
          <w:tcPr>
            <w:tcW w:w="1109" w:type="dxa"/>
            <w:shd w:val="clear" w:color="auto" w:fill="BFBFBF" w:themeFill="background1" w:themeFillShade="BF"/>
          </w:tcPr>
          <w:p w14:paraId="34314280" w14:textId="77777777"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35 hours</w:t>
            </w:r>
          </w:p>
        </w:tc>
        <w:tc>
          <w:tcPr>
            <w:tcW w:w="1508" w:type="dxa"/>
          </w:tcPr>
          <w:p w14:paraId="71DC01FB" w14:textId="77777777" w:rsidR="00DC3248" w:rsidRDefault="00DC3248">
            <w:pPr>
              <w:pStyle w:val="BodyText"/>
              <w:spacing w:line="360" w:lineRule="auto"/>
              <w:jc w:val="both"/>
              <w:rPr>
                <w:rFonts w:ascii="Arial" w:hAnsi="Arial" w:cs="Arial"/>
                <w:sz w:val="22"/>
                <w:szCs w:val="22"/>
              </w:rPr>
            </w:pPr>
          </w:p>
        </w:tc>
      </w:tr>
      <w:tr w:rsidR="00DC3248" w:rsidRPr="00420969" w14:paraId="78BFF325" w14:textId="2044EAA7" w:rsidTr="00DC3248">
        <w:tc>
          <w:tcPr>
            <w:tcW w:w="1541" w:type="dxa"/>
          </w:tcPr>
          <w:p w14:paraId="4A17BA86" w14:textId="12F87B31"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Share findings /provide feedback to participants</w:t>
            </w:r>
          </w:p>
        </w:tc>
        <w:tc>
          <w:tcPr>
            <w:tcW w:w="1345" w:type="dxa"/>
          </w:tcPr>
          <w:p w14:paraId="0B5B7DAD" w14:textId="77777777" w:rsidR="00DC3248" w:rsidRPr="00420969" w:rsidRDefault="00DC3248">
            <w:pPr>
              <w:pStyle w:val="BodyText"/>
              <w:spacing w:line="360" w:lineRule="auto"/>
              <w:jc w:val="both"/>
              <w:rPr>
                <w:rFonts w:ascii="Arial" w:hAnsi="Arial" w:cs="Arial"/>
                <w:sz w:val="22"/>
                <w:szCs w:val="22"/>
              </w:rPr>
            </w:pPr>
          </w:p>
        </w:tc>
        <w:tc>
          <w:tcPr>
            <w:tcW w:w="1217" w:type="dxa"/>
          </w:tcPr>
          <w:p w14:paraId="4FF104E7" w14:textId="77777777" w:rsidR="00DC3248" w:rsidRPr="00420969" w:rsidRDefault="00DC3248">
            <w:pPr>
              <w:pStyle w:val="BodyText"/>
              <w:spacing w:line="360" w:lineRule="auto"/>
              <w:jc w:val="both"/>
              <w:rPr>
                <w:rFonts w:ascii="Arial" w:hAnsi="Arial" w:cs="Arial"/>
                <w:sz w:val="22"/>
                <w:szCs w:val="22"/>
              </w:rPr>
            </w:pPr>
          </w:p>
        </w:tc>
        <w:tc>
          <w:tcPr>
            <w:tcW w:w="1408" w:type="dxa"/>
          </w:tcPr>
          <w:p w14:paraId="37A9BE7E" w14:textId="77777777" w:rsidR="00DC3248" w:rsidRPr="00420969" w:rsidRDefault="00DC3248">
            <w:pPr>
              <w:pStyle w:val="BodyText"/>
              <w:spacing w:line="360" w:lineRule="auto"/>
              <w:jc w:val="both"/>
              <w:rPr>
                <w:rFonts w:ascii="Arial" w:hAnsi="Arial" w:cs="Arial"/>
                <w:sz w:val="22"/>
                <w:szCs w:val="22"/>
              </w:rPr>
            </w:pPr>
          </w:p>
        </w:tc>
        <w:tc>
          <w:tcPr>
            <w:tcW w:w="1319" w:type="dxa"/>
          </w:tcPr>
          <w:p w14:paraId="05FDC669" w14:textId="77777777" w:rsidR="00DC3248" w:rsidRPr="00420969" w:rsidRDefault="00DC3248">
            <w:pPr>
              <w:pStyle w:val="BodyText"/>
              <w:spacing w:line="360" w:lineRule="auto"/>
              <w:jc w:val="both"/>
              <w:rPr>
                <w:rFonts w:ascii="Arial" w:hAnsi="Arial" w:cs="Arial"/>
                <w:sz w:val="22"/>
                <w:szCs w:val="22"/>
              </w:rPr>
            </w:pPr>
          </w:p>
        </w:tc>
        <w:tc>
          <w:tcPr>
            <w:tcW w:w="1109" w:type="dxa"/>
            <w:shd w:val="clear" w:color="auto" w:fill="BFBFBF" w:themeFill="background1" w:themeFillShade="BF"/>
          </w:tcPr>
          <w:p w14:paraId="73B16D6D" w14:textId="77777777" w:rsidR="00DC3248" w:rsidRPr="00420969" w:rsidRDefault="00DC3248">
            <w:pPr>
              <w:pStyle w:val="BodyText"/>
              <w:spacing w:line="360" w:lineRule="auto"/>
              <w:jc w:val="both"/>
              <w:rPr>
                <w:rFonts w:ascii="Arial" w:hAnsi="Arial" w:cs="Arial"/>
                <w:sz w:val="22"/>
                <w:szCs w:val="22"/>
              </w:rPr>
            </w:pPr>
            <w:r>
              <w:rPr>
                <w:rFonts w:ascii="Arial" w:hAnsi="Arial" w:cs="Arial"/>
                <w:sz w:val="22"/>
                <w:szCs w:val="22"/>
              </w:rPr>
              <w:t>3 hours</w:t>
            </w:r>
          </w:p>
        </w:tc>
        <w:tc>
          <w:tcPr>
            <w:tcW w:w="1508" w:type="dxa"/>
          </w:tcPr>
          <w:p w14:paraId="0EEAD4E0" w14:textId="77777777" w:rsidR="00DC3248" w:rsidRDefault="00DC3248">
            <w:pPr>
              <w:pStyle w:val="BodyText"/>
              <w:spacing w:line="360" w:lineRule="auto"/>
              <w:jc w:val="both"/>
              <w:rPr>
                <w:rFonts w:ascii="Arial" w:hAnsi="Arial" w:cs="Arial"/>
                <w:sz w:val="22"/>
                <w:szCs w:val="22"/>
              </w:rPr>
            </w:pPr>
          </w:p>
        </w:tc>
      </w:tr>
      <w:tr w:rsidR="00DC3248" w:rsidRPr="00420969" w14:paraId="612BD827" w14:textId="61F53E6F" w:rsidTr="00DC3248">
        <w:tc>
          <w:tcPr>
            <w:tcW w:w="1541" w:type="dxa"/>
          </w:tcPr>
          <w:p w14:paraId="38A5F742" w14:textId="6843A80E" w:rsidR="00DC3248" w:rsidRDefault="00DC3248">
            <w:pPr>
              <w:pStyle w:val="BodyText"/>
              <w:spacing w:line="360" w:lineRule="auto"/>
              <w:jc w:val="both"/>
              <w:rPr>
                <w:rFonts w:ascii="Arial" w:hAnsi="Arial" w:cs="Arial"/>
                <w:sz w:val="22"/>
                <w:szCs w:val="22"/>
              </w:rPr>
            </w:pPr>
            <w:r>
              <w:rPr>
                <w:rFonts w:ascii="Arial" w:hAnsi="Arial" w:cs="Arial"/>
                <w:sz w:val="22"/>
                <w:szCs w:val="22"/>
              </w:rPr>
              <w:t>Prepare professional learning</w:t>
            </w:r>
          </w:p>
        </w:tc>
        <w:tc>
          <w:tcPr>
            <w:tcW w:w="1345" w:type="dxa"/>
          </w:tcPr>
          <w:p w14:paraId="520B6752" w14:textId="77777777" w:rsidR="00DC3248" w:rsidRPr="00420969" w:rsidRDefault="00DC3248">
            <w:pPr>
              <w:pStyle w:val="BodyText"/>
              <w:spacing w:line="360" w:lineRule="auto"/>
              <w:jc w:val="both"/>
              <w:rPr>
                <w:rFonts w:ascii="Arial" w:hAnsi="Arial" w:cs="Arial"/>
                <w:sz w:val="22"/>
                <w:szCs w:val="22"/>
              </w:rPr>
            </w:pPr>
          </w:p>
        </w:tc>
        <w:tc>
          <w:tcPr>
            <w:tcW w:w="1217" w:type="dxa"/>
          </w:tcPr>
          <w:p w14:paraId="1A8789C3" w14:textId="77777777" w:rsidR="00DC3248" w:rsidRPr="00420969" w:rsidRDefault="00DC3248">
            <w:pPr>
              <w:pStyle w:val="BodyText"/>
              <w:spacing w:line="360" w:lineRule="auto"/>
              <w:jc w:val="both"/>
              <w:rPr>
                <w:rFonts w:ascii="Arial" w:hAnsi="Arial" w:cs="Arial"/>
                <w:sz w:val="22"/>
                <w:szCs w:val="22"/>
              </w:rPr>
            </w:pPr>
          </w:p>
        </w:tc>
        <w:tc>
          <w:tcPr>
            <w:tcW w:w="1408" w:type="dxa"/>
          </w:tcPr>
          <w:p w14:paraId="5CBCB091" w14:textId="77777777" w:rsidR="00DC3248" w:rsidRPr="00420969" w:rsidRDefault="00DC3248">
            <w:pPr>
              <w:pStyle w:val="BodyText"/>
              <w:spacing w:line="360" w:lineRule="auto"/>
              <w:jc w:val="both"/>
              <w:rPr>
                <w:rFonts w:ascii="Arial" w:hAnsi="Arial" w:cs="Arial"/>
                <w:sz w:val="22"/>
                <w:szCs w:val="22"/>
              </w:rPr>
            </w:pPr>
          </w:p>
        </w:tc>
        <w:tc>
          <w:tcPr>
            <w:tcW w:w="1319" w:type="dxa"/>
          </w:tcPr>
          <w:p w14:paraId="4DCE8364" w14:textId="77777777" w:rsidR="00DC3248" w:rsidRPr="00420969" w:rsidRDefault="00DC3248">
            <w:pPr>
              <w:pStyle w:val="BodyText"/>
              <w:spacing w:line="360" w:lineRule="auto"/>
              <w:jc w:val="both"/>
              <w:rPr>
                <w:rFonts w:ascii="Arial" w:hAnsi="Arial" w:cs="Arial"/>
                <w:sz w:val="22"/>
                <w:szCs w:val="22"/>
              </w:rPr>
            </w:pPr>
          </w:p>
        </w:tc>
        <w:tc>
          <w:tcPr>
            <w:tcW w:w="1109" w:type="dxa"/>
          </w:tcPr>
          <w:p w14:paraId="06936F92" w14:textId="77777777" w:rsidR="00DC3248" w:rsidRDefault="00DC3248">
            <w:pPr>
              <w:pStyle w:val="BodyText"/>
              <w:spacing w:line="360" w:lineRule="auto"/>
              <w:jc w:val="both"/>
              <w:rPr>
                <w:rFonts w:ascii="Arial" w:hAnsi="Arial" w:cs="Arial"/>
                <w:sz w:val="22"/>
                <w:szCs w:val="22"/>
              </w:rPr>
            </w:pPr>
          </w:p>
        </w:tc>
        <w:tc>
          <w:tcPr>
            <w:tcW w:w="1508" w:type="dxa"/>
            <w:shd w:val="clear" w:color="auto" w:fill="ADADAD" w:themeFill="background2" w:themeFillShade="BF"/>
          </w:tcPr>
          <w:p w14:paraId="186916D9" w14:textId="6F666F1F" w:rsidR="00DC3248" w:rsidRDefault="00DC3248">
            <w:pPr>
              <w:pStyle w:val="BodyText"/>
              <w:spacing w:line="360" w:lineRule="auto"/>
              <w:jc w:val="both"/>
              <w:rPr>
                <w:rFonts w:ascii="Arial" w:hAnsi="Arial" w:cs="Arial"/>
                <w:sz w:val="22"/>
                <w:szCs w:val="22"/>
              </w:rPr>
            </w:pPr>
            <w:r>
              <w:rPr>
                <w:rFonts w:ascii="Arial" w:hAnsi="Arial" w:cs="Arial"/>
                <w:sz w:val="22"/>
                <w:szCs w:val="22"/>
              </w:rPr>
              <w:t>16 hours in readiness for delivery in Sept 2026</w:t>
            </w:r>
          </w:p>
        </w:tc>
      </w:tr>
    </w:tbl>
    <w:p w14:paraId="54790EBB" w14:textId="77777777" w:rsidR="003A4C62" w:rsidRDefault="003A4C62"/>
    <w:p w14:paraId="7C09269D" w14:textId="77777777" w:rsidR="00447896" w:rsidRDefault="00447896"/>
    <w:p w14:paraId="5F04151D" w14:textId="77777777" w:rsidR="00447896" w:rsidRDefault="00447896"/>
    <w:p w14:paraId="7CB7496D" w14:textId="77777777" w:rsidR="00447896" w:rsidRDefault="00447896"/>
    <w:p w14:paraId="18C716EF" w14:textId="07D8B410" w:rsidR="00447896" w:rsidRPr="00447896" w:rsidRDefault="00447896">
      <w:pPr>
        <w:rPr>
          <w:rFonts w:ascii="Arial" w:hAnsi="Arial" w:cs="Arial"/>
          <w:sz w:val="24"/>
          <w:szCs w:val="24"/>
          <w:u w:val="single"/>
        </w:rPr>
      </w:pPr>
      <w:r w:rsidRPr="00447896">
        <w:rPr>
          <w:rFonts w:ascii="Arial" w:hAnsi="Arial" w:cs="Arial"/>
          <w:sz w:val="24"/>
          <w:szCs w:val="24"/>
          <w:u w:val="single"/>
        </w:rPr>
        <w:lastRenderedPageBreak/>
        <w:t xml:space="preserve">References </w:t>
      </w:r>
    </w:p>
    <w:p w14:paraId="5C728F25" w14:textId="77777777"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Alderson, P. (2007) ‘Competent children? Minors’ consent to health care treatment and research’, Social Science &amp; Medicine, 65(11), pp. 2272–2283. Available at: https://doi.org/10.1016/j.socscimed.2007.08.005.</w:t>
      </w:r>
    </w:p>
    <w:p w14:paraId="31EA682B" w14:textId="77777777" w:rsidR="00447896" w:rsidRPr="00447896" w:rsidRDefault="00447896" w:rsidP="00447896">
      <w:pPr>
        <w:spacing w:after="200" w:line="276" w:lineRule="auto"/>
        <w:rPr>
          <w:rFonts w:ascii="Arial" w:eastAsia="MS Mincho" w:hAnsi="Arial" w:cs="Arial"/>
          <w:sz w:val="24"/>
          <w:szCs w:val="24"/>
          <w:lang w:val="en-US"/>
        </w:rPr>
      </w:pPr>
      <w:r w:rsidRPr="00447896">
        <w:rPr>
          <w:rFonts w:ascii="Arial" w:eastAsia="MS Mincho" w:hAnsi="Arial" w:cs="Arial"/>
          <w:sz w:val="24"/>
          <w:szCs w:val="24"/>
          <w:lang w:val="en-US"/>
        </w:rPr>
        <w:t>Andrade, C., 2020. Sample size and its importance in research. Indian Journal of Psychological Medicine, 42, pp.102–103.</w:t>
      </w:r>
    </w:p>
    <w:p w14:paraId="08AAF86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Arribas Ayllon, M. &amp; Walkerdine, V. (2019) </w:t>
      </w:r>
      <w:r w:rsidRPr="00447896">
        <w:rPr>
          <w:rFonts w:ascii="Arial" w:hAnsi="Arial" w:cs="Arial"/>
          <w:i/>
          <w:iCs/>
          <w:sz w:val="24"/>
          <w:szCs w:val="24"/>
        </w:rPr>
        <w:t>Foucauldian Discourse Analysis.</w:t>
      </w:r>
      <w:r w:rsidRPr="00447896">
        <w:rPr>
          <w:rFonts w:ascii="Arial" w:hAnsi="Arial" w:cs="Arial"/>
          <w:sz w:val="24"/>
          <w:szCs w:val="24"/>
        </w:rPr>
        <w:t xml:space="preserve"> ResearchGate.</w:t>
      </w:r>
    </w:p>
    <w:p w14:paraId="43439FFE" w14:textId="44DAD890"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Athey, C., (2007). Extending Thought in Young Children A Parent-Teacher Partnership. Second ed. London: Paul Chapman Publishing.</w:t>
      </w:r>
    </w:p>
    <w:p w14:paraId="145DB3B6"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Ball, S.J. (2013) </w:t>
      </w:r>
      <w:r w:rsidRPr="00447896">
        <w:rPr>
          <w:rFonts w:ascii="Arial" w:hAnsi="Arial" w:cs="Arial"/>
          <w:i/>
          <w:iCs/>
          <w:sz w:val="24"/>
          <w:szCs w:val="24"/>
        </w:rPr>
        <w:t>Foucault, Power, and Education.</w:t>
      </w:r>
      <w:r w:rsidRPr="00447896">
        <w:rPr>
          <w:rFonts w:ascii="Arial" w:hAnsi="Arial" w:cs="Arial"/>
          <w:sz w:val="24"/>
          <w:szCs w:val="24"/>
        </w:rPr>
        <w:t xml:space="preserve"> London: Routledge.</w:t>
      </w:r>
    </w:p>
    <w:p w14:paraId="1E074806" w14:textId="5E6431E4"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Bell, J. and Waters, S. (2024) Doing Your Research project: A guide for first-time researchers. 7th edn. London: McGraw-Hill Education.</w:t>
      </w:r>
    </w:p>
    <w:p w14:paraId="1862D703"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Bennett, N. &amp; Pascal, C. (2020) ‘A strong and equal partnership: Values led pedagogy in early childhood.’ In Pascal, C. &amp; Bertram, T. (Eds.), </w:t>
      </w:r>
      <w:r w:rsidRPr="00447896">
        <w:rPr>
          <w:rFonts w:ascii="Arial" w:hAnsi="Arial" w:cs="Arial"/>
          <w:i/>
          <w:iCs/>
          <w:sz w:val="24"/>
          <w:szCs w:val="24"/>
        </w:rPr>
        <w:t>The Routledge international handbook of early childhood education and care</w:t>
      </w:r>
      <w:r w:rsidRPr="00447896">
        <w:rPr>
          <w:rFonts w:ascii="Arial" w:hAnsi="Arial" w:cs="Arial"/>
          <w:sz w:val="24"/>
          <w:szCs w:val="24"/>
        </w:rPr>
        <w:t xml:space="preserve"> (pp. 15–28). Routledge.</w:t>
      </w:r>
    </w:p>
    <w:p w14:paraId="22DF56D9" w14:textId="77777777" w:rsidR="00447896" w:rsidRPr="00447896" w:rsidRDefault="00447896" w:rsidP="00447896">
      <w:pPr>
        <w:rPr>
          <w:rFonts w:ascii="Arial" w:hAnsi="Arial" w:cs="Arial"/>
          <w:sz w:val="24"/>
          <w:szCs w:val="24"/>
          <w:lang w:val="en-US"/>
        </w:rPr>
      </w:pPr>
      <w:r w:rsidRPr="00447896">
        <w:rPr>
          <w:rFonts w:ascii="Arial" w:eastAsia="MS Mincho" w:hAnsi="Arial" w:cs="Arial"/>
          <w:sz w:val="24"/>
          <w:szCs w:val="24"/>
          <w:lang w:val="en-US"/>
        </w:rPr>
        <w:t>British Educational Research Association</w:t>
      </w:r>
      <w:r w:rsidRPr="00447896">
        <w:rPr>
          <w:rFonts w:ascii="Arial" w:hAnsi="Arial" w:cs="Arial"/>
          <w:sz w:val="24"/>
          <w:szCs w:val="24"/>
          <w:lang w:val="en-US"/>
        </w:rPr>
        <w:t>. (2024). Ethical Guidelines for Educational Research FIFTH EDITION (2024) Available at: Ethical-Guidelines-for-Educational-Research-5th-edition.pdf (bera.ac.uk)</w:t>
      </w:r>
    </w:p>
    <w:p w14:paraId="6D13849E"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Biesta, G. (2015) </w:t>
      </w:r>
      <w:r w:rsidRPr="00447896">
        <w:rPr>
          <w:rFonts w:ascii="Arial" w:hAnsi="Arial" w:cs="Arial"/>
          <w:i/>
          <w:iCs/>
          <w:sz w:val="24"/>
          <w:szCs w:val="24"/>
        </w:rPr>
        <w:t>Beautiful Risk of Education.</w:t>
      </w:r>
      <w:r w:rsidRPr="00447896">
        <w:rPr>
          <w:rFonts w:ascii="Arial" w:hAnsi="Arial" w:cs="Arial"/>
          <w:sz w:val="24"/>
          <w:szCs w:val="24"/>
        </w:rPr>
        <w:t xml:space="preserve"> Routledge.</w:t>
      </w:r>
    </w:p>
    <w:p w14:paraId="20D38DAC"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Bleach, J. (2013) ‘Using action research to support quality early years practice.’ </w:t>
      </w:r>
      <w:r w:rsidRPr="00447896">
        <w:rPr>
          <w:rFonts w:ascii="Arial" w:hAnsi="Arial" w:cs="Arial"/>
          <w:i/>
          <w:iCs/>
          <w:sz w:val="24"/>
          <w:szCs w:val="24"/>
        </w:rPr>
        <w:t>European Early Childhood Education Research Journal,</w:t>
      </w:r>
      <w:r w:rsidRPr="00447896">
        <w:rPr>
          <w:rFonts w:ascii="Arial" w:hAnsi="Arial" w:cs="Arial"/>
          <w:sz w:val="24"/>
          <w:szCs w:val="24"/>
        </w:rPr>
        <w:t xml:space="preserve"> 21(3), 370–379.</w:t>
      </w:r>
    </w:p>
    <w:p w14:paraId="6EEEC517"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Braun, V. &amp; Clarke, V. (2006) ‘Using thematic analysis in psychology.’ </w:t>
      </w:r>
      <w:r w:rsidRPr="00447896">
        <w:rPr>
          <w:rFonts w:ascii="Arial" w:hAnsi="Arial" w:cs="Arial"/>
          <w:i/>
          <w:iCs/>
          <w:sz w:val="24"/>
          <w:szCs w:val="24"/>
        </w:rPr>
        <w:t>Qualitative Research in Psychology,</w:t>
      </w:r>
      <w:r w:rsidRPr="00447896">
        <w:rPr>
          <w:rFonts w:ascii="Arial" w:hAnsi="Arial" w:cs="Arial"/>
          <w:sz w:val="24"/>
          <w:szCs w:val="24"/>
        </w:rPr>
        <w:t xml:space="preserve"> 3(2), 77–101.</w:t>
      </w:r>
    </w:p>
    <w:p w14:paraId="590BF9BE"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Braun, V. &amp; Clarke, V. (2019) ‘Reflecting on reflexive thematic analysis.’ </w:t>
      </w:r>
      <w:r w:rsidRPr="00447896">
        <w:rPr>
          <w:rFonts w:ascii="Arial" w:hAnsi="Arial" w:cs="Arial"/>
          <w:i/>
          <w:iCs/>
          <w:sz w:val="24"/>
          <w:szCs w:val="24"/>
        </w:rPr>
        <w:t>Qualitative Research in Sport, Exercise and Health,</w:t>
      </w:r>
      <w:r w:rsidRPr="00447896">
        <w:rPr>
          <w:rFonts w:ascii="Arial" w:hAnsi="Arial" w:cs="Arial"/>
          <w:sz w:val="24"/>
          <w:szCs w:val="24"/>
        </w:rPr>
        <w:t xml:space="preserve"> 11(4), 589–597.</w:t>
      </w:r>
    </w:p>
    <w:p w14:paraId="3B78C790"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Braun, V. &amp; Clarke, V. (2021) </w:t>
      </w:r>
      <w:r w:rsidRPr="00447896">
        <w:rPr>
          <w:rFonts w:ascii="Arial" w:hAnsi="Arial" w:cs="Arial"/>
          <w:i/>
          <w:iCs/>
          <w:sz w:val="24"/>
          <w:szCs w:val="24"/>
        </w:rPr>
        <w:t>Thematic Analysis: A Practical Guide.</w:t>
      </w:r>
      <w:r w:rsidRPr="00447896">
        <w:rPr>
          <w:rFonts w:ascii="Arial" w:hAnsi="Arial" w:cs="Arial"/>
          <w:sz w:val="24"/>
          <w:szCs w:val="24"/>
        </w:rPr>
        <w:t xml:space="preserve"> London: SAGE.</w:t>
      </w:r>
    </w:p>
    <w:p w14:paraId="238CBB7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Bruce, T. (1991) </w:t>
      </w:r>
      <w:r w:rsidRPr="00447896">
        <w:rPr>
          <w:rFonts w:ascii="Arial" w:hAnsi="Arial" w:cs="Arial"/>
          <w:i/>
          <w:iCs/>
          <w:sz w:val="24"/>
          <w:szCs w:val="24"/>
        </w:rPr>
        <w:t>Time to Play in Early Childhood Education.</w:t>
      </w:r>
      <w:r w:rsidRPr="00447896">
        <w:rPr>
          <w:rFonts w:ascii="Arial" w:hAnsi="Arial" w:cs="Arial"/>
          <w:sz w:val="24"/>
          <w:szCs w:val="24"/>
        </w:rPr>
        <w:t xml:space="preserve"> London: Hodder &amp; Stoughton.</w:t>
      </w:r>
    </w:p>
    <w:p w14:paraId="6900FAD4" w14:textId="77777777" w:rsidR="00447896" w:rsidRPr="00447896" w:rsidRDefault="00447896" w:rsidP="00447896">
      <w:pPr>
        <w:rPr>
          <w:rFonts w:ascii="Arial" w:hAnsi="Arial" w:cs="Arial"/>
          <w:sz w:val="24"/>
          <w:szCs w:val="24"/>
        </w:rPr>
      </w:pPr>
      <w:r w:rsidRPr="00447896">
        <w:rPr>
          <w:rFonts w:ascii="Arial" w:hAnsi="Arial" w:cs="Arial"/>
          <w:sz w:val="24"/>
          <w:szCs w:val="24"/>
          <w:lang w:val="en-US"/>
        </w:rPr>
        <w:t>Bruce, T., 2021. Friedrich Froebel A Critical Introduction to Key Themes and Debates. London: Bloomsbury Publishing</w:t>
      </w:r>
    </w:p>
    <w:p w14:paraId="65A38A1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Bryman, A. (2016) </w:t>
      </w:r>
      <w:r w:rsidRPr="00447896">
        <w:rPr>
          <w:rFonts w:ascii="Arial" w:hAnsi="Arial" w:cs="Arial"/>
          <w:i/>
          <w:iCs/>
          <w:sz w:val="24"/>
          <w:szCs w:val="24"/>
        </w:rPr>
        <w:t>Social Research Methods</w:t>
      </w:r>
      <w:r w:rsidRPr="00447896">
        <w:rPr>
          <w:rFonts w:ascii="Arial" w:hAnsi="Arial" w:cs="Arial"/>
          <w:sz w:val="24"/>
          <w:szCs w:val="24"/>
        </w:rPr>
        <w:t xml:space="preserve"> (5th ed.). Oxford University Press.</w:t>
      </w:r>
    </w:p>
    <w:p w14:paraId="4DF607A6"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Bullard, H. (2022) </w:t>
      </w:r>
      <w:r w:rsidRPr="00447896">
        <w:rPr>
          <w:rFonts w:ascii="Arial" w:hAnsi="Arial" w:cs="Arial"/>
          <w:i/>
          <w:iCs/>
          <w:sz w:val="24"/>
          <w:szCs w:val="24"/>
        </w:rPr>
        <w:t>Forest School and Froebel: Learning from the past.</w:t>
      </w:r>
      <w:r w:rsidRPr="00447896">
        <w:rPr>
          <w:rFonts w:ascii="Arial" w:hAnsi="Arial" w:cs="Arial"/>
          <w:sz w:val="24"/>
          <w:szCs w:val="24"/>
        </w:rPr>
        <w:t xml:space="preserve"> Froebel Trust.</w:t>
      </w:r>
    </w:p>
    <w:p w14:paraId="72903CF9"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Burchinal, M., Kainz, K. &amp; Cai, Y. (2010) ‘How well do our measures of quality predict child outcomes?’ In Zaslow, M. et al. (Eds.), </w:t>
      </w:r>
      <w:r w:rsidRPr="00447896">
        <w:rPr>
          <w:rFonts w:ascii="Arial" w:hAnsi="Arial" w:cs="Arial"/>
          <w:i/>
          <w:iCs/>
          <w:sz w:val="24"/>
          <w:szCs w:val="24"/>
        </w:rPr>
        <w:t>Quality Measurement in Early Childhood Settings</w:t>
      </w:r>
      <w:r w:rsidRPr="00447896">
        <w:rPr>
          <w:rFonts w:ascii="Arial" w:hAnsi="Arial" w:cs="Arial"/>
          <w:sz w:val="24"/>
          <w:szCs w:val="24"/>
        </w:rPr>
        <w:t xml:space="preserve"> (pp. 11–31). Brookes.</w:t>
      </w:r>
    </w:p>
    <w:p w14:paraId="22801C36" w14:textId="77777777" w:rsidR="00447896" w:rsidRPr="00447896" w:rsidRDefault="00447896" w:rsidP="00447896">
      <w:pPr>
        <w:spacing w:after="200" w:line="276" w:lineRule="auto"/>
        <w:rPr>
          <w:rFonts w:ascii="Arial" w:eastAsia="MS Mincho" w:hAnsi="Arial" w:cs="Arial"/>
          <w:sz w:val="24"/>
          <w:szCs w:val="24"/>
          <w:lang w:val="en-US"/>
        </w:rPr>
      </w:pPr>
      <w:r w:rsidRPr="00447896">
        <w:rPr>
          <w:rFonts w:ascii="Arial" w:eastAsia="MS Mincho" w:hAnsi="Arial" w:cs="Arial"/>
          <w:sz w:val="24"/>
          <w:szCs w:val="24"/>
          <w:lang w:val="en-US"/>
        </w:rPr>
        <w:lastRenderedPageBreak/>
        <w:t>Campbell, S., Greenwood, M., Prior, S., Shearer, T., Walkem, K., Young, S. et al., 2020. Purposive sampling: complex or simple? Research case examples. Journal of Research in Nursing, 25, pp.652–661.</w:t>
      </w:r>
    </w:p>
    <w:p w14:paraId="27C711EB"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Chicken, S. (2022) ‘“Doing Reggio?” Exploring the complexity of curriculum migration…’ </w:t>
      </w:r>
      <w:r w:rsidRPr="00447896">
        <w:rPr>
          <w:rFonts w:ascii="Arial" w:hAnsi="Arial" w:cs="Arial"/>
          <w:i/>
          <w:iCs/>
          <w:sz w:val="24"/>
          <w:szCs w:val="24"/>
        </w:rPr>
        <w:t>Global Studies of Childhood,</w:t>
      </w:r>
      <w:r w:rsidRPr="00447896">
        <w:rPr>
          <w:rFonts w:ascii="Arial" w:hAnsi="Arial" w:cs="Arial"/>
          <w:sz w:val="24"/>
          <w:szCs w:val="24"/>
        </w:rPr>
        <w:t xml:space="preserve"> 13(4), 322–340.</w:t>
      </w:r>
    </w:p>
    <w:p w14:paraId="1B073718"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Clark, R.M. (2012) ‘‘I’ve never thought of myself as a leader but…’: the Early Years Professional and catalytic leadership.’ </w:t>
      </w:r>
      <w:r w:rsidRPr="00447896">
        <w:rPr>
          <w:rFonts w:ascii="Arial" w:hAnsi="Arial" w:cs="Arial"/>
          <w:i/>
          <w:iCs/>
          <w:sz w:val="24"/>
          <w:szCs w:val="24"/>
        </w:rPr>
        <w:t>European Early Childhood Education Research Journal,</w:t>
      </w:r>
      <w:r w:rsidRPr="00447896">
        <w:rPr>
          <w:rFonts w:ascii="Arial" w:hAnsi="Arial" w:cs="Arial"/>
          <w:sz w:val="24"/>
          <w:szCs w:val="24"/>
        </w:rPr>
        <w:t xml:space="preserve"> 20(3), 391–401.</w:t>
      </w:r>
    </w:p>
    <w:p w14:paraId="7ED95B92"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Cohen, L.E. (2008) ‘Foucault and the early childhood classroom.’ </w:t>
      </w:r>
      <w:r w:rsidRPr="00447896">
        <w:rPr>
          <w:rFonts w:ascii="Arial" w:hAnsi="Arial" w:cs="Arial"/>
          <w:i/>
          <w:iCs/>
          <w:sz w:val="24"/>
          <w:szCs w:val="24"/>
        </w:rPr>
        <w:t>Educational Studies,</w:t>
      </w:r>
      <w:r w:rsidRPr="00447896">
        <w:rPr>
          <w:rFonts w:ascii="Arial" w:hAnsi="Arial" w:cs="Arial"/>
          <w:sz w:val="24"/>
          <w:szCs w:val="24"/>
        </w:rPr>
        <w:t xml:space="preserve"> 44(1), 7–21.</w:t>
      </w:r>
    </w:p>
    <w:p w14:paraId="739AF7A8"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Cohen, L., Manion, L. &amp; Morrison, K. (2018) </w:t>
      </w:r>
      <w:r w:rsidRPr="00447896">
        <w:rPr>
          <w:rFonts w:ascii="Arial" w:hAnsi="Arial" w:cs="Arial"/>
          <w:i/>
          <w:iCs/>
          <w:sz w:val="24"/>
          <w:szCs w:val="24"/>
        </w:rPr>
        <w:t>Research Methods in Education</w:t>
      </w:r>
      <w:r w:rsidRPr="00447896">
        <w:rPr>
          <w:rFonts w:ascii="Arial" w:hAnsi="Arial" w:cs="Arial"/>
          <w:sz w:val="24"/>
          <w:szCs w:val="24"/>
        </w:rPr>
        <w:t xml:space="preserve"> (8th ed.). Routledge.</w:t>
      </w:r>
    </w:p>
    <w:p w14:paraId="1B1BDF8B"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Cousin, G. (2006) ‘An introduction to threshold concepts.’ </w:t>
      </w:r>
      <w:r w:rsidRPr="00447896">
        <w:rPr>
          <w:rFonts w:ascii="Arial" w:hAnsi="Arial" w:cs="Arial"/>
          <w:i/>
          <w:iCs/>
          <w:sz w:val="24"/>
          <w:szCs w:val="24"/>
        </w:rPr>
        <w:t>Planet,</w:t>
      </w:r>
      <w:r w:rsidRPr="00447896">
        <w:rPr>
          <w:rFonts w:ascii="Arial" w:hAnsi="Arial" w:cs="Arial"/>
          <w:sz w:val="24"/>
          <w:szCs w:val="24"/>
        </w:rPr>
        <w:t xml:space="preserve"> 17(1), 4–5.</w:t>
      </w:r>
    </w:p>
    <w:p w14:paraId="175BA68C"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Creswell, J.W. &amp; Plano Clark, V.L. (2017) </w:t>
      </w:r>
      <w:r w:rsidRPr="00447896">
        <w:rPr>
          <w:rFonts w:ascii="Arial" w:hAnsi="Arial" w:cs="Arial"/>
          <w:i/>
          <w:iCs/>
          <w:sz w:val="24"/>
          <w:szCs w:val="24"/>
        </w:rPr>
        <w:t>Designing and Conducting Mixed Methods Research</w:t>
      </w:r>
      <w:r w:rsidRPr="00447896">
        <w:rPr>
          <w:rFonts w:ascii="Arial" w:hAnsi="Arial" w:cs="Arial"/>
          <w:sz w:val="24"/>
          <w:szCs w:val="24"/>
        </w:rPr>
        <w:t xml:space="preserve"> (3rd ed.). SAGE.</w:t>
      </w:r>
    </w:p>
    <w:p w14:paraId="3211148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Creswell, J.W. &amp; Poth, C. (2018) </w:t>
      </w:r>
      <w:r w:rsidRPr="00447896">
        <w:rPr>
          <w:rFonts w:ascii="Arial" w:hAnsi="Arial" w:cs="Arial"/>
          <w:i/>
          <w:iCs/>
          <w:sz w:val="24"/>
          <w:szCs w:val="24"/>
        </w:rPr>
        <w:t>Qualitative Inquiry and Research Design</w:t>
      </w:r>
      <w:r w:rsidRPr="00447896">
        <w:rPr>
          <w:rFonts w:ascii="Arial" w:hAnsi="Arial" w:cs="Arial"/>
          <w:sz w:val="24"/>
          <w:szCs w:val="24"/>
        </w:rPr>
        <w:t xml:space="preserve"> (4th ed.). Sage.</w:t>
      </w:r>
    </w:p>
    <w:p w14:paraId="544DB724"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Deacon, R. (2006) ‘Michel Foucault on education: a preliminary theoretical overview.’ </w:t>
      </w:r>
      <w:r w:rsidRPr="00447896">
        <w:rPr>
          <w:rFonts w:ascii="Arial" w:hAnsi="Arial" w:cs="Arial"/>
          <w:i/>
          <w:iCs/>
          <w:sz w:val="24"/>
          <w:szCs w:val="24"/>
        </w:rPr>
        <w:t>South African Journal of Education,</w:t>
      </w:r>
      <w:r w:rsidRPr="00447896">
        <w:rPr>
          <w:rFonts w:ascii="Arial" w:hAnsi="Arial" w:cs="Arial"/>
          <w:sz w:val="24"/>
          <w:szCs w:val="24"/>
        </w:rPr>
        <w:t xml:space="preserve"> 26(2), 177–187.</w:t>
      </w:r>
    </w:p>
    <w:p w14:paraId="4477C515"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Denzin, N.K. &amp; Lincoln, Y.S. (Eds.) (2018) </w:t>
      </w:r>
      <w:r w:rsidRPr="00447896">
        <w:rPr>
          <w:rFonts w:ascii="Arial" w:hAnsi="Arial" w:cs="Arial"/>
          <w:i/>
          <w:iCs/>
          <w:sz w:val="24"/>
          <w:szCs w:val="24"/>
        </w:rPr>
        <w:t>The Sage Handbook of Qualitative Research</w:t>
      </w:r>
      <w:r w:rsidRPr="00447896">
        <w:rPr>
          <w:rFonts w:ascii="Arial" w:hAnsi="Arial" w:cs="Arial"/>
          <w:sz w:val="24"/>
          <w:szCs w:val="24"/>
        </w:rPr>
        <w:t xml:space="preserve"> (5th ed.). Sage.</w:t>
      </w:r>
    </w:p>
    <w:p w14:paraId="41D08AC6" w14:textId="77777777" w:rsidR="00447896" w:rsidRPr="004A4BC4" w:rsidRDefault="00447896" w:rsidP="00447896">
      <w:pPr>
        <w:rPr>
          <w:rFonts w:ascii="Arial" w:hAnsi="Arial" w:cs="Arial"/>
          <w:sz w:val="24"/>
          <w:szCs w:val="24"/>
        </w:rPr>
      </w:pPr>
      <w:r w:rsidRPr="00447896">
        <w:rPr>
          <w:rFonts w:ascii="Arial" w:hAnsi="Arial" w:cs="Arial"/>
          <w:sz w:val="24"/>
          <w:szCs w:val="24"/>
        </w:rPr>
        <w:t xml:space="preserve">Dickerson, C. &amp; Trodd, L. (2020) ‘Gaining professional recognition…’ </w:t>
      </w:r>
      <w:r w:rsidRPr="00447896">
        <w:rPr>
          <w:rFonts w:ascii="Arial" w:hAnsi="Arial" w:cs="Arial"/>
          <w:i/>
          <w:iCs/>
          <w:sz w:val="24"/>
          <w:szCs w:val="24"/>
        </w:rPr>
        <w:t>Teaching in Higher Education.</w:t>
      </w:r>
      <w:r w:rsidRPr="00447896">
        <w:rPr>
          <w:rFonts w:ascii="Arial" w:hAnsi="Arial" w:cs="Arial"/>
          <w:sz w:val="24"/>
          <w:szCs w:val="24"/>
        </w:rPr>
        <w:t xml:space="preserve"> </w:t>
      </w:r>
      <w:hyperlink r:id="rId8" w:history="1">
        <w:r w:rsidRPr="00447896">
          <w:rPr>
            <w:rStyle w:val="Hyperlink"/>
            <w:rFonts w:ascii="Arial" w:hAnsi="Arial" w:cs="Arial"/>
            <w:sz w:val="24"/>
            <w:szCs w:val="24"/>
          </w:rPr>
          <w:t>https://doi.org/10.1080/13562517.2020.1724935</w:t>
        </w:r>
      </w:hyperlink>
    </w:p>
    <w:p w14:paraId="61DF2367" w14:textId="6CCBB824" w:rsidR="00447896" w:rsidRPr="00447896" w:rsidRDefault="00447896" w:rsidP="00447896">
      <w:pPr>
        <w:rPr>
          <w:rFonts w:ascii="Arial" w:hAnsi="Arial" w:cs="Arial"/>
          <w:sz w:val="24"/>
          <w:szCs w:val="24"/>
        </w:rPr>
      </w:pPr>
      <w:r w:rsidRPr="004A4BC4">
        <w:rPr>
          <w:rFonts w:ascii="Arial" w:hAnsi="Arial" w:cs="Arial"/>
          <w:sz w:val="24"/>
          <w:szCs w:val="24"/>
        </w:rPr>
        <w:t xml:space="preserve">Doyle, L., McCabe, C., Keogh, B., Brady, A. &amp; McCann, M. (2019) ‘An overview of the qualitative descriptive design within nursing research’, </w:t>
      </w:r>
      <w:r w:rsidRPr="004A4BC4">
        <w:rPr>
          <w:rFonts w:ascii="Arial" w:hAnsi="Arial" w:cs="Arial"/>
          <w:i/>
          <w:iCs/>
          <w:sz w:val="24"/>
          <w:szCs w:val="24"/>
        </w:rPr>
        <w:t>Journal of Research in Nursing</w:t>
      </w:r>
      <w:r w:rsidRPr="004A4BC4">
        <w:rPr>
          <w:rFonts w:ascii="Arial" w:hAnsi="Arial" w:cs="Arial"/>
          <w:sz w:val="24"/>
          <w:szCs w:val="24"/>
        </w:rPr>
        <w:t>, 25(5), pp. 443–455. doi: 10.1177/1744987119880234</w:t>
      </w:r>
    </w:p>
    <w:p w14:paraId="485DFE9C"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Dunn, K.C. &amp; Neumann, I.B. (2016) </w:t>
      </w:r>
      <w:r w:rsidRPr="00447896">
        <w:rPr>
          <w:rFonts w:ascii="Arial" w:hAnsi="Arial" w:cs="Arial"/>
          <w:i/>
          <w:iCs/>
          <w:sz w:val="24"/>
          <w:szCs w:val="24"/>
        </w:rPr>
        <w:t>Undertaking Discourse Analysis for Social Research.</w:t>
      </w:r>
      <w:r w:rsidRPr="00447896">
        <w:rPr>
          <w:rFonts w:ascii="Arial" w:hAnsi="Arial" w:cs="Arial"/>
          <w:sz w:val="24"/>
          <w:szCs w:val="24"/>
        </w:rPr>
        <w:t xml:space="preserve"> University of Michigan Press.</w:t>
      </w:r>
    </w:p>
    <w:p w14:paraId="58FD787E"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Dweck, C.S. (2006) </w:t>
      </w:r>
      <w:r w:rsidRPr="00447896">
        <w:rPr>
          <w:rFonts w:ascii="Arial" w:hAnsi="Arial" w:cs="Arial"/>
          <w:i/>
          <w:iCs/>
          <w:sz w:val="24"/>
          <w:szCs w:val="24"/>
        </w:rPr>
        <w:t>Mindset: The New Psychology of Success.</w:t>
      </w:r>
      <w:r w:rsidRPr="00447896">
        <w:rPr>
          <w:rFonts w:ascii="Arial" w:hAnsi="Arial" w:cs="Arial"/>
          <w:sz w:val="24"/>
          <w:szCs w:val="24"/>
        </w:rPr>
        <w:t xml:space="preserve"> Random House.</w:t>
      </w:r>
    </w:p>
    <w:p w14:paraId="0F04611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Education Endowment Foundation (2023) </w:t>
      </w:r>
      <w:r w:rsidRPr="00447896">
        <w:rPr>
          <w:rFonts w:ascii="Arial" w:hAnsi="Arial" w:cs="Arial"/>
          <w:i/>
          <w:iCs/>
          <w:sz w:val="24"/>
          <w:szCs w:val="24"/>
        </w:rPr>
        <w:t>Play-based learning.</w:t>
      </w:r>
    </w:p>
    <w:p w14:paraId="360DE86E"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Estyn (2024) </w:t>
      </w:r>
      <w:r w:rsidRPr="00447896">
        <w:rPr>
          <w:rFonts w:ascii="Arial" w:hAnsi="Arial" w:cs="Arial"/>
          <w:i/>
          <w:iCs/>
          <w:sz w:val="24"/>
          <w:szCs w:val="24"/>
        </w:rPr>
        <w:t>Impact of poverty on educational attainment…</w:t>
      </w:r>
    </w:p>
    <w:p w14:paraId="4E9A9076"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Fereday, J. &amp; Muir Cochrane, E. (2006) ‘Demonstrating rigor using thematic analysis…’ </w:t>
      </w:r>
      <w:r w:rsidRPr="00447896">
        <w:rPr>
          <w:rFonts w:ascii="Arial" w:hAnsi="Arial" w:cs="Arial"/>
          <w:i/>
          <w:iCs/>
          <w:sz w:val="24"/>
          <w:szCs w:val="24"/>
        </w:rPr>
        <w:t>International Journal of Qualitative Methods,</w:t>
      </w:r>
      <w:r w:rsidRPr="00447896">
        <w:rPr>
          <w:rFonts w:ascii="Arial" w:hAnsi="Arial" w:cs="Arial"/>
          <w:sz w:val="24"/>
          <w:szCs w:val="24"/>
        </w:rPr>
        <w:t xml:space="preserve"> 5(1), 1–11.</w:t>
      </w:r>
    </w:p>
    <w:p w14:paraId="1AA4EA2B"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Flick, U. (2018) </w:t>
      </w:r>
      <w:r w:rsidRPr="00447896">
        <w:rPr>
          <w:rFonts w:ascii="Arial" w:hAnsi="Arial" w:cs="Arial"/>
          <w:i/>
          <w:iCs/>
          <w:sz w:val="24"/>
          <w:szCs w:val="24"/>
        </w:rPr>
        <w:t>Doing Triangulation and Mixed Methods.</w:t>
      </w:r>
      <w:r w:rsidRPr="00447896">
        <w:rPr>
          <w:rFonts w:ascii="Arial" w:hAnsi="Arial" w:cs="Arial"/>
          <w:sz w:val="24"/>
          <w:szCs w:val="24"/>
        </w:rPr>
        <w:t xml:space="preserve"> SAGE.</w:t>
      </w:r>
    </w:p>
    <w:p w14:paraId="43B82B4B"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Garden, A. (2024) ‘Foucault and power: UK forest school…’ </w:t>
      </w:r>
      <w:r w:rsidRPr="00447896">
        <w:rPr>
          <w:rFonts w:ascii="Arial" w:hAnsi="Arial" w:cs="Arial"/>
          <w:i/>
          <w:iCs/>
          <w:sz w:val="24"/>
          <w:szCs w:val="24"/>
        </w:rPr>
        <w:t>Education 3–13,</w:t>
      </w:r>
      <w:r w:rsidRPr="00447896">
        <w:rPr>
          <w:rFonts w:ascii="Arial" w:hAnsi="Arial" w:cs="Arial"/>
          <w:sz w:val="24"/>
          <w:szCs w:val="24"/>
        </w:rPr>
        <w:t xml:space="preserve"> 1–14.</w:t>
      </w:r>
    </w:p>
    <w:p w14:paraId="0B61B484" w14:textId="77777777" w:rsidR="00447896" w:rsidRPr="00447896" w:rsidRDefault="00447896" w:rsidP="00447896">
      <w:pPr>
        <w:rPr>
          <w:rFonts w:ascii="Arial" w:hAnsi="Arial" w:cs="Arial"/>
          <w:sz w:val="24"/>
          <w:szCs w:val="24"/>
        </w:rPr>
      </w:pPr>
      <w:r w:rsidRPr="00447896">
        <w:rPr>
          <w:rFonts w:ascii="Arial" w:hAnsi="Arial" w:cs="Arial"/>
          <w:sz w:val="24"/>
          <w:szCs w:val="24"/>
        </w:rPr>
        <w:lastRenderedPageBreak/>
        <w:t xml:space="preserve">Galletta, A. &amp; Cross, W.E. (2013) </w:t>
      </w:r>
      <w:r w:rsidRPr="00447896">
        <w:rPr>
          <w:rFonts w:ascii="Arial" w:hAnsi="Arial" w:cs="Arial"/>
          <w:i/>
          <w:iCs/>
          <w:sz w:val="24"/>
          <w:szCs w:val="24"/>
        </w:rPr>
        <w:t>Mastering the Semi</w:t>
      </w:r>
      <w:r w:rsidRPr="00447896">
        <w:rPr>
          <w:rFonts w:ascii="Arial" w:hAnsi="Arial" w:cs="Arial"/>
          <w:i/>
          <w:iCs/>
          <w:sz w:val="24"/>
          <w:szCs w:val="24"/>
        </w:rPr>
        <w:noBreakHyphen/>
        <w:t>Structured Interview and Beyond.</w:t>
      </w:r>
      <w:r w:rsidRPr="00447896">
        <w:rPr>
          <w:rFonts w:ascii="Arial" w:hAnsi="Arial" w:cs="Arial"/>
          <w:sz w:val="24"/>
          <w:szCs w:val="24"/>
        </w:rPr>
        <w:t xml:space="preserve"> NYU Press.</w:t>
      </w:r>
    </w:p>
    <w:p w14:paraId="3E56DE61"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Gee, J.P. (2014) </w:t>
      </w:r>
      <w:r w:rsidRPr="00447896">
        <w:rPr>
          <w:rFonts w:ascii="Arial" w:hAnsi="Arial" w:cs="Arial"/>
          <w:i/>
          <w:iCs/>
          <w:sz w:val="24"/>
          <w:szCs w:val="24"/>
        </w:rPr>
        <w:t>An Introduction to Discourse Analysis</w:t>
      </w:r>
      <w:r w:rsidRPr="00447896">
        <w:rPr>
          <w:rFonts w:ascii="Arial" w:hAnsi="Arial" w:cs="Arial"/>
          <w:sz w:val="24"/>
          <w:szCs w:val="24"/>
        </w:rPr>
        <w:t xml:space="preserve"> (4th ed.). Routledge.</w:t>
      </w:r>
    </w:p>
    <w:p w14:paraId="259E1272"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Giampapa, F. &amp; Bowen, V. (2025) </w:t>
      </w:r>
      <w:r w:rsidRPr="00447896">
        <w:rPr>
          <w:rFonts w:ascii="Arial" w:hAnsi="Arial" w:cs="Arial"/>
          <w:i/>
          <w:iCs/>
          <w:sz w:val="24"/>
          <w:szCs w:val="24"/>
        </w:rPr>
        <w:t>Researchful practice in early years settings.</w:t>
      </w:r>
      <w:r w:rsidRPr="00447896">
        <w:rPr>
          <w:rFonts w:ascii="Arial" w:hAnsi="Arial" w:cs="Arial"/>
          <w:sz w:val="24"/>
          <w:szCs w:val="24"/>
        </w:rPr>
        <w:t xml:space="preserve"> PolicyBristol Report 107. University of Bristol.</w:t>
      </w:r>
    </w:p>
    <w:p w14:paraId="3C3665C6"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Gramling, M. (2015) </w:t>
      </w:r>
      <w:r w:rsidRPr="00447896">
        <w:rPr>
          <w:rFonts w:ascii="Arial" w:hAnsi="Arial" w:cs="Arial"/>
          <w:i/>
          <w:iCs/>
          <w:sz w:val="24"/>
          <w:szCs w:val="24"/>
        </w:rPr>
        <w:t>The Great Disconnect in Early Childhood Education.</w:t>
      </w:r>
      <w:r w:rsidRPr="00447896">
        <w:rPr>
          <w:rFonts w:ascii="Arial" w:hAnsi="Arial" w:cs="Arial"/>
          <w:sz w:val="24"/>
          <w:szCs w:val="24"/>
        </w:rPr>
        <w:t xml:space="preserve"> Redleaf Press.</w:t>
      </w:r>
    </w:p>
    <w:p w14:paraId="111A3257" w14:textId="7FC2BCA3"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Guard, G. (2023) ‘It’s the little bits that you have enabled me to see’. Reconceptualising the voices of babies using the video interaction dialogue model with early years educators, Early Years, 43:3, 606-625, DOI: 10.1080/09575146.2023.2190498</w:t>
      </w:r>
    </w:p>
    <w:p w14:paraId="3509ED27"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Gunn, A.C. (2019) ‘Foucauldian discourse analysis and early childhood education.’ </w:t>
      </w:r>
      <w:r w:rsidRPr="00447896">
        <w:rPr>
          <w:rFonts w:ascii="Arial" w:hAnsi="Arial" w:cs="Arial"/>
          <w:i/>
          <w:iCs/>
          <w:sz w:val="24"/>
          <w:szCs w:val="24"/>
        </w:rPr>
        <w:t>Oxford Research Encyclopedia of Education.</w:t>
      </w:r>
    </w:p>
    <w:p w14:paraId="58DBB7D3"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Hall, J. &amp; Liebenberg, L. (2024) </w:t>
      </w:r>
      <w:r w:rsidRPr="00447896">
        <w:rPr>
          <w:rFonts w:ascii="Arial" w:hAnsi="Arial" w:cs="Arial"/>
          <w:i/>
          <w:iCs/>
          <w:sz w:val="24"/>
          <w:szCs w:val="24"/>
        </w:rPr>
        <w:t>Qualitative Description.</w:t>
      </w:r>
    </w:p>
    <w:p w14:paraId="0027FE83" w14:textId="77777777" w:rsidR="00447896" w:rsidRPr="00447896" w:rsidRDefault="00447896" w:rsidP="00447896">
      <w:pPr>
        <w:rPr>
          <w:rFonts w:ascii="Arial" w:hAnsi="Arial" w:cs="Arial"/>
          <w:i/>
          <w:iCs/>
          <w:sz w:val="24"/>
          <w:szCs w:val="24"/>
        </w:rPr>
      </w:pPr>
      <w:r w:rsidRPr="00447896">
        <w:rPr>
          <w:rFonts w:ascii="Arial" w:hAnsi="Arial" w:cs="Arial"/>
          <w:sz w:val="24"/>
          <w:szCs w:val="24"/>
        </w:rPr>
        <w:t xml:space="preserve">Henward, A.S. (2018) ‘Examining discursive formations…’ </w:t>
      </w:r>
      <w:r w:rsidRPr="00447896">
        <w:rPr>
          <w:rFonts w:ascii="Arial" w:hAnsi="Arial" w:cs="Arial"/>
          <w:i/>
          <w:iCs/>
          <w:sz w:val="24"/>
          <w:szCs w:val="24"/>
        </w:rPr>
        <w:t>Global Studies of Childhood.</w:t>
      </w:r>
    </w:p>
    <w:p w14:paraId="195B8770" w14:textId="77777777" w:rsidR="00447896" w:rsidRPr="00447896" w:rsidRDefault="00447896" w:rsidP="00447896">
      <w:pPr>
        <w:rPr>
          <w:rFonts w:ascii="Arial" w:hAnsi="Arial" w:cs="Arial"/>
          <w:sz w:val="24"/>
          <w:szCs w:val="24"/>
        </w:rPr>
      </w:pPr>
      <w:r w:rsidRPr="00447896">
        <w:rPr>
          <w:rFonts w:ascii="Arial" w:hAnsi="Arial" w:cs="Arial"/>
          <w:sz w:val="24"/>
          <w:szCs w:val="24"/>
        </w:rPr>
        <w:t>Heracleous, L. (2006) ‘Critical approaches: Michel Foucault’s conceptions of discourse’, in </w:t>
      </w:r>
      <w:r w:rsidRPr="00447896">
        <w:rPr>
          <w:rFonts w:ascii="Arial" w:hAnsi="Arial" w:cs="Arial"/>
          <w:i/>
          <w:iCs/>
          <w:sz w:val="24"/>
          <w:szCs w:val="24"/>
        </w:rPr>
        <w:t>Discourse, Interpretation, Organization</w:t>
      </w:r>
      <w:r w:rsidRPr="00447896">
        <w:rPr>
          <w:rFonts w:ascii="Arial" w:hAnsi="Arial" w:cs="Arial"/>
          <w:sz w:val="24"/>
          <w:szCs w:val="24"/>
        </w:rPr>
        <w:t>. Cambridge: Cambridge University Press, pp. 79–107.</w:t>
      </w:r>
    </w:p>
    <w:p w14:paraId="67678EBB"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Holmes, A.G.D. (2020) ‘Researcher positionality…’ </w:t>
      </w:r>
      <w:r w:rsidRPr="00447896">
        <w:rPr>
          <w:rFonts w:ascii="Arial" w:hAnsi="Arial" w:cs="Arial"/>
          <w:i/>
          <w:iCs/>
          <w:sz w:val="24"/>
          <w:szCs w:val="24"/>
        </w:rPr>
        <w:t>Journal of Education and Social Policy,</w:t>
      </w:r>
      <w:r w:rsidRPr="00447896">
        <w:rPr>
          <w:rFonts w:ascii="Arial" w:hAnsi="Arial" w:cs="Arial"/>
          <w:sz w:val="24"/>
          <w:szCs w:val="24"/>
        </w:rPr>
        <w:t xml:space="preserve"> 8(4), 1–8.</w:t>
      </w:r>
    </w:p>
    <w:p w14:paraId="0ADB893D"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Ince, A. &amp; Kitto, E. (2019) </w:t>
      </w:r>
      <w:r w:rsidRPr="00447896">
        <w:rPr>
          <w:rFonts w:ascii="Arial" w:hAnsi="Arial" w:cs="Arial"/>
          <w:i/>
          <w:iCs/>
          <w:sz w:val="24"/>
          <w:szCs w:val="24"/>
        </w:rPr>
        <w:t>A Practical Guide to Action Research and Teacher Enquiry.</w:t>
      </w:r>
      <w:r w:rsidRPr="00447896">
        <w:rPr>
          <w:rFonts w:ascii="Arial" w:hAnsi="Arial" w:cs="Arial"/>
          <w:sz w:val="24"/>
          <w:szCs w:val="24"/>
        </w:rPr>
        <w:t xml:space="preserve"> Routledge.</w:t>
      </w:r>
    </w:p>
    <w:p w14:paraId="232CA508"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Information Commissioner’s Office (ICO) (2023) </w:t>
      </w:r>
      <w:r w:rsidRPr="00447896">
        <w:rPr>
          <w:rFonts w:ascii="Arial" w:hAnsi="Arial" w:cs="Arial"/>
          <w:i/>
          <w:iCs/>
          <w:sz w:val="24"/>
          <w:szCs w:val="24"/>
        </w:rPr>
        <w:t>UK GDPR guidance and resources.</w:t>
      </w:r>
    </w:p>
    <w:p w14:paraId="02C3DC68" w14:textId="77777777" w:rsidR="00447896" w:rsidRPr="00447896" w:rsidRDefault="00447896" w:rsidP="00447896">
      <w:pPr>
        <w:rPr>
          <w:rFonts w:ascii="Arial" w:hAnsi="Arial" w:cs="Arial"/>
          <w:sz w:val="24"/>
          <w:szCs w:val="24"/>
        </w:rPr>
      </w:pPr>
      <w:r w:rsidRPr="009B4F33">
        <w:rPr>
          <w:rFonts w:ascii="Arial" w:hAnsi="Arial" w:cs="Arial"/>
          <w:sz w:val="24"/>
          <w:szCs w:val="24"/>
        </w:rPr>
        <w:t xml:space="preserve">Jerebine, A., Fitton Davies, K., Lander, N. &amp; Barnett, L.M. (2022) ‘“Children are precious cargo; we don’t let them take any risks!”: Hearing from adults on safety and risk in children’s active play in schools: a systematic review’, </w:t>
      </w:r>
      <w:r w:rsidRPr="009B4F33">
        <w:rPr>
          <w:rFonts w:ascii="Arial" w:hAnsi="Arial" w:cs="Arial"/>
          <w:i/>
          <w:iCs/>
          <w:sz w:val="24"/>
          <w:szCs w:val="24"/>
        </w:rPr>
        <w:t>International Journal of Behavioral Nutrition and Physical Activity</w:t>
      </w:r>
      <w:r w:rsidRPr="009B4F33">
        <w:rPr>
          <w:rFonts w:ascii="Arial" w:hAnsi="Arial" w:cs="Arial"/>
          <w:sz w:val="24"/>
          <w:szCs w:val="24"/>
        </w:rPr>
        <w:t>, 19(1). doi: 10.1186/s12966-022-01344-7.</w:t>
      </w:r>
    </w:p>
    <w:p w14:paraId="2EEB339C" w14:textId="77777777" w:rsidR="00447896" w:rsidRPr="00447896" w:rsidRDefault="00447896" w:rsidP="00447896">
      <w:pPr>
        <w:rPr>
          <w:rFonts w:ascii="Arial" w:hAnsi="Arial" w:cs="Arial"/>
          <w:sz w:val="24"/>
          <w:szCs w:val="24"/>
        </w:rPr>
      </w:pPr>
      <w:r w:rsidRPr="00447896">
        <w:rPr>
          <w:rFonts w:ascii="Arial" w:hAnsi="Arial" w:cs="Arial"/>
          <w:sz w:val="24"/>
          <w:szCs w:val="24"/>
        </w:rPr>
        <w:t>Kallio, H., Pietilä, A. M., Johnson, M., &amp; Kangasniemi, M. (2016). Systematic Methodological Review: Developing a Framework for a Qualitative Semi-Structured Interview Guide. Journal of Advanced Nursing, 72, 2954-2965.</w:t>
      </w:r>
      <w:r w:rsidRPr="00447896">
        <w:rPr>
          <w:rFonts w:ascii="Arial" w:hAnsi="Arial" w:cs="Arial"/>
          <w:sz w:val="24"/>
          <w:szCs w:val="24"/>
        </w:rPr>
        <w:br/>
      </w:r>
      <w:hyperlink r:id="rId9" w:history="1">
        <w:r w:rsidRPr="00447896">
          <w:rPr>
            <w:rStyle w:val="Hyperlink"/>
            <w:rFonts w:ascii="Arial" w:hAnsi="Arial" w:cs="Arial"/>
            <w:sz w:val="24"/>
            <w:szCs w:val="24"/>
          </w:rPr>
          <w:t>https://doi.org/10.1111/jan.13031</w:t>
        </w:r>
      </w:hyperlink>
    </w:p>
    <w:p w14:paraId="1027B980"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Kingdon, Z. &amp; Gourd, J. (2013) </w:t>
      </w:r>
      <w:r w:rsidRPr="00447896">
        <w:rPr>
          <w:rFonts w:ascii="Arial" w:hAnsi="Arial" w:cs="Arial"/>
          <w:i/>
          <w:iCs/>
          <w:sz w:val="24"/>
          <w:szCs w:val="24"/>
        </w:rPr>
        <w:t>Early Years Policy: The impact on practice.</w:t>
      </w:r>
      <w:r w:rsidRPr="00447896">
        <w:rPr>
          <w:rFonts w:ascii="Arial" w:hAnsi="Arial" w:cs="Arial"/>
          <w:sz w:val="24"/>
          <w:szCs w:val="24"/>
        </w:rPr>
        <w:t xml:space="preserve"> Routledge.</w:t>
      </w:r>
    </w:p>
    <w:p w14:paraId="5F04151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Kvale, S. &amp; Brinkmann, S. (2015) </w:t>
      </w:r>
      <w:r w:rsidRPr="00447896">
        <w:rPr>
          <w:rFonts w:ascii="Arial" w:hAnsi="Arial" w:cs="Arial"/>
          <w:i/>
          <w:iCs/>
          <w:sz w:val="24"/>
          <w:szCs w:val="24"/>
        </w:rPr>
        <w:t>InterViews</w:t>
      </w:r>
      <w:r w:rsidRPr="00447896">
        <w:rPr>
          <w:rFonts w:ascii="Arial" w:hAnsi="Arial" w:cs="Arial"/>
          <w:sz w:val="24"/>
          <w:szCs w:val="24"/>
        </w:rPr>
        <w:t xml:space="preserve"> (3rd ed.). SAGE.</w:t>
      </w:r>
    </w:p>
    <w:p w14:paraId="3AAA69B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Leon, A.C., Davis, L.L. &amp; Kraemer, H.C. (2011) ‘The role and interpretation of pilot studies…’ </w:t>
      </w:r>
      <w:r w:rsidRPr="00447896">
        <w:rPr>
          <w:rFonts w:ascii="Arial" w:hAnsi="Arial" w:cs="Arial"/>
          <w:i/>
          <w:iCs/>
          <w:sz w:val="24"/>
          <w:szCs w:val="24"/>
        </w:rPr>
        <w:t>Journal of Psychiatric Research,</w:t>
      </w:r>
      <w:r w:rsidRPr="00447896">
        <w:rPr>
          <w:rFonts w:ascii="Arial" w:hAnsi="Arial" w:cs="Arial"/>
          <w:sz w:val="24"/>
          <w:szCs w:val="24"/>
        </w:rPr>
        <w:t xml:space="preserve"> 45(5), 626–629.</w:t>
      </w:r>
    </w:p>
    <w:p w14:paraId="36A6D1E6" w14:textId="77777777" w:rsidR="00447896" w:rsidRPr="00447896" w:rsidRDefault="00447896" w:rsidP="00447896">
      <w:pPr>
        <w:rPr>
          <w:rFonts w:ascii="Arial" w:hAnsi="Arial" w:cs="Arial"/>
          <w:sz w:val="24"/>
          <w:szCs w:val="24"/>
        </w:rPr>
      </w:pPr>
      <w:r w:rsidRPr="00447896">
        <w:rPr>
          <w:rFonts w:ascii="Arial" w:hAnsi="Arial" w:cs="Arial"/>
          <w:sz w:val="24"/>
          <w:szCs w:val="24"/>
        </w:rPr>
        <w:lastRenderedPageBreak/>
        <w:t xml:space="preserve">MacNaughton, G. (2005) </w:t>
      </w:r>
      <w:r w:rsidRPr="00447896">
        <w:rPr>
          <w:rFonts w:ascii="Arial" w:hAnsi="Arial" w:cs="Arial"/>
          <w:i/>
          <w:iCs/>
          <w:sz w:val="24"/>
          <w:szCs w:val="24"/>
        </w:rPr>
        <w:t>Doing Foucault in Early Childhood Studies.</w:t>
      </w:r>
      <w:r w:rsidRPr="00447896">
        <w:rPr>
          <w:rFonts w:ascii="Arial" w:hAnsi="Arial" w:cs="Arial"/>
          <w:sz w:val="24"/>
          <w:szCs w:val="24"/>
        </w:rPr>
        <w:t xml:space="preserve"> Routledge.</w:t>
      </w:r>
    </w:p>
    <w:p w14:paraId="38CF296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Magaldi, D. &amp; Berler, M. (2020) </w:t>
      </w:r>
      <w:r w:rsidRPr="00447896">
        <w:rPr>
          <w:rFonts w:ascii="Arial" w:hAnsi="Arial" w:cs="Arial"/>
          <w:i/>
          <w:iCs/>
          <w:sz w:val="24"/>
          <w:szCs w:val="24"/>
        </w:rPr>
        <w:t>Semi</w:t>
      </w:r>
      <w:r w:rsidRPr="00447896">
        <w:rPr>
          <w:rFonts w:ascii="Arial" w:hAnsi="Arial" w:cs="Arial"/>
          <w:i/>
          <w:iCs/>
          <w:sz w:val="24"/>
          <w:szCs w:val="24"/>
        </w:rPr>
        <w:noBreakHyphen/>
        <w:t>structured Interviews.</w:t>
      </w:r>
      <w:r w:rsidRPr="00447896">
        <w:rPr>
          <w:rFonts w:ascii="Arial" w:hAnsi="Arial" w:cs="Arial"/>
          <w:sz w:val="24"/>
          <w:szCs w:val="24"/>
        </w:rPr>
        <w:t xml:space="preserve"> </w:t>
      </w:r>
      <w:r w:rsidRPr="00447896">
        <w:rPr>
          <w:rFonts w:ascii="Arial" w:hAnsi="Arial" w:cs="Arial"/>
          <w:i/>
          <w:iCs/>
          <w:sz w:val="24"/>
          <w:szCs w:val="24"/>
        </w:rPr>
        <w:t>Encyclopedia of Personality and Individual Differences.</w:t>
      </w:r>
      <w:r w:rsidRPr="00447896">
        <w:rPr>
          <w:rFonts w:ascii="Arial" w:hAnsi="Arial" w:cs="Arial"/>
          <w:sz w:val="24"/>
          <w:szCs w:val="24"/>
        </w:rPr>
        <w:t xml:space="preserve"> Springer Nature.</w:t>
      </w:r>
    </w:p>
    <w:p w14:paraId="7E749E92"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Mawson, K., Haresnape Tyson, C., Perry, T., and I-Hui Chen, J. (2025) </w:t>
      </w:r>
      <w:r w:rsidRPr="00447896">
        <w:rPr>
          <w:rFonts w:ascii="Arial" w:hAnsi="Arial" w:cs="Arial"/>
          <w:i/>
          <w:iCs/>
          <w:sz w:val="24"/>
          <w:szCs w:val="24"/>
        </w:rPr>
        <w:t>The BERA Guide to Practitioner Research.</w:t>
      </w:r>
      <w:r w:rsidRPr="00447896">
        <w:rPr>
          <w:rFonts w:ascii="Arial" w:hAnsi="Arial" w:cs="Arial"/>
          <w:sz w:val="24"/>
          <w:szCs w:val="24"/>
        </w:rPr>
        <w:t xml:space="preserve"> Emerald.</w:t>
      </w:r>
    </w:p>
    <w:p w14:paraId="5AF449CA"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Maxwell, J.A. (2013) </w:t>
      </w:r>
      <w:r w:rsidRPr="00447896">
        <w:rPr>
          <w:rFonts w:ascii="Arial" w:hAnsi="Arial" w:cs="Arial"/>
          <w:i/>
          <w:iCs/>
          <w:sz w:val="24"/>
          <w:szCs w:val="24"/>
        </w:rPr>
        <w:t>Qualitative Research Design</w:t>
      </w:r>
      <w:r w:rsidRPr="00447896">
        <w:rPr>
          <w:rFonts w:ascii="Arial" w:hAnsi="Arial" w:cs="Arial"/>
          <w:sz w:val="24"/>
          <w:szCs w:val="24"/>
        </w:rPr>
        <w:t xml:space="preserve"> (3rd ed.). Sage.</w:t>
      </w:r>
    </w:p>
    <w:p w14:paraId="68BFA2DF"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McAteer, M. (2014) </w:t>
      </w:r>
      <w:r w:rsidRPr="00447896">
        <w:rPr>
          <w:rFonts w:ascii="Arial" w:hAnsi="Arial" w:cs="Arial"/>
          <w:i/>
          <w:iCs/>
          <w:sz w:val="24"/>
          <w:szCs w:val="24"/>
        </w:rPr>
        <w:t>Action Research in Education.</w:t>
      </w:r>
      <w:r w:rsidRPr="00447896">
        <w:rPr>
          <w:rFonts w:ascii="Arial" w:hAnsi="Arial" w:cs="Arial"/>
          <w:sz w:val="24"/>
          <w:szCs w:val="24"/>
        </w:rPr>
        <w:t xml:space="preserve"> Sage.</w:t>
      </w:r>
    </w:p>
    <w:p w14:paraId="1AD832B6"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McNally, S.A. &amp; Slutsky, R. (2016) ‘Key elements of the Reggio Emilia approach…’ </w:t>
      </w:r>
      <w:r w:rsidRPr="00447896">
        <w:rPr>
          <w:rFonts w:ascii="Arial" w:hAnsi="Arial" w:cs="Arial"/>
          <w:i/>
          <w:iCs/>
          <w:sz w:val="24"/>
          <w:szCs w:val="24"/>
        </w:rPr>
        <w:t>Early Child Development and Care,</w:t>
      </w:r>
      <w:r w:rsidRPr="00447896">
        <w:rPr>
          <w:rFonts w:ascii="Arial" w:hAnsi="Arial" w:cs="Arial"/>
          <w:sz w:val="24"/>
          <w:szCs w:val="24"/>
        </w:rPr>
        <w:t xml:space="preserve"> 187(12), 1925–1937.</w:t>
      </w:r>
    </w:p>
    <w:p w14:paraId="731E2098"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Mertler, C. (2021) ‘Action Research as Teacher Inquiry.’ </w:t>
      </w:r>
      <w:r w:rsidRPr="00447896">
        <w:rPr>
          <w:rFonts w:ascii="Arial" w:hAnsi="Arial" w:cs="Arial"/>
          <w:i/>
          <w:iCs/>
          <w:sz w:val="24"/>
          <w:szCs w:val="24"/>
        </w:rPr>
        <w:t>Practical Assessment, Research, and Evaluation,</w:t>
      </w:r>
      <w:r w:rsidRPr="00447896">
        <w:rPr>
          <w:rFonts w:ascii="Arial" w:hAnsi="Arial" w:cs="Arial"/>
          <w:sz w:val="24"/>
          <w:szCs w:val="24"/>
        </w:rPr>
        <w:t xml:space="preserve"> 26(19).</w:t>
      </w:r>
    </w:p>
    <w:p w14:paraId="65D55510"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Meyer, J.H.F. &amp; Land, R. (2003) </w:t>
      </w:r>
      <w:r w:rsidRPr="00447896">
        <w:rPr>
          <w:rFonts w:ascii="Arial" w:hAnsi="Arial" w:cs="Arial"/>
          <w:i/>
          <w:iCs/>
          <w:sz w:val="24"/>
          <w:szCs w:val="24"/>
        </w:rPr>
        <w:t>Threshold concepts and troublesome knowledge.</w:t>
      </w:r>
      <w:r w:rsidRPr="00447896">
        <w:rPr>
          <w:rFonts w:ascii="Arial" w:hAnsi="Arial" w:cs="Arial"/>
          <w:sz w:val="24"/>
          <w:szCs w:val="24"/>
        </w:rPr>
        <w:t xml:space="preserve"> Oxford Brookes University.</w:t>
      </w:r>
    </w:p>
    <w:p w14:paraId="442D2BBE"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Miles, M.B., Huberman, A.M. &amp; Saldaña, J. (2014) </w:t>
      </w:r>
      <w:r w:rsidRPr="00447896">
        <w:rPr>
          <w:rFonts w:ascii="Arial" w:hAnsi="Arial" w:cs="Arial"/>
          <w:i/>
          <w:iCs/>
          <w:sz w:val="24"/>
          <w:szCs w:val="24"/>
        </w:rPr>
        <w:t>Qualitative Data Analysis</w:t>
      </w:r>
      <w:r w:rsidRPr="00447896">
        <w:rPr>
          <w:rFonts w:ascii="Arial" w:hAnsi="Arial" w:cs="Arial"/>
          <w:sz w:val="24"/>
          <w:szCs w:val="24"/>
        </w:rPr>
        <w:t xml:space="preserve"> (3rd ed.). SAGE.</w:t>
      </w:r>
    </w:p>
    <w:p w14:paraId="13F3E534"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Millei, Z. (2005) ‘The discourse of control…’ </w:t>
      </w:r>
      <w:r w:rsidRPr="00447896">
        <w:rPr>
          <w:rFonts w:ascii="Arial" w:hAnsi="Arial" w:cs="Arial"/>
          <w:i/>
          <w:iCs/>
          <w:sz w:val="24"/>
          <w:szCs w:val="24"/>
        </w:rPr>
        <w:t>Contemporary Issues in Early Childhood.</w:t>
      </w:r>
    </w:p>
    <w:p w14:paraId="0EACB2D1"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Moss, P. (2016) </w:t>
      </w:r>
      <w:r w:rsidRPr="00447896">
        <w:rPr>
          <w:rFonts w:ascii="Arial" w:hAnsi="Arial" w:cs="Arial"/>
          <w:i/>
          <w:iCs/>
          <w:sz w:val="24"/>
          <w:szCs w:val="24"/>
        </w:rPr>
        <w:t>Early Childhood and Compulsory Education.</w:t>
      </w:r>
      <w:r w:rsidRPr="00447896">
        <w:rPr>
          <w:rFonts w:ascii="Arial" w:hAnsi="Arial" w:cs="Arial"/>
          <w:sz w:val="24"/>
          <w:szCs w:val="24"/>
        </w:rPr>
        <w:t xml:space="preserve"> Routledge.</w:t>
      </w:r>
    </w:p>
    <w:p w14:paraId="1254B4E0"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Mukherji, P. &amp; Albon, D. (2022) </w:t>
      </w:r>
      <w:r w:rsidRPr="00447896">
        <w:rPr>
          <w:rFonts w:ascii="Arial" w:hAnsi="Arial" w:cs="Arial"/>
          <w:i/>
          <w:iCs/>
          <w:sz w:val="24"/>
          <w:szCs w:val="24"/>
        </w:rPr>
        <w:t>Research Methods in Early Childhood</w:t>
      </w:r>
      <w:r w:rsidRPr="00447896">
        <w:rPr>
          <w:rFonts w:ascii="Arial" w:hAnsi="Arial" w:cs="Arial"/>
          <w:sz w:val="24"/>
          <w:szCs w:val="24"/>
        </w:rPr>
        <w:t xml:space="preserve"> (4th ed.). Sage.</w:t>
      </w:r>
    </w:p>
    <w:p w14:paraId="56ABAAA6" w14:textId="77777777"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Murphy, A., Greenway, C., &amp; Conn, C. (2024). Negotiating additional learning needs reform in Wales: The voice of the ALNCo. British Journal of Special Education, 00, 1–9. https://doi.org/10.1111/1467-8578.12568</w:t>
      </w:r>
    </w:p>
    <w:p w14:paraId="12BE81C4" w14:textId="77777777" w:rsidR="00447896" w:rsidRPr="00447896" w:rsidRDefault="00447896" w:rsidP="00447896">
      <w:pPr>
        <w:rPr>
          <w:rFonts w:ascii="Arial" w:hAnsi="Arial" w:cs="Arial"/>
          <w:sz w:val="24"/>
          <w:szCs w:val="24"/>
        </w:rPr>
      </w:pPr>
      <w:r w:rsidRPr="00447896">
        <w:rPr>
          <w:rFonts w:ascii="Arial" w:hAnsi="Arial" w:cs="Arial"/>
          <w:sz w:val="24"/>
          <w:szCs w:val="24"/>
        </w:rPr>
        <w:t>Naeem, M., Ozuem, W., Howell, K., &amp; Ranfagni, S. (2023). A Step-by-Step Process of Thematic Analysis to Develop a Conceptual Model in Qualitative Research. </w:t>
      </w:r>
      <w:r w:rsidRPr="00447896">
        <w:rPr>
          <w:rFonts w:ascii="Arial" w:hAnsi="Arial" w:cs="Arial"/>
          <w:i/>
          <w:iCs/>
          <w:sz w:val="24"/>
          <w:szCs w:val="24"/>
        </w:rPr>
        <w:t>International Journal of Qualitative Methods, 22,</w:t>
      </w:r>
      <w:r w:rsidRPr="00447896">
        <w:rPr>
          <w:rFonts w:ascii="Arial" w:hAnsi="Arial" w:cs="Arial"/>
          <w:sz w:val="24"/>
          <w:szCs w:val="24"/>
        </w:rPr>
        <w:t> 1-18.</w:t>
      </w:r>
      <w:r w:rsidRPr="00447896">
        <w:rPr>
          <w:rFonts w:ascii="Arial" w:hAnsi="Arial" w:cs="Arial"/>
          <w:sz w:val="24"/>
          <w:szCs w:val="24"/>
        </w:rPr>
        <w:br/>
      </w:r>
      <w:hyperlink r:id="rId10" w:history="1">
        <w:r w:rsidRPr="00447896">
          <w:rPr>
            <w:rStyle w:val="Hyperlink"/>
            <w:rFonts w:ascii="Arial" w:hAnsi="Arial" w:cs="Arial"/>
            <w:sz w:val="24"/>
            <w:szCs w:val="24"/>
          </w:rPr>
          <w:t>https://doi.org/10.1177/16094069231205789</w:t>
        </w:r>
      </w:hyperlink>
    </w:p>
    <w:p w14:paraId="3184FF6A" w14:textId="77777777" w:rsidR="00447896" w:rsidRPr="00447896" w:rsidRDefault="00447896" w:rsidP="00447896">
      <w:pPr>
        <w:rPr>
          <w:rFonts w:ascii="Arial" w:hAnsi="Arial" w:cs="Arial"/>
          <w:sz w:val="24"/>
          <w:szCs w:val="24"/>
        </w:rPr>
      </w:pPr>
      <w:r w:rsidRPr="00447896">
        <w:rPr>
          <w:rFonts w:ascii="Arial" w:hAnsi="Arial" w:cs="Arial"/>
          <w:sz w:val="24"/>
          <w:szCs w:val="24"/>
        </w:rPr>
        <w:t>Nowell, L.S., Norris, J.M., White, D.E. and Moules, N.J. (2017) Thematic Analysis: Striving to Meet the Trustworthiness Criteria. International Journal of Qualitative Methods, 16, 1-13.</w:t>
      </w:r>
      <w:r w:rsidRPr="00447896">
        <w:rPr>
          <w:rFonts w:ascii="Arial" w:hAnsi="Arial" w:cs="Arial"/>
          <w:sz w:val="24"/>
          <w:szCs w:val="24"/>
        </w:rPr>
        <w:br/>
      </w:r>
      <w:hyperlink r:id="rId11" w:history="1">
        <w:r w:rsidRPr="00447896">
          <w:rPr>
            <w:rStyle w:val="Hyperlink"/>
            <w:rFonts w:ascii="Arial" w:hAnsi="Arial" w:cs="Arial"/>
            <w:sz w:val="24"/>
            <w:szCs w:val="24"/>
          </w:rPr>
          <w:t>https://doi.org/10.1177/1609406917733847</w:t>
        </w:r>
      </w:hyperlink>
    </w:p>
    <w:p w14:paraId="56475CB9"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Pascal, C. &amp; Bertram, T. (2021) </w:t>
      </w:r>
      <w:r w:rsidRPr="00447896">
        <w:rPr>
          <w:rFonts w:ascii="Arial" w:hAnsi="Arial" w:cs="Arial"/>
          <w:i/>
          <w:iCs/>
          <w:sz w:val="24"/>
          <w:szCs w:val="24"/>
        </w:rPr>
        <w:t>Early childhood education and care: Policy and practice in England today.</w:t>
      </w:r>
      <w:r w:rsidRPr="00447896">
        <w:rPr>
          <w:rFonts w:ascii="Arial" w:hAnsi="Arial" w:cs="Arial"/>
          <w:sz w:val="24"/>
          <w:szCs w:val="24"/>
        </w:rPr>
        <w:t xml:space="preserve"> Routledge.</w:t>
      </w:r>
    </w:p>
    <w:p w14:paraId="0ABD0F89"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Priestley, M., Biesta, G. &amp; Robinson, S. (2015) </w:t>
      </w:r>
      <w:r w:rsidRPr="00447896">
        <w:rPr>
          <w:rFonts w:ascii="Arial" w:hAnsi="Arial" w:cs="Arial"/>
          <w:i/>
          <w:iCs/>
          <w:sz w:val="24"/>
          <w:szCs w:val="24"/>
        </w:rPr>
        <w:t>Teacher Agency: An Ecological Approach.</w:t>
      </w:r>
      <w:r w:rsidRPr="00447896">
        <w:rPr>
          <w:rFonts w:ascii="Arial" w:hAnsi="Arial" w:cs="Arial"/>
          <w:sz w:val="24"/>
          <w:szCs w:val="24"/>
        </w:rPr>
        <w:t xml:space="preserve"> Bloomsbury.</w:t>
      </w:r>
    </w:p>
    <w:p w14:paraId="1209A495" w14:textId="77777777"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 xml:space="preserve">Roberts, G., Halstead, S., Pepper, R., &amp; McDonnell, L. (2023). Social care professionals’ perceived barriers to implementing attachment and trauma-informed </w:t>
      </w:r>
      <w:r w:rsidRPr="00447896">
        <w:rPr>
          <w:rFonts w:ascii="Arial" w:hAnsi="Arial" w:cs="Arial"/>
          <w:sz w:val="24"/>
          <w:szCs w:val="24"/>
          <w:lang w:val="en-US"/>
        </w:rPr>
        <w:lastRenderedPageBreak/>
        <w:t>care training in their practice. Developmental Child Welfare, 5(1), 3-20. https://doi.org/10.1177/25161032231153643 (Original work published 2023)</w:t>
      </w:r>
    </w:p>
    <w:p w14:paraId="16FBA93F"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Robson, C. &amp; McCartan, K. (2016) </w:t>
      </w:r>
      <w:r w:rsidRPr="00447896">
        <w:rPr>
          <w:rFonts w:ascii="Arial" w:hAnsi="Arial" w:cs="Arial"/>
          <w:i/>
          <w:iCs/>
          <w:sz w:val="24"/>
          <w:szCs w:val="24"/>
        </w:rPr>
        <w:t>Real World Research</w:t>
      </w:r>
      <w:r w:rsidRPr="00447896">
        <w:rPr>
          <w:rFonts w:ascii="Arial" w:hAnsi="Arial" w:cs="Arial"/>
          <w:sz w:val="24"/>
          <w:szCs w:val="24"/>
        </w:rPr>
        <w:t xml:space="preserve"> (4th ed.). Wiley.</w:t>
      </w:r>
    </w:p>
    <w:p w14:paraId="4F988371" w14:textId="77777777" w:rsidR="00447896" w:rsidRPr="00447896" w:rsidRDefault="00447896" w:rsidP="00447896">
      <w:pPr>
        <w:rPr>
          <w:rFonts w:ascii="Arial" w:hAnsi="Arial" w:cs="Arial"/>
          <w:sz w:val="24"/>
          <w:szCs w:val="24"/>
        </w:rPr>
      </w:pPr>
      <w:r w:rsidRPr="00447896">
        <w:rPr>
          <w:rFonts w:ascii="Arial" w:hAnsi="Arial" w:cs="Arial"/>
          <w:sz w:val="24"/>
          <w:szCs w:val="24"/>
        </w:rPr>
        <w:t>Ruslin, R., Mashuri, S., Sarib, M., Alhabsyi, F., and Syam, H. (2022) Semi-structured Interview: A Methodological Reflection on the Development of a Qualitative Research Instrument in Educational Studies</w:t>
      </w:r>
    </w:p>
    <w:p w14:paraId="37AA6288" w14:textId="6DE50036" w:rsidR="00447896" w:rsidRPr="00451381" w:rsidRDefault="00447896" w:rsidP="00447896">
      <w:pPr>
        <w:rPr>
          <w:rFonts w:ascii="Arial" w:hAnsi="Arial" w:cs="Arial"/>
          <w:sz w:val="24"/>
          <w:szCs w:val="24"/>
          <w:lang w:val="en-US"/>
        </w:rPr>
      </w:pPr>
      <w:r w:rsidRPr="00447896">
        <w:rPr>
          <w:rFonts w:ascii="Arial" w:hAnsi="Arial" w:cs="Arial"/>
          <w:sz w:val="24"/>
          <w:szCs w:val="24"/>
          <w:lang w:val="en-US"/>
        </w:rPr>
        <w:t>Saidin, K. (2017). Insider researchers: challenges &amp; opportunities. Proceedings of the ICECRS. 1. 10.21070/picecrs.v1i1.563.</w:t>
      </w:r>
    </w:p>
    <w:p w14:paraId="019E687A" w14:textId="571C9D13"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Salamon, A. and Harrison, L. (2015) ‘Early childhood educators’ conceptions of infants’ capabilities: the nexus between beliefs and practice’, Early Years, 35(3), pp. 273–288. doi: 10.1080/09575146.2015.1042961.</w:t>
      </w:r>
    </w:p>
    <w:p w14:paraId="351AC67F"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Silverman, D. (2021) </w:t>
      </w:r>
      <w:r w:rsidRPr="00447896">
        <w:rPr>
          <w:rFonts w:ascii="Arial" w:hAnsi="Arial" w:cs="Arial"/>
          <w:i/>
          <w:iCs/>
          <w:sz w:val="24"/>
          <w:szCs w:val="24"/>
        </w:rPr>
        <w:t>Interpreting Qualitative Data</w:t>
      </w:r>
      <w:r w:rsidRPr="00447896">
        <w:rPr>
          <w:rFonts w:ascii="Arial" w:hAnsi="Arial" w:cs="Arial"/>
          <w:sz w:val="24"/>
          <w:szCs w:val="24"/>
        </w:rPr>
        <w:t xml:space="preserve"> (7th ed.). Sage.</w:t>
      </w:r>
    </w:p>
    <w:p w14:paraId="5F3DB620" w14:textId="77777777" w:rsidR="00447896" w:rsidRPr="00E6650A" w:rsidRDefault="00447896" w:rsidP="00447896">
      <w:pPr>
        <w:rPr>
          <w:rFonts w:ascii="Arial" w:hAnsi="Arial" w:cs="Arial"/>
          <w:sz w:val="24"/>
          <w:szCs w:val="24"/>
        </w:rPr>
      </w:pPr>
      <w:r w:rsidRPr="00E6650A">
        <w:rPr>
          <w:rFonts w:ascii="Arial" w:hAnsi="Arial" w:cs="Arial"/>
          <w:sz w:val="24"/>
          <w:szCs w:val="24"/>
        </w:rPr>
        <w:t xml:space="preserve">Sim, M.P., Bélanger, J., Hocking, L., Dimova, S., Iakovidou, E., Janta, B. &amp; Teager, W. (2018) </w:t>
      </w:r>
      <w:r w:rsidRPr="00E6650A">
        <w:rPr>
          <w:rFonts w:ascii="Arial" w:hAnsi="Arial" w:cs="Arial"/>
          <w:i/>
          <w:iCs/>
          <w:sz w:val="24"/>
          <w:szCs w:val="24"/>
        </w:rPr>
        <w:t>Teaching, Pedagogy and Practice in Early Years Childcare: An Evidence Review</w:t>
      </w:r>
      <w:r w:rsidRPr="00E6650A">
        <w:rPr>
          <w:rFonts w:ascii="Arial" w:hAnsi="Arial" w:cs="Arial"/>
          <w:sz w:val="24"/>
          <w:szCs w:val="24"/>
        </w:rPr>
        <w:t>. London: Early Intervention Foundation (EIF) and RAND Europe.</w:t>
      </w:r>
    </w:p>
    <w:p w14:paraId="3242F212" w14:textId="7ADBA382"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Sinnema, C., Nieveen, N., Priestley, M. (2020). ‘Successful futures, successful curriculum: What can Wales learn from international curriculum reforms?’, The Curriculum Journal, 31, 2020, pp181-201, https://doi.org/10.1002/curj.17;</w:t>
      </w:r>
    </w:p>
    <w:p w14:paraId="4D4D73AE"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Siraj-Blatchford, I., &amp; Sylva, K. (2002, June). Researching Effective Pedagogy in the Early Years (REPEY). Retrieved from dera.ioe.ac.uk: </w:t>
      </w:r>
      <w:hyperlink r:id="rId12" w:history="1">
        <w:r w:rsidRPr="00447896">
          <w:rPr>
            <w:rStyle w:val="Hyperlink"/>
            <w:rFonts w:ascii="Arial" w:hAnsi="Arial" w:cs="Arial"/>
            <w:sz w:val="24"/>
            <w:szCs w:val="24"/>
          </w:rPr>
          <w:t>https://dera.ioe.ac.uk/id/eprint/4650/1/RR356.pdf</w:t>
        </w:r>
      </w:hyperlink>
    </w:p>
    <w:p w14:paraId="2F5BBD91"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Smith, J.A. (1994) </w:t>
      </w:r>
      <w:r w:rsidRPr="00447896">
        <w:rPr>
          <w:rFonts w:ascii="Arial" w:hAnsi="Arial" w:cs="Arial"/>
          <w:i/>
          <w:iCs/>
          <w:sz w:val="24"/>
          <w:szCs w:val="24"/>
        </w:rPr>
        <w:t>Semi Structured Interviewing and Qualitative Analysis.</w:t>
      </w:r>
      <w:r w:rsidRPr="00447896">
        <w:rPr>
          <w:rFonts w:ascii="Arial" w:hAnsi="Arial" w:cs="Arial"/>
          <w:sz w:val="24"/>
          <w:szCs w:val="24"/>
        </w:rPr>
        <w:t xml:space="preserve"> SAGE.</w:t>
      </w:r>
    </w:p>
    <w:p w14:paraId="6D8437F8" w14:textId="77777777" w:rsidR="00447896" w:rsidRPr="00447896" w:rsidRDefault="00447896" w:rsidP="00447896">
      <w:pPr>
        <w:spacing w:after="200" w:line="276" w:lineRule="auto"/>
        <w:rPr>
          <w:rFonts w:ascii="Arial" w:eastAsia="MS Mincho" w:hAnsi="Arial" w:cs="Arial"/>
          <w:sz w:val="24"/>
          <w:szCs w:val="24"/>
          <w:lang w:val="en-US"/>
        </w:rPr>
      </w:pPr>
      <w:r w:rsidRPr="00447896">
        <w:rPr>
          <w:rFonts w:ascii="Arial" w:eastAsia="MS Mincho" w:hAnsi="Arial" w:cs="Arial"/>
          <w:sz w:val="24"/>
          <w:szCs w:val="24"/>
          <w:lang w:val="en-US"/>
        </w:rPr>
        <w:t>Social Care Wales, 2025. Wales Safeguarding Procedures. Available at: https://safeguarding.wales/en/.</w:t>
      </w:r>
    </w:p>
    <w:p w14:paraId="04640C33" w14:textId="77777777" w:rsidR="00447896" w:rsidRPr="00723491" w:rsidRDefault="00447896" w:rsidP="00447896">
      <w:pPr>
        <w:rPr>
          <w:rFonts w:ascii="Arial" w:hAnsi="Arial" w:cs="Arial"/>
          <w:sz w:val="24"/>
          <w:szCs w:val="24"/>
        </w:rPr>
      </w:pPr>
      <w:r w:rsidRPr="00723491">
        <w:rPr>
          <w:rFonts w:ascii="Arial" w:hAnsi="Arial" w:cs="Arial"/>
          <w:sz w:val="24"/>
          <w:szCs w:val="24"/>
        </w:rPr>
        <w:t xml:space="preserve">Sorrell, K. (2013). Pragmatism and moral progress: John Dewey’s theory of social inquiry: John Dewey’s theory of social inquiry. </w:t>
      </w:r>
      <w:r w:rsidRPr="00723491">
        <w:rPr>
          <w:rFonts w:ascii="Arial" w:hAnsi="Arial" w:cs="Arial"/>
          <w:i/>
          <w:iCs/>
          <w:sz w:val="24"/>
          <w:szCs w:val="24"/>
        </w:rPr>
        <w:t>Philosophy &amp; Social Criticism</w:t>
      </w:r>
      <w:r w:rsidRPr="00723491">
        <w:rPr>
          <w:rFonts w:ascii="Arial" w:hAnsi="Arial" w:cs="Arial"/>
          <w:sz w:val="24"/>
          <w:szCs w:val="24"/>
        </w:rPr>
        <w:t xml:space="preserve">, </w:t>
      </w:r>
      <w:r w:rsidRPr="00723491">
        <w:rPr>
          <w:rFonts w:ascii="Arial" w:hAnsi="Arial" w:cs="Arial"/>
          <w:i/>
          <w:iCs/>
          <w:sz w:val="24"/>
          <w:szCs w:val="24"/>
        </w:rPr>
        <w:t>39</w:t>
      </w:r>
      <w:r w:rsidRPr="00723491">
        <w:rPr>
          <w:rFonts w:ascii="Arial" w:hAnsi="Arial" w:cs="Arial"/>
          <w:sz w:val="24"/>
          <w:szCs w:val="24"/>
        </w:rPr>
        <w:t xml:space="preserve">(8), 809-824. </w:t>
      </w:r>
      <w:hyperlink r:id="rId13" w:history="1">
        <w:r w:rsidRPr="00723491">
          <w:rPr>
            <w:rStyle w:val="Hyperlink"/>
            <w:rFonts w:ascii="Arial" w:hAnsi="Arial" w:cs="Arial"/>
            <w:sz w:val="24"/>
            <w:szCs w:val="24"/>
          </w:rPr>
          <w:t>https://doi.org/10.1177/0191453713494967</w:t>
        </w:r>
      </w:hyperlink>
      <w:r w:rsidRPr="00723491">
        <w:rPr>
          <w:rFonts w:ascii="Arial" w:hAnsi="Arial" w:cs="Arial"/>
          <w:sz w:val="24"/>
          <w:szCs w:val="24"/>
        </w:rPr>
        <w:t xml:space="preserve"> (Original work published 2013)</w:t>
      </w:r>
    </w:p>
    <w:p w14:paraId="0D34B19C"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Strunel, A.M. &amp; Cordoba, S. (2025) ‘Insider/outsider dynamics…’ </w:t>
      </w:r>
      <w:r w:rsidRPr="00447896">
        <w:rPr>
          <w:rFonts w:ascii="Arial" w:hAnsi="Arial" w:cs="Arial"/>
          <w:i/>
          <w:iCs/>
          <w:sz w:val="24"/>
          <w:szCs w:val="24"/>
        </w:rPr>
        <w:t>Qualitative Research in Psychology,</w:t>
      </w:r>
      <w:r w:rsidRPr="00447896">
        <w:rPr>
          <w:rFonts w:ascii="Arial" w:hAnsi="Arial" w:cs="Arial"/>
          <w:sz w:val="24"/>
          <w:szCs w:val="24"/>
        </w:rPr>
        <w:t xml:space="preserve"> 22(4), 887–917.</w:t>
      </w:r>
    </w:p>
    <w:p w14:paraId="398E602D"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Sylva, K., Melhuish, E., Sammons, P., Siraj-Blatchford, I. &amp; Taggart, B.. (2004). </w:t>
      </w:r>
      <w:r w:rsidRPr="00447896">
        <w:rPr>
          <w:rFonts w:ascii="Arial" w:hAnsi="Arial" w:cs="Arial"/>
          <w:i/>
          <w:iCs/>
          <w:sz w:val="24"/>
          <w:szCs w:val="24"/>
        </w:rPr>
        <w:t>The Effective Provision of Pre-School Education (EPPE) Project.</w:t>
      </w:r>
      <w:r w:rsidRPr="00447896">
        <w:rPr>
          <w:rFonts w:ascii="Arial" w:hAnsi="Arial" w:cs="Arial"/>
          <w:sz w:val="24"/>
          <w:szCs w:val="24"/>
        </w:rPr>
        <w:t xml:space="preserve"> Retrieved from dera.ioe.ac.uk: https://dera.ioe.ac.uk/id/eprint/18189/2/SSU-SF-2004-01.pdf</w:t>
      </w:r>
    </w:p>
    <w:p w14:paraId="441E8122" w14:textId="6ED07505"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Tovey, H. (2017). Bringing the Froebel Approach to your Early Years Practice (Second ed.). Oxon: Routledge.</w:t>
      </w:r>
    </w:p>
    <w:p w14:paraId="614CBEB4" w14:textId="28382101" w:rsidR="00447896" w:rsidRPr="00447896" w:rsidRDefault="00447896" w:rsidP="00447896">
      <w:pPr>
        <w:rPr>
          <w:rFonts w:ascii="Arial" w:hAnsi="Arial" w:cs="Arial"/>
          <w:sz w:val="24"/>
          <w:szCs w:val="24"/>
        </w:rPr>
      </w:pPr>
      <w:bookmarkStart w:id="0" w:name="_Hlk219536883"/>
      <w:r w:rsidRPr="00564760">
        <w:rPr>
          <w:rFonts w:ascii="Arial" w:hAnsi="Arial" w:cs="Arial"/>
          <w:sz w:val="24"/>
          <w:szCs w:val="24"/>
        </w:rPr>
        <w:t xml:space="preserve">University of Wales Trinity Saint David (2022) </w:t>
      </w:r>
      <w:bookmarkEnd w:id="0"/>
      <w:r w:rsidRPr="00564760">
        <w:rPr>
          <w:rFonts w:ascii="Arial" w:hAnsi="Arial" w:cs="Arial"/>
          <w:i/>
          <w:iCs/>
          <w:sz w:val="24"/>
          <w:szCs w:val="24"/>
        </w:rPr>
        <w:t>Research Data Management Policy (V2.0)</w:t>
      </w:r>
      <w:r w:rsidRPr="00564760">
        <w:rPr>
          <w:rFonts w:ascii="Arial" w:hAnsi="Arial" w:cs="Arial"/>
          <w:sz w:val="24"/>
          <w:szCs w:val="24"/>
        </w:rPr>
        <w:t>. Available at:</w:t>
      </w:r>
      <w:r w:rsidRPr="00447896">
        <w:rPr>
          <w:rFonts w:ascii="Arial" w:hAnsi="Arial" w:cs="Arial"/>
          <w:sz w:val="24"/>
          <w:szCs w:val="24"/>
        </w:rPr>
        <w:t xml:space="preserve"> </w:t>
      </w:r>
      <w:r w:rsidRPr="00564760">
        <w:rPr>
          <w:rFonts w:ascii="Arial" w:hAnsi="Arial" w:cs="Arial"/>
          <w:sz w:val="24"/>
          <w:szCs w:val="24"/>
        </w:rPr>
        <w:t xml:space="preserve">https://digitalservices.uwtsd.ac.uk/wp-content/uploads/2025/05/Research-Data-Management-Policy-2022-v2.pdf </w:t>
      </w:r>
    </w:p>
    <w:p w14:paraId="583CF8EC" w14:textId="77777777" w:rsidR="00447896" w:rsidRPr="00447896" w:rsidRDefault="00447896" w:rsidP="00447896">
      <w:pPr>
        <w:rPr>
          <w:rFonts w:ascii="Arial" w:hAnsi="Arial" w:cs="Arial"/>
          <w:sz w:val="24"/>
          <w:szCs w:val="24"/>
        </w:rPr>
      </w:pPr>
      <w:r w:rsidRPr="00564760">
        <w:rPr>
          <w:rFonts w:ascii="Arial" w:hAnsi="Arial" w:cs="Arial"/>
          <w:sz w:val="24"/>
          <w:szCs w:val="24"/>
        </w:rPr>
        <w:lastRenderedPageBreak/>
        <w:t xml:space="preserve">University of Wales Trinity Saint David (2022) </w:t>
      </w:r>
      <w:r w:rsidRPr="00447896">
        <w:rPr>
          <w:rFonts w:ascii="Arial" w:hAnsi="Arial" w:cs="Arial"/>
          <w:i/>
          <w:iCs/>
          <w:sz w:val="24"/>
          <w:szCs w:val="24"/>
        </w:rPr>
        <w:t xml:space="preserve">UWTSD Research Ethics &amp; Integrity Policy. </w:t>
      </w:r>
      <w:r w:rsidRPr="00447896">
        <w:rPr>
          <w:rFonts w:ascii="Arial" w:hAnsi="Arial" w:cs="Arial"/>
          <w:sz w:val="24"/>
          <w:szCs w:val="24"/>
        </w:rPr>
        <w:t xml:space="preserve">Available at: </w:t>
      </w:r>
      <w:hyperlink r:id="rId14" w:history="1">
        <w:r w:rsidRPr="00447896">
          <w:rPr>
            <w:rStyle w:val="Hyperlink"/>
            <w:rFonts w:ascii="Arial" w:hAnsi="Arial" w:cs="Arial"/>
            <w:sz w:val="24"/>
            <w:szCs w:val="24"/>
          </w:rPr>
          <w:t>Research Integrity and Ethics | University of Wales Trinity Saint David</w:t>
        </w:r>
      </w:hyperlink>
    </w:p>
    <w:p w14:paraId="7A59A2F2" w14:textId="0C56D951"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van Rooyen, A., Water, T., Rasmussen, S., &amp; Diesfeld, K. (2015). What makes a child a 'competent' child? The New Zealand medical journal, 128(1426), 88–95.</w:t>
      </w:r>
    </w:p>
    <w:p w14:paraId="5BCD1785"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van Teijlingen, E. &amp; Hundley, V. (2001) ‘The importance of pilot studies.’ </w:t>
      </w:r>
      <w:r w:rsidRPr="00447896">
        <w:rPr>
          <w:rFonts w:ascii="Arial" w:hAnsi="Arial" w:cs="Arial"/>
          <w:i/>
          <w:iCs/>
          <w:sz w:val="24"/>
          <w:szCs w:val="24"/>
        </w:rPr>
        <w:t>Social Research Update,</w:t>
      </w:r>
      <w:r w:rsidRPr="00447896">
        <w:rPr>
          <w:rFonts w:ascii="Arial" w:hAnsi="Arial" w:cs="Arial"/>
          <w:sz w:val="24"/>
          <w:szCs w:val="24"/>
        </w:rPr>
        <w:t xml:space="preserve"> 35, 1–4.</w:t>
      </w:r>
    </w:p>
    <w:p w14:paraId="660C4206" w14:textId="77777777" w:rsidR="00447896" w:rsidRPr="00447896" w:rsidRDefault="00447896" w:rsidP="00447896">
      <w:pPr>
        <w:rPr>
          <w:rFonts w:ascii="Arial" w:hAnsi="Arial" w:cs="Arial"/>
          <w:sz w:val="24"/>
          <w:szCs w:val="24"/>
        </w:rPr>
      </w:pPr>
      <w:r w:rsidRPr="00447896">
        <w:rPr>
          <w:rFonts w:ascii="Arial" w:hAnsi="Arial" w:cs="Arial"/>
          <w:sz w:val="24"/>
          <w:szCs w:val="24"/>
        </w:rPr>
        <w:t>Waters</w:t>
      </w:r>
      <w:r w:rsidRPr="00447896">
        <w:rPr>
          <w:rFonts w:ascii="Arial" w:hAnsi="Arial" w:cs="Arial"/>
          <w:sz w:val="24"/>
          <w:szCs w:val="24"/>
        </w:rPr>
        <w:noBreakHyphen/>
        <w:t xml:space="preserve">Davies, J. &amp; MacDonald, N. (2022) ‘The capable child as a threshold concept…’ In Conn, C. &amp; Murphy, A. (Eds.), </w:t>
      </w:r>
      <w:r w:rsidRPr="00447896">
        <w:rPr>
          <w:rFonts w:ascii="Arial" w:hAnsi="Arial" w:cs="Arial"/>
          <w:i/>
          <w:iCs/>
          <w:sz w:val="24"/>
          <w:szCs w:val="24"/>
        </w:rPr>
        <w:t>Inclusive Pedagogies for Early Childhood Education.</w:t>
      </w:r>
      <w:r w:rsidRPr="00447896">
        <w:rPr>
          <w:rFonts w:ascii="Arial" w:hAnsi="Arial" w:cs="Arial"/>
          <w:sz w:val="24"/>
          <w:szCs w:val="24"/>
        </w:rPr>
        <w:t xml:space="preserve"> Taylor &amp; Francis.</w:t>
      </w:r>
    </w:p>
    <w:p w14:paraId="7F4DD1EB" w14:textId="77777777" w:rsidR="00447896" w:rsidRPr="00447896" w:rsidRDefault="00447896" w:rsidP="00447896">
      <w:pPr>
        <w:rPr>
          <w:rFonts w:ascii="Arial" w:hAnsi="Arial" w:cs="Arial"/>
          <w:sz w:val="24"/>
          <w:szCs w:val="24"/>
        </w:rPr>
      </w:pPr>
      <w:r w:rsidRPr="00447896">
        <w:rPr>
          <w:rFonts w:ascii="Arial" w:hAnsi="Arial" w:cs="Arial"/>
          <w:sz w:val="24"/>
          <w:szCs w:val="24"/>
        </w:rPr>
        <w:t>Waters</w:t>
      </w:r>
      <w:r w:rsidRPr="00447896">
        <w:rPr>
          <w:rFonts w:ascii="Arial" w:hAnsi="Arial" w:cs="Arial"/>
          <w:sz w:val="24"/>
          <w:szCs w:val="24"/>
        </w:rPr>
        <w:noBreakHyphen/>
        <w:t xml:space="preserve">Davies, J. et al. (2024) ‘Constructing child participation in early years classrooms.’ </w:t>
      </w:r>
      <w:r w:rsidRPr="00447896">
        <w:rPr>
          <w:rFonts w:ascii="Arial" w:hAnsi="Arial" w:cs="Arial"/>
          <w:i/>
          <w:iCs/>
          <w:sz w:val="24"/>
          <w:szCs w:val="24"/>
        </w:rPr>
        <w:t>Children &amp; Society,</w:t>
      </w:r>
      <w:r w:rsidRPr="00447896">
        <w:rPr>
          <w:rFonts w:ascii="Arial" w:hAnsi="Arial" w:cs="Arial"/>
          <w:sz w:val="24"/>
          <w:szCs w:val="24"/>
        </w:rPr>
        <w:t xml:space="preserve"> 38(5), 1824–1841.</w:t>
      </w:r>
    </w:p>
    <w:p w14:paraId="78AA3EFE" w14:textId="6C46AFBA" w:rsidR="00447896" w:rsidRPr="00447896" w:rsidRDefault="00447896" w:rsidP="00447896">
      <w:pPr>
        <w:rPr>
          <w:rFonts w:ascii="Arial" w:hAnsi="Arial" w:cs="Arial"/>
          <w:i/>
          <w:iCs/>
          <w:sz w:val="24"/>
          <w:szCs w:val="24"/>
        </w:rPr>
      </w:pPr>
      <w:r w:rsidRPr="00447896">
        <w:rPr>
          <w:rFonts w:ascii="Arial" w:hAnsi="Arial" w:cs="Arial"/>
          <w:sz w:val="24"/>
          <w:szCs w:val="24"/>
        </w:rPr>
        <w:t xml:space="preserve">Welsh Government (2022) </w:t>
      </w:r>
      <w:r w:rsidRPr="00447896">
        <w:rPr>
          <w:rFonts w:ascii="Arial" w:hAnsi="Arial" w:cs="Arial"/>
          <w:i/>
          <w:iCs/>
          <w:sz w:val="24"/>
          <w:szCs w:val="24"/>
        </w:rPr>
        <w:t>A Curriculum for Funded Non</w:t>
      </w:r>
      <w:r w:rsidRPr="00447896">
        <w:rPr>
          <w:rFonts w:ascii="Arial" w:hAnsi="Arial" w:cs="Arial"/>
          <w:i/>
          <w:iCs/>
          <w:sz w:val="24"/>
          <w:szCs w:val="24"/>
        </w:rPr>
        <w:noBreakHyphen/>
        <w:t>Maintained Nursery Settings. Cardiff: Welsh Government.</w:t>
      </w:r>
    </w:p>
    <w:p w14:paraId="4073F861" w14:textId="2B2958F6" w:rsidR="00447896" w:rsidRPr="00447896" w:rsidRDefault="00447896" w:rsidP="00447896">
      <w:pPr>
        <w:rPr>
          <w:rFonts w:ascii="Arial" w:hAnsi="Arial" w:cs="Arial"/>
          <w:i/>
          <w:iCs/>
          <w:sz w:val="24"/>
          <w:szCs w:val="24"/>
        </w:rPr>
      </w:pPr>
      <w:r w:rsidRPr="00447896">
        <w:rPr>
          <w:rFonts w:ascii="Arial" w:hAnsi="Arial" w:cs="Arial"/>
          <w:sz w:val="24"/>
          <w:szCs w:val="24"/>
        </w:rPr>
        <w:t xml:space="preserve">Welsh Government (2023) </w:t>
      </w:r>
      <w:r w:rsidRPr="00447896">
        <w:rPr>
          <w:rFonts w:ascii="Arial" w:hAnsi="Arial" w:cs="Arial"/>
          <w:i/>
          <w:iCs/>
          <w:sz w:val="24"/>
          <w:szCs w:val="24"/>
        </w:rPr>
        <w:t>Flying Start Childcare Guidance. Cardiff: Welsh Government.</w:t>
      </w:r>
    </w:p>
    <w:p w14:paraId="47A38B60" w14:textId="3B4397F5" w:rsidR="00447896" w:rsidRPr="00447896" w:rsidRDefault="00447896" w:rsidP="00447896">
      <w:pPr>
        <w:rPr>
          <w:rFonts w:ascii="Arial" w:hAnsi="Arial" w:cs="Arial"/>
          <w:i/>
          <w:iCs/>
          <w:sz w:val="24"/>
          <w:szCs w:val="24"/>
        </w:rPr>
      </w:pPr>
      <w:r w:rsidRPr="00447896">
        <w:rPr>
          <w:rFonts w:ascii="Arial" w:hAnsi="Arial" w:cs="Arial"/>
          <w:sz w:val="24"/>
          <w:szCs w:val="24"/>
        </w:rPr>
        <w:t xml:space="preserve">Welsh Government (2023b) </w:t>
      </w:r>
      <w:r w:rsidRPr="00447896">
        <w:rPr>
          <w:rFonts w:ascii="Arial" w:hAnsi="Arial" w:cs="Arial"/>
          <w:i/>
          <w:iCs/>
          <w:sz w:val="24"/>
          <w:szCs w:val="24"/>
        </w:rPr>
        <w:t>Early Childhood Education and Care (ECEC) Quality Framework in Wales. Cardiff: Welsh Government.</w:t>
      </w:r>
    </w:p>
    <w:p w14:paraId="3075133B" w14:textId="7E206159" w:rsidR="00447896" w:rsidRPr="00447896" w:rsidRDefault="00447896" w:rsidP="00447896">
      <w:pPr>
        <w:rPr>
          <w:rFonts w:ascii="Arial" w:hAnsi="Arial" w:cs="Arial"/>
          <w:sz w:val="24"/>
          <w:szCs w:val="24"/>
          <w:lang w:val="en-US"/>
        </w:rPr>
      </w:pPr>
      <w:r w:rsidRPr="00447896">
        <w:rPr>
          <w:rFonts w:ascii="Arial" w:hAnsi="Arial" w:cs="Arial"/>
          <w:sz w:val="24"/>
          <w:szCs w:val="24"/>
          <w:lang w:val="en-US"/>
        </w:rPr>
        <w:t>Whitters, H.G. (2017). Nursery Nurse to Early Years’ Practitioner: Role, Relationships and Responsibilities (1st ed.). Routledge. https://doi.org/10.4324/9781315114835</w:t>
      </w:r>
    </w:p>
    <w:p w14:paraId="166F99B3" w14:textId="77777777" w:rsidR="00447896" w:rsidRPr="00447896" w:rsidRDefault="00447896" w:rsidP="00447896">
      <w:pPr>
        <w:rPr>
          <w:rFonts w:ascii="Arial" w:hAnsi="Arial" w:cs="Arial"/>
          <w:sz w:val="24"/>
          <w:szCs w:val="24"/>
        </w:rPr>
      </w:pPr>
      <w:r w:rsidRPr="00447896">
        <w:rPr>
          <w:rFonts w:ascii="Arial" w:hAnsi="Arial" w:cs="Arial"/>
          <w:sz w:val="24"/>
          <w:szCs w:val="24"/>
        </w:rPr>
        <w:t xml:space="preserve">Yip, S.Y. (2024) ‘Positionality and reflexivity…’ </w:t>
      </w:r>
      <w:r w:rsidRPr="00447896">
        <w:rPr>
          <w:rFonts w:ascii="Arial" w:hAnsi="Arial" w:cs="Arial"/>
          <w:i/>
          <w:iCs/>
          <w:sz w:val="24"/>
          <w:szCs w:val="24"/>
        </w:rPr>
        <w:t>International Journal of Research &amp; Method in Education,</w:t>
      </w:r>
      <w:r w:rsidRPr="00447896">
        <w:rPr>
          <w:rFonts w:ascii="Arial" w:hAnsi="Arial" w:cs="Arial"/>
          <w:sz w:val="24"/>
          <w:szCs w:val="24"/>
        </w:rPr>
        <w:t xml:space="preserve"> 47(3), 222–232</w:t>
      </w:r>
    </w:p>
    <w:p w14:paraId="1EFFF54F" w14:textId="77777777" w:rsidR="00447896" w:rsidRPr="00447896" w:rsidRDefault="00447896">
      <w:pPr>
        <w:rPr>
          <w:rFonts w:ascii="Arial" w:hAnsi="Arial" w:cs="Arial"/>
          <w:sz w:val="24"/>
          <w:szCs w:val="24"/>
        </w:rPr>
      </w:pPr>
    </w:p>
    <w:p w14:paraId="2BE77404" w14:textId="77777777" w:rsidR="00447896" w:rsidRPr="00447896" w:rsidRDefault="00447896">
      <w:pPr>
        <w:rPr>
          <w:rFonts w:ascii="Arial" w:hAnsi="Arial" w:cs="Arial"/>
          <w:sz w:val="24"/>
          <w:szCs w:val="24"/>
        </w:rPr>
      </w:pPr>
    </w:p>
    <w:p w14:paraId="51E11BA3" w14:textId="77777777" w:rsidR="00447896" w:rsidRPr="00447896" w:rsidRDefault="00447896">
      <w:pPr>
        <w:rPr>
          <w:rFonts w:ascii="Arial" w:hAnsi="Arial" w:cs="Arial"/>
          <w:sz w:val="24"/>
          <w:szCs w:val="24"/>
        </w:rPr>
      </w:pPr>
    </w:p>
    <w:p w14:paraId="1E1EDC4A" w14:textId="77777777" w:rsidR="00447896" w:rsidRPr="00447896" w:rsidRDefault="00447896">
      <w:pPr>
        <w:rPr>
          <w:rFonts w:ascii="Arial" w:hAnsi="Arial" w:cs="Arial"/>
          <w:sz w:val="24"/>
          <w:szCs w:val="24"/>
        </w:rPr>
      </w:pPr>
    </w:p>
    <w:p w14:paraId="0E954B42" w14:textId="77777777" w:rsidR="00447896" w:rsidRPr="00447896" w:rsidRDefault="00447896">
      <w:pPr>
        <w:rPr>
          <w:rFonts w:ascii="Arial" w:hAnsi="Arial" w:cs="Arial"/>
          <w:sz w:val="24"/>
          <w:szCs w:val="24"/>
        </w:rPr>
      </w:pPr>
    </w:p>
    <w:p w14:paraId="702B3117" w14:textId="77777777" w:rsidR="00447896" w:rsidRDefault="00447896">
      <w:pPr>
        <w:rPr>
          <w:rFonts w:ascii="Arial" w:hAnsi="Arial" w:cs="Arial"/>
          <w:sz w:val="24"/>
          <w:szCs w:val="24"/>
        </w:rPr>
      </w:pPr>
    </w:p>
    <w:p w14:paraId="260DB2DC" w14:textId="77777777" w:rsidR="00447896" w:rsidRDefault="00447896">
      <w:pPr>
        <w:rPr>
          <w:rFonts w:ascii="Arial" w:hAnsi="Arial" w:cs="Arial"/>
          <w:sz w:val="24"/>
          <w:szCs w:val="24"/>
        </w:rPr>
      </w:pPr>
    </w:p>
    <w:p w14:paraId="0F1486A6" w14:textId="77777777" w:rsidR="00447896" w:rsidRDefault="00447896">
      <w:pPr>
        <w:rPr>
          <w:rFonts w:ascii="Arial" w:hAnsi="Arial" w:cs="Arial"/>
          <w:sz w:val="24"/>
          <w:szCs w:val="24"/>
        </w:rPr>
      </w:pPr>
    </w:p>
    <w:p w14:paraId="52DC6DE1" w14:textId="77777777" w:rsidR="00447896" w:rsidRDefault="00447896">
      <w:pPr>
        <w:rPr>
          <w:rFonts w:ascii="Arial" w:hAnsi="Arial" w:cs="Arial"/>
          <w:sz w:val="24"/>
          <w:szCs w:val="24"/>
        </w:rPr>
      </w:pPr>
    </w:p>
    <w:p w14:paraId="03747D90" w14:textId="77777777" w:rsidR="00447896" w:rsidRDefault="00447896">
      <w:pPr>
        <w:rPr>
          <w:rFonts w:ascii="Arial" w:hAnsi="Arial" w:cs="Arial"/>
          <w:sz w:val="24"/>
          <w:szCs w:val="24"/>
        </w:rPr>
      </w:pPr>
    </w:p>
    <w:p w14:paraId="058F1694" w14:textId="77777777" w:rsidR="00447896" w:rsidRDefault="00447896">
      <w:pPr>
        <w:rPr>
          <w:rFonts w:ascii="Arial" w:hAnsi="Arial" w:cs="Arial"/>
          <w:sz w:val="24"/>
          <w:szCs w:val="24"/>
        </w:rPr>
      </w:pPr>
    </w:p>
    <w:p w14:paraId="0E0BE738" w14:textId="77777777" w:rsidR="00447896" w:rsidRPr="00447896" w:rsidRDefault="00447896">
      <w:pPr>
        <w:rPr>
          <w:rFonts w:ascii="Arial" w:hAnsi="Arial" w:cs="Arial"/>
          <w:sz w:val="24"/>
          <w:szCs w:val="24"/>
        </w:rPr>
      </w:pPr>
    </w:p>
    <w:p w14:paraId="64074F50" w14:textId="77777777" w:rsidR="00447896" w:rsidRPr="00447896" w:rsidRDefault="00447896">
      <w:pPr>
        <w:rPr>
          <w:rFonts w:ascii="Arial" w:hAnsi="Arial" w:cs="Arial"/>
          <w:sz w:val="24"/>
          <w:szCs w:val="24"/>
        </w:rPr>
      </w:pPr>
    </w:p>
    <w:p w14:paraId="1FFC8484" w14:textId="77777777" w:rsidR="00447896" w:rsidRPr="00447896" w:rsidRDefault="00447896" w:rsidP="00447896">
      <w:pPr>
        <w:rPr>
          <w:rFonts w:ascii="Arial" w:hAnsi="Arial" w:cs="Arial"/>
          <w:sz w:val="24"/>
          <w:szCs w:val="24"/>
        </w:rPr>
      </w:pPr>
      <w:r w:rsidRPr="00447896">
        <w:rPr>
          <w:rFonts w:ascii="Arial" w:hAnsi="Arial" w:cs="Arial"/>
          <w:b/>
          <w:bCs/>
          <w:sz w:val="24"/>
          <w:szCs w:val="24"/>
        </w:rPr>
        <w:lastRenderedPageBreak/>
        <w:t>Basic Acknowledgement format of AI tool use:</w:t>
      </w:r>
    </w:p>
    <w:p w14:paraId="33E0DAD3" w14:textId="5642E70B" w:rsidR="00447896" w:rsidRPr="00447896" w:rsidRDefault="00447896" w:rsidP="00447896">
      <w:pPr>
        <w:rPr>
          <w:rFonts w:ascii="Arial" w:hAnsi="Arial" w:cs="Arial"/>
          <w:sz w:val="24"/>
          <w:szCs w:val="24"/>
        </w:rPr>
      </w:pPr>
      <w:r w:rsidRPr="00447896">
        <w:rPr>
          <w:rFonts w:ascii="Arial" w:hAnsi="Arial" w:cs="Arial"/>
          <w:sz w:val="24"/>
          <w:szCs w:val="24"/>
        </w:rPr>
        <w:br/>
        <w:t xml:space="preserve">I acknowledge the use of copilot which is available at https://copilot.cloud.microsoft/ </w:t>
      </w:r>
    </w:p>
    <w:p w14:paraId="702292DA" w14:textId="1215F9FC" w:rsidR="00447896" w:rsidRPr="00447896" w:rsidRDefault="00447896" w:rsidP="00447896">
      <w:pPr>
        <w:rPr>
          <w:rFonts w:ascii="Arial" w:hAnsi="Arial" w:cs="Arial"/>
          <w:sz w:val="24"/>
          <w:szCs w:val="24"/>
        </w:rPr>
      </w:pPr>
      <w:r w:rsidRPr="00447896">
        <w:rPr>
          <w:rFonts w:ascii="Arial" w:hAnsi="Arial" w:cs="Arial"/>
          <w:sz w:val="24"/>
          <w:szCs w:val="24"/>
        </w:rPr>
        <w:t>I used the following prompts:</w:t>
      </w:r>
    </w:p>
    <w:p w14:paraId="7C753DCA" w14:textId="77777777" w:rsidR="00447896" w:rsidRPr="00447896" w:rsidRDefault="00447896" w:rsidP="00447896">
      <w:pPr>
        <w:pStyle w:val="ListParagraph"/>
        <w:numPr>
          <w:ilvl w:val="0"/>
          <w:numId w:val="31"/>
        </w:numPr>
        <w:rPr>
          <w:rFonts w:ascii="Arial" w:hAnsi="Arial" w:cs="Arial"/>
          <w:sz w:val="24"/>
          <w:szCs w:val="24"/>
        </w:rPr>
      </w:pPr>
      <w:r w:rsidRPr="00447896">
        <w:rPr>
          <w:rFonts w:ascii="Arial" w:hAnsi="Arial" w:cs="Arial"/>
          <w:sz w:val="24"/>
          <w:szCs w:val="24"/>
        </w:rPr>
        <w:t>Can you proofread this section and check all of the references I’ve used are in my reference list?</w:t>
      </w:r>
    </w:p>
    <w:p w14:paraId="38D074CE" w14:textId="77777777" w:rsidR="00447896" w:rsidRPr="00447896" w:rsidRDefault="00447896" w:rsidP="00447896">
      <w:pPr>
        <w:pStyle w:val="ListParagraph"/>
        <w:numPr>
          <w:ilvl w:val="0"/>
          <w:numId w:val="31"/>
        </w:numPr>
        <w:rPr>
          <w:rFonts w:ascii="Arial" w:hAnsi="Arial" w:cs="Arial"/>
          <w:sz w:val="24"/>
          <w:szCs w:val="24"/>
        </w:rPr>
      </w:pPr>
      <w:r w:rsidRPr="00447896">
        <w:rPr>
          <w:rFonts w:ascii="Arial" w:hAnsi="Arial" w:cs="Arial"/>
          <w:sz w:val="24"/>
          <w:szCs w:val="24"/>
        </w:rPr>
        <w:t xml:space="preserve">Can you help with the data analysis section– this is what I’ve drafted. Am I missing anything? </w:t>
      </w:r>
    </w:p>
    <w:p w14:paraId="301DD795" w14:textId="77777777" w:rsidR="00447896" w:rsidRPr="00447896" w:rsidRDefault="00447896" w:rsidP="00447896">
      <w:pPr>
        <w:pStyle w:val="ListParagraph"/>
        <w:numPr>
          <w:ilvl w:val="0"/>
          <w:numId w:val="31"/>
        </w:numPr>
        <w:rPr>
          <w:rFonts w:ascii="Arial" w:hAnsi="Arial" w:cs="Arial"/>
          <w:sz w:val="24"/>
          <w:szCs w:val="24"/>
        </w:rPr>
      </w:pPr>
      <w:r w:rsidRPr="00447896">
        <w:rPr>
          <w:rFonts w:ascii="Arial" w:hAnsi="Arial" w:cs="Arial"/>
          <w:sz w:val="24"/>
          <w:szCs w:val="24"/>
        </w:rPr>
        <w:t xml:space="preserve">I have these questions for semi structured interviews with Flying Start childcare practitioners </w:t>
      </w:r>
      <w:r w:rsidRPr="00447896">
        <w:rPr>
          <w:rFonts w:ascii="Arial" w:hAnsi="Arial" w:cs="Arial"/>
          <w:i/>
          <w:iCs/>
          <w:sz w:val="24"/>
          <w:szCs w:val="24"/>
        </w:rPr>
        <w:t>1. What does it mean to you to view a young child as confident and curious? 2. What does ‘competence’ mean to you when thinking about the children who attend this setting? 3. Do you think children are able to make choices for themselves? Why or why not? 4. Can you share an example of a time when you have supported a child to make decisions? 5. How do your beliefs about what children can do influence the way that you plan activities or routines? 6. When a child struggles with a task, how do you decide whether to step in or let them try on their own? 7. Where do you think your views about children’s abilities come from? Training? Experience? Culture? 8. Do you think practitioners’ views can impact children’s confidence or independence?</w:t>
      </w:r>
      <w:r w:rsidRPr="00447896">
        <w:rPr>
          <w:rFonts w:ascii="Arial" w:hAnsi="Arial" w:cs="Arial"/>
          <w:sz w:val="24"/>
          <w:szCs w:val="24"/>
        </w:rPr>
        <w:t xml:space="preserve"> I want to use thematic analysis and discourse analysis. Can you make any suggestions please about the sorts of themes that might emerge?</w:t>
      </w:r>
    </w:p>
    <w:p w14:paraId="03E43351" w14:textId="31FCD80B" w:rsidR="00447896" w:rsidRPr="00447896" w:rsidRDefault="00447896" w:rsidP="00447896">
      <w:pPr>
        <w:pStyle w:val="ListParagraph"/>
        <w:numPr>
          <w:ilvl w:val="0"/>
          <w:numId w:val="31"/>
        </w:numPr>
        <w:rPr>
          <w:rFonts w:ascii="Arial" w:hAnsi="Arial" w:cs="Arial"/>
          <w:sz w:val="24"/>
          <w:szCs w:val="24"/>
        </w:rPr>
      </w:pPr>
      <w:r w:rsidRPr="00447896">
        <w:rPr>
          <w:rFonts w:ascii="Arial" w:hAnsi="Arial" w:cs="Arial"/>
          <w:sz w:val="24"/>
          <w:szCs w:val="24"/>
        </w:rPr>
        <w:t>Here is a critical literature review – I’ve proposed this action research as a result of it. Can you please help me summarise this so I can use it as</w:t>
      </w:r>
      <w:r w:rsidR="00672A04">
        <w:rPr>
          <w:rFonts w:ascii="Arial" w:hAnsi="Arial" w:cs="Arial"/>
          <w:sz w:val="24"/>
          <w:szCs w:val="24"/>
        </w:rPr>
        <w:t xml:space="preserve"> a starter for</w:t>
      </w:r>
      <w:r w:rsidRPr="00447896">
        <w:rPr>
          <w:rFonts w:ascii="Arial" w:hAnsi="Arial" w:cs="Arial"/>
          <w:sz w:val="24"/>
          <w:szCs w:val="24"/>
        </w:rPr>
        <w:t xml:space="preserve"> an introduction and rationale for the methodology section? </w:t>
      </w:r>
    </w:p>
    <w:p w14:paraId="64916924" w14:textId="77777777" w:rsidR="00447896" w:rsidRPr="00447896" w:rsidRDefault="00447896" w:rsidP="00447896">
      <w:pPr>
        <w:pStyle w:val="ListParagraph"/>
        <w:numPr>
          <w:ilvl w:val="0"/>
          <w:numId w:val="31"/>
        </w:numPr>
        <w:rPr>
          <w:rFonts w:ascii="Arial" w:hAnsi="Arial" w:cs="Arial"/>
          <w:sz w:val="24"/>
          <w:szCs w:val="24"/>
        </w:rPr>
      </w:pPr>
      <w:r w:rsidRPr="00447896">
        <w:rPr>
          <w:rFonts w:ascii="Arial" w:hAnsi="Arial" w:cs="Arial"/>
          <w:sz w:val="24"/>
          <w:szCs w:val="24"/>
        </w:rPr>
        <w:t xml:space="preserve">I need to consider the limitations of the study. I think that the small sample size is one and also the power dynamic with me being the RI. Are there any others? </w:t>
      </w:r>
    </w:p>
    <w:p w14:paraId="397B6531" w14:textId="77777777" w:rsidR="00447896" w:rsidRPr="00447896" w:rsidRDefault="00447896" w:rsidP="00447896">
      <w:pPr>
        <w:pStyle w:val="ListParagraph"/>
        <w:numPr>
          <w:ilvl w:val="0"/>
          <w:numId w:val="31"/>
        </w:numPr>
        <w:rPr>
          <w:rFonts w:ascii="Arial" w:hAnsi="Arial" w:cs="Arial"/>
          <w:sz w:val="24"/>
          <w:szCs w:val="24"/>
        </w:rPr>
      </w:pPr>
      <w:r w:rsidRPr="00447896">
        <w:rPr>
          <w:rFonts w:ascii="Arial" w:hAnsi="Arial" w:cs="Arial"/>
          <w:sz w:val="24"/>
          <w:szCs w:val="24"/>
        </w:rPr>
        <w:t>I need some help with summarising these articles: could you do that for me please?</w:t>
      </w:r>
    </w:p>
    <w:p w14:paraId="4DE5DDD8" w14:textId="77777777" w:rsidR="00447896" w:rsidRPr="00447896" w:rsidRDefault="00447896" w:rsidP="00447896">
      <w:pPr>
        <w:pStyle w:val="ListParagraph"/>
        <w:numPr>
          <w:ilvl w:val="0"/>
          <w:numId w:val="31"/>
        </w:numPr>
        <w:rPr>
          <w:rFonts w:ascii="Arial" w:hAnsi="Arial" w:cs="Arial"/>
          <w:sz w:val="24"/>
          <w:szCs w:val="24"/>
        </w:rPr>
      </w:pPr>
      <w:r w:rsidRPr="00447896">
        <w:rPr>
          <w:rFonts w:ascii="Arial" w:hAnsi="Arial" w:cs="Arial"/>
          <w:sz w:val="24"/>
          <w:szCs w:val="24"/>
        </w:rPr>
        <w:t>Will you format this so that it's correct for reference in text Harvard style?</w:t>
      </w:r>
    </w:p>
    <w:p w14:paraId="067C8788" w14:textId="77777777" w:rsidR="00447896" w:rsidRPr="00447896" w:rsidRDefault="00447896" w:rsidP="00447896">
      <w:pPr>
        <w:pStyle w:val="ListParagraph"/>
        <w:numPr>
          <w:ilvl w:val="0"/>
          <w:numId w:val="31"/>
        </w:numPr>
        <w:rPr>
          <w:rFonts w:ascii="Arial" w:hAnsi="Arial" w:cs="Arial"/>
          <w:sz w:val="24"/>
          <w:szCs w:val="24"/>
        </w:rPr>
      </w:pPr>
      <w:r w:rsidRPr="00447896">
        <w:rPr>
          <w:rFonts w:ascii="Arial" w:hAnsi="Arial" w:cs="Arial"/>
          <w:sz w:val="24"/>
          <w:szCs w:val="24"/>
        </w:rPr>
        <w:t>There is duplication in this reference list and it's not in alphabetical order (Harvard style). Can you fix that for me please?</w:t>
      </w:r>
    </w:p>
    <w:p w14:paraId="2C19FFC0" w14:textId="77777777" w:rsidR="00447896" w:rsidRPr="00447896" w:rsidRDefault="00447896" w:rsidP="00447896">
      <w:pPr>
        <w:rPr>
          <w:rFonts w:ascii="Arial" w:hAnsi="Arial" w:cs="Arial"/>
          <w:sz w:val="24"/>
          <w:szCs w:val="24"/>
        </w:rPr>
      </w:pPr>
    </w:p>
    <w:p w14:paraId="5437912A" w14:textId="77777777" w:rsidR="00447896" w:rsidRPr="00447896" w:rsidRDefault="00447896" w:rsidP="00447896">
      <w:pPr>
        <w:rPr>
          <w:rFonts w:ascii="Arial" w:hAnsi="Arial" w:cs="Arial"/>
          <w:sz w:val="24"/>
          <w:szCs w:val="24"/>
        </w:rPr>
      </w:pPr>
      <w:r w:rsidRPr="00447896">
        <w:rPr>
          <w:rFonts w:ascii="Arial" w:hAnsi="Arial" w:cs="Arial"/>
          <w:sz w:val="24"/>
          <w:szCs w:val="24"/>
        </w:rPr>
        <w:t>I used the free version of ‘grammarly’ which is installed on my laptop to help identify any spelling errors</w:t>
      </w:r>
    </w:p>
    <w:p w14:paraId="72C8E128" w14:textId="77777777" w:rsidR="00447896" w:rsidRPr="00447896" w:rsidRDefault="00447896" w:rsidP="00447896">
      <w:pPr>
        <w:rPr>
          <w:rFonts w:ascii="Arial" w:hAnsi="Arial" w:cs="Arial"/>
          <w:sz w:val="24"/>
          <w:szCs w:val="24"/>
        </w:rPr>
      </w:pPr>
      <w:r w:rsidRPr="00447896">
        <w:rPr>
          <w:rFonts w:ascii="Arial" w:hAnsi="Arial" w:cs="Arial"/>
          <w:sz w:val="24"/>
          <w:szCs w:val="24"/>
        </w:rPr>
        <w:br/>
        <w:t>I confirm that I have not presented any AI generated text as my own work</w:t>
      </w:r>
    </w:p>
    <w:p w14:paraId="1F72A0C3" w14:textId="77777777" w:rsidR="00447896" w:rsidRPr="00447896" w:rsidRDefault="00447896" w:rsidP="00447896">
      <w:pPr>
        <w:rPr>
          <w:rFonts w:ascii="Arial" w:hAnsi="Arial" w:cs="Arial"/>
          <w:sz w:val="24"/>
          <w:szCs w:val="24"/>
        </w:rPr>
      </w:pPr>
      <w:r w:rsidRPr="00447896">
        <w:rPr>
          <w:rFonts w:ascii="Arial" w:hAnsi="Arial" w:cs="Arial"/>
          <w:sz w:val="24"/>
          <w:szCs w:val="24"/>
        </w:rPr>
        <w:br/>
        <w:t>I confirm I have copies of my drafts, notes, and other resources I used before, and after the use of AI tools which I may be asked to provide in evidence</w:t>
      </w:r>
    </w:p>
    <w:p w14:paraId="0778A183" w14:textId="77777777" w:rsidR="00447896" w:rsidRPr="00447896" w:rsidRDefault="00447896">
      <w:pPr>
        <w:rPr>
          <w:rFonts w:ascii="Arial" w:hAnsi="Arial" w:cs="Arial"/>
          <w:sz w:val="24"/>
          <w:szCs w:val="24"/>
        </w:rPr>
      </w:pPr>
    </w:p>
    <w:sectPr w:rsidR="00447896" w:rsidRPr="00447896" w:rsidSect="00FB3E9B">
      <w:headerReference w:type="default" r:id="rId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D9183" w14:textId="77777777" w:rsidR="00395813" w:rsidRDefault="00395813" w:rsidP="000759E1">
      <w:pPr>
        <w:spacing w:after="0" w:line="240" w:lineRule="auto"/>
      </w:pPr>
      <w:r>
        <w:separator/>
      </w:r>
    </w:p>
  </w:endnote>
  <w:endnote w:type="continuationSeparator" w:id="0">
    <w:p w14:paraId="5A425414" w14:textId="77777777" w:rsidR="00395813" w:rsidRDefault="00395813" w:rsidP="00075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CDEE5" w14:textId="77777777" w:rsidR="00395813" w:rsidRDefault="00395813" w:rsidP="000759E1">
      <w:pPr>
        <w:spacing w:after="0" w:line="240" w:lineRule="auto"/>
      </w:pPr>
      <w:r>
        <w:separator/>
      </w:r>
    </w:p>
  </w:footnote>
  <w:footnote w:type="continuationSeparator" w:id="0">
    <w:p w14:paraId="63952FB6" w14:textId="77777777" w:rsidR="00395813" w:rsidRDefault="00395813" w:rsidP="000759E1">
      <w:pPr>
        <w:spacing w:after="0" w:line="240" w:lineRule="auto"/>
      </w:pPr>
      <w:r>
        <w:continuationSeparator/>
      </w:r>
    </w:p>
  </w:footnote>
  <w:footnote w:id="1">
    <w:p w14:paraId="56A804F6" w14:textId="77777777" w:rsidR="00161AD8" w:rsidRPr="00AB5B26" w:rsidRDefault="00161AD8" w:rsidP="00161AD8">
      <w:pPr>
        <w:pStyle w:val="FootnoteText"/>
        <w:rPr>
          <w:rFonts w:ascii="Arial" w:hAnsi="Arial" w:cs="Arial"/>
          <w:sz w:val="18"/>
          <w:szCs w:val="18"/>
        </w:rPr>
      </w:pPr>
      <w:r w:rsidRPr="00AB5B26">
        <w:rPr>
          <w:rStyle w:val="FootnoteReference"/>
          <w:rFonts w:ascii="Arial" w:hAnsi="Arial" w:cs="Arial"/>
          <w:sz w:val="18"/>
          <w:szCs w:val="18"/>
        </w:rPr>
        <w:footnoteRef/>
      </w:r>
      <w:r w:rsidRPr="00AB5B26">
        <w:rPr>
          <w:rFonts w:ascii="Arial" w:hAnsi="Arial" w:cs="Arial"/>
          <w:sz w:val="18"/>
          <w:szCs w:val="18"/>
        </w:rPr>
        <w:t xml:space="preserve"> Where day care is being provided by an organisation, a responsible individual who is responsible for day-to-day supervision of the provision of day care must be appointed by that organisation. The responsible individual has to meet the regulatory requirements in terms of their suitability for the positions (as specified in regulation 6(3)(b)(iii) or (iv) of the Child Minding and Day Care (Wales) Regulations 2010 (as amended)). It is the responsible individual who will generally be expected to demonstrate the ongoing compliance of the day care provision with the various requirements of these regulations, having regard to the relevant statements in the NMS.</w:t>
      </w:r>
    </w:p>
  </w:footnote>
  <w:footnote w:id="2">
    <w:p w14:paraId="12997676" w14:textId="08AB98CF" w:rsidR="00362E5C" w:rsidRPr="00C6753E" w:rsidRDefault="00362E5C" w:rsidP="00C6753E">
      <w:pPr>
        <w:spacing w:line="240" w:lineRule="auto"/>
        <w:rPr>
          <w:rFonts w:ascii="Arial" w:hAnsi="Arial" w:cs="Arial"/>
          <w:sz w:val="16"/>
          <w:szCs w:val="16"/>
        </w:rPr>
      </w:pPr>
      <w:r w:rsidRPr="00C6753E">
        <w:rPr>
          <w:rStyle w:val="FootnoteReference"/>
          <w:rFonts w:ascii="Arial" w:hAnsi="Arial" w:cs="Arial"/>
          <w:sz w:val="16"/>
          <w:szCs w:val="16"/>
        </w:rPr>
        <w:footnoteRef/>
      </w:r>
      <w:r w:rsidRPr="00C6753E">
        <w:rPr>
          <w:rFonts w:ascii="Arial" w:hAnsi="Arial" w:cs="Arial"/>
          <w:sz w:val="16"/>
          <w:szCs w:val="16"/>
        </w:rPr>
        <w:t xml:space="preserve"> What does it mean to you to view a young child as confident and curious?</w:t>
      </w:r>
      <w:r w:rsidR="00C6753E" w:rsidRPr="00C6753E">
        <w:rPr>
          <w:rFonts w:ascii="Arial" w:hAnsi="Arial" w:cs="Arial"/>
          <w:sz w:val="16"/>
          <w:szCs w:val="16"/>
        </w:rPr>
        <w:t xml:space="preserve"> </w:t>
      </w:r>
      <w:r w:rsidRPr="00C6753E">
        <w:rPr>
          <w:rFonts w:ascii="Arial" w:hAnsi="Arial" w:cs="Arial"/>
          <w:sz w:val="16"/>
          <w:szCs w:val="16"/>
        </w:rPr>
        <w:t>What does ‘competence’ mean to you when thinking about the children who attend this setting?</w:t>
      </w:r>
      <w:r w:rsidR="00C6753E" w:rsidRPr="00C6753E">
        <w:rPr>
          <w:rFonts w:ascii="Arial" w:hAnsi="Arial" w:cs="Arial"/>
          <w:sz w:val="16"/>
          <w:szCs w:val="16"/>
        </w:rPr>
        <w:t xml:space="preserve"> </w:t>
      </w:r>
      <w:r w:rsidRPr="00C6753E">
        <w:rPr>
          <w:rFonts w:ascii="Arial" w:hAnsi="Arial" w:cs="Arial"/>
          <w:sz w:val="16"/>
          <w:szCs w:val="16"/>
        </w:rPr>
        <w:t>Do you think children are able to make choices for themselves? Why or why not?</w:t>
      </w:r>
      <w:r w:rsidR="00C6753E" w:rsidRPr="00C6753E">
        <w:rPr>
          <w:rFonts w:ascii="Arial" w:hAnsi="Arial" w:cs="Arial"/>
          <w:sz w:val="16"/>
          <w:szCs w:val="16"/>
        </w:rPr>
        <w:t xml:space="preserve"> </w:t>
      </w:r>
      <w:r w:rsidRPr="00C6753E">
        <w:rPr>
          <w:rFonts w:ascii="Arial" w:hAnsi="Arial" w:cs="Arial"/>
          <w:sz w:val="16"/>
          <w:szCs w:val="16"/>
        </w:rPr>
        <w:t>Can you share an example of a time when you have supported a child to make decisions?</w:t>
      </w:r>
      <w:r w:rsidR="00C6753E" w:rsidRPr="00C6753E">
        <w:rPr>
          <w:rFonts w:ascii="Arial" w:hAnsi="Arial" w:cs="Arial"/>
          <w:sz w:val="16"/>
          <w:szCs w:val="16"/>
        </w:rPr>
        <w:t xml:space="preserve"> </w:t>
      </w:r>
      <w:r w:rsidRPr="00C6753E">
        <w:rPr>
          <w:rFonts w:ascii="Arial" w:hAnsi="Arial" w:cs="Arial"/>
          <w:sz w:val="16"/>
          <w:szCs w:val="16"/>
        </w:rPr>
        <w:t>How do your beliefs about what children can do influence the way that you plan activities or routines?</w:t>
      </w:r>
      <w:r w:rsidR="00C6753E" w:rsidRPr="00C6753E">
        <w:rPr>
          <w:rFonts w:ascii="Arial" w:hAnsi="Arial" w:cs="Arial"/>
          <w:sz w:val="16"/>
          <w:szCs w:val="16"/>
        </w:rPr>
        <w:t xml:space="preserve"> </w:t>
      </w:r>
      <w:r w:rsidRPr="00C6753E">
        <w:rPr>
          <w:rFonts w:ascii="Arial" w:hAnsi="Arial" w:cs="Arial"/>
          <w:sz w:val="16"/>
          <w:szCs w:val="16"/>
        </w:rPr>
        <w:t>When a child struggles with a task, how do you decide whether to step in or let them try on their own?</w:t>
      </w:r>
      <w:r w:rsidR="00C6753E" w:rsidRPr="00C6753E">
        <w:rPr>
          <w:rFonts w:ascii="Arial" w:hAnsi="Arial" w:cs="Arial"/>
          <w:sz w:val="16"/>
          <w:szCs w:val="16"/>
        </w:rPr>
        <w:t xml:space="preserve"> </w:t>
      </w:r>
      <w:r w:rsidRPr="00C6753E">
        <w:rPr>
          <w:rFonts w:ascii="Arial" w:hAnsi="Arial" w:cs="Arial"/>
          <w:sz w:val="16"/>
          <w:szCs w:val="16"/>
        </w:rPr>
        <w:t>Where do you think your views about children’s abilities come from? Training? Experience? Culture?</w:t>
      </w:r>
      <w:r w:rsidR="00C6753E" w:rsidRPr="00C6753E">
        <w:rPr>
          <w:rFonts w:ascii="Arial" w:hAnsi="Arial" w:cs="Arial"/>
          <w:sz w:val="16"/>
          <w:szCs w:val="16"/>
        </w:rPr>
        <w:t xml:space="preserve"> </w:t>
      </w:r>
      <w:r w:rsidRPr="00C6753E">
        <w:rPr>
          <w:rFonts w:ascii="Arial" w:hAnsi="Arial" w:cs="Arial"/>
          <w:sz w:val="16"/>
          <w:szCs w:val="16"/>
        </w:rPr>
        <w:t>Do you think practitioners’ views can impact children’s confidence or independence?</w:t>
      </w:r>
    </w:p>
  </w:footnote>
  <w:footnote w:id="3">
    <w:p w14:paraId="719147A7" w14:textId="77777777" w:rsidR="00C6753E" w:rsidRPr="00C6753E" w:rsidRDefault="00C6753E" w:rsidP="00C6753E">
      <w:pPr>
        <w:pStyle w:val="ListBullet"/>
        <w:numPr>
          <w:ilvl w:val="0"/>
          <w:numId w:val="0"/>
        </w:numPr>
        <w:rPr>
          <w:rFonts w:ascii="Arial" w:hAnsi="Arial" w:cs="Arial"/>
          <w:sz w:val="16"/>
          <w:szCs w:val="16"/>
        </w:rPr>
      </w:pPr>
      <w:r w:rsidRPr="00C6753E">
        <w:rPr>
          <w:rStyle w:val="FootnoteReference"/>
          <w:rFonts w:ascii="Arial" w:hAnsi="Arial" w:cs="Arial"/>
          <w:sz w:val="16"/>
          <w:szCs w:val="16"/>
        </w:rPr>
        <w:footnoteRef/>
      </w:r>
      <w:r w:rsidRPr="00C6753E">
        <w:rPr>
          <w:rFonts w:ascii="Arial" w:hAnsi="Arial" w:cs="Arial"/>
          <w:sz w:val="16"/>
          <w:szCs w:val="16"/>
        </w:rPr>
        <w:t xml:space="preserve"> Tell me more about that…; What makes you feel that way? Can you give an example? How do you think the child felt in that situation?</w:t>
      </w:r>
    </w:p>
    <w:p w14:paraId="53511FEE" w14:textId="6D76C68E" w:rsidR="00C6753E" w:rsidRDefault="00C6753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AFCA2" w14:textId="75B449AA" w:rsidR="000759E1" w:rsidRPr="00161AD8" w:rsidRDefault="000759E1">
    <w:pPr>
      <w:pStyle w:val="Header"/>
      <w:rPr>
        <w:rFonts w:ascii="Arial" w:hAnsi="Arial" w:cs="Arial"/>
        <w:b/>
        <w:bCs/>
        <w:sz w:val="24"/>
        <w:szCs w:val="24"/>
      </w:rPr>
    </w:pPr>
    <w:r w:rsidRPr="00161AD8">
      <w:rPr>
        <w:rFonts w:ascii="Arial" w:hAnsi="Arial" w:cs="Arial"/>
        <w:b/>
        <w:bCs/>
        <w:sz w:val="24"/>
        <w:szCs w:val="24"/>
      </w:rPr>
      <w:t>1650885 Vikki Curtis</w:t>
    </w:r>
    <w:r w:rsidR="00161AD8" w:rsidRPr="00161AD8">
      <w:rPr>
        <w:rFonts w:ascii="Arial" w:hAnsi="Arial" w:cs="Arial"/>
        <w:b/>
        <w:bCs/>
        <w:sz w:val="24"/>
        <w:szCs w:val="24"/>
      </w:rPr>
      <w:t xml:space="preserve"> ECCP7004 Detailed Research Design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4841DCC"/>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D766241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3F03C0A"/>
    <w:multiLevelType w:val="hybridMultilevel"/>
    <w:tmpl w:val="200E0E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D73954"/>
    <w:multiLevelType w:val="multilevel"/>
    <w:tmpl w:val="2EB2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9474C7"/>
    <w:multiLevelType w:val="multilevel"/>
    <w:tmpl w:val="9C00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8B5C35"/>
    <w:multiLevelType w:val="hybridMultilevel"/>
    <w:tmpl w:val="62A249C8"/>
    <w:lvl w:ilvl="0" w:tplc="E8E65C98">
      <w:start w:val="1"/>
      <w:numFmt w:val="bullet"/>
      <w:lvlText w:val="•"/>
      <w:lvlJc w:val="left"/>
      <w:pPr>
        <w:tabs>
          <w:tab w:val="num" w:pos="720"/>
        </w:tabs>
        <w:ind w:left="720" w:hanging="360"/>
      </w:pPr>
      <w:rPr>
        <w:rFonts w:ascii="Arial" w:hAnsi="Arial" w:hint="default"/>
      </w:rPr>
    </w:lvl>
    <w:lvl w:ilvl="1" w:tplc="B25ABD24" w:tentative="1">
      <w:start w:val="1"/>
      <w:numFmt w:val="bullet"/>
      <w:lvlText w:val="•"/>
      <w:lvlJc w:val="left"/>
      <w:pPr>
        <w:tabs>
          <w:tab w:val="num" w:pos="1440"/>
        </w:tabs>
        <w:ind w:left="1440" w:hanging="360"/>
      </w:pPr>
      <w:rPr>
        <w:rFonts w:ascii="Arial" w:hAnsi="Arial" w:hint="default"/>
      </w:rPr>
    </w:lvl>
    <w:lvl w:ilvl="2" w:tplc="AB1276CC" w:tentative="1">
      <w:start w:val="1"/>
      <w:numFmt w:val="bullet"/>
      <w:lvlText w:val="•"/>
      <w:lvlJc w:val="left"/>
      <w:pPr>
        <w:tabs>
          <w:tab w:val="num" w:pos="2160"/>
        </w:tabs>
        <w:ind w:left="2160" w:hanging="360"/>
      </w:pPr>
      <w:rPr>
        <w:rFonts w:ascii="Arial" w:hAnsi="Arial" w:hint="default"/>
      </w:rPr>
    </w:lvl>
    <w:lvl w:ilvl="3" w:tplc="F33A916E" w:tentative="1">
      <w:start w:val="1"/>
      <w:numFmt w:val="bullet"/>
      <w:lvlText w:val="•"/>
      <w:lvlJc w:val="left"/>
      <w:pPr>
        <w:tabs>
          <w:tab w:val="num" w:pos="2880"/>
        </w:tabs>
        <w:ind w:left="2880" w:hanging="360"/>
      </w:pPr>
      <w:rPr>
        <w:rFonts w:ascii="Arial" w:hAnsi="Arial" w:hint="default"/>
      </w:rPr>
    </w:lvl>
    <w:lvl w:ilvl="4" w:tplc="D38632D8" w:tentative="1">
      <w:start w:val="1"/>
      <w:numFmt w:val="bullet"/>
      <w:lvlText w:val="•"/>
      <w:lvlJc w:val="left"/>
      <w:pPr>
        <w:tabs>
          <w:tab w:val="num" w:pos="3600"/>
        </w:tabs>
        <w:ind w:left="3600" w:hanging="360"/>
      </w:pPr>
      <w:rPr>
        <w:rFonts w:ascii="Arial" w:hAnsi="Arial" w:hint="default"/>
      </w:rPr>
    </w:lvl>
    <w:lvl w:ilvl="5" w:tplc="D0C0EAF6" w:tentative="1">
      <w:start w:val="1"/>
      <w:numFmt w:val="bullet"/>
      <w:lvlText w:val="•"/>
      <w:lvlJc w:val="left"/>
      <w:pPr>
        <w:tabs>
          <w:tab w:val="num" w:pos="4320"/>
        </w:tabs>
        <w:ind w:left="4320" w:hanging="360"/>
      </w:pPr>
      <w:rPr>
        <w:rFonts w:ascii="Arial" w:hAnsi="Arial" w:hint="default"/>
      </w:rPr>
    </w:lvl>
    <w:lvl w:ilvl="6" w:tplc="7BAAA594" w:tentative="1">
      <w:start w:val="1"/>
      <w:numFmt w:val="bullet"/>
      <w:lvlText w:val="•"/>
      <w:lvlJc w:val="left"/>
      <w:pPr>
        <w:tabs>
          <w:tab w:val="num" w:pos="5040"/>
        </w:tabs>
        <w:ind w:left="5040" w:hanging="360"/>
      </w:pPr>
      <w:rPr>
        <w:rFonts w:ascii="Arial" w:hAnsi="Arial" w:hint="default"/>
      </w:rPr>
    </w:lvl>
    <w:lvl w:ilvl="7" w:tplc="B6DEF4B2" w:tentative="1">
      <w:start w:val="1"/>
      <w:numFmt w:val="bullet"/>
      <w:lvlText w:val="•"/>
      <w:lvlJc w:val="left"/>
      <w:pPr>
        <w:tabs>
          <w:tab w:val="num" w:pos="5760"/>
        </w:tabs>
        <w:ind w:left="5760" w:hanging="360"/>
      </w:pPr>
      <w:rPr>
        <w:rFonts w:ascii="Arial" w:hAnsi="Arial" w:hint="default"/>
      </w:rPr>
    </w:lvl>
    <w:lvl w:ilvl="8" w:tplc="0FA4667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FF1D91"/>
    <w:multiLevelType w:val="hybridMultilevel"/>
    <w:tmpl w:val="FC3E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069C5"/>
    <w:multiLevelType w:val="multilevel"/>
    <w:tmpl w:val="06309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4C2A4B"/>
    <w:multiLevelType w:val="multilevel"/>
    <w:tmpl w:val="5BE4C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AC01AA"/>
    <w:multiLevelType w:val="multilevel"/>
    <w:tmpl w:val="2224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B27E4D"/>
    <w:multiLevelType w:val="hybridMultilevel"/>
    <w:tmpl w:val="69241E14"/>
    <w:lvl w:ilvl="0" w:tplc="2B8E5710">
      <w:start w:val="1"/>
      <w:numFmt w:val="bullet"/>
      <w:lvlText w:val="•"/>
      <w:lvlJc w:val="left"/>
      <w:pPr>
        <w:tabs>
          <w:tab w:val="num" w:pos="720"/>
        </w:tabs>
        <w:ind w:left="720" w:hanging="360"/>
      </w:pPr>
      <w:rPr>
        <w:rFonts w:ascii="Arial" w:hAnsi="Arial" w:hint="default"/>
      </w:rPr>
    </w:lvl>
    <w:lvl w:ilvl="1" w:tplc="7CE6252C">
      <w:numFmt w:val="bullet"/>
      <w:lvlText w:val="•"/>
      <w:lvlJc w:val="left"/>
      <w:pPr>
        <w:tabs>
          <w:tab w:val="num" w:pos="1440"/>
        </w:tabs>
        <w:ind w:left="1440" w:hanging="360"/>
      </w:pPr>
      <w:rPr>
        <w:rFonts w:ascii="Arial" w:hAnsi="Arial" w:hint="default"/>
      </w:rPr>
    </w:lvl>
    <w:lvl w:ilvl="2" w:tplc="5A2EFB48" w:tentative="1">
      <w:start w:val="1"/>
      <w:numFmt w:val="bullet"/>
      <w:lvlText w:val="•"/>
      <w:lvlJc w:val="left"/>
      <w:pPr>
        <w:tabs>
          <w:tab w:val="num" w:pos="2160"/>
        </w:tabs>
        <w:ind w:left="2160" w:hanging="360"/>
      </w:pPr>
      <w:rPr>
        <w:rFonts w:ascii="Arial" w:hAnsi="Arial" w:hint="default"/>
      </w:rPr>
    </w:lvl>
    <w:lvl w:ilvl="3" w:tplc="8A9AAC52" w:tentative="1">
      <w:start w:val="1"/>
      <w:numFmt w:val="bullet"/>
      <w:lvlText w:val="•"/>
      <w:lvlJc w:val="left"/>
      <w:pPr>
        <w:tabs>
          <w:tab w:val="num" w:pos="2880"/>
        </w:tabs>
        <w:ind w:left="2880" w:hanging="360"/>
      </w:pPr>
      <w:rPr>
        <w:rFonts w:ascii="Arial" w:hAnsi="Arial" w:hint="default"/>
      </w:rPr>
    </w:lvl>
    <w:lvl w:ilvl="4" w:tplc="452C3B36" w:tentative="1">
      <w:start w:val="1"/>
      <w:numFmt w:val="bullet"/>
      <w:lvlText w:val="•"/>
      <w:lvlJc w:val="left"/>
      <w:pPr>
        <w:tabs>
          <w:tab w:val="num" w:pos="3600"/>
        </w:tabs>
        <w:ind w:left="3600" w:hanging="360"/>
      </w:pPr>
      <w:rPr>
        <w:rFonts w:ascii="Arial" w:hAnsi="Arial" w:hint="default"/>
      </w:rPr>
    </w:lvl>
    <w:lvl w:ilvl="5" w:tplc="D5FC9C72" w:tentative="1">
      <w:start w:val="1"/>
      <w:numFmt w:val="bullet"/>
      <w:lvlText w:val="•"/>
      <w:lvlJc w:val="left"/>
      <w:pPr>
        <w:tabs>
          <w:tab w:val="num" w:pos="4320"/>
        </w:tabs>
        <w:ind w:left="4320" w:hanging="360"/>
      </w:pPr>
      <w:rPr>
        <w:rFonts w:ascii="Arial" w:hAnsi="Arial" w:hint="default"/>
      </w:rPr>
    </w:lvl>
    <w:lvl w:ilvl="6" w:tplc="288606CE" w:tentative="1">
      <w:start w:val="1"/>
      <w:numFmt w:val="bullet"/>
      <w:lvlText w:val="•"/>
      <w:lvlJc w:val="left"/>
      <w:pPr>
        <w:tabs>
          <w:tab w:val="num" w:pos="5040"/>
        </w:tabs>
        <w:ind w:left="5040" w:hanging="360"/>
      </w:pPr>
      <w:rPr>
        <w:rFonts w:ascii="Arial" w:hAnsi="Arial" w:hint="default"/>
      </w:rPr>
    </w:lvl>
    <w:lvl w:ilvl="7" w:tplc="57F47D88" w:tentative="1">
      <w:start w:val="1"/>
      <w:numFmt w:val="bullet"/>
      <w:lvlText w:val="•"/>
      <w:lvlJc w:val="left"/>
      <w:pPr>
        <w:tabs>
          <w:tab w:val="num" w:pos="5760"/>
        </w:tabs>
        <w:ind w:left="5760" w:hanging="360"/>
      </w:pPr>
      <w:rPr>
        <w:rFonts w:ascii="Arial" w:hAnsi="Arial" w:hint="default"/>
      </w:rPr>
    </w:lvl>
    <w:lvl w:ilvl="8" w:tplc="3EAA93C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9764334"/>
    <w:multiLevelType w:val="multilevel"/>
    <w:tmpl w:val="ACBE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567BA"/>
    <w:multiLevelType w:val="hybridMultilevel"/>
    <w:tmpl w:val="4404D840"/>
    <w:lvl w:ilvl="0" w:tplc="A8C4FC22">
      <w:start w:val="1"/>
      <w:numFmt w:val="bullet"/>
      <w:lvlText w:val="•"/>
      <w:lvlJc w:val="left"/>
      <w:pPr>
        <w:tabs>
          <w:tab w:val="num" w:pos="720"/>
        </w:tabs>
        <w:ind w:left="720" w:hanging="360"/>
      </w:pPr>
      <w:rPr>
        <w:rFonts w:ascii="Arial" w:hAnsi="Arial" w:hint="default"/>
      </w:rPr>
    </w:lvl>
    <w:lvl w:ilvl="1" w:tplc="5C103356" w:tentative="1">
      <w:start w:val="1"/>
      <w:numFmt w:val="bullet"/>
      <w:lvlText w:val="•"/>
      <w:lvlJc w:val="left"/>
      <w:pPr>
        <w:tabs>
          <w:tab w:val="num" w:pos="1440"/>
        </w:tabs>
        <w:ind w:left="1440" w:hanging="360"/>
      </w:pPr>
      <w:rPr>
        <w:rFonts w:ascii="Arial" w:hAnsi="Arial" w:hint="default"/>
      </w:rPr>
    </w:lvl>
    <w:lvl w:ilvl="2" w:tplc="ED00B352" w:tentative="1">
      <w:start w:val="1"/>
      <w:numFmt w:val="bullet"/>
      <w:lvlText w:val="•"/>
      <w:lvlJc w:val="left"/>
      <w:pPr>
        <w:tabs>
          <w:tab w:val="num" w:pos="2160"/>
        </w:tabs>
        <w:ind w:left="2160" w:hanging="360"/>
      </w:pPr>
      <w:rPr>
        <w:rFonts w:ascii="Arial" w:hAnsi="Arial" w:hint="default"/>
      </w:rPr>
    </w:lvl>
    <w:lvl w:ilvl="3" w:tplc="D4EE3452" w:tentative="1">
      <w:start w:val="1"/>
      <w:numFmt w:val="bullet"/>
      <w:lvlText w:val="•"/>
      <w:lvlJc w:val="left"/>
      <w:pPr>
        <w:tabs>
          <w:tab w:val="num" w:pos="2880"/>
        </w:tabs>
        <w:ind w:left="2880" w:hanging="360"/>
      </w:pPr>
      <w:rPr>
        <w:rFonts w:ascii="Arial" w:hAnsi="Arial" w:hint="default"/>
      </w:rPr>
    </w:lvl>
    <w:lvl w:ilvl="4" w:tplc="9206873C" w:tentative="1">
      <w:start w:val="1"/>
      <w:numFmt w:val="bullet"/>
      <w:lvlText w:val="•"/>
      <w:lvlJc w:val="left"/>
      <w:pPr>
        <w:tabs>
          <w:tab w:val="num" w:pos="3600"/>
        </w:tabs>
        <w:ind w:left="3600" w:hanging="360"/>
      </w:pPr>
      <w:rPr>
        <w:rFonts w:ascii="Arial" w:hAnsi="Arial" w:hint="default"/>
      </w:rPr>
    </w:lvl>
    <w:lvl w:ilvl="5" w:tplc="8634D7CA" w:tentative="1">
      <w:start w:val="1"/>
      <w:numFmt w:val="bullet"/>
      <w:lvlText w:val="•"/>
      <w:lvlJc w:val="left"/>
      <w:pPr>
        <w:tabs>
          <w:tab w:val="num" w:pos="4320"/>
        </w:tabs>
        <w:ind w:left="4320" w:hanging="360"/>
      </w:pPr>
      <w:rPr>
        <w:rFonts w:ascii="Arial" w:hAnsi="Arial" w:hint="default"/>
      </w:rPr>
    </w:lvl>
    <w:lvl w:ilvl="6" w:tplc="1F7C21F8" w:tentative="1">
      <w:start w:val="1"/>
      <w:numFmt w:val="bullet"/>
      <w:lvlText w:val="•"/>
      <w:lvlJc w:val="left"/>
      <w:pPr>
        <w:tabs>
          <w:tab w:val="num" w:pos="5040"/>
        </w:tabs>
        <w:ind w:left="5040" w:hanging="360"/>
      </w:pPr>
      <w:rPr>
        <w:rFonts w:ascii="Arial" w:hAnsi="Arial" w:hint="default"/>
      </w:rPr>
    </w:lvl>
    <w:lvl w:ilvl="7" w:tplc="B29A5AF4" w:tentative="1">
      <w:start w:val="1"/>
      <w:numFmt w:val="bullet"/>
      <w:lvlText w:val="•"/>
      <w:lvlJc w:val="left"/>
      <w:pPr>
        <w:tabs>
          <w:tab w:val="num" w:pos="5760"/>
        </w:tabs>
        <w:ind w:left="5760" w:hanging="360"/>
      </w:pPr>
      <w:rPr>
        <w:rFonts w:ascii="Arial" w:hAnsi="Arial" w:hint="default"/>
      </w:rPr>
    </w:lvl>
    <w:lvl w:ilvl="8" w:tplc="B956C90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90195C"/>
    <w:multiLevelType w:val="multilevel"/>
    <w:tmpl w:val="2E6AF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9F7152"/>
    <w:multiLevelType w:val="multilevel"/>
    <w:tmpl w:val="5C1AD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4C0F57"/>
    <w:multiLevelType w:val="hybridMultilevel"/>
    <w:tmpl w:val="5D8299BC"/>
    <w:lvl w:ilvl="0" w:tplc="384C407A">
      <w:start w:val="1"/>
      <w:numFmt w:val="bullet"/>
      <w:lvlText w:val="•"/>
      <w:lvlJc w:val="left"/>
      <w:pPr>
        <w:tabs>
          <w:tab w:val="num" w:pos="720"/>
        </w:tabs>
        <w:ind w:left="720" w:hanging="360"/>
      </w:pPr>
      <w:rPr>
        <w:rFonts w:ascii="Arial" w:hAnsi="Arial" w:hint="default"/>
      </w:rPr>
    </w:lvl>
    <w:lvl w:ilvl="1" w:tplc="E49CD5B4" w:tentative="1">
      <w:start w:val="1"/>
      <w:numFmt w:val="bullet"/>
      <w:lvlText w:val="•"/>
      <w:lvlJc w:val="left"/>
      <w:pPr>
        <w:tabs>
          <w:tab w:val="num" w:pos="1440"/>
        </w:tabs>
        <w:ind w:left="1440" w:hanging="360"/>
      </w:pPr>
      <w:rPr>
        <w:rFonts w:ascii="Arial" w:hAnsi="Arial" w:hint="default"/>
      </w:rPr>
    </w:lvl>
    <w:lvl w:ilvl="2" w:tplc="19FC441E" w:tentative="1">
      <w:start w:val="1"/>
      <w:numFmt w:val="bullet"/>
      <w:lvlText w:val="•"/>
      <w:lvlJc w:val="left"/>
      <w:pPr>
        <w:tabs>
          <w:tab w:val="num" w:pos="2160"/>
        </w:tabs>
        <w:ind w:left="2160" w:hanging="360"/>
      </w:pPr>
      <w:rPr>
        <w:rFonts w:ascii="Arial" w:hAnsi="Arial" w:hint="default"/>
      </w:rPr>
    </w:lvl>
    <w:lvl w:ilvl="3" w:tplc="9876833E" w:tentative="1">
      <w:start w:val="1"/>
      <w:numFmt w:val="bullet"/>
      <w:lvlText w:val="•"/>
      <w:lvlJc w:val="left"/>
      <w:pPr>
        <w:tabs>
          <w:tab w:val="num" w:pos="2880"/>
        </w:tabs>
        <w:ind w:left="2880" w:hanging="360"/>
      </w:pPr>
      <w:rPr>
        <w:rFonts w:ascii="Arial" w:hAnsi="Arial" w:hint="default"/>
      </w:rPr>
    </w:lvl>
    <w:lvl w:ilvl="4" w:tplc="65889D52" w:tentative="1">
      <w:start w:val="1"/>
      <w:numFmt w:val="bullet"/>
      <w:lvlText w:val="•"/>
      <w:lvlJc w:val="left"/>
      <w:pPr>
        <w:tabs>
          <w:tab w:val="num" w:pos="3600"/>
        </w:tabs>
        <w:ind w:left="3600" w:hanging="360"/>
      </w:pPr>
      <w:rPr>
        <w:rFonts w:ascii="Arial" w:hAnsi="Arial" w:hint="default"/>
      </w:rPr>
    </w:lvl>
    <w:lvl w:ilvl="5" w:tplc="D21E76B4" w:tentative="1">
      <w:start w:val="1"/>
      <w:numFmt w:val="bullet"/>
      <w:lvlText w:val="•"/>
      <w:lvlJc w:val="left"/>
      <w:pPr>
        <w:tabs>
          <w:tab w:val="num" w:pos="4320"/>
        </w:tabs>
        <w:ind w:left="4320" w:hanging="360"/>
      </w:pPr>
      <w:rPr>
        <w:rFonts w:ascii="Arial" w:hAnsi="Arial" w:hint="default"/>
      </w:rPr>
    </w:lvl>
    <w:lvl w:ilvl="6" w:tplc="4A2CC6E8" w:tentative="1">
      <w:start w:val="1"/>
      <w:numFmt w:val="bullet"/>
      <w:lvlText w:val="•"/>
      <w:lvlJc w:val="left"/>
      <w:pPr>
        <w:tabs>
          <w:tab w:val="num" w:pos="5040"/>
        </w:tabs>
        <w:ind w:left="5040" w:hanging="360"/>
      </w:pPr>
      <w:rPr>
        <w:rFonts w:ascii="Arial" w:hAnsi="Arial" w:hint="default"/>
      </w:rPr>
    </w:lvl>
    <w:lvl w:ilvl="7" w:tplc="6868C1F4" w:tentative="1">
      <w:start w:val="1"/>
      <w:numFmt w:val="bullet"/>
      <w:lvlText w:val="•"/>
      <w:lvlJc w:val="left"/>
      <w:pPr>
        <w:tabs>
          <w:tab w:val="num" w:pos="5760"/>
        </w:tabs>
        <w:ind w:left="5760" w:hanging="360"/>
      </w:pPr>
      <w:rPr>
        <w:rFonts w:ascii="Arial" w:hAnsi="Arial" w:hint="default"/>
      </w:rPr>
    </w:lvl>
    <w:lvl w:ilvl="8" w:tplc="225C6D7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4F351B3"/>
    <w:multiLevelType w:val="multilevel"/>
    <w:tmpl w:val="2414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86A9B"/>
    <w:multiLevelType w:val="multilevel"/>
    <w:tmpl w:val="0916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6A3D5F"/>
    <w:multiLevelType w:val="hybridMultilevel"/>
    <w:tmpl w:val="6F4068DC"/>
    <w:lvl w:ilvl="0" w:tplc="5422FB5A">
      <w:start w:val="1"/>
      <w:numFmt w:val="bullet"/>
      <w:lvlText w:val="•"/>
      <w:lvlJc w:val="left"/>
      <w:pPr>
        <w:tabs>
          <w:tab w:val="num" w:pos="720"/>
        </w:tabs>
        <w:ind w:left="720" w:hanging="360"/>
      </w:pPr>
      <w:rPr>
        <w:rFonts w:ascii="Arial" w:hAnsi="Arial" w:hint="default"/>
      </w:rPr>
    </w:lvl>
    <w:lvl w:ilvl="1" w:tplc="798C8E92" w:tentative="1">
      <w:start w:val="1"/>
      <w:numFmt w:val="bullet"/>
      <w:lvlText w:val="•"/>
      <w:lvlJc w:val="left"/>
      <w:pPr>
        <w:tabs>
          <w:tab w:val="num" w:pos="1440"/>
        </w:tabs>
        <w:ind w:left="1440" w:hanging="360"/>
      </w:pPr>
      <w:rPr>
        <w:rFonts w:ascii="Arial" w:hAnsi="Arial" w:hint="default"/>
      </w:rPr>
    </w:lvl>
    <w:lvl w:ilvl="2" w:tplc="F24CF53A" w:tentative="1">
      <w:start w:val="1"/>
      <w:numFmt w:val="bullet"/>
      <w:lvlText w:val="•"/>
      <w:lvlJc w:val="left"/>
      <w:pPr>
        <w:tabs>
          <w:tab w:val="num" w:pos="2160"/>
        </w:tabs>
        <w:ind w:left="2160" w:hanging="360"/>
      </w:pPr>
      <w:rPr>
        <w:rFonts w:ascii="Arial" w:hAnsi="Arial" w:hint="default"/>
      </w:rPr>
    </w:lvl>
    <w:lvl w:ilvl="3" w:tplc="6890F34C" w:tentative="1">
      <w:start w:val="1"/>
      <w:numFmt w:val="bullet"/>
      <w:lvlText w:val="•"/>
      <w:lvlJc w:val="left"/>
      <w:pPr>
        <w:tabs>
          <w:tab w:val="num" w:pos="2880"/>
        </w:tabs>
        <w:ind w:left="2880" w:hanging="360"/>
      </w:pPr>
      <w:rPr>
        <w:rFonts w:ascii="Arial" w:hAnsi="Arial" w:hint="default"/>
      </w:rPr>
    </w:lvl>
    <w:lvl w:ilvl="4" w:tplc="3AFAF98E" w:tentative="1">
      <w:start w:val="1"/>
      <w:numFmt w:val="bullet"/>
      <w:lvlText w:val="•"/>
      <w:lvlJc w:val="left"/>
      <w:pPr>
        <w:tabs>
          <w:tab w:val="num" w:pos="3600"/>
        </w:tabs>
        <w:ind w:left="3600" w:hanging="360"/>
      </w:pPr>
      <w:rPr>
        <w:rFonts w:ascii="Arial" w:hAnsi="Arial" w:hint="default"/>
      </w:rPr>
    </w:lvl>
    <w:lvl w:ilvl="5" w:tplc="40DC81EC" w:tentative="1">
      <w:start w:val="1"/>
      <w:numFmt w:val="bullet"/>
      <w:lvlText w:val="•"/>
      <w:lvlJc w:val="left"/>
      <w:pPr>
        <w:tabs>
          <w:tab w:val="num" w:pos="4320"/>
        </w:tabs>
        <w:ind w:left="4320" w:hanging="360"/>
      </w:pPr>
      <w:rPr>
        <w:rFonts w:ascii="Arial" w:hAnsi="Arial" w:hint="default"/>
      </w:rPr>
    </w:lvl>
    <w:lvl w:ilvl="6" w:tplc="E27EA0CC" w:tentative="1">
      <w:start w:val="1"/>
      <w:numFmt w:val="bullet"/>
      <w:lvlText w:val="•"/>
      <w:lvlJc w:val="left"/>
      <w:pPr>
        <w:tabs>
          <w:tab w:val="num" w:pos="5040"/>
        </w:tabs>
        <w:ind w:left="5040" w:hanging="360"/>
      </w:pPr>
      <w:rPr>
        <w:rFonts w:ascii="Arial" w:hAnsi="Arial" w:hint="default"/>
      </w:rPr>
    </w:lvl>
    <w:lvl w:ilvl="7" w:tplc="586C8FC4" w:tentative="1">
      <w:start w:val="1"/>
      <w:numFmt w:val="bullet"/>
      <w:lvlText w:val="•"/>
      <w:lvlJc w:val="left"/>
      <w:pPr>
        <w:tabs>
          <w:tab w:val="num" w:pos="5760"/>
        </w:tabs>
        <w:ind w:left="5760" w:hanging="360"/>
      </w:pPr>
      <w:rPr>
        <w:rFonts w:ascii="Arial" w:hAnsi="Arial" w:hint="default"/>
      </w:rPr>
    </w:lvl>
    <w:lvl w:ilvl="8" w:tplc="C26C494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8185905"/>
    <w:multiLevelType w:val="hybridMultilevel"/>
    <w:tmpl w:val="CD6EA512"/>
    <w:lvl w:ilvl="0" w:tplc="0CE2A726">
      <w:start w:val="1"/>
      <w:numFmt w:val="bullet"/>
      <w:lvlText w:val="•"/>
      <w:lvlJc w:val="left"/>
      <w:pPr>
        <w:tabs>
          <w:tab w:val="num" w:pos="720"/>
        </w:tabs>
        <w:ind w:left="720" w:hanging="360"/>
      </w:pPr>
      <w:rPr>
        <w:rFonts w:ascii="Arial" w:hAnsi="Arial" w:hint="default"/>
      </w:rPr>
    </w:lvl>
    <w:lvl w:ilvl="1" w:tplc="D214D6F2" w:tentative="1">
      <w:start w:val="1"/>
      <w:numFmt w:val="bullet"/>
      <w:lvlText w:val="•"/>
      <w:lvlJc w:val="left"/>
      <w:pPr>
        <w:tabs>
          <w:tab w:val="num" w:pos="1440"/>
        </w:tabs>
        <w:ind w:left="1440" w:hanging="360"/>
      </w:pPr>
      <w:rPr>
        <w:rFonts w:ascii="Arial" w:hAnsi="Arial" w:hint="default"/>
      </w:rPr>
    </w:lvl>
    <w:lvl w:ilvl="2" w:tplc="977E273C" w:tentative="1">
      <w:start w:val="1"/>
      <w:numFmt w:val="bullet"/>
      <w:lvlText w:val="•"/>
      <w:lvlJc w:val="left"/>
      <w:pPr>
        <w:tabs>
          <w:tab w:val="num" w:pos="2160"/>
        </w:tabs>
        <w:ind w:left="2160" w:hanging="360"/>
      </w:pPr>
      <w:rPr>
        <w:rFonts w:ascii="Arial" w:hAnsi="Arial" w:hint="default"/>
      </w:rPr>
    </w:lvl>
    <w:lvl w:ilvl="3" w:tplc="9C0024AA" w:tentative="1">
      <w:start w:val="1"/>
      <w:numFmt w:val="bullet"/>
      <w:lvlText w:val="•"/>
      <w:lvlJc w:val="left"/>
      <w:pPr>
        <w:tabs>
          <w:tab w:val="num" w:pos="2880"/>
        </w:tabs>
        <w:ind w:left="2880" w:hanging="360"/>
      </w:pPr>
      <w:rPr>
        <w:rFonts w:ascii="Arial" w:hAnsi="Arial" w:hint="default"/>
      </w:rPr>
    </w:lvl>
    <w:lvl w:ilvl="4" w:tplc="0F209672" w:tentative="1">
      <w:start w:val="1"/>
      <w:numFmt w:val="bullet"/>
      <w:lvlText w:val="•"/>
      <w:lvlJc w:val="left"/>
      <w:pPr>
        <w:tabs>
          <w:tab w:val="num" w:pos="3600"/>
        </w:tabs>
        <w:ind w:left="3600" w:hanging="360"/>
      </w:pPr>
      <w:rPr>
        <w:rFonts w:ascii="Arial" w:hAnsi="Arial" w:hint="default"/>
      </w:rPr>
    </w:lvl>
    <w:lvl w:ilvl="5" w:tplc="28ACC3FC" w:tentative="1">
      <w:start w:val="1"/>
      <w:numFmt w:val="bullet"/>
      <w:lvlText w:val="•"/>
      <w:lvlJc w:val="left"/>
      <w:pPr>
        <w:tabs>
          <w:tab w:val="num" w:pos="4320"/>
        </w:tabs>
        <w:ind w:left="4320" w:hanging="360"/>
      </w:pPr>
      <w:rPr>
        <w:rFonts w:ascii="Arial" w:hAnsi="Arial" w:hint="default"/>
      </w:rPr>
    </w:lvl>
    <w:lvl w:ilvl="6" w:tplc="18A86AFE" w:tentative="1">
      <w:start w:val="1"/>
      <w:numFmt w:val="bullet"/>
      <w:lvlText w:val="•"/>
      <w:lvlJc w:val="left"/>
      <w:pPr>
        <w:tabs>
          <w:tab w:val="num" w:pos="5040"/>
        </w:tabs>
        <w:ind w:left="5040" w:hanging="360"/>
      </w:pPr>
      <w:rPr>
        <w:rFonts w:ascii="Arial" w:hAnsi="Arial" w:hint="default"/>
      </w:rPr>
    </w:lvl>
    <w:lvl w:ilvl="7" w:tplc="EA52CCB0" w:tentative="1">
      <w:start w:val="1"/>
      <w:numFmt w:val="bullet"/>
      <w:lvlText w:val="•"/>
      <w:lvlJc w:val="left"/>
      <w:pPr>
        <w:tabs>
          <w:tab w:val="num" w:pos="5760"/>
        </w:tabs>
        <w:ind w:left="5760" w:hanging="360"/>
      </w:pPr>
      <w:rPr>
        <w:rFonts w:ascii="Arial" w:hAnsi="Arial" w:hint="default"/>
      </w:rPr>
    </w:lvl>
    <w:lvl w:ilvl="8" w:tplc="1A0808A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96C3A5E"/>
    <w:multiLevelType w:val="hybridMultilevel"/>
    <w:tmpl w:val="F6F6F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6D3F2D"/>
    <w:multiLevelType w:val="hybridMultilevel"/>
    <w:tmpl w:val="B08ED0A0"/>
    <w:lvl w:ilvl="0" w:tplc="09C406B6">
      <w:start w:val="1"/>
      <w:numFmt w:val="decimal"/>
      <w:lvlText w:val="%1."/>
      <w:lvlJc w:val="left"/>
      <w:pPr>
        <w:tabs>
          <w:tab w:val="num" w:pos="720"/>
        </w:tabs>
        <w:ind w:left="720" w:hanging="360"/>
      </w:pPr>
    </w:lvl>
    <w:lvl w:ilvl="1" w:tplc="D5F0FD48" w:tentative="1">
      <w:start w:val="1"/>
      <w:numFmt w:val="decimal"/>
      <w:lvlText w:val="%2."/>
      <w:lvlJc w:val="left"/>
      <w:pPr>
        <w:tabs>
          <w:tab w:val="num" w:pos="1440"/>
        </w:tabs>
        <w:ind w:left="1440" w:hanging="360"/>
      </w:pPr>
    </w:lvl>
    <w:lvl w:ilvl="2" w:tplc="7E8E9D04" w:tentative="1">
      <w:start w:val="1"/>
      <w:numFmt w:val="decimal"/>
      <w:lvlText w:val="%3."/>
      <w:lvlJc w:val="left"/>
      <w:pPr>
        <w:tabs>
          <w:tab w:val="num" w:pos="2160"/>
        </w:tabs>
        <w:ind w:left="2160" w:hanging="360"/>
      </w:pPr>
    </w:lvl>
    <w:lvl w:ilvl="3" w:tplc="18781B26" w:tentative="1">
      <w:start w:val="1"/>
      <w:numFmt w:val="decimal"/>
      <w:lvlText w:val="%4."/>
      <w:lvlJc w:val="left"/>
      <w:pPr>
        <w:tabs>
          <w:tab w:val="num" w:pos="2880"/>
        </w:tabs>
        <w:ind w:left="2880" w:hanging="360"/>
      </w:pPr>
    </w:lvl>
    <w:lvl w:ilvl="4" w:tplc="CAACA128" w:tentative="1">
      <w:start w:val="1"/>
      <w:numFmt w:val="decimal"/>
      <w:lvlText w:val="%5."/>
      <w:lvlJc w:val="left"/>
      <w:pPr>
        <w:tabs>
          <w:tab w:val="num" w:pos="3600"/>
        </w:tabs>
        <w:ind w:left="3600" w:hanging="360"/>
      </w:pPr>
    </w:lvl>
    <w:lvl w:ilvl="5" w:tplc="0F64BC42" w:tentative="1">
      <w:start w:val="1"/>
      <w:numFmt w:val="decimal"/>
      <w:lvlText w:val="%6."/>
      <w:lvlJc w:val="left"/>
      <w:pPr>
        <w:tabs>
          <w:tab w:val="num" w:pos="4320"/>
        </w:tabs>
        <w:ind w:left="4320" w:hanging="360"/>
      </w:pPr>
    </w:lvl>
    <w:lvl w:ilvl="6" w:tplc="B6F8D916" w:tentative="1">
      <w:start w:val="1"/>
      <w:numFmt w:val="decimal"/>
      <w:lvlText w:val="%7."/>
      <w:lvlJc w:val="left"/>
      <w:pPr>
        <w:tabs>
          <w:tab w:val="num" w:pos="5040"/>
        </w:tabs>
        <w:ind w:left="5040" w:hanging="360"/>
      </w:pPr>
    </w:lvl>
    <w:lvl w:ilvl="7" w:tplc="A2DC6276" w:tentative="1">
      <w:start w:val="1"/>
      <w:numFmt w:val="decimal"/>
      <w:lvlText w:val="%8."/>
      <w:lvlJc w:val="left"/>
      <w:pPr>
        <w:tabs>
          <w:tab w:val="num" w:pos="5760"/>
        </w:tabs>
        <w:ind w:left="5760" w:hanging="360"/>
      </w:pPr>
    </w:lvl>
    <w:lvl w:ilvl="8" w:tplc="CBC87502" w:tentative="1">
      <w:start w:val="1"/>
      <w:numFmt w:val="decimal"/>
      <w:lvlText w:val="%9."/>
      <w:lvlJc w:val="left"/>
      <w:pPr>
        <w:tabs>
          <w:tab w:val="num" w:pos="6480"/>
        </w:tabs>
        <w:ind w:left="6480" w:hanging="360"/>
      </w:pPr>
    </w:lvl>
  </w:abstractNum>
  <w:abstractNum w:abstractNumId="22" w15:restartNumberingAfterBreak="0">
    <w:nsid w:val="5B3424B9"/>
    <w:multiLevelType w:val="multilevel"/>
    <w:tmpl w:val="FDB6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61236A"/>
    <w:multiLevelType w:val="hybridMultilevel"/>
    <w:tmpl w:val="8E42E398"/>
    <w:lvl w:ilvl="0" w:tplc="001C989C">
      <w:start w:val="1"/>
      <w:numFmt w:val="bullet"/>
      <w:lvlText w:val="•"/>
      <w:lvlJc w:val="left"/>
      <w:pPr>
        <w:tabs>
          <w:tab w:val="num" w:pos="720"/>
        </w:tabs>
        <w:ind w:left="720" w:hanging="360"/>
      </w:pPr>
      <w:rPr>
        <w:rFonts w:ascii="Arial" w:hAnsi="Arial" w:hint="default"/>
      </w:rPr>
    </w:lvl>
    <w:lvl w:ilvl="1" w:tplc="0B808B02" w:tentative="1">
      <w:start w:val="1"/>
      <w:numFmt w:val="bullet"/>
      <w:lvlText w:val="•"/>
      <w:lvlJc w:val="left"/>
      <w:pPr>
        <w:tabs>
          <w:tab w:val="num" w:pos="1440"/>
        </w:tabs>
        <w:ind w:left="1440" w:hanging="360"/>
      </w:pPr>
      <w:rPr>
        <w:rFonts w:ascii="Arial" w:hAnsi="Arial" w:hint="default"/>
      </w:rPr>
    </w:lvl>
    <w:lvl w:ilvl="2" w:tplc="6130CE84" w:tentative="1">
      <w:start w:val="1"/>
      <w:numFmt w:val="bullet"/>
      <w:lvlText w:val="•"/>
      <w:lvlJc w:val="left"/>
      <w:pPr>
        <w:tabs>
          <w:tab w:val="num" w:pos="2160"/>
        </w:tabs>
        <w:ind w:left="2160" w:hanging="360"/>
      </w:pPr>
      <w:rPr>
        <w:rFonts w:ascii="Arial" w:hAnsi="Arial" w:hint="default"/>
      </w:rPr>
    </w:lvl>
    <w:lvl w:ilvl="3" w:tplc="5DBC5134" w:tentative="1">
      <w:start w:val="1"/>
      <w:numFmt w:val="bullet"/>
      <w:lvlText w:val="•"/>
      <w:lvlJc w:val="left"/>
      <w:pPr>
        <w:tabs>
          <w:tab w:val="num" w:pos="2880"/>
        </w:tabs>
        <w:ind w:left="2880" w:hanging="360"/>
      </w:pPr>
      <w:rPr>
        <w:rFonts w:ascii="Arial" w:hAnsi="Arial" w:hint="default"/>
      </w:rPr>
    </w:lvl>
    <w:lvl w:ilvl="4" w:tplc="B4B64DF8" w:tentative="1">
      <w:start w:val="1"/>
      <w:numFmt w:val="bullet"/>
      <w:lvlText w:val="•"/>
      <w:lvlJc w:val="left"/>
      <w:pPr>
        <w:tabs>
          <w:tab w:val="num" w:pos="3600"/>
        </w:tabs>
        <w:ind w:left="3600" w:hanging="360"/>
      </w:pPr>
      <w:rPr>
        <w:rFonts w:ascii="Arial" w:hAnsi="Arial" w:hint="default"/>
      </w:rPr>
    </w:lvl>
    <w:lvl w:ilvl="5" w:tplc="841A651E" w:tentative="1">
      <w:start w:val="1"/>
      <w:numFmt w:val="bullet"/>
      <w:lvlText w:val="•"/>
      <w:lvlJc w:val="left"/>
      <w:pPr>
        <w:tabs>
          <w:tab w:val="num" w:pos="4320"/>
        </w:tabs>
        <w:ind w:left="4320" w:hanging="360"/>
      </w:pPr>
      <w:rPr>
        <w:rFonts w:ascii="Arial" w:hAnsi="Arial" w:hint="default"/>
      </w:rPr>
    </w:lvl>
    <w:lvl w:ilvl="6" w:tplc="846CADDA" w:tentative="1">
      <w:start w:val="1"/>
      <w:numFmt w:val="bullet"/>
      <w:lvlText w:val="•"/>
      <w:lvlJc w:val="left"/>
      <w:pPr>
        <w:tabs>
          <w:tab w:val="num" w:pos="5040"/>
        </w:tabs>
        <w:ind w:left="5040" w:hanging="360"/>
      </w:pPr>
      <w:rPr>
        <w:rFonts w:ascii="Arial" w:hAnsi="Arial" w:hint="default"/>
      </w:rPr>
    </w:lvl>
    <w:lvl w:ilvl="7" w:tplc="1EDC29C2" w:tentative="1">
      <w:start w:val="1"/>
      <w:numFmt w:val="bullet"/>
      <w:lvlText w:val="•"/>
      <w:lvlJc w:val="left"/>
      <w:pPr>
        <w:tabs>
          <w:tab w:val="num" w:pos="5760"/>
        </w:tabs>
        <w:ind w:left="5760" w:hanging="360"/>
      </w:pPr>
      <w:rPr>
        <w:rFonts w:ascii="Arial" w:hAnsi="Arial" w:hint="default"/>
      </w:rPr>
    </w:lvl>
    <w:lvl w:ilvl="8" w:tplc="52F4BB2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0271BB"/>
    <w:multiLevelType w:val="hybridMultilevel"/>
    <w:tmpl w:val="C5F84300"/>
    <w:lvl w:ilvl="0" w:tplc="EA905B5C">
      <w:start w:val="1"/>
      <w:numFmt w:val="bullet"/>
      <w:lvlText w:val="•"/>
      <w:lvlJc w:val="left"/>
      <w:pPr>
        <w:tabs>
          <w:tab w:val="num" w:pos="720"/>
        </w:tabs>
        <w:ind w:left="720" w:hanging="360"/>
      </w:pPr>
      <w:rPr>
        <w:rFonts w:ascii="Arial" w:hAnsi="Arial" w:hint="default"/>
      </w:rPr>
    </w:lvl>
    <w:lvl w:ilvl="1" w:tplc="69D46E96" w:tentative="1">
      <w:start w:val="1"/>
      <w:numFmt w:val="bullet"/>
      <w:lvlText w:val="•"/>
      <w:lvlJc w:val="left"/>
      <w:pPr>
        <w:tabs>
          <w:tab w:val="num" w:pos="1440"/>
        </w:tabs>
        <w:ind w:left="1440" w:hanging="360"/>
      </w:pPr>
      <w:rPr>
        <w:rFonts w:ascii="Arial" w:hAnsi="Arial" w:hint="default"/>
      </w:rPr>
    </w:lvl>
    <w:lvl w:ilvl="2" w:tplc="D7B61C64" w:tentative="1">
      <w:start w:val="1"/>
      <w:numFmt w:val="bullet"/>
      <w:lvlText w:val="•"/>
      <w:lvlJc w:val="left"/>
      <w:pPr>
        <w:tabs>
          <w:tab w:val="num" w:pos="2160"/>
        </w:tabs>
        <w:ind w:left="2160" w:hanging="360"/>
      </w:pPr>
      <w:rPr>
        <w:rFonts w:ascii="Arial" w:hAnsi="Arial" w:hint="default"/>
      </w:rPr>
    </w:lvl>
    <w:lvl w:ilvl="3" w:tplc="876E1CE8" w:tentative="1">
      <w:start w:val="1"/>
      <w:numFmt w:val="bullet"/>
      <w:lvlText w:val="•"/>
      <w:lvlJc w:val="left"/>
      <w:pPr>
        <w:tabs>
          <w:tab w:val="num" w:pos="2880"/>
        </w:tabs>
        <w:ind w:left="2880" w:hanging="360"/>
      </w:pPr>
      <w:rPr>
        <w:rFonts w:ascii="Arial" w:hAnsi="Arial" w:hint="default"/>
      </w:rPr>
    </w:lvl>
    <w:lvl w:ilvl="4" w:tplc="47A0465E" w:tentative="1">
      <w:start w:val="1"/>
      <w:numFmt w:val="bullet"/>
      <w:lvlText w:val="•"/>
      <w:lvlJc w:val="left"/>
      <w:pPr>
        <w:tabs>
          <w:tab w:val="num" w:pos="3600"/>
        </w:tabs>
        <w:ind w:left="3600" w:hanging="360"/>
      </w:pPr>
      <w:rPr>
        <w:rFonts w:ascii="Arial" w:hAnsi="Arial" w:hint="default"/>
      </w:rPr>
    </w:lvl>
    <w:lvl w:ilvl="5" w:tplc="E564CE64" w:tentative="1">
      <w:start w:val="1"/>
      <w:numFmt w:val="bullet"/>
      <w:lvlText w:val="•"/>
      <w:lvlJc w:val="left"/>
      <w:pPr>
        <w:tabs>
          <w:tab w:val="num" w:pos="4320"/>
        </w:tabs>
        <w:ind w:left="4320" w:hanging="360"/>
      </w:pPr>
      <w:rPr>
        <w:rFonts w:ascii="Arial" w:hAnsi="Arial" w:hint="default"/>
      </w:rPr>
    </w:lvl>
    <w:lvl w:ilvl="6" w:tplc="8F7C126A" w:tentative="1">
      <w:start w:val="1"/>
      <w:numFmt w:val="bullet"/>
      <w:lvlText w:val="•"/>
      <w:lvlJc w:val="left"/>
      <w:pPr>
        <w:tabs>
          <w:tab w:val="num" w:pos="5040"/>
        </w:tabs>
        <w:ind w:left="5040" w:hanging="360"/>
      </w:pPr>
      <w:rPr>
        <w:rFonts w:ascii="Arial" w:hAnsi="Arial" w:hint="default"/>
      </w:rPr>
    </w:lvl>
    <w:lvl w:ilvl="7" w:tplc="C41261A6" w:tentative="1">
      <w:start w:val="1"/>
      <w:numFmt w:val="bullet"/>
      <w:lvlText w:val="•"/>
      <w:lvlJc w:val="left"/>
      <w:pPr>
        <w:tabs>
          <w:tab w:val="num" w:pos="5760"/>
        </w:tabs>
        <w:ind w:left="5760" w:hanging="360"/>
      </w:pPr>
      <w:rPr>
        <w:rFonts w:ascii="Arial" w:hAnsi="Arial" w:hint="default"/>
      </w:rPr>
    </w:lvl>
    <w:lvl w:ilvl="8" w:tplc="BCB2740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B492144"/>
    <w:multiLevelType w:val="multilevel"/>
    <w:tmpl w:val="A93A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1E51B7"/>
    <w:multiLevelType w:val="hybridMultilevel"/>
    <w:tmpl w:val="63900E26"/>
    <w:lvl w:ilvl="0" w:tplc="39C0E3E8">
      <w:start w:val="1"/>
      <w:numFmt w:val="bullet"/>
      <w:lvlText w:val="•"/>
      <w:lvlJc w:val="left"/>
      <w:pPr>
        <w:tabs>
          <w:tab w:val="num" w:pos="720"/>
        </w:tabs>
        <w:ind w:left="720" w:hanging="360"/>
      </w:pPr>
      <w:rPr>
        <w:rFonts w:ascii="Arial" w:hAnsi="Arial" w:hint="default"/>
      </w:rPr>
    </w:lvl>
    <w:lvl w:ilvl="1" w:tplc="EB5E13EA" w:tentative="1">
      <w:start w:val="1"/>
      <w:numFmt w:val="bullet"/>
      <w:lvlText w:val="•"/>
      <w:lvlJc w:val="left"/>
      <w:pPr>
        <w:tabs>
          <w:tab w:val="num" w:pos="1440"/>
        </w:tabs>
        <w:ind w:left="1440" w:hanging="360"/>
      </w:pPr>
      <w:rPr>
        <w:rFonts w:ascii="Arial" w:hAnsi="Arial" w:hint="default"/>
      </w:rPr>
    </w:lvl>
    <w:lvl w:ilvl="2" w:tplc="59AA4F96" w:tentative="1">
      <w:start w:val="1"/>
      <w:numFmt w:val="bullet"/>
      <w:lvlText w:val="•"/>
      <w:lvlJc w:val="left"/>
      <w:pPr>
        <w:tabs>
          <w:tab w:val="num" w:pos="2160"/>
        </w:tabs>
        <w:ind w:left="2160" w:hanging="360"/>
      </w:pPr>
      <w:rPr>
        <w:rFonts w:ascii="Arial" w:hAnsi="Arial" w:hint="default"/>
      </w:rPr>
    </w:lvl>
    <w:lvl w:ilvl="3" w:tplc="8A8EFCFA" w:tentative="1">
      <w:start w:val="1"/>
      <w:numFmt w:val="bullet"/>
      <w:lvlText w:val="•"/>
      <w:lvlJc w:val="left"/>
      <w:pPr>
        <w:tabs>
          <w:tab w:val="num" w:pos="2880"/>
        </w:tabs>
        <w:ind w:left="2880" w:hanging="360"/>
      </w:pPr>
      <w:rPr>
        <w:rFonts w:ascii="Arial" w:hAnsi="Arial" w:hint="default"/>
      </w:rPr>
    </w:lvl>
    <w:lvl w:ilvl="4" w:tplc="BD4C87BE" w:tentative="1">
      <w:start w:val="1"/>
      <w:numFmt w:val="bullet"/>
      <w:lvlText w:val="•"/>
      <w:lvlJc w:val="left"/>
      <w:pPr>
        <w:tabs>
          <w:tab w:val="num" w:pos="3600"/>
        </w:tabs>
        <w:ind w:left="3600" w:hanging="360"/>
      </w:pPr>
      <w:rPr>
        <w:rFonts w:ascii="Arial" w:hAnsi="Arial" w:hint="default"/>
      </w:rPr>
    </w:lvl>
    <w:lvl w:ilvl="5" w:tplc="1D84AC0E" w:tentative="1">
      <w:start w:val="1"/>
      <w:numFmt w:val="bullet"/>
      <w:lvlText w:val="•"/>
      <w:lvlJc w:val="left"/>
      <w:pPr>
        <w:tabs>
          <w:tab w:val="num" w:pos="4320"/>
        </w:tabs>
        <w:ind w:left="4320" w:hanging="360"/>
      </w:pPr>
      <w:rPr>
        <w:rFonts w:ascii="Arial" w:hAnsi="Arial" w:hint="default"/>
      </w:rPr>
    </w:lvl>
    <w:lvl w:ilvl="6" w:tplc="2E62DA6A" w:tentative="1">
      <w:start w:val="1"/>
      <w:numFmt w:val="bullet"/>
      <w:lvlText w:val="•"/>
      <w:lvlJc w:val="left"/>
      <w:pPr>
        <w:tabs>
          <w:tab w:val="num" w:pos="5040"/>
        </w:tabs>
        <w:ind w:left="5040" w:hanging="360"/>
      </w:pPr>
      <w:rPr>
        <w:rFonts w:ascii="Arial" w:hAnsi="Arial" w:hint="default"/>
      </w:rPr>
    </w:lvl>
    <w:lvl w:ilvl="7" w:tplc="C6765A2A" w:tentative="1">
      <w:start w:val="1"/>
      <w:numFmt w:val="bullet"/>
      <w:lvlText w:val="•"/>
      <w:lvlJc w:val="left"/>
      <w:pPr>
        <w:tabs>
          <w:tab w:val="num" w:pos="5760"/>
        </w:tabs>
        <w:ind w:left="5760" w:hanging="360"/>
      </w:pPr>
      <w:rPr>
        <w:rFonts w:ascii="Arial" w:hAnsi="Arial" w:hint="default"/>
      </w:rPr>
    </w:lvl>
    <w:lvl w:ilvl="8" w:tplc="5936C25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C483026"/>
    <w:multiLevelType w:val="multilevel"/>
    <w:tmpl w:val="B56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9362C9"/>
    <w:multiLevelType w:val="hybridMultilevel"/>
    <w:tmpl w:val="B08ED0A0"/>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num w:numId="1" w16cid:durableId="99036971">
    <w:abstractNumId w:val="25"/>
  </w:num>
  <w:num w:numId="2" w16cid:durableId="1244218040">
    <w:abstractNumId w:val="10"/>
  </w:num>
  <w:num w:numId="3" w16cid:durableId="1176991315">
    <w:abstractNumId w:val="15"/>
  </w:num>
  <w:num w:numId="4" w16cid:durableId="190192519">
    <w:abstractNumId w:val="12"/>
  </w:num>
  <w:num w:numId="5" w16cid:durableId="810366318">
    <w:abstractNumId w:val="21"/>
  </w:num>
  <w:num w:numId="6" w16cid:durableId="436800929">
    <w:abstractNumId w:val="19"/>
  </w:num>
  <w:num w:numId="7" w16cid:durableId="1986205762">
    <w:abstractNumId w:val="23"/>
  </w:num>
  <w:num w:numId="8" w16cid:durableId="1367146764">
    <w:abstractNumId w:val="18"/>
  </w:num>
  <w:num w:numId="9" w16cid:durableId="1070078717">
    <w:abstractNumId w:val="28"/>
  </w:num>
  <w:num w:numId="10" w16cid:durableId="1891962592">
    <w:abstractNumId w:val="5"/>
  </w:num>
  <w:num w:numId="11" w16cid:durableId="1803111271">
    <w:abstractNumId w:val="27"/>
  </w:num>
  <w:num w:numId="12" w16cid:durableId="1567960367">
    <w:abstractNumId w:val="1"/>
  </w:num>
  <w:num w:numId="13" w16cid:durableId="1651517433">
    <w:abstractNumId w:val="0"/>
  </w:num>
  <w:num w:numId="14" w16cid:durableId="1419786300">
    <w:abstractNumId w:val="2"/>
  </w:num>
  <w:num w:numId="15" w16cid:durableId="766847571">
    <w:abstractNumId w:val="24"/>
  </w:num>
  <w:num w:numId="16" w16cid:durableId="1973438659">
    <w:abstractNumId w:val="30"/>
  </w:num>
  <w:num w:numId="17" w16cid:durableId="199785326">
    <w:abstractNumId w:val="14"/>
  </w:num>
  <w:num w:numId="18" w16cid:durableId="303581798">
    <w:abstractNumId w:val="3"/>
  </w:num>
  <w:num w:numId="19" w16cid:durableId="2110812677">
    <w:abstractNumId w:val="26"/>
  </w:num>
  <w:num w:numId="20" w16cid:durableId="1908108427">
    <w:abstractNumId w:val="4"/>
  </w:num>
  <w:num w:numId="21" w16cid:durableId="133717769">
    <w:abstractNumId w:val="11"/>
  </w:num>
  <w:num w:numId="22" w16cid:durableId="1566522665">
    <w:abstractNumId w:val="8"/>
  </w:num>
  <w:num w:numId="23" w16cid:durableId="477497277">
    <w:abstractNumId w:val="7"/>
  </w:num>
  <w:num w:numId="24" w16cid:durableId="1936665638">
    <w:abstractNumId w:val="29"/>
  </w:num>
  <w:num w:numId="25" w16cid:durableId="283392275">
    <w:abstractNumId w:val="17"/>
  </w:num>
  <w:num w:numId="26" w16cid:durableId="683946241">
    <w:abstractNumId w:val="16"/>
  </w:num>
  <w:num w:numId="27" w16cid:durableId="756292827">
    <w:abstractNumId w:val="22"/>
  </w:num>
  <w:num w:numId="28" w16cid:durableId="1606619333">
    <w:abstractNumId w:val="13"/>
  </w:num>
  <w:num w:numId="29" w16cid:durableId="1363479821">
    <w:abstractNumId w:val="9"/>
  </w:num>
  <w:num w:numId="30" w16cid:durableId="698553885">
    <w:abstractNumId w:val="20"/>
  </w:num>
  <w:num w:numId="31" w16cid:durableId="11958012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C62"/>
    <w:rsid w:val="00014DAE"/>
    <w:rsid w:val="00021BD1"/>
    <w:rsid w:val="0004066D"/>
    <w:rsid w:val="00040F6D"/>
    <w:rsid w:val="000415AA"/>
    <w:rsid w:val="00060DAE"/>
    <w:rsid w:val="000759E1"/>
    <w:rsid w:val="000775E5"/>
    <w:rsid w:val="00087CF4"/>
    <w:rsid w:val="000A6EF5"/>
    <w:rsid w:val="000B4DE2"/>
    <w:rsid w:val="000C14DF"/>
    <w:rsid w:val="000C487F"/>
    <w:rsid w:val="000C539E"/>
    <w:rsid w:val="000C60EE"/>
    <w:rsid w:val="00133CD3"/>
    <w:rsid w:val="001553C4"/>
    <w:rsid w:val="00161AD8"/>
    <w:rsid w:val="00173515"/>
    <w:rsid w:val="00177172"/>
    <w:rsid w:val="00184225"/>
    <w:rsid w:val="001A1386"/>
    <w:rsid w:val="001A4497"/>
    <w:rsid w:val="00202426"/>
    <w:rsid w:val="00213352"/>
    <w:rsid w:val="002371CD"/>
    <w:rsid w:val="00241C8C"/>
    <w:rsid w:val="00281124"/>
    <w:rsid w:val="002B7A88"/>
    <w:rsid w:val="002C457F"/>
    <w:rsid w:val="002C6244"/>
    <w:rsid w:val="00310318"/>
    <w:rsid w:val="0031582B"/>
    <w:rsid w:val="00331222"/>
    <w:rsid w:val="00337B49"/>
    <w:rsid w:val="00343BFF"/>
    <w:rsid w:val="00347FA5"/>
    <w:rsid w:val="00362E5C"/>
    <w:rsid w:val="00365724"/>
    <w:rsid w:val="003675FD"/>
    <w:rsid w:val="003815DA"/>
    <w:rsid w:val="00395813"/>
    <w:rsid w:val="003A4C62"/>
    <w:rsid w:val="003A4DB0"/>
    <w:rsid w:val="003B170B"/>
    <w:rsid w:val="003E7060"/>
    <w:rsid w:val="003F3968"/>
    <w:rsid w:val="00415C84"/>
    <w:rsid w:val="00433961"/>
    <w:rsid w:val="004450FE"/>
    <w:rsid w:val="00447896"/>
    <w:rsid w:val="00451381"/>
    <w:rsid w:val="004571C6"/>
    <w:rsid w:val="004676F9"/>
    <w:rsid w:val="004822B7"/>
    <w:rsid w:val="004B7A64"/>
    <w:rsid w:val="004F377D"/>
    <w:rsid w:val="005343B0"/>
    <w:rsid w:val="005410B5"/>
    <w:rsid w:val="00581666"/>
    <w:rsid w:val="005B57E8"/>
    <w:rsid w:val="00633618"/>
    <w:rsid w:val="006355AD"/>
    <w:rsid w:val="00672A04"/>
    <w:rsid w:val="00687AA6"/>
    <w:rsid w:val="00696713"/>
    <w:rsid w:val="006B2490"/>
    <w:rsid w:val="006C1843"/>
    <w:rsid w:val="006D1483"/>
    <w:rsid w:val="006D1CAD"/>
    <w:rsid w:val="006E3602"/>
    <w:rsid w:val="00705AE6"/>
    <w:rsid w:val="00742740"/>
    <w:rsid w:val="0074668E"/>
    <w:rsid w:val="00781E22"/>
    <w:rsid w:val="00784B4D"/>
    <w:rsid w:val="007A2161"/>
    <w:rsid w:val="007D1684"/>
    <w:rsid w:val="007F2397"/>
    <w:rsid w:val="00800EE5"/>
    <w:rsid w:val="00847D56"/>
    <w:rsid w:val="00881EAC"/>
    <w:rsid w:val="0089363E"/>
    <w:rsid w:val="008E4EF6"/>
    <w:rsid w:val="00903DAE"/>
    <w:rsid w:val="00924EF2"/>
    <w:rsid w:val="00942A69"/>
    <w:rsid w:val="00945A13"/>
    <w:rsid w:val="00945D67"/>
    <w:rsid w:val="009B1E35"/>
    <w:rsid w:val="009B31DF"/>
    <w:rsid w:val="009C3EB2"/>
    <w:rsid w:val="00A13780"/>
    <w:rsid w:val="00A64ACE"/>
    <w:rsid w:val="00A83064"/>
    <w:rsid w:val="00AD68C8"/>
    <w:rsid w:val="00B0512C"/>
    <w:rsid w:val="00B336C9"/>
    <w:rsid w:val="00B443B9"/>
    <w:rsid w:val="00BC2CF8"/>
    <w:rsid w:val="00BC7D95"/>
    <w:rsid w:val="00C020F1"/>
    <w:rsid w:val="00C1392F"/>
    <w:rsid w:val="00C474C8"/>
    <w:rsid w:val="00C6753E"/>
    <w:rsid w:val="00C678DB"/>
    <w:rsid w:val="00C86646"/>
    <w:rsid w:val="00C86677"/>
    <w:rsid w:val="00C97889"/>
    <w:rsid w:val="00CC0AF3"/>
    <w:rsid w:val="00CF0388"/>
    <w:rsid w:val="00D36714"/>
    <w:rsid w:val="00D5265F"/>
    <w:rsid w:val="00DB6F0F"/>
    <w:rsid w:val="00DB79DA"/>
    <w:rsid w:val="00DC3248"/>
    <w:rsid w:val="00DD7D93"/>
    <w:rsid w:val="00DF5920"/>
    <w:rsid w:val="00E20F56"/>
    <w:rsid w:val="00E41728"/>
    <w:rsid w:val="00E47967"/>
    <w:rsid w:val="00E529C6"/>
    <w:rsid w:val="00E532BB"/>
    <w:rsid w:val="00E556C7"/>
    <w:rsid w:val="00E61ECF"/>
    <w:rsid w:val="00E932EF"/>
    <w:rsid w:val="00E94021"/>
    <w:rsid w:val="00F11F21"/>
    <w:rsid w:val="00F567F6"/>
    <w:rsid w:val="00F62377"/>
    <w:rsid w:val="00F64E33"/>
    <w:rsid w:val="00F973D0"/>
    <w:rsid w:val="00FB217E"/>
    <w:rsid w:val="00FB3E9B"/>
    <w:rsid w:val="00FC7F78"/>
    <w:rsid w:val="00FE0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97CF"/>
  <w15:chartTrackingRefBased/>
  <w15:docId w15:val="{89209466-68F5-467E-8409-4D88C287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C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4C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4C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C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C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C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C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C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C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C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4C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4C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C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C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C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C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C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C62"/>
    <w:rPr>
      <w:rFonts w:eastAsiaTheme="majorEastAsia" w:cstheme="majorBidi"/>
      <w:color w:val="272727" w:themeColor="text1" w:themeTint="D8"/>
    </w:rPr>
  </w:style>
  <w:style w:type="paragraph" w:styleId="Title">
    <w:name w:val="Title"/>
    <w:basedOn w:val="Normal"/>
    <w:next w:val="Normal"/>
    <w:link w:val="TitleChar"/>
    <w:uiPriority w:val="10"/>
    <w:qFormat/>
    <w:rsid w:val="003A4C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C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C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C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C62"/>
    <w:pPr>
      <w:spacing w:before="160"/>
      <w:jc w:val="center"/>
    </w:pPr>
    <w:rPr>
      <w:i/>
      <w:iCs/>
      <w:color w:val="404040" w:themeColor="text1" w:themeTint="BF"/>
    </w:rPr>
  </w:style>
  <w:style w:type="character" w:customStyle="1" w:styleId="QuoteChar">
    <w:name w:val="Quote Char"/>
    <w:basedOn w:val="DefaultParagraphFont"/>
    <w:link w:val="Quote"/>
    <w:uiPriority w:val="29"/>
    <w:rsid w:val="003A4C62"/>
    <w:rPr>
      <w:i/>
      <w:iCs/>
      <w:color w:val="404040" w:themeColor="text1" w:themeTint="BF"/>
    </w:rPr>
  </w:style>
  <w:style w:type="paragraph" w:styleId="ListParagraph">
    <w:name w:val="List Paragraph"/>
    <w:basedOn w:val="Normal"/>
    <w:uiPriority w:val="34"/>
    <w:qFormat/>
    <w:rsid w:val="003A4C62"/>
    <w:pPr>
      <w:ind w:left="720"/>
      <w:contextualSpacing/>
    </w:pPr>
  </w:style>
  <w:style w:type="character" w:styleId="IntenseEmphasis">
    <w:name w:val="Intense Emphasis"/>
    <w:basedOn w:val="DefaultParagraphFont"/>
    <w:uiPriority w:val="21"/>
    <w:qFormat/>
    <w:rsid w:val="003A4C62"/>
    <w:rPr>
      <w:i/>
      <w:iCs/>
      <w:color w:val="0F4761" w:themeColor="accent1" w:themeShade="BF"/>
    </w:rPr>
  </w:style>
  <w:style w:type="paragraph" w:styleId="IntenseQuote">
    <w:name w:val="Intense Quote"/>
    <w:basedOn w:val="Normal"/>
    <w:next w:val="Normal"/>
    <w:link w:val="IntenseQuoteChar"/>
    <w:uiPriority w:val="30"/>
    <w:qFormat/>
    <w:rsid w:val="003A4C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C62"/>
    <w:rPr>
      <w:i/>
      <w:iCs/>
      <w:color w:val="0F4761" w:themeColor="accent1" w:themeShade="BF"/>
    </w:rPr>
  </w:style>
  <w:style w:type="character" w:styleId="IntenseReference">
    <w:name w:val="Intense Reference"/>
    <w:basedOn w:val="DefaultParagraphFont"/>
    <w:uiPriority w:val="32"/>
    <w:qFormat/>
    <w:rsid w:val="003A4C62"/>
    <w:rPr>
      <w:b/>
      <w:bCs/>
      <w:smallCaps/>
      <w:color w:val="0F4761" w:themeColor="accent1" w:themeShade="BF"/>
      <w:spacing w:val="5"/>
    </w:rPr>
  </w:style>
  <w:style w:type="character" w:styleId="Hyperlink">
    <w:name w:val="Hyperlink"/>
    <w:basedOn w:val="DefaultParagraphFont"/>
    <w:uiPriority w:val="99"/>
    <w:unhideWhenUsed/>
    <w:rsid w:val="000C60EE"/>
    <w:rPr>
      <w:color w:val="467886" w:themeColor="hyperlink"/>
      <w:u w:val="single"/>
    </w:rPr>
  </w:style>
  <w:style w:type="character" w:styleId="UnresolvedMention">
    <w:name w:val="Unresolved Mention"/>
    <w:basedOn w:val="DefaultParagraphFont"/>
    <w:uiPriority w:val="99"/>
    <w:semiHidden/>
    <w:unhideWhenUsed/>
    <w:rsid w:val="000C60EE"/>
    <w:rPr>
      <w:color w:val="605E5C"/>
      <w:shd w:val="clear" w:color="auto" w:fill="E1DFDD"/>
    </w:rPr>
  </w:style>
  <w:style w:type="paragraph" w:styleId="ListBullet">
    <w:name w:val="List Bullet"/>
    <w:basedOn w:val="Normal"/>
    <w:uiPriority w:val="99"/>
    <w:unhideWhenUsed/>
    <w:rsid w:val="0089363E"/>
    <w:pPr>
      <w:numPr>
        <w:numId w:val="12"/>
      </w:numPr>
      <w:tabs>
        <w:tab w:val="clear" w:pos="360"/>
      </w:tabs>
      <w:spacing w:line="278" w:lineRule="auto"/>
      <w:ind w:left="0" w:firstLine="0"/>
      <w:contextualSpacing/>
    </w:pPr>
    <w:rPr>
      <w:rFonts w:eastAsiaTheme="minorEastAsia"/>
      <w:sz w:val="24"/>
      <w:szCs w:val="24"/>
      <w:lang w:val="en-US" w:eastAsia="zh-CN"/>
    </w:rPr>
  </w:style>
  <w:style w:type="paragraph" w:styleId="ListNumber">
    <w:name w:val="List Number"/>
    <w:basedOn w:val="Normal"/>
    <w:uiPriority w:val="99"/>
    <w:unhideWhenUsed/>
    <w:rsid w:val="0089363E"/>
    <w:pPr>
      <w:numPr>
        <w:numId w:val="13"/>
      </w:numPr>
      <w:tabs>
        <w:tab w:val="clear" w:pos="360"/>
      </w:tabs>
      <w:spacing w:line="278" w:lineRule="auto"/>
      <w:ind w:left="0" w:firstLine="0"/>
      <w:contextualSpacing/>
    </w:pPr>
    <w:rPr>
      <w:rFonts w:eastAsiaTheme="minorEastAsia"/>
      <w:sz w:val="24"/>
      <w:szCs w:val="24"/>
      <w:lang w:val="en-US" w:eastAsia="zh-CN"/>
    </w:rPr>
  </w:style>
  <w:style w:type="paragraph" w:styleId="BodyText">
    <w:name w:val="Body Text"/>
    <w:basedOn w:val="Normal"/>
    <w:link w:val="BodyTextChar"/>
    <w:unhideWhenUsed/>
    <w:rsid w:val="00784B4D"/>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rsid w:val="00784B4D"/>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unhideWhenUsed/>
    <w:rsid w:val="001771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77172"/>
    <w:rPr>
      <w:b/>
      <w:bCs/>
    </w:rPr>
  </w:style>
  <w:style w:type="table" w:styleId="TableGrid">
    <w:name w:val="Table Grid"/>
    <w:basedOn w:val="TableNormal"/>
    <w:uiPriority w:val="59"/>
    <w:rsid w:val="003815D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602"/>
    <w:rPr>
      <w:color w:val="96607D" w:themeColor="followedHyperlink"/>
      <w:u w:val="single"/>
    </w:rPr>
  </w:style>
  <w:style w:type="paragraph" w:customStyle="1" w:styleId="cvgsua">
    <w:name w:val="cvgsua"/>
    <w:basedOn w:val="Normal"/>
    <w:rsid w:val="003675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gcmg">
    <w:name w:val="a_gcmg"/>
    <w:basedOn w:val="DefaultParagraphFont"/>
    <w:rsid w:val="003675FD"/>
  </w:style>
  <w:style w:type="paragraph" w:styleId="Header">
    <w:name w:val="header"/>
    <w:basedOn w:val="Normal"/>
    <w:link w:val="HeaderChar"/>
    <w:uiPriority w:val="99"/>
    <w:unhideWhenUsed/>
    <w:rsid w:val="00075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9E1"/>
  </w:style>
  <w:style w:type="paragraph" w:styleId="Footer">
    <w:name w:val="footer"/>
    <w:basedOn w:val="Normal"/>
    <w:link w:val="FooterChar"/>
    <w:uiPriority w:val="99"/>
    <w:unhideWhenUsed/>
    <w:rsid w:val="00075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9E1"/>
  </w:style>
  <w:style w:type="paragraph" w:styleId="FootnoteText">
    <w:name w:val="footnote text"/>
    <w:basedOn w:val="Normal"/>
    <w:link w:val="FootnoteTextChar"/>
    <w:uiPriority w:val="99"/>
    <w:semiHidden/>
    <w:unhideWhenUsed/>
    <w:rsid w:val="00161A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1AD8"/>
    <w:rPr>
      <w:sz w:val="20"/>
      <w:szCs w:val="20"/>
    </w:rPr>
  </w:style>
  <w:style w:type="character" w:styleId="FootnoteReference">
    <w:name w:val="footnote reference"/>
    <w:basedOn w:val="DefaultParagraphFont"/>
    <w:uiPriority w:val="99"/>
    <w:semiHidden/>
    <w:unhideWhenUsed/>
    <w:rsid w:val="00161A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62517.2020.1724935" TargetMode="External"/><Relationship Id="rId13" Type="http://schemas.openxmlformats.org/officeDocument/2006/relationships/hyperlink" Target="https://doi.org/10.1177/019145371349496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ra.ioe.ac.uk/id/eprint/4650/1/RR356.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1773384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177/16094069231205789" TargetMode="External"/><Relationship Id="rId4" Type="http://schemas.openxmlformats.org/officeDocument/2006/relationships/settings" Target="settings.xml"/><Relationship Id="rId9" Type="http://schemas.openxmlformats.org/officeDocument/2006/relationships/hyperlink" Target="https://doi.org/10.1111/jan.13031" TargetMode="External"/><Relationship Id="rId14" Type="http://schemas.openxmlformats.org/officeDocument/2006/relationships/hyperlink" Target="https://www.uwtsd.ac.uk/research/research-integrity-and-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AC523-2BBF-4EE2-932B-DEBE7340C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5086</TotalTime>
  <Pages>19</Pages>
  <Words>7162</Words>
  <Characters>45909</Characters>
  <Application>Microsoft Office Word</Application>
  <DocSecurity>0</DocSecurity>
  <Lines>646</Lines>
  <Paragraphs>92</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52979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Vikki</dc:creator>
  <cp:keywords/>
  <dc:description/>
  <cp:lastModifiedBy>Curtis, Vikki</cp:lastModifiedBy>
  <cp:revision>33</cp:revision>
  <dcterms:created xsi:type="dcterms:W3CDTF">2026-01-09T13:35:00Z</dcterms:created>
  <dcterms:modified xsi:type="dcterms:W3CDTF">2026-01-17T15:02:00Z</dcterms:modified>
</cp:coreProperties>
</file>