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F72E40B">
      <w:pPr>
        <w:pStyle w:val="2"/>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ascii="宋体" w:hAnsi="宋体" w:eastAsia="宋体" w:cs="宋体"/>
          <w:sz w:val="24"/>
          <w:szCs w:val="24"/>
        </w:rPr>
      </w:pPr>
      <w:bookmarkStart w:id="0" w:name="_Toc8081"/>
      <w:bookmarkStart w:id="1" w:name="_Toc10265"/>
      <w:r>
        <w:rPr>
          <w:rFonts w:ascii="宋体" w:hAnsi="宋体" w:eastAsia="宋体" w:cs="宋体"/>
          <w:sz w:val="24"/>
          <w:szCs w:val="24"/>
        </w:rPr>
        <w:drawing>
          <wp:inline distT="0" distB="0" distL="114300" distR="114300">
            <wp:extent cx="2277110" cy="1139190"/>
            <wp:effectExtent l="0" t="0" r="8890" b="3810"/>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6"/>
                    <a:stretch>
                      <a:fillRect/>
                    </a:stretch>
                  </pic:blipFill>
                  <pic:spPr>
                    <a:xfrm>
                      <a:off x="0" y="0"/>
                      <a:ext cx="2277110" cy="1139190"/>
                    </a:xfrm>
                    <a:prstGeom prst="rect">
                      <a:avLst/>
                    </a:prstGeom>
                    <a:noFill/>
                    <a:ln w="9525">
                      <a:noFill/>
                    </a:ln>
                  </pic:spPr>
                </pic:pic>
              </a:graphicData>
            </a:graphic>
          </wp:inline>
        </w:drawing>
      </w:r>
      <w:bookmarkEnd w:id="0"/>
      <w:bookmarkEnd w:id="1"/>
    </w:p>
    <w:p w14:paraId="0D812665">
      <w:pPr>
        <w:pStyle w:val="2"/>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rPr>
      </w:pPr>
    </w:p>
    <w:p w14:paraId="64F94D39">
      <w:pPr>
        <w:pStyle w:val="2"/>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rPr>
      </w:pPr>
    </w:p>
    <w:p w14:paraId="3A99CBC5">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center"/>
        <w:textAlignment w:val="auto"/>
        <w:rPr>
          <w:rFonts w:hint="default" w:ascii="Times New Roman" w:hAnsi="Times New Roman" w:eastAsia="黑体" w:cs="Times New Roman"/>
          <w:b/>
          <w:bCs w:val="0"/>
          <w:i w:val="0"/>
          <w:strike w:val="0"/>
          <w:color w:val="auto"/>
          <w:sz w:val="36"/>
          <w:u w:val="none"/>
        </w:rPr>
      </w:pPr>
      <w:r>
        <w:rPr>
          <w:rFonts w:hint="default" w:ascii="Times New Roman" w:hAnsi="Times New Roman" w:eastAsia="黑体" w:cs="Times New Roman"/>
          <w:b/>
          <w:bCs w:val="0"/>
          <w:i w:val="0"/>
          <w:strike w:val="0"/>
          <w:color w:val="auto"/>
          <w:sz w:val="36"/>
          <w:u w:val="none"/>
        </w:rPr>
        <w:t>Culture, Ethics, and Environmental Responsibility:</w:t>
      </w:r>
    </w:p>
    <w:p w14:paraId="100922BC">
      <w:pPr>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center"/>
        <w:textAlignment w:val="auto"/>
        <w:outlineLvl w:val="2"/>
        <w:rPr>
          <w:rFonts w:hint="default" w:ascii="Times New Roman" w:hAnsi="Times New Roman" w:eastAsia="黑体" w:cs="Times New Roman"/>
          <w:b/>
          <w:bCs w:val="0"/>
          <w:i w:val="0"/>
          <w:strike w:val="0"/>
          <w:color w:val="auto"/>
          <w:kern w:val="0"/>
          <w:sz w:val="36"/>
          <w:szCs w:val="27"/>
          <w:u w:val="none"/>
          <w:lang w:val="en-US" w:eastAsia="zh-CN" w:bidi="ar"/>
        </w:rPr>
      </w:pPr>
      <w:r>
        <w:rPr>
          <w:rFonts w:hint="default" w:ascii="Times New Roman" w:hAnsi="Times New Roman" w:eastAsia="黑体" w:cs="Times New Roman"/>
          <w:b/>
          <w:bCs w:val="0"/>
          <w:i w:val="0"/>
          <w:strike w:val="0"/>
          <w:color w:val="auto"/>
          <w:kern w:val="0"/>
          <w:sz w:val="36"/>
          <w:szCs w:val="27"/>
          <w:u w:val="none"/>
          <w:lang w:val="en-US" w:eastAsia="zh-CN" w:bidi="ar"/>
        </w:rPr>
        <w:t>How Value Systems Shape CSR Practices at IKEA and Amazon</w:t>
      </w:r>
    </w:p>
    <w:p w14:paraId="58E54C8A">
      <w:pPr>
        <w:keepNext w:val="0"/>
        <w:keepLines w:val="0"/>
        <w:pageBreakBefore w:val="0"/>
        <w:kinsoku/>
        <w:wordWrap/>
        <w:overflowPunct/>
        <w:topLinePunct w:val="0"/>
        <w:autoSpaceDE/>
        <w:autoSpaceDN/>
        <w:bidi w:val="0"/>
        <w:adjustRightInd/>
        <w:snapToGrid/>
        <w:spacing w:beforeAutospacing="0" w:afterAutospacing="0" w:line="480" w:lineRule="auto"/>
        <w:textAlignment w:val="auto"/>
        <w:rPr>
          <w:rFonts w:hint="default"/>
        </w:rPr>
      </w:pPr>
    </w:p>
    <w:p w14:paraId="37A5A472">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center"/>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Tianchun Han</w:t>
      </w:r>
    </w:p>
    <w:p w14:paraId="459AEA47">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center"/>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2503556</w:t>
      </w:r>
    </w:p>
    <w:p w14:paraId="146708BC">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center"/>
        <w:textAlignment w:val="auto"/>
        <w:rPr>
          <w:rFonts w:hint="default" w:ascii="Times New Roman" w:hAnsi="Times New Roman" w:cs="Times New Roman" w:eastAsiaTheme="minorEastAsia"/>
          <w:b w:val="0"/>
          <w:bCs w:val="0"/>
          <w:sz w:val="24"/>
          <w:szCs w:val="24"/>
          <w:lang w:val="en-US" w:eastAsia="zh-CN"/>
        </w:rPr>
      </w:pPr>
      <w:r>
        <w:rPr>
          <w:rFonts w:hint="default" w:ascii="Times New Roman" w:hAnsi="Times New Roman" w:cs="Times New Roman"/>
          <w:bCs/>
          <w:sz w:val="24"/>
          <w:szCs w:val="24"/>
        </w:rPr>
        <w:t>BA Business Management</w:t>
      </w:r>
      <w:r>
        <w:rPr>
          <w:rFonts w:hint="default" w:ascii="Times New Roman" w:hAnsi="Times New Roman" w:cs="Times New Roman"/>
          <w:bCs/>
          <w:sz w:val="24"/>
          <w:szCs w:val="24"/>
          <w:lang w:val="en-US" w:eastAsia="zh-CN"/>
        </w:rPr>
        <w:t>,</w:t>
      </w:r>
      <w:r>
        <w:rPr>
          <w:rFonts w:hint="default" w:ascii="Times New Roman" w:hAnsi="Times New Roman" w:eastAsia="Helvetica" w:cs="Times New Roman"/>
          <w:i w:val="0"/>
          <w:iCs w:val="0"/>
          <w:caps w:val="0"/>
          <w:color w:val="333333"/>
          <w:spacing w:val="0"/>
          <w:sz w:val="24"/>
          <w:szCs w:val="24"/>
          <w:shd w:val="clear" w:fill="FFFFFF"/>
        </w:rPr>
        <w:t>University of Wales Trinity Saint David</w:t>
      </w:r>
    </w:p>
    <w:p w14:paraId="18959305">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center"/>
        <w:textAlignment w:val="auto"/>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BMBM6008</w:t>
      </w:r>
      <w:r>
        <w:rPr>
          <w:rFonts w:hint="default"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rPr>
        <w:t>Global Ethics</w:t>
      </w:r>
    </w:p>
    <w:p w14:paraId="7D71B19F">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center"/>
        <w:textAlignment w:val="auto"/>
        <w:rPr>
          <w:rFonts w:hint="default" w:ascii="Times New Roman" w:hAnsi="Times New Roman" w:eastAsia="Segoe UI" w:cs="Times New Roman"/>
          <w:b w:val="0"/>
          <w:bCs w:val="0"/>
          <w:i w:val="0"/>
          <w:iCs w:val="0"/>
          <w:caps w:val="0"/>
          <w:color w:val="1D2125"/>
          <w:spacing w:val="0"/>
          <w:sz w:val="24"/>
          <w:szCs w:val="24"/>
          <w:shd w:val="clear" w:fill="FFFFFF"/>
          <w:lang w:eastAsia="zh-CN"/>
        </w:rPr>
      </w:pPr>
      <w:r>
        <w:rPr>
          <w:rStyle w:val="13"/>
          <w:rFonts w:hint="default" w:ascii="Times New Roman" w:hAnsi="Times New Roman" w:eastAsia="宋体" w:cs="Times New Roman"/>
          <w:b w:val="0"/>
          <w:bCs w:val="0"/>
          <w:i w:val="0"/>
          <w:iCs w:val="0"/>
          <w:caps w:val="0"/>
          <w:color w:val="1D2125"/>
          <w:spacing w:val="0"/>
          <w:sz w:val="24"/>
          <w:szCs w:val="24"/>
          <w:shd w:val="clear" w:fill="FFFFFF"/>
          <w:lang w:val="en-US" w:eastAsia="zh-CN"/>
        </w:rPr>
        <w:t>Dr.</w:t>
      </w:r>
      <w:r>
        <w:rPr>
          <w:rStyle w:val="13"/>
          <w:rFonts w:hint="default" w:ascii="Times New Roman" w:hAnsi="Times New Roman" w:eastAsia="Segoe UI" w:cs="Times New Roman"/>
          <w:b w:val="0"/>
          <w:bCs w:val="0"/>
          <w:i w:val="0"/>
          <w:iCs w:val="0"/>
          <w:caps w:val="0"/>
          <w:color w:val="1D2125"/>
          <w:spacing w:val="0"/>
          <w:sz w:val="24"/>
          <w:szCs w:val="24"/>
          <w:shd w:val="clear" w:fill="FFFFFF"/>
        </w:rPr>
        <w:t>Arpu Kumar</w:t>
      </w:r>
      <w:r>
        <w:rPr>
          <w:rFonts w:hint="default" w:ascii="Times New Roman" w:hAnsi="Times New Roman" w:eastAsia="Segoe UI" w:cs="Times New Roman"/>
          <w:b w:val="0"/>
          <w:bCs w:val="0"/>
          <w:i w:val="0"/>
          <w:iCs w:val="0"/>
          <w:caps w:val="0"/>
          <w:color w:val="1D2125"/>
          <w:spacing w:val="0"/>
          <w:sz w:val="24"/>
          <w:szCs w:val="24"/>
          <w:shd w:val="clear" w:fill="FFFFFF"/>
          <w:lang w:eastAsia="zh-CN"/>
        </w:rPr>
        <w:t> </w:t>
      </w:r>
    </w:p>
    <w:p w14:paraId="7404496B">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center"/>
        <w:textAlignment w:val="auto"/>
        <w:rPr>
          <w:rFonts w:hint="default" w:ascii="Times New Roman" w:hAnsi="Times New Roman" w:cs="Times New Roman" w:eastAsiaTheme="minorEastAsia"/>
          <w:bCs/>
          <w:kern w:val="2"/>
          <w:sz w:val="24"/>
          <w:szCs w:val="24"/>
          <w:lang w:val="en-US" w:eastAsia="zh-CN" w:bidi="ar-SA"/>
        </w:rPr>
        <w:sectPr>
          <w:pgSz w:w="11906" w:h="16838"/>
          <w:pgMar w:top="1440" w:right="1800" w:bottom="1440" w:left="1800" w:header="851" w:footer="992" w:gutter="0"/>
          <w:pgNumType w:fmt="decimal" w:start="1"/>
          <w:cols w:space="425" w:num="1"/>
          <w:docGrid w:type="lines" w:linePitch="312" w:charSpace="0"/>
        </w:sectPr>
      </w:pPr>
      <w:r>
        <w:rPr>
          <w:rFonts w:hint="default" w:ascii="Times New Roman" w:hAnsi="Times New Roman" w:cs="Times New Roman" w:eastAsiaTheme="minorEastAsia"/>
          <w:bCs/>
          <w:kern w:val="2"/>
          <w:sz w:val="24"/>
          <w:szCs w:val="24"/>
          <w:lang w:val="en-US" w:eastAsia="zh-CN" w:bidi="ar-SA"/>
        </w:rPr>
        <w:t>12 Dec</w:t>
      </w:r>
      <w:r>
        <w:rPr>
          <w:rFonts w:hint="eastAsia" w:ascii="Times New Roman" w:hAnsi="Times New Roman" w:cs="Times New Roman"/>
          <w:bCs/>
          <w:kern w:val="2"/>
          <w:sz w:val="24"/>
          <w:szCs w:val="24"/>
          <w:lang w:val="en-US" w:eastAsia="zh-CN" w:bidi="ar-SA"/>
        </w:rPr>
        <w:t>,</w:t>
      </w:r>
      <w:r>
        <w:rPr>
          <w:rFonts w:hint="default" w:ascii="Times New Roman" w:hAnsi="Times New Roman" w:cs="Times New Roman" w:eastAsiaTheme="minorEastAsia"/>
          <w:bCs/>
          <w:kern w:val="2"/>
          <w:sz w:val="24"/>
          <w:szCs w:val="24"/>
          <w:lang w:val="en-US" w:eastAsia="zh-CN" w:bidi="ar-SA"/>
        </w:rPr>
        <w:t>2025</w:t>
      </w:r>
    </w:p>
    <w:p w14:paraId="59A374EA">
      <w:pPr>
        <w:keepNext w:val="0"/>
        <w:keepLines w:val="0"/>
        <w:pageBreakBefore w:val="0"/>
        <w:widowControl/>
        <w:suppressLineNumbers w:val="0"/>
        <w:kinsoku/>
        <w:wordWrap/>
        <w:overflowPunct/>
        <w:topLinePunct w:val="0"/>
        <w:autoSpaceDE/>
        <w:autoSpaceDN/>
        <w:bidi w:val="0"/>
        <w:adjustRightInd/>
        <w:snapToGrid/>
        <w:spacing w:beforeAutospacing="0" w:line="480" w:lineRule="auto"/>
        <w:jc w:val="center"/>
        <w:textAlignment w:val="auto"/>
        <w:outlineLvl w:val="9"/>
        <w:rPr>
          <w:rFonts w:hint="default" w:ascii="Times New Roman" w:hAnsi="Times New Roman" w:cs="Times New Roman"/>
          <w:b/>
          <w:bCs/>
          <w:sz w:val="24"/>
          <w:szCs w:val="24"/>
        </w:rPr>
      </w:pPr>
      <w:r>
        <w:rPr>
          <w:rFonts w:hint="default" w:ascii="Times New Roman" w:hAnsi="Times New Roman" w:cs="Times New Roman"/>
          <w:b/>
          <w:bCs/>
          <w:sz w:val="24"/>
          <w:szCs w:val="24"/>
        </w:rPr>
        <w:t>Abstract</w:t>
      </w:r>
    </w:p>
    <w:p w14:paraId="3D60A8BB">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This report examines how cultural differences between the European Union (EU) and the United States (US) influence corporate ethical decision-making regarding environmental sustainability. Employing corporate social responsibility (CSR) theory and cultural relativism as analytical frameworks, the study selects IKEA and Amazon as representative case studies, comparing their practices within distinct cultural-institutional contexts. The study concludes that companies must proactively address environmental issues and that profit and sustainability can achieve functional coexistence when CSR strategies effectively align with local cultural expectations, strategic incentives, and institutional structures.</w:t>
      </w:r>
    </w:p>
    <w:p w14:paraId="38A7467F">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66DF3CD4">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2D35ECC1">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47AF92C6">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3871D3A7">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18BFD071">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0A829D92">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51622BFC">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0892CEED">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204C9FAF">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2EA28519">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6E0C1993">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590FE7C0">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216E66E6">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35E57757">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4E3A4F33">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4E975514">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7CEFD0A9">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200021C3">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0C57D637">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0C85018E">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627CD109">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24D5783D">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3B266B5D">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338F6E17">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3DB6CAF6">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18F1EE72">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697DE9AC">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08F93CDB">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4FF47CC7">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687ED9AD">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003E2ABD">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59B42E0D">
      <w:pPr>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09B6AF19">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jc w:val="center"/>
        <w:textAlignment w:val="auto"/>
        <w:rPr>
          <w:rFonts w:ascii="Arial" w:hAnsi="Arial" w:cs="Arial"/>
          <w:sz w:val="24"/>
          <w:szCs w:val="24"/>
        </w:rPr>
      </w:pPr>
      <w:r>
        <w:rPr>
          <w:rFonts w:hint="default" w:ascii="Times New Roman" w:hAnsi="Times New Roman" w:cs="Times New Roman"/>
          <w:b/>
          <w:bCs/>
          <w:sz w:val="24"/>
          <w:szCs w:val="24"/>
        </w:rPr>
        <w:t>Contents</w:t>
      </w:r>
    </w:p>
    <w:p w14:paraId="3FDAE7C1">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eastAsiaTheme="minorEastAsia"/>
          <w:bCs/>
          <w:kern w:val="2"/>
          <w:sz w:val="24"/>
          <w:szCs w:val="24"/>
          <w:lang w:val="en-US" w:eastAsia="zh-CN" w:bidi="ar-SA"/>
        </w:rPr>
        <w:fldChar w:fldCharType="begin"/>
      </w:r>
      <w:r>
        <w:rPr>
          <w:rFonts w:hint="default" w:ascii="Times New Roman" w:hAnsi="Times New Roman" w:cs="Times New Roman" w:eastAsiaTheme="minorEastAsia"/>
          <w:bCs/>
          <w:kern w:val="2"/>
          <w:sz w:val="24"/>
          <w:szCs w:val="24"/>
          <w:lang w:val="en-US" w:eastAsia="zh-CN" w:bidi="ar-SA"/>
        </w:rPr>
        <w:instrText xml:space="preserve">TOC \o "1-3" \h \u </w:instrText>
      </w:r>
      <w:r>
        <w:rPr>
          <w:rFonts w:hint="default" w:ascii="Times New Roman" w:hAnsi="Times New Roman" w:cs="Times New Roman" w:eastAsiaTheme="minorEastAsia"/>
          <w:bCs/>
          <w:kern w:val="2"/>
          <w:sz w:val="24"/>
          <w:szCs w:val="24"/>
          <w:lang w:val="en-US" w:eastAsia="zh-CN" w:bidi="ar-SA"/>
        </w:rPr>
        <w:fldChar w:fldCharType="separate"/>
      </w:r>
      <w:r>
        <w:rPr>
          <w:rFonts w:hint="default" w:ascii="Times New Roman" w:hAnsi="Times New Roman" w:cs="Times New Roman" w:eastAsiaTheme="minorEastAsia"/>
          <w:bCs/>
          <w:kern w:val="2"/>
          <w:sz w:val="24"/>
          <w:szCs w:val="24"/>
          <w:lang w:val="en-US" w:eastAsia="zh-CN" w:bidi="ar-SA"/>
        </w:rPr>
        <w:fldChar w:fldCharType="begin"/>
      </w:r>
      <w:r>
        <w:rPr>
          <w:rFonts w:hint="default" w:ascii="Times New Roman" w:hAnsi="Times New Roman" w:cs="Times New Roman" w:eastAsiaTheme="minorEastAsia"/>
          <w:bCs/>
          <w:kern w:val="2"/>
          <w:sz w:val="24"/>
          <w:szCs w:val="24"/>
          <w:lang w:val="en-US" w:eastAsia="zh-CN" w:bidi="ar-SA"/>
        </w:rPr>
        <w:instrText xml:space="preserve"> HYPERLINK \l _Toc12673 </w:instrText>
      </w:r>
      <w:r>
        <w:rPr>
          <w:rFonts w:hint="default" w:ascii="Times New Roman" w:hAnsi="Times New Roman" w:cs="Times New Roman" w:eastAsiaTheme="minorEastAsia"/>
          <w:bCs/>
          <w:kern w:val="2"/>
          <w:sz w:val="24"/>
          <w:szCs w:val="24"/>
          <w:lang w:val="en-US" w:eastAsia="zh-CN" w:bidi="ar-SA"/>
        </w:rPr>
        <w:fldChar w:fldCharType="separate"/>
      </w:r>
      <w:r>
        <w:rPr>
          <w:rFonts w:hint="default" w:ascii="Times New Roman" w:hAnsi="Times New Roman" w:eastAsia="宋体" w:cs="Times New Roman"/>
          <w:bCs/>
          <w:sz w:val="24"/>
          <w:szCs w:val="24"/>
          <w:shd w:val="clear" w:fill="auto"/>
        </w:rPr>
        <w:t xml:space="preserve">1. </w:t>
      </w:r>
      <w:r>
        <w:rPr>
          <w:rFonts w:hint="default" w:ascii="Times New Roman" w:hAnsi="Times New Roman" w:cs="Times New Roman"/>
          <w:bCs/>
          <w:sz w:val="24"/>
          <w:szCs w:val="24"/>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_Toc12673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eastAsiaTheme="minorEastAsia"/>
          <w:bCs/>
          <w:kern w:val="2"/>
          <w:sz w:val="24"/>
          <w:szCs w:val="24"/>
          <w:lang w:val="en-US" w:eastAsia="zh-CN" w:bidi="ar-SA"/>
        </w:rPr>
        <w:fldChar w:fldCharType="end"/>
      </w:r>
    </w:p>
    <w:p w14:paraId="2225FE89">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eastAsiaTheme="minorEastAsia"/>
          <w:bCs/>
          <w:kern w:val="2"/>
          <w:sz w:val="24"/>
          <w:szCs w:val="24"/>
          <w:lang w:val="en-US" w:eastAsia="zh-CN" w:bidi="ar-SA"/>
        </w:rPr>
        <w:fldChar w:fldCharType="begin"/>
      </w:r>
      <w:r>
        <w:rPr>
          <w:rFonts w:hint="default" w:ascii="Times New Roman" w:hAnsi="Times New Roman" w:cs="Times New Roman" w:eastAsiaTheme="minorEastAsia"/>
          <w:bCs/>
          <w:kern w:val="2"/>
          <w:sz w:val="24"/>
          <w:szCs w:val="24"/>
          <w:lang w:val="en-US" w:eastAsia="zh-CN" w:bidi="ar-SA"/>
        </w:rPr>
        <w:instrText xml:space="preserve"> HYPERLINK \l _Toc32246 </w:instrText>
      </w:r>
      <w:r>
        <w:rPr>
          <w:rFonts w:hint="default" w:ascii="Times New Roman" w:hAnsi="Times New Roman" w:cs="Times New Roman" w:eastAsiaTheme="minorEastAsia"/>
          <w:bCs/>
          <w:kern w:val="2"/>
          <w:sz w:val="24"/>
          <w:szCs w:val="24"/>
          <w:lang w:val="en-US" w:eastAsia="zh-CN" w:bidi="ar-SA"/>
        </w:rPr>
        <w:fldChar w:fldCharType="separate"/>
      </w:r>
      <w:r>
        <w:rPr>
          <w:rFonts w:hint="default" w:ascii="Times New Roman" w:hAnsi="Times New Roman" w:eastAsia="宋体" w:cs="Times New Roman"/>
          <w:bCs/>
          <w:sz w:val="24"/>
          <w:szCs w:val="24"/>
          <w:shd w:val="clear" w:color="auto" w:fill="auto"/>
        </w:rPr>
        <w:t>2. Theoretical Framework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_Toc32246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eastAsiaTheme="minorEastAsia"/>
          <w:bCs/>
          <w:kern w:val="2"/>
          <w:sz w:val="24"/>
          <w:szCs w:val="24"/>
          <w:lang w:val="en-US" w:eastAsia="zh-CN" w:bidi="ar-SA"/>
        </w:rPr>
        <w:fldChar w:fldCharType="end"/>
      </w:r>
    </w:p>
    <w:p w14:paraId="7188C656">
      <w:pPr>
        <w:pStyle w:val="9"/>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eastAsiaTheme="minorEastAsia"/>
          <w:bCs/>
          <w:kern w:val="2"/>
          <w:sz w:val="24"/>
          <w:szCs w:val="24"/>
          <w:lang w:val="en-US" w:eastAsia="zh-CN" w:bidi="ar-SA"/>
        </w:rPr>
        <w:fldChar w:fldCharType="begin"/>
      </w:r>
      <w:r>
        <w:rPr>
          <w:rFonts w:hint="default" w:ascii="Times New Roman" w:hAnsi="Times New Roman" w:cs="Times New Roman" w:eastAsiaTheme="minorEastAsia"/>
          <w:bCs/>
          <w:kern w:val="2"/>
          <w:sz w:val="24"/>
          <w:szCs w:val="24"/>
          <w:lang w:val="en-US" w:eastAsia="zh-CN" w:bidi="ar-SA"/>
        </w:rPr>
        <w:instrText xml:space="preserve"> HYPERLINK \l _Toc17791 </w:instrText>
      </w:r>
      <w:r>
        <w:rPr>
          <w:rFonts w:hint="default" w:ascii="Times New Roman" w:hAnsi="Times New Roman" w:cs="Times New Roman" w:eastAsiaTheme="minorEastAsia"/>
          <w:bCs/>
          <w:kern w:val="2"/>
          <w:sz w:val="24"/>
          <w:szCs w:val="24"/>
          <w:lang w:val="en-US" w:eastAsia="zh-CN" w:bidi="ar-SA"/>
        </w:rPr>
        <w:fldChar w:fldCharType="separate"/>
      </w:r>
      <w:r>
        <w:rPr>
          <w:rFonts w:hint="default" w:ascii="Times New Roman" w:hAnsi="Times New Roman" w:eastAsia="宋体" w:cs="Times New Roman"/>
          <w:bCs/>
          <w:sz w:val="24"/>
          <w:szCs w:val="24"/>
          <w:shd w:val="clear" w:color="auto" w:fill="auto"/>
        </w:rPr>
        <w:t>2.1 CSR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_Toc17791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eastAsiaTheme="minorEastAsia"/>
          <w:bCs/>
          <w:kern w:val="2"/>
          <w:sz w:val="24"/>
          <w:szCs w:val="24"/>
          <w:lang w:val="en-US" w:eastAsia="zh-CN" w:bidi="ar-SA"/>
        </w:rPr>
        <w:fldChar w:fldCharType="end"/>
      </w:r>
    </w:p>
    <w:p w14:paraId="6E4898EB">
      <w:pPr>
        <w:pStyle w:val="9"/>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eastAsiaTheme="minorEastAsia"/>
          <w:bCs/>
          <w:kern w:val="2"/>
          <w:sz w:val="24"/>
          <w:szCs w:val="24"/>
          <w:lang w:val="en-US" w:eastAsia="zh-CN" w:bidi="ar-SA"/>
        </w:rPr>
        <w:fldChar w:fldCharType="begin"/>
      </w:r>
      <w:r>
        <w:rPr>
          <w:rFonts w:hint="default" w:ascii="Times New Roman" w:hAnsi="Times New Roman" w:cs="Times New Roman" w:eastAsiaTheme="minorEastAsia"/>
          <w:bCs/>
          <w:kern w:val="2"/>
          <w:sz w:val="24"/>
          <w:szCs w:val="24"/>
          <w:lang w:val="en-US" w:eastAsia="zh-CN" w:bidi="ar-SA"/>
        </w:rPr>
        <w:instrText xml:space="preserve"> HYPERLINK \l _Toc29528 </w:instrText>
      </w:r>
      <w:r>
        <w:rPr>
          <w:rFonts w:hint="default" w:ascii="Times New Roman" w:hAnsi="Times New Roman" w:cs="Times New Roman" w:eastAsiaTheme="minorEastAsia"/>
          <w:bCs/>
          <w:kern w:val="2"/>
          <w:sz w:val="24"/>
          <w:szCs w:val="24"/>
          <w:lang w:val="en-US" w:eastAsia="zh-CN" w:bidi="ar-SA"/>
        </w:rPr>
        <w:fldChar w:fldCharType="separate"/>
      </w:r>
      <w:r>
        <w:rPr>
          <w:rFonts w:hint="default" w:ascii="Times New Roman" w:hAnsi="Times New Roman" w:eastAsia="宋体" w:cs="Times New Roman"/>
          <w:bCs/>
          <w:sz w:val="24"/>
          <w:szCs w:val="24"/>
          <w:shd w:val="clear" w:color="auto" w:fill="auto"/>
        </w:rPr>
        <w:t>2.2 Cultural Relativism and Ethical Interpretation in Corporate Sustainability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_Toc29528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eastAsiaTheme="minorEastAsia"/>
          <w:bCs/>
          <w:kern w:val="2"/>
          <w:sz w:val="24"/>
          <w:szCs w:val="24"/>
          <w:lang w:val="en-US" w:eastAsia="zh-CN" w:bidi="ar-SA"/>
        </w:rPr>
        <w:fldChar w:fldCharType="end"/>
      </w:r>
    </w:p>
    <w:p w14:paraId="3974605E">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eastAsiaTheme="minorEastAsia"/>
          <w:bCs/>
          <w:kern w:val="2"/>
          <w:sz w:val="24"/>
          <w:szCs w:val="24"/>
          <w:lang w:val="en-US" w:eastAsia="zh-CN" w:bidi="ar-SA"/>
        </w:rPr>
        <w:fldChar w:fldCharType="begin"/>
      </w:r>
      <w:r>
        <w:rPr>
          <w:rFonts w:hint="default" w:ascii="Times New Roman" w:hAnsi="Times New Roman" w:cs="Times New Roman" w:eastAsiaTheme="minorEastAsia"/>
          <w:bCs/>
          <w:kern w:val="2"/>
          <w:sz w:val="24"/>
          <w:szCs w:val="24"/>
          <w:lang w:val="en-US" w:eastAsia="zh-CN" w:bidi="ar-SA"/>
        </w:rPr>
        <w:instrText xml:space="preserve"> HYPERLINK \l _Toc31456 </w:instrText>
      </w:r>
      <w:r>
        <w:rPr>
          <w:rFonts w:hint="default" w:ascii="Times New Roman" w:hAnsi="Times New Roman" w:cs="Times New Roman" w:eastAsiaTheme="minorEastAsia"/>
          <w:bCs/>
          <w:kern w:val="2"/>
          <w:sz w:val="24"/>
          <w:szCs w:val="24"/>
          <w:lang w:val="en-US" w:eastAsia="zh-CN" w:bidi="ar-SA"/>
        </w:rPr>
        <w:fldChar w:fldCharType="separate"/>
      </w:r>
      <w:r>
        <w:rPr>
          <w:rFonts w:hint="default" w:ascii="Times New Roman" w:hAnsi="Times New Roman" w:eastAsia="宋体" w:cs="Times New Roman"/>
          <w:bCs/>
          <w:sz w:val="24"/>
          <w:szCs w:val="24"/>
          <w:shd w:val="clear" w:fill="auto"/>
        </w:rPr>
        <w:t xml:space="preserve">3. </w:t>
      </w:r>
      <w:r>
        <w:rPr>
          <w:rFonts w:hint="default" w:ascii="Times New Roman" w:hAnsi="Times New Roman" w:eastAsia="宋体" w:cs="Times New Roman"/>
          <w:bCs/>
          <w:sz w:val="24"/>
          <w:szCs w:val="24"/>
          <w:shd w:val="clear" w:color="auto" w:fill="auto"/>
        </w:rPr>
        <w:t>Case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_Toc31456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eastAsiaTheme="minorEastAsia"/>
          <w:bCs/>
          <w:kern w:val="2"/>
          <w:sz w:val="24"/>
          <w:szCs w:val="24"/>
          <w:lang w:val="en-US" w:eastAsia="zh-CN" w:bidi="ar-SA"/>
        </w:rPr>
        <w:fldChar w:fldCharType="end"/>
      </w:r>
    </w:p>
    <w:p w14:paraId="492AA1E8">
      <w:pPr>
        <w:pStyle w:val="9"/>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eastAsiaTheme="minorEastAsia"/>
          <w:bCs/>
          <w:kern w:val="2"/>
          <w:sz w:val="24"/>
          <w:szCs w:val="24"/>
          <w:lang w:val="en-US" w:eastAsia="zh-CN" w:bidi="ar-SA"/>
        </w:rPr>
        <w:fldChar w:fldCharType="begin"/>
      </w:r>
      <w:r>
        <w:rPr>
          <w:rFonts w:hint="default" w:ascii="Times New Roman" w:hAnsi="Times New Roman" w:cs="Times New Roman" w:eastAsiaTheme="minorEastAsia"/>
          <w:bCs/>
          <w:kern w:val="2"/>
          <w:sz w:val="24"/>
          <w:szCs w:val="24"/>
          <w:lang w:val="en-US" w:eastAsia="zh-CN" w:bidi="ar-SA"/>
        </w:rPr>
        <w:instrText xml:space="preserve"> HYPERLINK \l _Toc5571 </w:instrText>
      </w:r>
      <w:r>
        <w:rPr>
          <w:rFonts w:hint="default" w:ascii="Times New Roman" w:hAnsi="Times New Roman" w:cs="Times New Roman" w:eastAsiaTheme="minorEastAsia"/>
          <w:bCs/>
          <w:kern w:val="2"/>
          <w:sz w:val="24"/>
          <w:szCs w:val="24"/>
          <w:lang w:val="en-US" w:eastAsia="zh-CN" w:bidi="ar-SA"/>
        </w:rPr>
        <w:fldChar w:fldCharType="separate"/>
      </w:r>
      <w:r>
        <w:rPr>
          <w:rFonts w:hint="default" w:ascii="Times New Roman" w:hAnsi="Times New Roman" w:eastAsia="宋体" w:cs="Times New Roman"/>
          <w:bCs/>
          <w:sz w:val="24"/>
          <w:szCs w:val="24"/>
          <w:shd w:val="clear" w:color="auto" w:fill="auto"/>
        </w:rPr>
        <w:t>3.1 Cultural and Institutional Background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_Toc5571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eastAsiaTheme="minorEastAsia"/>
          <w:bCs/>
          <w:kern w:val="2"/>
          <w:sz w:val="24"/>
          <w:szCs w:val="24"/>
          <w:lang w:val="en-US" w:eastAsia="zh-CN" w:bidi="ar-SA"/>
        </w:rPr>
        <w:fldChar w:fldCharType="end"/>
      </w:r>
    </w:p>
    <w:p w14:paraId="0B6E84BF">
      <w:pPr>
        <w:pStyle w:val="5"/>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eastAsiaTheme="minorEastAsia"/>
          <w:bCs/>
          <w:kern w:val="2"/>
          <w:sz w:val="24"/>
          <w:szCs w:val="24"/>
          <w:lang w:val="en-US" w:eastAsia="zh-CN" w:bidi="ar-SA"/>
        </w:rPr>
        <w:fldChar w:fldCharType="begin"/>
      </w:r>
      <w:r>
        <w:rPr>
          <w:rFonts w:hint="default" w:ascii="Times New Roman" w:hAnsi="Times New Roman" w:cs="Times New Roman" w:eastAsiaTheme="minorEastAsia"/>
          <w:bCs/>
          <w:kern w:val="2"/>
          <w:sz w:val="24"/>
          <w:szCs w:val="24"/>
          <w:lang w:val="en-US" w:eastAsia="zh-CN" w:bidi="ar-SA"/>
        </w:rPr>
        <w:instrText xml:space="preserve"> HYPERLINK \l _Toc17047 </w:instrText>
      </w:r>
      <w:r>
        <w:rPr>
          <w:rFonts w:hint="default" w:ascii="Times New Roman" w:hAnsi="Times New Roman" w:cs="Times New Roman" w:eastAsiaTheme="minorEastAsia"/>
          <w:bCs/>
          <w:kern w:val="2"/>
          <w:sz w:val="24"/>
          <w:szCs w:val="24"/>
          <w:lang w:val="en-US" w:eastAsia="zh-CN" w:bidi="ar-SA"/>
        </w:rPr>
        <w:fldChar w:fldCharType="separate"/>
      </w:r>
      <w:r>
        <w:rPr>
          <w:rFonts w:hint="default" w:ascii="Times New Roman" w:hAnsi="Times New Roman" w:eastAsia="宋体" w:cs="Times New Roman"/>
          <w:bCs/>
          <w:sz w:val="24"/>
          <w:szCs w:val="24"/>
          <w:shd w:val="clear" w:color="auto" w:fill="auto"/>
        </w:rPr>
        <w:t>3.1.1 Cultural Differences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_Toc17047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eastAsiaTheme="minorEastAsia"/>
          <w:bCs/>
          <w:kern w:val="2"/>
          <w:sz w:val="24"/>
          <w:szCs w:val="24"/>
          <w:lang w:val="en-US" w:eastAsia="zh-CN" w:bidi="ar-SA"/>
        </w:rPr>
        <w:fldChar w:fldCharType="end"/>
      </w:r>
    </w:p>
    <w:p w14:paraId="0DF92C8E">
      <w:pPr>
        <w:pStyle w:val="5"/>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eastAsiaTheme="minorEastAsia"/>
          <w:bCs/>
          <w:kern w:val="2"/>
          <w:sz w:val="24"/>
          <w:szCs w:val="24"/>
          <w:lang w:val="en-US" w:eastAsia="zh-CN" w:bidi="ar-SA"/>
        </w:rPr>
        <w:fldChar w:fldCharType="begin"/>
      </w:r>
      <w:r>
        <w:rPr>
          <w:rFonts w:hint="default" w:ascii="Times New Roman" w:hAnsi="Times New Roman" w:cs="Times New Roman" w:eastAsiaTheme="minorEastAsia"/>
          <w:bCs/>
          <w:kern w:val="2"/>
          <w:sz w:val="24"/>
          <w:szCs w:val="24"/>
          <w:lang w:val="en-US" w:eastAsia="zh-CN" w:bidi="ar-SA"/>
        </w:rPr>
        <w:instrText xml:space="preserve"> HYPERLINK \l _Toc19923 </w:instrText>
      </w:r>
      <w:r>
        <w:rPr>
          <w:rFonts w:hint="default" w:ascii="Times New Roman" w:hAnsi="Times New Roman" w:cs="Times New Roman" w:eastAsiaTheme="minorEastAsia"/>
          <w:bCs/>
          <w:kern w:val="2"/>
          <w:sz w:val="24"/>
          <w:szCs w:val="24"/>
          <w:lang w:val="en-US" w:eastAsia="zh-CN" w:bidi="ar-SA"/>
        </w:rPr>
        <w:fldChar w:fldCharType="separate"/>
      </w:r>
      <w:r>
        <w:rPr>
          <w:rFonts w:hint="default" w:ascii="Times New Roman" w:hAnsi="Times New Roman" w:eastAsia="宋体" w:cs="Times New Roman"/>
          <w:bCs/>
          <w:sz w:val="24"/>
          <w:szCs w:val="24"/>
          <w:shd w:val="clear" w:color="auto" w:fill="auto"/>
        </w:rPr>
        <w:t>3.1.2 Institutional Differences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_Toc19923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eastAsiaTheme="minorEastAsia"/>
          <w:bCs/>
          <w:kern w:val="2"/>
          <w:sz w:val="24"/>
          <w:szCs w:val="24"/>
          <w:lang w:val="en-US" w:eastAsia="zh-CN" w:bidi="ar-SA"/>
        </w:rPr>
        <w:fldChar w:fldCharType="end"/>
      </w:r>
    </w:p>
    <w:p w14:paraId="03F92236">
      <w:pPr>
        <w:pStyle w:val="5"/>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eastAsiaTheme="minorEastAsia"/>
          <w:bCs/>
          <w:kern w:val="2"/>
          <w:sz w:val="24"/>
          <w:szCs w:val="24"/>
          <w:lang w:val="en-US" w:eastAsia="zh-CN" w:bidi="ar-SA"/>
        </w:rPr>
        <w:fldChar w:fldCharType="begin"/>
      </w:r>
      <w:r>
        <w:rPr>
          <w:rFonts w:hint="default" w:ascii="Times New Roman" w:hAnsi="Times New Roman" w:cs="Times New Roman" w:eastAsiaTheme="minorEastAsia"/>
          <w:bCs/>
          <w:kern w:val="2"/>
          <w:sz w:val="24"/>
          <w:szCs w:val="24"/>
          <w:lang w:val="en-US" w:eastAsia="zh-CN" w:bidi="ar-SA"/>
        </w:rPr>
        <w:instrText xml:space="preserve"> HYPERLINK \l _Toc6242 </w:instrText>
      </w:r>
      <w:r>
        <w:rPr>
          <w:rFonts w:hint="default" w:ascii="Times New Roman" w:hAnsi="Times New Roman" w:cs="Times New Roman" w:eastAsiaTheme="minorEastAsia"/>
          <w:bCs/>
          <w:kern w:val="2"/>
          <w:sz w:val="24"/>
          <w:szCs w:val="24"/>
          <w:lang w:val="en-US" w:eastAsia="zh-CN" w:bidi="ar-SA"/>
        </w:rPr>
        <w:fldChar w:fldCharType="separate"/>
      </w:r>
      <w:r>
        <w:rPr>
          <w:rFonts w:hint="default" w:ascii="Times New Roman" w:hAnsi="Times New Roman" w:eastAsia="宋体" w:cs="Times New Roman"/>
          <w:bCs/>
          <w:sz w:val="24"/>
          <w:szCs w:val="24"/>
          <w:shd w:val="clear" w:color="auto" w:fill="auto"/>
        </w:rPr>
        <w:t>3.1.3 Organisational Culture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_Toc6242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eastAsiaTheme="minorEastAsia"/>
          <w:bCs/>
          <w:kern w:val="2"/>
          <w:sz w:val="24"/>
          <w:szCs w:val="24"/>
          <w:lang w:val="en-US" w:eastAsia="zh-CN" w:bidi="ar-SA"/>
        </w:rPr>
        <w:fldChar w:fldCharType="end"/>
      </w:r>
    </w:p>
    <w:p w14:paraId="28A35C28">
      <w:pPr>
        <w:pStyle w:val="9"/>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eastAsiaTheme="minorEastAsia"/>
          <w:bCs/>
          <w:kern w:val="2"/>
          <w:sz w:val="24"/>
          <w:szCs w:val="24"/>
          <w:lang w:val="en-US" w:eastAsia="zh-CN" w:bidi="ar-SA"/>
        </w:rPr>
        <w:fldChar w:fldCharType="begin"/>
      </w:r>
      <w:r>
        <w:rPr>
          <w:rFonts w:hint="default" w:ascii="Times New Roman" w:hAnsi="Times New Roman" w:cs="Times New Roman" w:eastAsiaTheme="minorEastAsia"/>
          <w:bCs/>
          <w:kern w:val="2"/>
          <w:sz w:val="24"/>
          <w:szCs w:val="24"/>
          <w:lang w:val="en-US" w:eastAsia="zh-CN" w:bidi="ar-SA"/>
        </w:rPr>
        <w:instrText xml:space="preserve"> HYPERLINK \l _Toc20379 </w:instrText>
      </w:r>
      <w:r>
        <w:rPr>
          <w:rFonts w:hint="default" w:ascii="Times New Roman" w:hAnsi="Times New Roman" w:cs="Times New Roman" w:eastAsiaTheme="minorEastAsia"/>
          <w:bCs/>
          <w:kern w:val="2"/>
          <w:sz w:val="24"/>
          <w:szCs w:val="24"/>
          <w:lang w:val="en-US" w:eastAsia="zh-CN" w:bidi="ar-SA"/>
        </w:rPr>
        <w:fldChar w:fldCharType="separate"/>
      </w:r>
      <w:r>
        <w:rPr>
          <w:rFonts w:hint="default" w:ascii="Times New Roman" w:hAnsi="Times New Roman" w:eastAsia="宋体" w:cs="Times New Roman"/>
          <w:bCs/>
          <w:sz w:val="24"/>
          <w:szCs w:val="24"/>
          <w:shd w:val="clear" w:color="auto" w:fill="auto"/>
        </w:rPr>
        <w:t>3.2 CSR Models in Practice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_Toc20379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eastAsiaTheme="minorEastAsia"/>
          <w:bCs/>
          <w:kern w:val="2"/>
          <w:sz w:val="24"/>
          <w:szCs w:val="24"/>
          <w:lang w:val="en-US" w:eastAsia="zh-CN" w:bidi="ar-SA"/>
        </w:rPr>
        <w:fldChar w:fldCharType="end"/>
      </w:r>
    </w:p>
    <w:p w14:paraId="002C215F">
      <w:pPr>
        <w:pStyle w:val="9"/>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eastAsiaTheme="minorEastAsia"/>
          <w:bCs/>
          <w:kern w:val="2"/>
          <w:sz w:val="24"/>
          <w:szCs w:val="24"/>
          <w:lang w:val="en-US" w:eastAsia="zh-CN" w:bidi="ar-SA"/>
        </w:rPr>
        <w:fldChar w:fldCharType="begin"/>
      </w:r>
      <w:r>
        <w:rPr>
          <w:rFonts w:hint="default" w:ascii="Times New Roman" w:hAnsi="Times New Roman" w:cs="Times New Roman" w:eastAsiaTheme="minorEastAsia"/>
          <w:bCs/>
          <w:kern w:val="2"/>
          <w:sz w:val="24"/>
          <w:szCs w:val="24"/>
          <w:lang w:val="en-US" w:eastAsia="zh-CN" w:bidi="ar-SA"/>
        </w:rPr>
        <w:instrText xml:space="preserve"> HYPERLINK \l _Toc4653 </w:instrText>
      </w:r>
      <w:r>
        <w:rPr>
          <w:rFonts w:hint="default" w:ascii="Times New Roman" w:hAnsi="Times New Roman" w:cs="Times New Roman" w:eastAsiaTheme="minorEastAsia"/>
          <w:bCs/>
          <w:kern w:val="2"/>
          <w:sz w:val="24"/>
          <w:szCs w:val="24"/>
          <w:lang w:val="en-US" w:eastAsia="zh-CN" w:bidi="ar-SA"/>
        </w:rPr>
        <w:fldChar w:fldCharType="separate"/>
      </w:r>
      <w:r>
        <w:rPr>
          <w:rFonts w:hint="default" w:ascii="Times New Roman" w:hAnsi="Times New Roman" w:eastAsia="宋体" w:cs="Times New Roman"/>
          <w:bCs/>
          <w:sz w:val="24"/>
          <w:szCs w:val="24"/>
          <w:shd w:val="clear" w:color="auto" w:fill="auto"/>
        </w:rPr>
        <w:t>3.3 Compatibilism in Corporate Environmental Ethics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_Toc4653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eastAsiaTheme="minorEastAsia"/>
          <w:bCs/>
          <w:kern w:val="2"/>
          <w:sz w:val="24"/>
          <w:szCs w:val="24"/>
          <w:lang w:val="en-US" w:eastAsia="zh-CN" w:bidi="ar-SA"/>
        </w:rPr>
        <w:fldChar w:fldCharType="end"/>
      </w:r>
    </w:p>
    <w:p w14:paraId="4D9D2AAE">
      <w:pPr>
        <w:pStyle w:val="5"/>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eastAsiaTheme="minorEastAsia"/>
          <w:bCs/>
          <w:kern w:val="2"/>
          <w:sz w:val="24"/>
          <w:szCs w:val="24"/>
          <w:lang w:val="en-US" w:eastAsia="zh-CN" w:bidi="ar-SA"/>
        </w:rPr>
        <w:fldChar w:fldCharType="begin"/>
      </w:r>
      <w:r>
        <w:rPr>
          <w:rFonts w:hint="default" w:ascii="Times New Roman" w:hAnsi="Times New Roman" w:cs="Times New Roman" w:eastAsiaTheme="minorEastAsia"/>
          <w:bCs/>
          <w:kern w:val="2"/>
          <w:sz w:val="24"/>
          <w:szCs w:val="24"/>
          <w:lang w:val="en-US" w:eastAsia="zh-CN" w:bidi="ar-SA"/>
        </w:rPr>
        <w:instrText xml:space="preserve"> HYPERLINK \l _Toc19186 </w:instrText>
      </w:r>
      <w:r>
        <w:rPr>
          <w:rFonts w:hint="default" w:ascii="Times New Roman" w:hAnsi="Times New Roman" w:cs="Times New Roman" w:eastAsiaTheme="minorEastAsia"/>
          <w:bCs/>
          <w:kern w:val="2"/>
          <w:sz w:val="24"/>
          <w:szCs w:val="24"/>
          <w:lang w:val="en-US" w:eastAsia="zh-CN" w:bidi="ar-SA"/>
        </w:rPr>
        <w:fldChar w:fldCharType="separate"/>
      </w:r>
      <w:r>
        <w:rPr>
          <w:rFonts w:hint="default" w:ascii="Times New Roman" w:hAnsi="Times New Roman" w:eastAsia="宋体" w:cs="Times New Roman"/>
          <w:bCs/>
          <w:sz w:val="24"/>
          <w:szCs w:val="24"/>
          <w:shd w:val="clear" w:color="auto" w:fill="auto"/>
        </w:rPr>
        <w:t>3.3.1 European Context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_Toc19186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eastAsiaTheme="minorEastAsia"/>
          <w:bCs/>
          <w:kern w:val="2"/>
          <w:sz w:val="24"/>
          <w:szCs w:val="24"/>
          <w:lang w:val="en-US" w:eastAsia="zh-CN" w:bidi="ar-SA"/>
        </w:rPr>
        <w:fldChar w:fldCharType="end"/>
      </w:r>
    </w:p>
    <w:p w14:paraId="7E224EEF">
      <w:pPr>
        <w:pStyle w:val="5"/>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eastAsiaTheme="minorEastAsia"/>
          <w:bCs/>
          <w:kern w:val="2"/>
          <w:sz w:val="24"/>
          <w:szCs w:val="24"/>
          <w:lang w:val="en-US" w:eastAsia="zh-CN" w:bidi="ar-SA"/>
        </w:rPr>
        <w:fldChar w:fldCharType="begin"/>
      </w:r>
      <w:r>
        <w:rPr>
          <w:rFonts w:hint="default" w:ascii="Times New Roman" w:hAnsi="Times New Roman" w:cs="Times New Roman" w:eastAsiaTheme="minorEastAsia"/>
          <w:bCs/>
          <w:kern w:val="2"/>
          <w:sz w:val="24"/>
          <w:szCs w:val="24"/>
          <w:lang w:val="en-US" w:eastAsia="zh-CN" w:bidi="ar-SA"/>
        </w:rPr>
        <w:instrText xml:space="preserve"> HYPERLINK \l _Toc13220 </w:instrText>
      </w:r>
      <w:r>
        <w:rPr>
          <w:rFonts w:hint="default" w:ascii="Times New Roman" w:hAnsi="Times New Roman" w:cs="Times New Roman" w:eastAsiaTheme="minorEastAsia"/>
          <w:bCs/>
          <w:kern w:val="2"/>
          <w:sz w:val="24"/>
          <w:szCs w:val="24"/>
          <w:lang w:val="en-US" w:eastAsia="zh-CN" w:bidi="ar-SA"/>
        </w:rPr>
        <w:fldChar w:fldCharType="separate"/>
      </w:r>
      <w:r>
        <w:rPr>
          <w:rFonts w:hint="default" w:ascii="Times New Roman" w:hAnsi="Times New Roman" w:eastAsia="宋体" w:cs="Times New Roman"/>
          <w:bCs/>
          <w:sz w:val="24"/>
          <w:szCs w:val="24"/>
          <w:shd w:val="clear" w:color="auto" w:fill="auto"/>
        </w:rPr>
        <w:t>3.3.2 U.S. Context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_Toc13220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eastAsiaTheme="minorEastAsia"/>
          <w:bCs/>
          <w:kern w:val="2"/>
          <w:sz w:val="24"/>
          <w:szCs w:val="24"/>
          <w:lang w:val="en-US" w:eastAsia="zh-CN" w:bidi="ar-SA"/>
        </w:rPr>
        <w:fldChar w:fldCharType="end"/>
      </w:r>
    </w:p>
    <w:p w14:paraId="37CBB3DE">
      <w:pPr>
        <w:pStyle w:val="5"/>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eastAsiaTheme="minorEastAsia"/>
          <w:bCs/>
          <w:kern w:val="2"/>
          <w:sz w:val="24"/>
          <w:szCs w:val="24"/>
          <w:lang w:val="en-US" w:eastAsia="zh-CN" w:bidi="ar-SA"/>
        </w:rPr>
        <w:fldChar w:fldCharType="begin"/>
      </w:r>
      <w:r>
        <w:rPr>
          <w:rFonts w:hint="default" w:ascii="Times New Roman" w:hAnsi="Times New Roman" w:cs="Times New Roman" w:eastAsiaTheme="minorEastAsia"/>
          <w:bCs/>
          <w:kern w:val="2"/>
          <w:sz w:val="24"/>
          <w:szCs w:val="24"/>
          <w:lang w:val="en-US" w:eastAsia="zh-CN" w:bidi="ar-SA"/>
        </w:rPr>
        <w:instrText xml:space="preserve"> HYPERLINK \l _Toc17212 </w:instrText>
      </w:r>
      <w:r>
        <w:rPr>
          <w:rFonts w:hint="default" w:ascii="Times New Roman" w:hAnsi="Times New Roman" w:cs="Times New Roman" w:eastAsiaTheme="minorEastAsia"/>
          <w:bCs/>
          <w:kern w:val="2"/>
          <w:sz w:val="24"/>
          <w:szCs w:val="24"/>
          <w:lang w:val="en-US" w:eastAsia="zh-CN" w:bidi="ar-SA"/>
        </w:rPr>
        <w:fldChar w:fldCharType="separate"/>
      </w:r>
      <w:r>
        <w:rPr>
          <w:rFonts w:hint="default" w:ascii="Times New Roman" w:hAnsi="Times New Roman" w:eastAsia="宋体" w:cs="Times New Roman"/>
          <w:bCs/>
          <w:sz w:val="24"/>
          <w:szCs w:val="24"/>
          <w:shd w:val="clear" w:color="auto" w:fill="auto"/>
        </w:rPr>
        <w:t>3.3.3 Cultural Relativism and the Ethical Foundation of Compatibilism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_Toc17212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eastAsiaTheme="minorEastAsia"/>
          <w:bCs/>
          <w:kern w:val="2"/>
          <w:sz w:val="24"/>
          <w:szCs w:val="24"/>
          <w:lang w:val="en-US" w:eastAsia="zh-CN" w:bidi="ar-SA"/>
        </w:rPr>
        <w:fldChar w:fldCharType="end"/>
      </w:r>
    </w:p>
    <w:p w14:paraId="26B568D8">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eastAsiaTheme="minorEastAsia"/>
          <w:bCs/>
          <w:kern w:val="2"/>
          <w:sz w:val="24"/>
          <w:szCs w:val="24"/>
          <w:lang w:val="en-US" w:eastAsia="zh-CN" w:bidi="ar-SA"/>
        </w:rPr>
        <w:fldChar w:fldCharType="begin"/>
      </w:r>
      <w:r>
        <w:rPr>
          <w:rFonts w:hint="default" w:ascii="Times New Roman" w:hAnsi="Times New Roman" w:cs="Times New Roman" w:eastAsiaTheme="minorEastAsia"/>
          <w:bCs/>
          <w:kern w:val="2"/>
          <w:sz w:val="24"/>
          <w:szCs w:val="24"/>
          <w:lang w:val="en-US" w:eastAsia="zh-CN" w:bidi="ar-SA"/>
        </w:rPr>
        <w:instrText xml:space="preserve"> HYPERLINK \l _Toc28508 </w:instrText>
      </w:r>
      <w:r>
        <w:rPr>
          <w:rFonts w:hint="default" w:ascii="Times New Roman" w:hAnsi="Times New Roman" w:cs="Times New Roman" w:eastAsiaTheme="minorEastAsia"/>
          <w:bCs/>
          <w:kern w:val="2"/>
          <w:sz w:val="24"/>
          <w:szCs w:val="24"/>
          <w:lang w:val="en-US" w:eastAsia="zh-CN" w:bidi="ar-SA"/>
        </w:rPr>
        <w:fldChar w:fldCharType="separate"/>
      </w:r>
      <w:r>
        <w:rPr>
          <w:rFonts w:hint="default" w:ascii="Times New Roman" w:hAnsi="Times New Roman" w:eastAsia="宋体" w:cs="Times New Roman"/>
          <w:bCs/>
          <w:sz w:val="24"/>
          <w:szCs w:val="24"/>
          <w:shd w:val="clear" w:color="auto" w:fill="auto"/>
        </w:rPr>
        <w:t>4.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_Toc28508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eastAsiaTheme="minorEastAsia"/>
          <w:bCs/>
          <w:kern w:val="2"/>
          <w:sz w:val="24"/>
          <w:szCs w:val="24"/>
          <w:lang w:val="en-US" w:eastAsia="zh-CN" w:bidi="ar-SA"/>
        </w:rPr>
        <w:fldChar w:fldCharType="end"/>
      </w:r>
    </w:p>
    <w:p w14:paraId="50EAF603">
      <w:pPr>
        <w:keepNext w:val="0"/>
        <w:keepLines w:val="0"/>
        <w:pageBreakBefore w:val="0"/>
        <w:widowControl w:val="0"/>
        <w:kinsoku/>
        <w:wordWrap/>
        <w:overflowPunct/>
        <w:topLinePunct w:val="0"/>
        <w:autoSpaceDE/>
        <w:autoSpaceDN/>
        <w:bidi w:val="0"/>
        <w:adjustRightInd/>
        <w:snapToGrid/>
        <w:spacing w:line="480" w:lineRule="auto"/>
        <w:jc w:val="left"/>
        <w:textAlignment w:val="auto"/>
        <w:outlineLvl w:val="9"/>
        <w:rPr>
          <w:rFonts w:hint="default" w:ascii="Times New Roman" w:hAnsi="Times New Roman" w:cs="Times New Roman" w:eastAsiaTheme="minorEastAsia"/>
          <w:bCs/>
          <w:kern w:val="2"/>
          <w:sz w:val="24"/>
          <w:szCs w:val="24"/>
          <w:lang w:val="en-US" w:eastAsia="zh-CN" w:bidi="ar-SA"/>
        </w:rPr>
        <w:sectPr>
          <w:footerReference r:id="rId3" w:type="default"/>
          <w:pgSz w:w="11906" w:h="16838"/>
          <w:pgMar w:top="1440" w:right="1800" w:bottom="1440" w:left="1800" w:header="851" w:footer="992" w:gutter="0"/>
          <w:pgNumType w:fmt="decimal" w:start="1"/>
          <w:cols w:space="425" w:num="1"/>
          <w:docGrid w:type="lines" w:linePitch="312" w:charSpace="0"/>
        </w:sectPr>
      </w:pPr>
      <w:r>
        <w:rPr>
          <w:rFonts w:hint="default" w:ascii="Times New Roman" w:hAnsi="Times New Roman" w:cs="Times New Roman" w:eastAsiaTheme="minorEastAsia"/>
          <w:bCs/>
          <w:kern w:val="2"/>
          <w:sz w:val="24"/>
          <w:szCs w:val="24"/>
          <w:lang w:val="en-US" w:eastAsia="zh-CN" w:bidi="ar-SA"/>
        </w:rPr>
        <w:fldChar w:fldCharType="end"/>
      </w:r>
    </w:p>
    <w:p w14:paraId="0AA5D34B">
      <w:pPr>
        <w:keepNext w:val="0"/>
        <w:keepLines w:val="0"/>
        <w:pageBreakBefore w:val="0"/>
        <w:widowControl w:val="0"/>
        <w:kinsoku/>
        <w:wordWrap/>
        <w:overflowPunct/>
        <w:topLinePunct w:val="0"/>
        <w:autoSpaceDE/>
        <w:autoSpaceDN/>
        <w:bidi w:val="0"/>
        <w:adjustRightInd/>
        <w:snapToGrid/>
        <w:spacing w:line="480" w:lineRule="auto"/>
        <w:jc w:val="center"/>
        <w:textAlignment w:val="auto"/>
        <w:outlineLvl w:val="0"/>
        <w:rPr>
          <w:rFonts w:hint="default" w:ascii="Times New Roman" w:hAnsi="Times New Roman" w:eastAsia="sans-serif" w:cs="Times New Roman"/>
          <w:b/>
          <w:bCs/>
          <w:i w:val="0"/>
          <w:iCs w:val="0"/>
          <w:caps w:val="0"/>
          <w:color w:val="auto"/>
          <w:spacing w:val="0"/>
          <w:sz w:val="24"/>
          <w:szCs w:val="24"/>
          <w:shd w:val="clear" w:color="auto" w:fill="auto"/>
          <w:lang w:val="en-US" w:eastAsia="zh-CN"/>
        </w:rPr>
      </w:pPr>
      <w:r>
        <w:rPr>
          <w:rFonts w:hint="default" w:ascii="Times New Roman" w:hAnsi="Times New Roman" w:eastAsia="sans-serif" w:cs="Times New Roman"/>
          <w:b/>
          <w:bCs/>
          <w:i w:val="0"/>
          <w:iCs w:val="0"/>
          <w:caps w:val="0"/>
          <w:color w:val="auto"/>
          <w:spacing w:val="0"/>
          <w:sz w:val="24"/>
          <w:szCs w:val="24"/>
          <w:shd w:val="clear" w:color="auto" w:fill="auto"/>
          <w:lang w:val="en-US" w:eastAsia="zh-CN"/>
        </w:rPr>
        <w:t>1. Introduction</w:t>
      </w:r>
    </w:p>
    <w:p w14:paraId="7850CDD1">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In recent decades, accelerating climate change, biodiversity loss, and supply chain emissions have elevated environmental responsibility to the core of global ethical discourse. Scientific consensus confirms that human economic activities are accelerating planetary degradation at unprecedented rates, compelling governments and corporations to re-evaluate their ecological obligations (Vieira et al., 2024; Tam, 2025). As multinational corporations expand, they encounter not only diverse regulatory frameworks but also fundamental cultural differences regarding ethical business conduct. These cultural disparities increasingly influence corporate perceptions of environmental values, assessments of associated risks, and the integration of sustainability objectives into strategic goals (Huang et al., 2024; Colleoni et al., 2022).</w:t>
      </w:r>
    </w:p>
    <w:p w14:paraId="3D94ABD2">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Against this</w:t>
      </w:r>
      <w:r>
        <w:rPr>
          <w:rFonts w:hint="eastAsia" w:ascii="Times New Roman" w:hAnsi="Times New Roman" w:eastAsia="sans-serif" w:cs="Times New Roman"/>
          <w:i w:val="0"/>
          <w:iCs w:val="0"/>
          <w:caps w:val="0"/>
          <w:color w:val="auto"/>
          <w:spacing w:val="0"/>
          <w:sz w:val="24"/>
          <w:szCs w:val="24"/>
          <w:shd w:val="clear" w:color="auto" w:fill="auto"/>
          <w:lang w:val="en-US" w:eastAsia="zh-CN"/>
        </w:rPr>
        <w:t xml:space="preserve"> </w:t>
      </w:r>
      <w:r>
        <w:rPr>
          <w:rFonts w:hint="default" w:ascii="Times New Roman" w:hAnsi="Times New Roman" w:eastAsia="sans-serif" w:cs="Times New Roman"/>
          <w:i w:val="0"/>
          <w:iCs w:val="0"/>
          <w:caps w:val="0"/>
          <w:color w:val="auto"/>
          <w:spacing w:val="0"/>
          <w:sz w:val="24"/>
          <w:szCs w:val="24"/>
          <w:shd w:val="clear" w:color="auto" w:fill="auto"/>
          <w:lang w:val="en-US" w:eastAsia="zh-CN"/>
        </w:rPr>
        <w:t>backdrop, this report investigates whether cultural differences shape corporate perceptions of the compatibility between profit and environmental protection—a core issue that concerns not only sustainability debates but also the ethical foundations of global business practices. Employing the Corporate Social Responsibility framework (Matten and Moon, 2008) and cultural relativism theory (Lorenz et al., 2020) as analytical tools, this report examines representative cases of European and American corporate cultures—IKEA and Amazon—to address two interrelated questions: To what extent should firms undertake dual moral and strategic obligations to proactively fulfil environmental responsibilities? Can the compatibilist approach successfully reconcile profit with environmental sustainability within multicultural contexts?</w:t>
      </w:r>
    </w:p>
    <w:p w14:paraId="008B5E20">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Through theoretical exploration and empirical comparison, this report demonstrates that culture is the decisive factor determining the manner of CSR implementation, communication strategies, and ethical justifications. This analysis provides a critical foundation for understanding divergences in corporate environmental strategies and elucidates how the compatibilist ethical framework supports the equilibrium between profitability and ecological stewardship.</w:t>
      </w:r>
    </w:p>
    <w:p w14:paraId="0D45ADDE">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3051D20C">
      <w:pPr>
        <w:keepNext w:val="0"/>
        <w:keepLines w:val="0"/>
        <w:pageBreakBefore w:val="0"/>
        <w:widowControl w:val="0"/>
        <w:kinsoku/>
        <w:wordWrap/>
        <w:overflowPunct/>
        <w:topLinePunct w:val="0"/>
        <w:autoSpaceDE/>
        <w:autoSpaceDN/>
        <w:bidi w:val="0"/>
        <w:adjustRightInd/>
        <w:snapToGrid/>
        <w:spacing w:line="480" w:lineRule="auto"/>
        <w:ind w:firstLine="720"/>
        <w:jc w:val="center"/>
        <w:textAlignment w:val="auto"/>
        <w:outlineLvl w:val="0"/>
        <w:rPr>
          <w:rFonts w:hint="default" w:ascii="Times New Roman" w:hAnsi="Times New Roman" w:eastAsia="sans-serif" w:cs="Times New Roman"/>
          <w:b/>
          <w:bCs/>
          <w:i w:val="0"/>
          <w:iCs w:val="0"/>
          <w:caps w:val="0"/>
          <w:color w:val="auto"/>
          <w:spacing w:val="0"/>
          <w:sz w:val="24"/>
          <w:szCs w:val="24"/>
          <w:shd w:val="clear" w:color="auto" w:fill="auto"/>
          <w:lang w:val="en-US" w:eastAsia="zh-CN"/>
        </w:rPr>
      </w:pPr>
      <w:bookmarkStart w:id="2" w:name="_GoBack"/>
      <w:r>
        <w:rPr>
          <w:rFonts w:hint="default" w:ascii="Times New Roman" w:hAnsi="Times New Roman" w:eastAsia="sans-serif" w:cs="Times New Roman"/>
          <w:b/>
          <w:bCs/>
          <w:i w:val="0"/>
          <w:iCs w:val="0"/>
          <w:caps w:val="0"/>
          <w:color w:val="auto"/>
          <w:spacing w:val="0"/>
          <w:sz w:val="24"/>
          <w:szCs w:val="24"/>
          <w:shd w:val="clear" w:color="auto" w:fill="auto"/>
          <w:lang w:val="en-US" w:eastAsia="zh-CN"/>
        </w:rPr>
        <w:t>2. Theoretical Framework</w:t>
      </w:r>
    </w:p>
    <w:bookmarkEnd w:id="2"/>
    <w:p w14:paraId="598982F8">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Times New Roman" w:hAnsi="Times New Roman" w:eastAsia="sans-serif" w:cs="Times New Roman"/>
          <w:b/>
          <w:bCs/>
          <w:i w:val="0"/>
          <w:iCs w:val="0"/>
          <w:caps w:val="0"/>
          <w:color w:val="auto"/>
          <w:spacing w:val="0"/>
          <w:sz w:val="24"/>
          <w:szCs w:val="24"/>
          <w:shd w:val="clear" w:color="auto" w:fill="auto"/>
          <w:lang w:val="en-US" w:eastAsia="zh-CN"/>
        </w:rPr>
      </w:pPr>
      <w:r>
        <w:rPr>
          <w:rFonts w:hint="default" w:ascii="Times New Roman" w:hAnsi="Times New Roman" w:eastAsia="sans-serif" w:cs="Times New Roman"/>
          <w:b/>
          <w:bCs/>
          <w:i w:val="0"/>
          <w:iCs w:val="0"/>
          <w:caps w:val="0"/>
          <w:color w:val="auto"/>
          <w:spacing w:val="0"/>
          <w:sz w:val="24"/>
          <w:szCs w:val="24"/>
          <w:shd w:val="clear" w:color="auto" w:fill="auto"/>
          <w:lang w:val="en-US" w:eastAsia="zh-CN"/>
        </w:rPr>
        <w:t>2.1 Corporate Social Responsibility (CSR)</w:t>
      </w:r>
    </w:p>
    <w:p w14:paraId="5803CD7F">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Corporate Social Responsibility denotes an organisation's voluntary or mandatory response to societal expectations regarding environmental protection, social justice, and stakeholder wellbeing. Matten and Moon's (2008) distinction between implicit and explicit CSR provides a foundational framework: European CSR tends to be implicit, rooted in social norms, collective values, and regulatory systems, whereas American CSR is more explicit, voluntary, and market-orientated.</w:t>
      </w:r>
    </w:p>
    <w:p w14:paraId="29E49101">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Research grounded in Hofstede's cultural dimensions theory indicates that long-term orientation, collectivism, and uncertainty avoidance positively correlate with environmental attitudes (Huang et al., 2024; Tam, 2025). Similarly, evidence indicates that cultural diversity within senior management teams influences CSR intensity and the ethical reasoning underpinning environmental strategies (Dodd et al., 2022). In societies with robust environmental norms and institutionalised sustainability agendas, such as the European Union, firms tend to adopt more comprehensive sustainability reporting practices (Hummel and Jobst, 2024) and regard environmental protection as a core component of their competitive identity.</w:t>
      </w:r>
    </w:p>
    <w:p w14:paraId="1139043D">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Concurrently, CSR remains intrinsically linked to economic considerations. Research on CSR performance effects indicates that industries with higher consumer visibility face greater pressure to implement sustainability initiatives (Arian et al., 2023), whilst national institutions consistently mediate the cognitive and reward mechanisms of CSR (Zimmer and Swoboda, 2023). Firms operating within institutional environments dominated by transparency requirements or stringent emissions standards—such as the EU's regulatory push and Carbon Border Adjustment Mechanism (CBAM) (Bellora and Fontagné, 2023)—tend to internalise environmental protection as a necessary business obligation.</w:t>
      </w:r>
    </w:p>
    <w:p w14:paraId="34297FC7">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Conversely, the United States frequently examines CSR through the lens of market competitiveness and maximising shareholder returns. The ongoing debate surrounding the US Securities and Exchange Commission's (SEC) proposed climate disclosure rules (Abraham et al., 2022; Carter et al., 2024; Moss, 2024) demonstrates that environmental reporting remains a contentious issue rather than being automatically regarded as a normative responsibility. This divergence indicates that corporate social responsibility constitutes not merely a set of management choices, but rather a broader value system shaped by cultural, institutional, and ethical priorities.</w:t>
      </w:r>
    </w:p>
    <w:p w14:paraId="7F2CE9C0">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Times New Roman" w:hAnsi="Times New Roman" w:eastAsia="sans-serif" w:cs="Times New Roman"/>
          <w:b/>
          <w:bCs/>
          <w:i w:val="0"/>
          <w:iCs w:val="0"/>
          <w:caps w:val="0"/>
          <w:color w:val="auto"/>
          <w:spacing w:val="0"/>
          <w:sz w:val="24"/>
          <w:szCs w:val="24"/>
          <w:shd w:val="clear" w:color="auto" w:fill="auto"/>
          <w:lang w:val="en-US" w:eastAsia="zh-CN"/>
        </w:rPr>
      </w:pPr>
      <w:r>
        <w:rPr>
          <w:rFonts w:hint="default" w:ascii="Times New Roman" w:hAnsi="Times New Roman" w:eastAsia="sans-serif" w:cs="Times New Roman"/>
          <w:b/>
          <w:bCs/>
          <w:i w:val="0"/>
          <w:iCs w:val="0"/>
          <w:caps w:val="0"/>
          <w:color w:val="auto"/>
          <w:spacing w:val="0"/>
          <w:sz w:val="24"/>
          <w:szCs w:val="24"/>
          <w:shd w:val="clear" w:color="auto" w:fill="auto"/>
          <w:lang w:val="en-US" w:eastAsia="zh-CN"/>
        </w:rPr>
        <w:t>2.2 Cultural Relativism and the Ethical Interpretation of Corporate Sustainability</w:t>
      </w:r>
    </w:p>
    <w:p w14:paraId="55BABEA6">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Cultural relativism provides an ethical foundation for analysing how enterprises in diverse societal contexts define and interpret environmental responsibilities. Its core premise holds that moral norms and ethical judgements are inherently shaped by cultural contexts rather than adhering to universal standards. Within business ethics, this implies that corporate environmental conduct must be examined through the lens of local cultural expectations, institutional histories, and societal value systems.</w:t>
      </w:r>
    </w:p>
    <w:p w14:paraId="548119E1">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Research on ethical relativism in organisational contexts indicates that when enterprises operate across cultures, cultural intelligence may sometimes lead to opportunistic behaviour or selective moral reasoning (Lorenz et al., 2020). Concurrently, cross-national cultural studies confirm divergent societal attitudes towards environmental innovation, sustainable technologies, and transparency, thereby influencing corporate ethical stances (Jaiswal and Zane, 2022; Ullah et al., 2022).</w:t>
      </w:r>
    </w:p>
    <w:p w14:paraId="33B93A88">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 xml:space="preserve">Cultural relativism helps explain why identical corporate social responsibility frameworks fail to yield uniform outcomes across nations and why perceptions of the compatibility between profit and environmental responsibility differ across cultural contexts. </w:t>
      </w:r>
    </w:p>
    <w:p w14:paraId="482DA3F9">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001F1EE8">
      <w:pPr>
        <w:keepNext w:val="0"/>
        <w:keepLines w:val="0"/>
        <w:pageBreakBefore w:val="0"/>
        <w:widowControl w:val="0"/>
        <w:kinsoku/>
        <w:wordWrap/>
        <w:overflowPunct/>
        <w:topLinePunct w:val="0"/>
        <w:autoSpaceDE/>
        <w:autoSpaceDN/>
        <w:bidi w:val="0"/>
        <w:adjustRightInd/>
        <w:snapToGrid/>
        <w:spacing w:line="480" w:lineRule="auto"/>
        <w:ind w:firstLine="720"/>
        <w:jc w:val="center"/>
        <w:textAlignment w:val="auto"/>
        <w:outlineLvl w:val="0"/>
        <w:rPr>
          <w:rFonts w:hint="default" w:ascii="Times New Roman" w:hAnsi="Times New Roman" w:eastAsia="sans-serif" w:cs="Times New Roman"/>
          <w:b/>
          <w:bCs/>
          <w:i w:val="0"/>
          <w:iCs w:val="0"/>
          <w:caps w:val="0"/>
          <w:color w:val="auto"/>
          <w:spacing w:val="0"/>
          <w:sz w:val="24"/>
          <w:szCs w:val="24"/>
          <w:shd w:val="clear" w:color="auto" w:fill="auto"/>
          <w:lang w:val="en-US" w:eastAsia="zh-CN"/>
        </w:rPr>
      </w:pPr>
      <w:r>
        <w:rPr>
          <w:rFonts w:hint="default" w:ascii="Times New Roman" w:hAnsi="Times New Roman" w:eastAsia="sans-serif" w:cs="Times New Roman"/>
          <w:b/>
          <w:bCs/>
          <w:i w:val="0"/>
          <w:iCs w:val="0"/>
          <w:caps w:val="0"/>
          <w:color w:val="auto"/>
          <w:spacing w:val="0"/>
          <w:sz w:val="24"/>
          <w:szCs w:val="24"/>
          <w:shd w:val="clear" w:color="auto" w:fill="auto"/>
          <w:lang w:val="en-US" w:eastAsia="zh-CN"/>
        </w:rPr>
        <w:t>3. Case Analysis</w:t>
      </w:r>
    </w:p>
    <w:p w14:paraId="7CFB425B">
      <w:pPr>
        <w:keepNext w:val="0"/>
        <w:keepLines w:val="0"/>
        <w:pageBreakBefore w:val="0"/>
        <w:widowControl w:val="0"/>
        <w:kinsoku/>
        <w:wordWrap/>
        <w:overflowPunct/>
        <w:topLinePunct w:val="0"/>
        <w:autoSpaceDE/>
        <w:autoSpaceDN/>
        <w:bidi w:val="0"/>
        <w:adjustRightInd/>
        <w:snapToGrid/>
        <w:spacing w:line="480" w:lineRule="auto"/>
        <w:jc w:val="left"/>
        <w:textAlignment w:val="auto"/>
        <w:outlineLvl w:val="1"/>
        <w:rPr>
          <w:rFonts w:hint="default" w:ascii="Times New Roman" w:hAnsi="Times New Roman" w:eastAsia="sans-serif" w:cs="Times New Roman"/>
          <w:b/>
          <w:bCs/>
          <w:i w:val="0"/>
          <w:iCs w:val="0"/>
          <w:caps w:val="0"/>
          <w:color w:val="auto"/>
          <w:spacing w:val="0"/>
          <w:sz w:val="24"/>
          <w:szCs w:val="24"/>
          <w:shd w:val="clear" w:color="auto" w:fill="auto"/>
          <w:lang w:val="en-US" w:eastAsia="zh-CN"/>
        </w:rPr>
      </w:pPr>
      <w:r>
        <w:rPr>
          <w:rFonts w:hint="default" w:ascii="Times New Roman" w:hAnsi="Times New Roman" w:eastAsia="sans-serif" w:cs="Times New Roman"/>
          <w:b/>
          <w:bCs/>
          <w:i w:val="0"/>
          <w:iCs w:val="0"/>
          <w:caps w:val="0"/>
          <w:color w:val="auto"/>
          <w:spacing w:val="0"/>
          <w:sz w:val="24"/>
          <w:szCs w:val="24"/>
          <w:shd w:val="clear" w:color="auto" w:fill="auto"/>
          <w:lang w:val="en-US" w:eastAsia="zh-CN"/>
        </w:rPr>
        <w:t>3.1 Cultural and Institutional Context</w:t>
      </w:r>
    </w:p>
    <w:p w14:paraId="603FA18D">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 xml:space="preserve">To comprehend the starkly divergent environmental strategies of IKEA and Amazon, both firms must be examined within their respective cultural and institutional environments. </w:t>
      </w:r>
    </w:p>
    <w:p w14:paraId="7B4B8897">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3.1.1 Cultural Differences</w:t>
      </w:r>
    </w:p>
    <w:p w14:paraId="0A26297D">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Compared to the United States, European societies exhibit stronger collectivist tendencies, higher uncertainty avoidance, and a more pronounced long-term sustainability orientation—a pattern well-documented in transnational environmental and cultural studies (Huang et al., 2024; Tam, 2025). Research further indicates that individuals within groups exhibiting higher social progress indicators are more inclined to adopt environmental norms and ecological behaviours (Struwig and Roberts, 2024). These cultural traits establish the foundation for European societies' expectation that enterprises actively engage in ecological conservation.</w:t>
      </w:r>
    </w:p>
    <w:p w14:paraId="152BC542">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By contrast, the United States places greater emphasis on individualism, market flexibility, and the principle of shareholder primacy. Research indicates that American consumers and policymakers often prioritise economic efficiency and innovation when evaluating environmental policies (Jaiswal and Zane, 2022; Ullah et al., 2022). This cultural inclination helps explain why American firms more frequently adopt strategic or utilitarian perspectives in CSR discussions, focusing on cost-benefit analysis rather than normative environmental responsibility. Research indicates that cultural diversity within boards influences attitudes towards corporate social responsibility (Dodd et al., 2022). European boards typically incorporate broader stakeholder-orientated perspectives, whereas American governance structures generally prioritise shareholder interests, reflecting broader cultural norms.</w:t>
      </w:r>
    </w:p>
    <w:p w14:paraId="57EEC33A">
      <w:pPr>
        <w:keepNext w:val="0"/>
        <w:keepLines w:val="0"/>
        <w:pageBreakBefore w:val="0"/>
        <w:widowControl w:val="0"/>
        <w:kinsoku/>
        <w:wordWrap/>
        <w:overflowPunct/>
        <w:topLinePunct w:val="0"/>
        <w:autoSpaceDE/>
        <w:autoSpaceDN/>
        <w:bidi w:val="0"/>
        <w:adjustRightInd/>
        <w:snapToGrid/>
        <w:spacing w:line="480" w:lineRule="auto"/>
        <w:jc w:val="left"/>
        <w:textAlignment w:val="auto"/>
        <w:outlineLvl w:val="2"/>
        <w:rPr>
          <w:rFonts w:hint="default" w:ascii="Times New Roman" w:hAnsi="Times New Roman" w:eastAsia="sans-serif" w:cs="Times New Roman"/>
          <w:b/>
          <w:bCs/>
          <w:i w:val="0"/>
          <w:iCs w:val="0"/>
          <w:caps w:val="0"/>
          <w:color w:val="auto"/>
          <w:spacing w:val="0"/>
          <w:sz w:val="24"/>
          <w:szCs w:val="24"/>
          <w:shd w:val="clear" w:color="auto" w:fill="auto"/>
          <w:lang w:val="en-US" w:eastAsia="zh-CN"/>
        </w:rPr>
      </w:pPr>
      <w:r>
        <w:rPr>
          <w:rFonts w:hint="default" w:ascii="Times New Roman" w:hAnsi="Times New Roman" w:eastAsia="sans-serif" w:cs="Times New Roman"/>
          <w:b/>
          <w:bCs/>
          <w:i w:val="0"/>
          <w:iCs w:val="0"/>
          <w:caps w:val="0"/>
          <w:color w:val="auto"/>
          <w:spacing w:val="0"/>
          <w:sz w:val="24"/>
          <w:szCs w:val="24"/>
          <w:shd w:val="clear" w:color="auto" w:fill="auto"/>
          <w:lang w:val="en-US" w:eastAsia="zh-CN"/>
        </w:rPr>
        <w:t>3.1.2 Institutional Differences</w:t>
      </w:r>
    </w:p>
    <w:p w14:paraId="59D10CA2">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Cultural differences are not only manifested through regulatory structures but are further reinforced by them. The European Union has established a comprehensive sustainability framework, including mandatory sustainability reporting and stringent carbon emissions regulations (Hummel and Jobst, 2024). The EU's Carbon Border Adjustment Mechanism (CBAM) (Bellora and Fontagné, 2023) embodies systemic-level climate action commitments, directly integrating environmental responsibility into trade and industrial policy.</w:t>
      </w:r>
    </w:p>
    <w:p w14:paraId="1D36CF90">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By contrast, the US regulatory environment remains highly contentious. Climate disclosure rules proposed by the Securities and Exchange Commission continue to face debate from corporate and political forces (Abraham et al., 2022; Moss, 2024; Carter et al., 2024). This tension reflects the failure to embed environmental governance uniformly at the institutional level, resulting in sustainability reporting relying more heavily on corporate discretion. Comparative studies of multinational corporate social responsibility (CSR) (Zimmer and Swoboda, 2023; Mokadem and Muwafak, 2021) consistently indicate that European institutions encourage implicit CSR, while American institutions promote explicit, selective CSR. Consequently, European firms often integrate sustainability into their core identity, whereas American firms tend to treat it as a strategic option.</w:t>
      </w:r>
    </w:p>
    <w:p w14:paraId="7FA6C64A">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Times New Roman" w:hAnsi="Times New Roman" w:eastAsia="sans-serif" w:cs="Times New Roman"/>
          <w:b/>
          <w:bCs/>
          <w:i w:val="0"/>
          <w:iCs w:val="0"/>
          <w:caps w:val="0"/>
          <w:color w:val="auto"/>
          <w:spacing w:val="0"/>
          <w:sz w:val="24"/>
          <w:szCs w:val="24"/>
          <w:shd w:val="clear" w:color="auto" w:fill="auto"/>
          <w:lang w:val="en-US" w:eastAsia="zh-CN"/>
        </w:rPr>
      </w:pPr>
      <w:r>
        <w:rPr>
          <w:rFonts w:hint="default" w:ascii="Times New Roman" w:hAnsi="Times New Roman" w:eastAsia="sans-serif" w:cs="Times New Roman"/>
          <w:b/>
          <w:bCs/>
          <w:i w:val="0"/>
          <w:iCs w:val="0"/>
          <w:caps w:val="0"/>
          <w:color w:val="auto"/>
          <w:spacing w:val="0"/>
          <w:sz w:val="24"/>
          <w:szCs w:val="24"/>
          <w:shd w:val="clear" w:color="auto" w:fill="auto"/>
          <w:lang w:val="en-US" w:eastAsia="zh-CN"/>
        </w:rPr>
        <w:t>3.2 CSR Practice Models</w:t>
      </w:r>
    </w:p>
    <w:p w14:paraId="55DE15F3">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The CSR practices of IKEA and Amazon demonstrate that cultural and institutional environments profoundly shape how enterprises interpret, implement, and strategically position environmental responsibility. This section employs an implicit/explicit CSR framework to analyse how the two firms conduct CSR practices based on differing social contexts.</w:t>
      </w:r>
    </w:p>
    <w:p w14:paraId="33DFC4B6">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IKEA's CSR model aligns strongly with Europe's implicit CSR tradition, where environmental and social commitments are widely regarded as ethical expectations rather than optional business strategies (Matten and Moon, 2008). As European institutions strengthened sustainability reporting and emissions reduction frameworks (Hummel and Jobst, 2024), IKEA internalised these expectations, embedding sustainability within its core corporate identity. Research indicates that sustainability has become a deeply embedded strategic asset within IKEA's organisational culture. The company implements CSR through circular design, renewable energy investments, and supply chain transparency, positioning sustainability as a competitive advantage (Alzoubi et al., 2023). This aligns with European consumer values, where environmental responsibility significantly influences brand trust and purchasing behaviour (Rocha et al., 2024). Moreover, European policy mechanisms such as green logistics development (Çapar et al., 2025) and Scope 3 emissions frameworks (Vieira et al., 2024) incentivise companies like IKEA to implement integrated environmental strategies. Consequently, IKEA's CSR extends beyond compliance to become an identity-based obligation, rooted in collectivist culture, institutionalised environmentalism, and robust regulatory coordination.</w:t>
      </w:r>
    </w:p>
    <w:p w14:paraId="0060B58A">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Amazon's approach exemplifies the American model of explicit corporate social responsibility, where environmental responsibility is defined as an optional component, frequently driven by market pressures, competitive signals, or risk avoidance. The US institutional environment renders sustainability reporting a contentious issue rather than a universal consensus (Abraham et al., 2022; Carter et al., 2024; Moss, 2024), fostering Amazon's inconsistent sustainability reputation. Research indicates that Amazon's CSR initiatives frequently exhibit passivity or strategic goal orientation. Whilst its sustainability programmes may positively influence consumer behaviour (Proserpio et al., 2025), concerns about “greenwashing” persist, particularly regarding carbon neutrality claims and insufficient transparency (Klopčič and Pantović, 2025). This dynamic reflects how CSR in the current business environment is often instrumental rather than normative. The corporation's vast logistics network also faces inherent structural challenges. Managing Scope 3 emissions—particularly those stemming from transportation, packaging, and third-party seller activities—proves considerably more complex than in smaller or more integrated European supply chains (Vieira et al., 2024). This structural difficulty reinforces the latent perception that environmental responsibility may conflict with operational efficiency, a view long embedded in American cultural attitudes towards sustainability and innovation (Jaiswal and Zane, 2022). Ultimately, Europe views corporate social responsibility as a pathway to enhancing long-term profitability by building trust and adhering to shared societal values (Rocha et al., 2024). In the United States, however, corporate social responsibility is frequently evaluated by quantifiable performance outcomes and strategic benefits, with environmental objectives adopted only when aligned with shareholder expectations (Arian et al., 2023; Zimmer and Swoboda, 2023).</w:t>
      </w:r>
    </w:p>
    <w:p w14:paraId="7DB8331E">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Times New Roman" w:hAnsi="Times New Roman" w:eastAsia="sans-serif" w:cs="Times New Roman"/>
          <w:b/>
          <w:bCs/>
          <w:i w:val="0"/>
          <w:iCs w:val="0"/>
          <w:caps w:val="0"/>
          <w:color w:val="auto"/>
          <w:spacing w:val="0"/>
          <w:sz w:val="24"/>
          <w:szCs w:val="24"/>
          <w:shd w:val="clear" w:color="auto" w:fill="auto"/>
          <w:lang w:val="en-US" w:eastAsia="zh-CN"/>
        </w:rPr>
      </w:pPr>
      <w:r>
        <w:rPr>
          <w:rFonts w:hint="default" w:ascii="Times New Roman" w:hAnsi="Times New Roman" w:eastAsia="sans-serif" w:cs="Times New Roman"/>
          <w:b/>
          <w:bCs/>
          <w:i w:val="0"/>
          <w:iCs w:val="0"/>
          <w:caps w:val="0"/>
          <w:color w:val="auto"/>
          <w:spacing w:val="0"/>
          <w:sz w:val="24"/>
          <w:szCs w:val="24"/>
          <w:shd w:val="clear" w:color="auto" w:fill="auto"/>
          <w:lang w:val="en-US" w:eastAsia="zh-CN"/>
        </w:rPr>
        <w:t>3.3 Compatibilism in Corporate Environmental Ethics</w:t>
      </w:r>
    </w:p>
    <w:p w14:paraId="66E0FAAF">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The question of whether profit and environmental protection can coexist lies at the heart of contemporary business ethics. Compatibilism in business sustainability posits that when cultural expectations, institutional frameworks, and strategic incentives form mutually reinforcing mechanisms, firms can simultaneously pursue financial performance and ecological objectives. The starkly divergent environmental pathways of IKEA and Amazon provide an empirical foundation for assessing how cultural environments shape this compatibilist perspective.</w:t>
      </w:r>
    </w:p>
    <w:p w14:paraId="11B5F6B6">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Times New Roman" w:hAnsi="Times New Roman" w:eastAsia="sans-serif" w:cs="Times New Roman"/>
          <w:b/>
          <w:bCs/>
          <w:i w:val="0"/>
          <w:iCs w:val="0"/>
          <w:caps w:val="0"/>
          <w:color w:val="auto"/>
          <w:spacing w:val="0"/>
          <w:sz w:val="24"/>
          <w:szCs w:val="24"/>
          <w:shd w:val="clear" w:color="auto" w:fill="auto"/>
          <w:lang w:val="en-US" w:eastAsia="zh-CN"/>
        </w:rPr>
      </w:pPr>
      <w:r>
        <w:rPr>
          <w:rFonts w:hint="default" w:ascii="Times New Roman" w:hAnsi="Times New Roman" w:eastAsia="sans-serif" w:cs="Times New Roman"/>
          <w:b/>
          <w:bCs/>
          <w:i w:val="0"/>
          <w:iCs w:val="0"/>
          <w:caps w:val="0"/>
          <w:color w:val="auto"/>
          <w:spacing w:val="0"/>
          <w:sz w:val="24"/>
          <w:szCs w:val="24"/>
          <w:shd w:val="clear" w:color="auto" w:fill="auto"/>
          <w:lang w:val="en-US" w:eastAsia="zh-CN"/>
        </w:rPr>
        <w:t>3.3.1 The European Context</w:t>
      </w:r>
    </w:p>
    <w:p w14:paraId="2B73955C">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Empirical evidence from European markets indicates that firms are incentivised at cultural and institutional levels to view environmental responsibility and profitability as mutually compatible. Research on European listed companies suggests robust integration of corporate social responsibility enhances corporate performance, particularly in regions where environmental responsibility garners societal recognition (Rocha et al., 2024). This reinforces Europe's cognitive assumption that sustainability does not conflict with profitability but rather contributes to long-term financial stability and brand trust. European cultural norms prioritise social progress and collective well-being (Struwig and Roberts, 2024), which positively influences consumer expectations and rewards companies demonstrating environmental leadership. This cultural environment enhances the credibility of the compatibility theory: environmental responsibility becomes not only a moral expectation but also translates into tangible commercial advantages. IKEA's sustainability initiatives are robustly underpinned by circular design, green logistics, and renewable energy frameworks—measures embedded within broader EU governance structures (Çapar et al., 2025; Vieira et al., 2024). Moreover, European institutional mechanisms—such as harmonised corporate social responsibility reporting (Nomura et al., 2025) and border carbon adjustments (CBAM) (Bellora and Fontagné, 2023)—eliminate the perceived trade-off between ecological protection and profitability by embedding environmental standards within market rules. As CSR systematically aligns with regulatory expectations, the compatible stance gains robust policy reinforcement.</w:t>
      </w:r>
    </w:p>
    <w:p w14:paraId="5AB5FCCC">
      <w:pPr>
        <w:keepNext w:val="0"/>
        <w:keepLines w:val="0"/>
        <w:pageBreakBefore w:val="0"/>
        <w:widowControl w:val="0"/>
        <w:kinsoku/>
        <w:wordWrap/>
        <w:overflowPunct/>
        <w:topLinePunct w:val="0"/>
        <w:autoSpaceDE/>
        <w:autoSpaceDN/>
        <w:bidi w:val="0"/>
        <w:adjustRightInd/>
        <w:snapToGrid/>
        <w:spacing w:line="480" w:lineRule="auto"/>
        <w:jc w:val="left"/>
        <w:textAlignment w:val="auto"/>
        <w:outlineLvl w:val="2"/>
        <w:rPr>
          <w:rFonts w:hint="default" w:ascii="Times New Roman" w:hAnsi="Times New Roman" w:eastAsia="sans-serif" w:cs="Times New Roman"/>
          <w:b/>
          <w:bCs/>
          <w:i w:val="0"/>
          <w:iCs w:val="0"/>
          <w:caps w:val="0"/>
          <w:color w:val="auto"/>
          <w:spacing w:val="0"/>
          <w:sz w:val="24"/>
          <w:szCs w:val="24"/>
          <w:shd w:val="clear" w:color="auto" w:fill="auto"/>
          <w:lang w:val="en-US" w:eastAsia="zh-CN"/>
        </w:rPr>
      </w:pPr>
      <w:r>
        <w:rPr>
          <w:rFonts w:hint="default" w:ascii="Times New Roman" w:hAnsi="Times New Roman" w:eastAsia="sans-serif" w:cs="Times New Roman"/>
          <w:b/>
          <w:bCs/>
          <w:i w:val="0"/>
          <w:iCs w:val="0"/>
          <w:caps w:val="0"/>
          <w:color w:val="auto"/>
          <w:spacing w:val="0"/>
          <w:sz w:val="24"/>
          <w:szCs w:val="24"/>
          <w:shd w:val="clear" w:color="auto" w:fill="auto"/>
          <w:lang w:val="en-US" w:eastAsia="zh-CN"/>
        </w:rPr>
        <w:t>3.3.2 The American Context</w:t>
      </w:r>
    </w:p>
    <w:p w14:paraId="13EFF381">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The American corporate environment exhibits a more ambivalent attitude towards compatibility. Whilst certain industries demonstrate a positive correlation between CSR and performance (Arian et al., 2023), environmental transparency research indicates that sustainability disclosures often heighten rather than reduce perceptions of financial risk (Yu et al., 2021). Moreover, the debate surrounding the US Securities and Exchange Commission's climate disclosure rules reveals persistent concerns that stringent environmental reporting may threaten corporate competitiveness or incur excessive costs (Abraham et al., 2022; Carter et al., 2024; Moss, 2024). These contradictions reflect deep-seated characteristics of American corporate culture: pronounced individualism, shareholder primacy, and a preference for flexible, voluntary CSR (Mokadem and Muwafak, 2021). Against this backdrop, compatibilism exhibits conditional traits—accepted when market incentives align with environmental goals, yet resisted when sustainability is perceived as constraining growth or innovation. Amazon exemplifies precisely this conditional compatibility. Although sustainability initiatives positively influence consumer behaviour and brand perception (Proserpio et al., 2025), the company's structural challenges in managing Scope 3 emissions (Vieira et al., 2024) and its exposure to “greenwashing” criticism (Klopčič and Pantović, 2025) highlight the persistent conflict between operational efficiency and environmental responsibility.</w:t>
      </w:r>
    </w:p>
    <w:p w14:paraId="728F7A81">
      <w:pPr>
        <w:keepNext w:val="0"/>
        <w:keepLines w:val="0"/>
        <w:pageBreakBefore w:val="0"/>
        <w:widowControl w:val="0"/>
        <w:kinsoku/>
        <w:wordWrap/>
        <w:overflowPunct/>
        <w:topLinePunct w:val="0"/>
        <w:autoSpaceDE/>
        <w:autoSpaceDN/>
        <w:bidi w:val="0"/>
        <w:adjustRightInd/>
        <w:snapToGrid/>
        <w:spacing w:line="480" w:lineRule="auto"/>
        <w:jc w:val="left"/>
        <w:textAlignment w:val="auto"/>
        <w:outlineLvl w:val="2"/>
        <w:rPr>
          <w:rFonts w:hint="default" w:ascii="Times New Roman" w:hAnsi="Times New Roman" w:eastAsia="sans-serif" w:cs="Times New Roman"/>
          <w:b/>
          <w:bCs/>
          <w:i w:val="0"/>
          <w:iCs w:val="0"/>
          <w:caps w:val="0"/>
          <w:color w:val="auto"/>
          <w:spacing w:val="0"/>
          <w:sz w:val="24"/>
          <w:szCs w:val="24"/>
          <w:shd w:val="clear" w:color="auto" w:fill="auto"/>
          <w:lang w:val="en-US" w:eastAsia="zh-CN"/>
        </w:rPr>
      </w:pPr>
      <w:r>
        <w:rPr>
          <w:rFonts w:hint="default" w:ascii="Times New Roman" w:hAnsi="Times New Roman" w:eastAsia="sans-serif" w:cs="Times New Roman"/>
          <w:b/>
          <w:bCs/>
          <w:i w:val="0"/>
          <w:iCs w:val="0"/>
          <w:caps w:val="0"/>
          <w:color w:val="auto"/>
          <w:spacing w:val="0"/>
          <w:sz w:val="24"/>
          <w:szCs w:val="24"/>
          <w:shd w:val="clear" w:color="auto" w:fill="auto"/>
          <w:lang w:val="en-US" w:eastAsia="zh-CN"/>
        </w:rPr>
        <w:t>3.3.3 Cultural Relativism and the Ethical Foundations of Compatibilism</w:t>
      </w:r>
    </w:p>
    <w:p w14:paraId="597A9A7F">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Cultural relativism offers a conceptual lens for understanding how compatibilist beliefs manifest differently across societies. Research on ethical relativism indicates that cultural frameworks shape how firms justify their actions in cross-cultural contexts (Lorenz et al., 2020). Similarly, national cultural factors significantly influence corporate perceptions of CSR as either obligation or choice (Wang &amp; Li, 2023; Colleoni et al., 2022). In Europe, environmental ethics are rooted in collective cultural norms, forming moral expectations that profits should not override ecological responsibilities. Conversely, in the United States, firms often base decisions on market rationality, leading to more selective application of environmental ethics. Research further indicates that national culture influences firms' willingness to adopt sustainable technologies (Jaiswal and Zane, 2022) and their capacity for environmental innovation (Ullah et al., 2022), thereby constructing an ethical framework for assessing compatibilism.</w:t>
      </w:r>
    </w:p>
    <w:p w14:paraId="6CA60FF3">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30573F7C">
      <w:pPr>
        <w:keepNext w:val="0"/>
        <w:keepLines w:val="0"/>
        <w:pageBreakBefore w:val="0"/>
        <w:widowControl w:val="0"/>
        <w:kinsoku/>
        <w:wordWrap/>
        <w:overflowPunct/>
        <w:topLinePunct w:val="0"/>
        <w:autoSpaceDE/>
        <w:autoSpaceDN/>
        <w:bidi w:val="0"/>
        <w:adjustRightInd/>
        <w:snapToGrid/>
        <w:spacing w:line="480" w:lineRule="auto"/>
        <w:jc w:val="center"/>
        <w:textAlignment w:val="auto"/>
        <w:outlineLvl w:val="0"/>
        <w:rPr>
          <w:rFonts w:hint="default" w:ascii="Times New Roman" w:hAnsi="Times New Roman" w:eastAsia="sans-serif" w:cs="Times New Roman"/>
          <w:b/>
          <w:bCs/>
          <w:i w:val="0"/>
          <w:iCs w:val="0"/>
          <w:caps w:val="0"/>
          <w:color w:val="auto"/>
          <w:spacing w:val="0"/>
          <w:sz w:val="24"/>
          <w:szCs w:val="24"/>
          <w:shd w:val="clear" w:color="auto" w:fill="auto"/>
          <w:lang w:val="en-US" w:eastAsia="zh-CN"/>
        </w:rPr>
      </w:pPr>
      <w:r>
        <w:rPr>
          <w:rFonts w:hint="default" w:ascii="Times New Roman" w:hAnsi="Times New Roman" w:eastAsia="sans-serif" w:cs="Times New Roman"/>
          <w:b/>
          <w:bCs/>
          <w:i w:val="0"/>
          <w:iCs w:val="0"/>
          <w:caps w:val="0"/>
          <w:color w:val="auto"/>
          <w:spacing w:val="0"/>
          <w:sz w:val="24"/>
          <w:szCs w:val="24"/>
          <w:shd w:val="clear" w:color="auto" w:fill="auto"/>
          <w:lang w:val="en-US" w:eastAsia="zh-CN"/>
        </w:rPr>
        <w:t>4. Conclusion</w:t>
      </w:r>
    </w:p>
    <w:p w14:paraId="304B23C9">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This study demonstrates that cultural differences profoundly shape corporate ethical decision-making, particularly in environmental protection and corporate social responsibility (CSR), by comparing Europe and the United States. In Europe, collectivist values, long-term ethical commitments, and robust regulatory frameworks collectively cultivate a business environment where environmental responsibility is internalised as integral to corporate strategic identity. Consequently, for enterprises such as IKEA, the compatibilist model—treating profit growth and environmental sustainability as mutually reinforcing objectives—proves both practical and institutionally supported.</w:t>
      </w:r>
    </w:p>
    <w:p w14:paraId="5629D330">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By contrast, the American environment is characterised by individualism, market-driven autonomy, and relatively flexible regulation. This prompts companies like Amazon to adopt more strategic and selective sustainability approaches, prioritising environmental actions only when market incentives, investor pressure, or reputational gains are sufficiently compelling. Consequently, while American firms may similarly achieve coexistence between profit and environmental responsibility, this coexistence is more conditional and selective compared to the European model.</w:t>
      </w:r>
    </w:p>
    <w:p w14:paraId="0F11DE0F">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The answer to the core research question thus becomes clear: cultural differences profoundly shape corporate perceptions of the compatibility between profitability and environmental responsibility, determining the pathways companies pursue to balance the two. Within distinct cultural and institutional frameworks, the same CSR framework carries divergent ethical connotations and practical trajectories. European firms tend to view environmental responsibility as an indivisible moral obligation, whereas American firms increasingly regard it as a strategic tool.</w:t>
      </w:r>
    </w:p>
    <w:p w14:paraId="59FEF460">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r>
        <w:rPr>
          <w:rFonts w:hint="default" w:ascii="Times New Roman" w:hAnsi="Times New Roman" w:eastAsia="sans-serif" w:cs="Times New Roman"/>
          <w:i w:val="0"/>
          <w:iCs w:val="0"/>
          <w:caps w:val="0"/>
          <w:color w:val="auto"/>
          <w:spacing w:val="0"/>
          <w:sz w:val="24"/>
          <w:szCs w:val="24"/>
          <w:shd w:val="clear" w:color="auto" w:fill="auto"/>
          <w:lang w:val="en-US" w:eastAsia="zh-CN"/>
        </w:rPr>
        <w:t>Ultimately, despite pronounced cultural differences, the global nature of environmental challenges compels firms to recognise their decisive role in addressing climate change. The compatibility of profit and sustainability is not only achievable but an ethical and practical imperative; cultural differences determine the specific mechanisms for achieving this compatibility, not its feasibility itself. A comparative study of IKEA and Amazon suggests that future business ethics research should more directly incorporate cultural relativism to explain why similar ethical demands yield divergent interpretations and practices across cultures.</w:t>
      </w:r>
    </w:p>
    <w:p w14:paraId="1E94420C">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59ED7DB9">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72F15749">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0B3A0772">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21D2E775">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0B2BACAA">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004445D2">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3F054073">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0F405A29">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1F76DD15">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eastAsia="sans-serif" w:cs="Times New Roman"/>
          <w:i w:val="0"/>
          <w:iCs w:val="0"/>
          <w:caps w:val="0"/>
          <w:color w:val="auto"/>
          <w:spacing w:val="0"/>
          <w:sz w:val="24"/>
          <w:szCs w:val="24"/>
          <w:shd w:val="clear" w:color="auto" w:fill="auto"/>
          <w:lang w:val="en-US" w:eastAsia="zh-CN"/>
        </w:rPr>
      </w:pPr>
    </w:p>
    <w:p w14:paraId="7B5147F1">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center"/>
        <w:textAlignment w:val="auto"/>
        <w:outlineLvl w:val="0"/>
        <w:rPr>
          <w:rFonts w:hint="default" w:ascii="Times New Roman" w:hAnsi="Times New Roman" w:cs="Times New Roman"/>
          <w:b/>
          <w:bCs/>
          <w:sz w:val="24"/>
          <w:szCs w:val="24"/>
        </w:rPr>
      </w:pPr>
      <w:r>
        <w:rPr>
          <w:rFonts w:hint="default" w:ascii="Times New Roman" w:hAnsi="Times New Roman" w:cs="Times New Roman"/>
          <w:b/>
          <w:bCs/>
          <w:sz w:val="24"/>
          <w:szCs w:val="24"/>
        </w:rPr>
        <w:t>Reference</w:t>
      </w:r>
    </w:p>
    <w:p w14:paraId="7641C247">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Abraham, E. </w:t>
      </w:r>
      <w:r>
        <w:rPr>
          <w:rFonts w:hint="default" w:ascii="Times New Roman" w:hAnsi="Times New Roman" w:eastAsia="宋体" w:cs="Times New Roman"/>
          <w:i/>
          <w:iCs/>
          <w:kern w:val="0"/>
          <w:sz w:val="24"/>
          <w:szCs w:val="24"/>
          <w:lang w:val="en-US" w:eastAsia="zh-CN" w:bidi="ar"/>
        </w:rPr>
        <w:t>et al.</w:t>
      </w:r>
      <w:r>
        <w:rPr>
          <w:rFonts w:hint="default" w:ascii="Times New Roman" w:hAnsi="Times New Roman" w:eastAsia="宋体" w:cs="Times New Roman"/>
          <w:kern w:val="0"/>
          <w:sz w:val="24"/>
          <w:szCs w:val="24"/>
          <w:lang w:val="en-US" w:eastAsia="zh-CN" w:bidi="ar"/>
        </w:rPr>
        <w:t xml:space="preserve"> (2022) ‘Comprehensive Analysis of the SEC’s Proposed Rule on Climate Disclosure Requirements’.</w:t>
      </w:r>
    </w:p>
    <w:p w14:paraId="287C67EB">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Alzoubi, A., Al-Talib, M. and Al Saad, W.K. (2023) ‘Sustainability as a competitive advantage: IKEA as a case study’, in </w:t>
      </w:r>
      <w:r>
        <w:rPr>
          <w:rFonts w:hint="default" w:ascii="Times New Roman" w:hAnsi="Times New Roman" w:eastAsia="宋体" w:cs="Times New Roman"/>
          <w:i/>
          <w:iCs/>
          <w:kern w:val="0"/>
          <w:sz w:val="24"/>
          <w:szCs w:val="24"/>
          <w:lang w:val="en-US" w:eastAsia="zh-CN" w:bidi="ar"/>
        </w:rPr>
        <w:t>Proceedings of the International Conference on Industrial Engineering and Operations Management</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13th Annual International International Conference on Industrial Engineering and Operations Management</w:t>
      </w:r>
      <w:r>
        <w:rPr>
          <w:rFonts w:hint="default" w:ascii="Times New Roman" w:hAnsi="Times New Roman" w:eastAsia="宋体" w:cs="Times New Roman"/>
          <w:kern w:val="0"/>
          <w:sz w:val="24"/>
          <w:szCs w:val="24"/>
          <w:lang w:val="en-US" w:eastAsia="zh-CN" w:bidi="ar"/>
        </w:rPr>
        <w:t xml:space="preserve">, Manila, Philippines: IEOM Society International.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"https://doi.org/10.46254/AN13.20230593" </w:instrText>
      </w:r>
      <w:r>
        <w:rPr>
          <w:rFonts w:hint="default" w:ascii="Times New Roman" w:hAnsi="Times New Roman" w:eastAsia="宋体" w:cs="Times New Roman"/>
          <w:kern w:val="0"/>
          <w:sz w:val="24"/>
          <w:szCs w:val="24"/>
          <w:lang w:val="en-US" w:eastAsia="zh-CN" w:bidi="ar"/>
        </w:rPr>
        <w:fldChar w:fldCharType="separate"/>
      </w:r>
      <w:r>
        <w:rPr>
          <w:rStyle w:val="14"/>
          <w:rFonts w:hint="default" w:ascii="Times New Roman" w:hAnsi="Times New Roman" w:eastAsia="宋体" w:cs="Times New Roman"/>
          <w:sz w:val="24"/>
          <w:szCs w:val="24"/>
        </w:rPr>
        <w:t>https://doi.org/10.46254/AN13.20230593</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2B5014FF">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Arian, A., Sands, J. and Tooley, S. (2023) ‘Industry and Stakeholder Impacts on Corporate Social Responsibility (CSR) and Financial Performance: Consumer vs. Industrial Sectors’, </w:t>
      </w:r>
      <w:r>
        <w:rPr>
          <w:rFonts w:hint="default" w:ascii="Times New Roman" w:hAnsi="Times New Roman" w:eastAsia="宋体" w:cs="Times New Roman"/>
          <w:i/>
          <w:iCs/>
          <w:kern w:val="0"/>
          <w:sz w:val="24"/>
          <w:szCs w:val="24"/>
          <w:lang w:val="en-US" w:eastAsia="zh-CN" w:bidi="ar"/>
        </w:rPr>
        <w:t>Sustainability</w:t>
      </w:r>
      <w:r>
        <w:rPr>
          <w:rFonts w:hint="default" w:ascii="Times New Roman" w:hAnsi="Times New Roman" w:eastAsia="宋体" w:cs="Times New Roman"/>
          <w:kern w:val="0"/>
          <w:sz w:val="24"/>
          <w:szCs w:val="24"/>
          <w:lang w:val="en-US" w:eastAsia="zh-CN" w:bidi="ar"/>
        </w:rPr>
        <w:t xml:space="preserve">, 15(16), p. 12254.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"https://doi.org/10.3390/su151612254" </w:instrText>
      </w:r>
      <w:r>
        <w:rPr>
          <w:rFonts w:hint="default" w:ascii="Times New Roman" w:hAnsi="Times New Roman" w:eastAsia="宋体" w:cs="Times New Roman"/>
          <w:kern w:val="0"/>
          <w:sz w:val="24"/>
          <w:szCs w:val="24"/>
          <w:lang w:val="en-US" w:eastAsia="zh-CN" w:bidi="ar"/>
        </w:rPr>
        <w:fldChar w:fldCharType="separate"/>
      </w:r>
      <w:r>
        <w:rPr>
          <w:rStyle w:val="14"/>
          <w:rFonts w:hint="default" w:ascii="Times New Roman" w:hAnsi="Times New Roman" w:eastAsia="宋体" w:cs="Times New Roman"/>
          <w:sz w:val="24"/>
          <w:szCs w:val="24"/>
        </w:rPr>
        <w:t>https://doi.org/10.3390/su151612254</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0E49B687">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Bellora, C. and Fontagné, L. (2023) ‘EU in search of a Carbon Border Adjustment Mechanism’, </w:t>
      </w:r>
      <w:r>
        <w:rPr>
          <w:rFonts w:hint="default" w:ascii="Times New Roman" w:hAnsi="Times New Roman" w:eastAsia="宋体" w:cs="Times New Roman"/>
          <w:i/>
          <w:iCs/>
          <w:kern w:val="0"/>
          <w:sz w:val="24"/>
          <w:szCs w:val="24"/>
          <w:lang w:val="en-US" w:eastAsia="zh-CN" w:bidi="ar"/>
        </w:rPr>
        <w:t>Energy Economics</w:t>
      </w:r>
      <w:r>
        <w:rPr>
          <w:rFonts w:hint="default" w:ascii="Times New Roman" w:hAnsi="Times New Roman" w:eastAsia="宋体" w:cs="Times New Roman"/>
          <w:kern w:val="0"/>
          <w:sz w:val="24"/>
          <w:szCs w:val="24"/>
          <w:lang w:val="en-US" w:eastAsia="zh-CN" w:bidi="ar"/>
        </w:rPr>
        <w:t xml:space="preserve">, 123, p. 106673.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"https://doi.org/10.1016/j.eneco.2023.106673" </w:instrText>
      </w:r>
      <w:r>
        <w:rPr>
          <w:rFonts w:hint="default" w:ascii="Times New Roman" w:hAnsi="Times New Roman" w:eastAsia="宋体" w:cs="Times New Roman"/>
          <w:kern w:val="0"/>
          <w:sz w:val="24"/>
          <w:szCs w:val="24"/>
          <w:lang w:val="en-US" w:eastAsia="zh-CN" w:bidi="ar"/>
        </w:rPr>
        <w:fldChar w:fldCharType="separate"/>
      </w:r>
      <w:r>
        <w:rPr>
          <w:rStyle w:val="14"/>
          <w:rFonts w:hint="default" w:ascii="Times New Roman" w:hAnsi="Times New Roman" w:eastAsia="宋体" w:cs="Times New Roman"/>
          <w:sz w:val="24"/>
          <w:szCs w:val="24"/>
        </w:rPr>
        <w:t>https://doi.org/10.1016/j.eneco.2023.106673</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39B278F6">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Çapar, İ. </w:t>
      </w:r>
      <w:r>
        <w:rPr>
          <w:rFonts w:hint="default" w:ascii="Times New Roman" w:hAnsi="Times New Roman" w:eastAsia="宋体" w:cs="Times New Roman"/>
          <w:i/>
          <w:iCs/>
          <w:kern w:val="0"/>
          <w:sz w:val="24"/>
          <w:szCs w:val="24"/>
          <w:lang w:val="en-US" w:eastAsia="zh-CN" w:bidi="ar"/>
        </w:rPr>
        <w:t>et al.</w:t>
      </w:r>
      <w:r>
        <w:rPr>
          <w:rFonts w:hint="default" w:ascii="Times New Roman" w:hAnsi="Times New Roman" w:eastAsia="宋体" w:cs="Times New Roman"/>
          <w:kern w:val="0"/>
          <w:sz w:val="24"/>
          <w:szCs w:val="24"/>
          <w:lang w:val="en-US" w:eastAsia="zh-CN" w:bidi="ar"/>
        </w:rPr>
        <w:t xml:space="preserve"> (2025) ‘Green supply chain evolution: A multimodal logistics strategy for capping carbon emissions’, </w:t>
      </w:r>
      <w:r>
        <w:rPr>
          <w:rFonts w:hint="default" w:ascii="Times New Roman" w:hAnsi="Times New Roman" w:eastAsia="宋体" w:cs="Times New Roman"/>
          <w:i/>
          <w:iCs/>
          <w:kern w:val="0"/>
          <w:sz w:val="24"/>
          <w:szCs w:val="24"/>
          <w:lang w:val="en-US" w:eastAsia="zh-CN" w:bidi="ar"/>
        </w:rPr>
        <w:t>Transportation Research Part E: Logistics and Transportation Review</w:t>
      </w:r>
      <w:r>
        <w:rPr>
          <w:rFonts w:hint="default" w:ascii="Times New Roman" w:hAnsi="Times New Roman" w:eastAsia="宋体" w:cs="Times New Roman"/>
          <w:kern w:val="0"/>
          <w:sz w:val="24"/>
          <w:szCs w:val="24"/>
          <w:lang w:val="en-US" w:eastAsia="zh-CN" w:bidi="ar"/>
        </w:rPr>
        <w:t xml:space="preserve">, 202, p. 104250.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"https://doi.org/10.1016/j.tre.2025.104250" </w:instrText>
      </w:r>
      <w:r>
        <w:rPr>
          <w:rFonts w:hint="default" w:ascii="Times New Roman" w:hAnsi="Times New Roman" w:eastAsia="宋体" w:cs="Times New Roman"/>
          <w:kern w:val="0"/>
          <w:sz w:val="24"/>
          <w:szCs w:val="24"/>
          <w:lang w:val="en-US" w:eastAsia="zh-CN" w:bidi="ar"/>
        </w:rPr>
        <w:fldChar w:fldCharType="separate"/>
      </w:r>
      <w:r>
        <w:rPr>
          <w:rStyle w:val="14"/>
          <w:rFonts w:hint="default" w:ascii="Times New Roman" w:hAnsi="Times New Roman" w:eastAsia="宋体" w:cs="Times New Roman"/>
          <w:sz w:val="24"/>
          <w:szCs w:val="24"/>
        </w:rPr>
        <w:t>https://doi.org/10.1016/j.tre.2025.104250</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4A871A6C">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Carter, M.E., Lee, L.F. and Yu, E. (2024) ‘Real Effects of the Proposed SEC Climate Disclosure Rule’, </w:t>
      </w:r>
      <w:r>
        <w:rPr>
          <w:rFonts w:hint="default" w:ascii="Times New Roman" w:hAnsi="Times New Roman" w:eastAsia="宋体" w:cs="Times New Roman"/>
          <w:i/>
          <w:iCs/>
          <w:kern w:val="0"/>
          <w:sz w:val="24"/>
          <w:szCs w:val="24"/>
          <w:lang w:val="en-US" w:eastAsia="zh-CN" w:bidi="ar"/>
        </w:rPr>
        <w:t>SSRN Electronic Journal</w:t>
      </w:r>
      <w:r>
        <w:rPr>
          <w:rFonts w:hint="default" w:ascii="Times New Roman" w:hAnsi="Times New Roman" w:eastAsia="宋体" w:cs="Times New Roman"/>
          <w:kern w:val="0"/>
          <w:sz w:val="24"/>
          <w:szCs w:val="24"/>
          <w:lang w:val="en-US" w:eastAsia="zh-CN" w:bidi="ar"/>
        </w:rPr>
        <w:t xml:space="preserve"> [Preprint].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"https://doi.org/10.2139/ssrn.4743426" </w:instrText>
      </w:r>
      <w:r>
        <w:rPr>
          <w:rFonts w:hint="default" w:ascii="Times New Roman" w:hAnsi="Times New Roman" w:eastAsia="宋体" w:cs="Times New Roman"/>
          <w:kern w:val="0"/>
          <w:sz w:val="24"/>
          <w:szCs w:val="24"/>
          <w:lang w:val="en-US" w:eastAsia="zh-CN" w:bidi="ar"/>
        </w:rPr>
        <w:fldChar w:fldCharType="separate"/>
      </w:r>
      <w:r>
        <w:rPr>
          <w:rStyle w:val="14"/>
          <w:rFonts w:hint="default" w:ascii="Times New Roman" w:hAnsi="Times New Roman" w:eastAsia="宋体" w:cs="Times New Roman"/>
          <w:sz w:val="24"/>
          <w:szCs w:val="24"/>
        </w:rPr>
        <w:t>https://doi.org/10.2139/ssrn.4743426</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290F8368">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Colleoni, E. </w:t>
      </w:r>
      <w:r>
        <w:rPr>
          <w:rFonts w:hint="default" w:ascii="Times New Roman" w:hAnsi="Times New Roman" w:eastAsia="宋体" w:cs="Times New Roman"/>
          <w:i/>
          <w:iCs/>
          <w:kern w:val="0"/>
          <w:sz w:val="24"/>
          <w:szCs w:val="24"/>
          <w:lang w:val="en-US" w:eastAsia="zh-CN" w:bidi="ar"/>
        </w:rPr>
        <w:t>et al.</w:t>
      </w:r>
      <w:r>
        <w:rPr>
          <w:rFonts w:hint="default" w:ascii="Times New Roman" w:hAnsi="Times New Roman" w:eastAsia="宋体" w:cs="Times New Roman"/>
          <w:kern w:val="0"/>
          <w:sz w:val="24"/>
          <w:szCs w:val="24"/>
          <w:lang w:val="en-US" w:eastAsia="zh-CN" w:bidi="ar"/>
        </w:rPr>
        <w:t xml:space="preserve"> (2022) ‘Does Culture Matter? Measuring Cross-Country Perceptions of CSR Communication Campaigns about COVID-19’, </w:t>
      </w:r>
      <w:r>
        <w:rPr>
          <w:rFonts w:hint="default" w:ascii="Times New Roman" w:hAnsi="Times New Roman" w:eastAsia="宋体" w:cs="Times New Roman"/>
          <w:i/>
          <w:iCs/>
          <w:kern w:val="0"/>
          <w:sz w:val="24"/>
          <w:szCs w:val="24"/>
          <w:lang w:val="en-US" w:eastAsia="zh-CN" w:bidi="ar"/>
        </w:rPr>
        <w:t>Sustainability</w:t>
      </w:r>
      <w:r>
        <w:rPr>
          <w:rFonts w:hint="default" w:ascii="Times New Roman" w:hAnsi="Times New Roman" w:eastAsia="宋体" w:cs="Times New Roman"/>
          <w:kern w:val="0"/>
          <w:sz w:val="24"/>
          <w:szCs w:val="24"/>
          <w:lang w:val="en-US" w:eastAsia="zh-CN" w:bidi="ar"/>
        </w:rPr>
        <w:t xml:space="preserve">, 14(2), p. 889.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"https://doi.org/10.3390/su14020889" </w:instrText>
      </w:r>
      <w:r>
        <w:rPr>
          <w:rFonts w:hint="default" w:ascii="Times New Roman" w:hAnsi="Times New Roman" w:eastAsia="宋体" w:cs="Times New Roman"/>
          <w:kern w:val="0"/>
          <w:sz w:val="24"/>
          <w:szCs w:val="24"/>
          <w:lang w:val="en-US" w:eastAsia="zh-CN" w:bidi="ar"/>
        </w:rPr>
        <w:fldChar w:fldCharType="separate"/>
      </w:r>
      <w:r>
        <w:rPr>
          <w:rStyle w:val="14"/>
          <w:rFonts w:hint="default" w:ascii="Times New Roman" w:hAnsi="Times New Roman" w:eastAsia="宋体" w:cs="Times New Roman"/>
          <w:sz w:val="24"/>
          <w:szCs w:val="24"/>
        </w:rPr>
        <w:t>https://doi.org/10.3390/su14020889</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1F68E3F5">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Dodd, O., Frijns, B. and Garel, A. (2022) ‘Cultural diversity among directors and corporate social responsibility’, </w:t>
      </w:r>
      <w:r>
        <w:rPr>
          <w:rFonts w:hint="default" w:ascii="Times New Roman" w:hAnsi="Times New Roman" w:eastAsia="宋体" w:cs="Times New Roman"/>
          <w:i/>
          <w:iCs/>
          <w:kern w:val="0"/>
          <w:sz w:val="24"/>
          <w:szCs w:val="24"/>
          <w:lang w:val="en-US" w:eastAsia="zh-CN" w:bidi="ar"/>
        </w:rPr>
        <w:t>International Review of Financial Analysis</w:t>
      </w:r>
      <w:r>
        <w:rPr>
          <w:rFonts w:hint="default" w:ascii="Times New Roman" w:hAnsi="Times New Roman" w:eastAsia="宋体" w:cs="Times New Roman"/>
          <w:kern w:val="0"/>
          <w:sz w:val="24"/>
          <w:szCs w:val="24"/>
          <w:lang w:val="en-US" w:eastAsia="zh-CN" w:bidi="ar"/>
        </w:rPr>
        <w:t xml:space="preserve">, 83, p. 102337.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"https://doi.org/10.1016/j.irfa.2022.102337" </w:instrText>
      </w:r>
      <w:r>
        <w:rPr>
          <w:rFonts w:hint="default" w:ascii="Times New Roman" w:hAnsi="Times New Roman" w:eastAsia="宋体" w:cs="Times New Roman"/>
          <w:kern w:val="0"/>
          <w:sz w:val="24"/>
          <w:szCs w:val="24"/>
          <w:lang w:val="en-US" w:eastAsia="zh-CN" w:bidi="ar"/>
        </w:rPr>
        <w:fldChar w:fldCharType="separate"/>
      </w:r>
      <w:r>
        <w:rPr>
          <w:rStyle w:val="14"/>
          <w:rFonts w:hint="default" w:ascii="Times New Roman" w:hAnsi="Times New Roman" w:eastAsia="宋体" w:cs="Times New Roman"/>
          <w:sz w:val="24"/>
          <w:szCs w:val="24"/>
        </w:rPr>
        <w:t>https://doi.org/10.1016/j.irfa.2022.102337</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0704456F">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Huang, C.-J. </w:t>
      </w:r>
      <w:r>
        <w:rPr>
          <w:rFonts w:hint="default" w:ascii="Times New Roman" w:hAnsi="Times New Roman" w:eastAsia="宋体" w:cs="Times New Roman"/>
          <w:i/>
          <w:iCs/>
          <w:kern w:val="0"/>
          <w:sz w:val="24"/>
          <w:szCs w:val="24"/>
          <w:lang w:val="en-US" w:eastAsia="zh-CN" w:bidi="ar"/>
        </w:rPr>
        <w:t>et al.</w:t>
      </w:r>
      <w:r>
        <w:rPr>
          <w:rFonts w:hint="default" w:ascii="Times New Roman" w:hAnsi="Times New Roman" w:eastAsia="宋体" w:cs="Times New Roman"/>
          <w:kern w:val="0"/>
          <w:sz w:val="24"/>
          <w:szCs w:val="24"/>
          <w:lang w:val="en-US" w:eastAsia="zh-CN" w:bidi="ar"/>
        </w:rPr>
        <w:t xml:space="preserve"> (2024) ‘Revisiting Hofstede’s dimensions of national culture and environmental sustainability’, </w:t>
      </w:r>
      <w:r>
        <w:rPr>
          <w:rFonts w:hint="default" w:ascii="Times New Roman" w:hAnsi="Times New Roman" w:eastAsia="宋体" w:cs="Times New Roman"/>
          <w:i/>
          <w:iCs/>
          <w:kern w:val="0"/>
          <w:sz w:val="24"/>
          <w:szCs w:val="24"/>
          <w:lang w:val="en-US" w:eastAsia="zh-CN" w:bidi="ar"/>
        </w:rPr>
        <w:t>Energy &amp; Environment</w:t>
      </w:r>
      <w:r>
        <w:rPr>
          <w:rFonts w:hint="default" w:ascii="Times New Roman" w:hAnsi="Times New Roman" w:eastAsia="宋体" w:cs="Times New Roman"/>
          <w:kern w:val="0"/>
          <w:sz w:val="24"/>
          <w:szCs w:val="24"/>
          <w:lang w:val="en-US" w:eastAsia="zh-CN" w:bidi="ar"/>
        </w:rPr>
        <w:t xml:space="preserve">, 35(3), pp. 1251–1269.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"https://doi.org/10.1177/0958305X221140579" </w:instrText>
      </w:r>
      <w:r>
        <w:rPr>
          <w:rFonts w:hint="default" w:ascii="Times New Roman" w:hAnsi="Times New Roman" w:eastAsia="宋体" w:cs="Times New Roman"/>
          <w:kern w:val="0"/>
          <w:sz w:val="24"/>
          <w:szCs w:val="24"/>
          <w:lang w:val="en-US" w:eastAsia="zh-CN" w:bidi="ar"/>
        </w:rPr>
        <w:fldChar w:fldCharType="separate"/>
      </w:r>
      <w:r>
        <w:rPr>
          <w:rStyle w:val="14"/>
          <w:rFonts w:hint="default" w:ascii="Times New Roman" w:hAnsi="Times New Roman" w:eastAsia="宋体" w:cs="Times New Roman"/>
          <w:sz w:val="24"/>
          <w:szCs w:val="24"/>
        </w:rPr>
        <w:t>https://doi.org/10.1177/0958305X221140579</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5FBAF4E0">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Hummel, K. and Jobst, D. (2024) ‘An Overview of Corporate Sustainability Reporting Legislation in the European Union’, </w:t>
      </w:r>
      <w:r>
        <w:rPr>
          <w:rFonts w:hint="default" w:ascii="Times New Roman" w:hAnsi="Times New Roman" w:eastAsia="宋体" w:cs="Times New Roman"/>
          <w:i/>
          <w:iCs/>
          <w:kern w:val="0"/>
          <w:sz w:val="24"/>
          <w:szCs w:val="24"/>
          <w:lang w:val="en-US" w:eastAsia="zh-CN" w:bidi="ar"/>
        </w:rPr>
        <w:t>Accounting in Europe</w:t>
      </w:r>
      <w:r>
        <w:rPr>
          <w:rFonts w:hint="default" w:ascii="Times New Roman" w:hAnsi="Times New Roman" w:eastAsia="宋体" w:cs="Times New Roman"/>
          <w:kern w:val="0"/>
          <w:sz w:val="24"/>
          <w:szCs w:val="24"/>
          <w:lang w:val="en-US" w:eastAsia="zh-CN" w:bidi="ar"/>
        </w:rPr>
        <w:t xml:space="preserve">, 21(3), pp. 320–355.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"https://doi.org/10.1080/17449480.2024.2312145" </w:instrText>
      </w:r>
      <w:r>
        <w:rPr>
          <w:rFonts w:hint="default" w:ascii="Times New Roman" w:hAnsi="Times New Roman" w:eastAsia="宋体" w:cs="Times New Roman"/>
          <w:kern w:val="0"/>
          <w:sz w:val="24"/>
          <w:szCs w:val="24"/>
          <w:lang w:val="en-US" w:eastAsia="zh-CN" w:bidi="ar"/>
        </w:rPr>
        <w:fldChar w:fldCharType="separate"/>
      </w:r>
      <w:r>
        <w:rPr>
          <w:rStyle w:val="14"/>
          <w:rFonts w:hint="default" w:ascii="Times New Roman" w:hAnsi="Times New Roman" w:eastAsia="宋体" w:cs="Times New Roman"/>
          <w:sz w:val="24"/>
          <w:szCs w:val="24"/>
        </w:rPr>
        <w:t>https://doi.org/10.1080/17449480.2024.2312145</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29443128">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Jaiswal, M. and Zane, L. (2022) ‘National culture and attitudes’ impact on diffusion of sustainable new technology-based products’, </w:t>
      </w:r>
      <w:r>
        <w:rPr>
          <w:rFonts w:hint="default" w:ascii="Times New Roman" w:hAnsi="Times New Roman" w:eastAsia="宋体" w:cs="Times New Roman"/>
          <w:i/>
          <w:iCs/>
          <w:kern w:val="0"/>
          <w:sz w:val="24"/>
          <w:szCs w:val="24"/>
          <w:lang w:val="en-US" w:eastAsia="zh-CN" w:bidi="ar"/>
        </w:rPr>
        <w:t>New England Journal of Entrepreneurship</w:t>
      </w:r>
      <w:r>
        <w:rPr>
          <w:rFonts w:hint="default" w:ascii="Times New Roman" w:hAnsi="Times New Roman" w:eastAsia="宋体" w:cs="Times New Roman"/>
          <w:kern w:val="0"/>
          <w:sz w:val="24"/>
          <w:szCs w:val="24"/>
          <w:lang w:val="en-US" w:eastAsia="zh-CN" w:bidi="ar"/>
        </w:rPr>
        <w:t xml:space="preserve">, 25(1), pp. 5–25.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"https://doi.org/10.1108/NEJE-09-2021-0059" </w:instrText>
      </w:r>
      <w:r>
        <w:rPr>
          <w:rFonts w:hint="default" w:ascii="Times New Roman" w:hAnsi="Times New Roman" w:eastAsia="宋体" w:cs="Times New Roman"/>
          <w:kern w:val="0"/>
          <w:sz w:val="24"/>
          <w:szCs w:val="24"/>
          <w:lang w:val="en-US" w:eastAsia="zh-CN" w:bidi="ar"/>
        </w:rPr>
        <w:fldChar w:fldCharType="separate"/>
      </w:r>
      <w:r>
        <w:rPr>
          <w:rStyle w:val="14"/>
          <w:rFonts w:hint="default" w:ascii="Times New Roman" w:hAnsi="Times New Roman" w:eastAsia="宋体" w:cs="Times New Roman"/>
          <w:sz w:val="24"/>
          <w:szCs w:val="24"/>
        </w:rPr>
        <w:t>https://doi.org/10.1108/NEJE-09-2021-0059</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44303108">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Klopčič, U. and Pantović, N. (2025) ‘Greenwashing or Genuine Change? A Critical Review of Amazon’s’.</w:t>
      </w:r>
    </w:p>
    <w:p w14:paraId="72577AA0">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uto"/>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Lorenz, M.P. </w:t>
      </w:r>
      <w:r>
        <w:rPr>
          <w:rFonts w:hint="default" w:ascii="Times New Roman" w:hAnsi="Times New Roman" w:eastAsia="宋体" w:cs="Times New Roman"/>
          <w:i/>
          <w:iCs/>
          <w:kern w:val="0"/>
          <w:sz w:val="24"/>
          <w:szCs w:val="24"/>
          <w:lang w:val="en-US" w:eastAsia="zh-CN" w:bidi="ar"/>
        </w:rPr>
        <w:t>et al.</w:t>
      </w:r>
      <w:r>
        <w:rPr>
          <w:rFonts w:hint="default" w:ascii="Times New Roman" w:hAnsi="Times New Roman" w:eastAsia="宋体" w:cs="Times New Roman"/>
          <w:kern w:val="0"/>
          <w:sz w:val="24"/>
          <w:szCs w:val="24"/>
          <w:lang w:val="en-US" w:eastAsia="zh-CN" w:bidi="ar"/>
        </w:rPr>
        <w:t xml:space="preserve"> (2020) ‘The Dark Side of Cultural Intelligence: Exploring Its Impact on Opportunism, Ethical Relativism, and Customer Relationship Performance’, </w:t>
      </w:r>
      <w:r>
        <w:rPr>
          <w:rFonts w:hint="default" w:ascii="Times New Roman" w:hAnsi="Times New Roman" w:eastAsia="宋体" w:cs="Times New Roman"/>
          <w:i/>
          <w:iCs/>
          <w:kern w:val="0"/>
          <w:sz w:val="24"/>
          <w:szCs w:val="24"/>
          <w:lang w:val="en-US" w:eastAsia="zh-CN" w:bidi="ar"/>
        </w:rPr>
        <w:t>Business Ethics Quarterly</w:t>
      </w:r>
      <w:r>
        <w:rPr>
          <w:rFonts w:hint="default" w:ascii="Times New Roman" w:hAnsi="Times New Roman" w:eastAsia="宋体" w:cs="Times New Roman"/>
          <w:kern w:val="0"/>
          <w:sz w:val="24"/>
          <w:szCs w:val="24"/>
          <w:lang w:val="en-US" w:eastAsia="zh-CN" w:bidi="ar"/>
        </w:rPr>
        <w:t xml:space="preserve">, 30(4), pp. 552–590.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"https://doi.org/10.1017/beq.2020.2" </w:instrText>
      </w:r>
      <w:r>
        <w:rPr>
          <w:rFonts w:hint="default" w:ascii="Times New Roman" w:hAnsi="Times New Roman" w:eastAsia="宋体" w:cs="Times New Roman"/>
          <w:kern w:val="0"/>
          <w:sz w:val="24"/>
          <w:szCs w:val="24"/>
          <w:lang w:val="en-US" w:eastAsia="zh-CN" w:bidi="ar"/>
        </w:rPr>
        <w:fldChar w:fldCharType="separate"/>
      </w:r>
      <w:r>
        <w:rPr>
          <w:rStyle w:val="14"/>
          <w:rFonts w:hint="default" w:ascii="Times New Roman" w:hAnsi="Times New Roman" w:eastAsia="宋体" w:cs="Times New Roman"/>
          <w:sz w:val="24"/>
          <w:szCs w:val="24"/>
        </w:rPr>
        <w:t>https://doi.org/10.1017/beq.2020.2</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5C19EF65">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uto"/>
        <w:ind w:left="720" w:leftChars="0" w:hanging="720"/>
        <w:jc w:val="left"/>
        <w:textAlignment w:val="auto"/>
      </w:pPr>
      <w:r>
        <w:rPr>
          <w:rFonts w:hint="default" w:ascii="Times New Roman" w:hAnsi="Times New Roman" w:eastAsia="宋体" w:cs="Times New Roman"/>
          <w:kern w:val="0"/>
          <w:sz w:val="24"/>
          <w:szCs w:val="24"/>
          <w:lang w:val="en-US" w:eastAsia="zh-CN" w:bidi="ar"/>
        </w:rPr>
        <w:t xml:space="preserve">Matten, D. and Moon, J. (2008) ‘“Implicit” and “Explicit” CSR: A Conceptual Framework for a Comparative Understanding of Corporate Social Responsibility’, </w:t>
      </w:r>
      <w:r>
        <w:rPr>
          <w:rFonts w:hint="default" w:ascii="Times New Roman" w:hAnsi="Times New Roman" w:eastAsia="宋体" w:cs="Times New Roman"/>
          <w:i/>
          <w:iCs/>
          <w:kern w:val="0"/>
          <w:sz w:val="24"/>
          <w:szCs w:val="24"/>
          <w:lang w:val="en-US" w:eastAsia="zh-CN" w:bidi="ar"/>
        </w:rPr>
        <w:t>Academy of Management Review</w:t>
      </w:r>
      <w:r>
        <w:rPr>
          <w:rFonts w:hint="default" w:ascii="Times New Roman" w:hAnsi="Times New Roman" w:eastAsia="宋体" w:cs="Times New Roman"/>
          <w:kern w:val="0"/>
          <w:sz w:val="24"/>
          <w:szCs w:val="24"/>
          <w:lang w:val="en-US" w:eastAsia="zh-CN" w:bidi="ar"/>
        </w:rPr>
        <w:t xml:space="preserve">, 33(2), pp. 404–424.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"https://doi.org/10.5465/amr.2008.31193458" </w:instrText>
      </w:r>
      <w:r>
        <w:rPr>
          <w:rFonts w:hint="default" w:ascii="Times New Roman" w:hAnsi="Times New Roman" w:eastAsia="宋体" w:cs="Times New Roman"/>
          <w:kern w:val="0"/>
          <w:sz w:val="24"/>
          <w:szCs w:val="24"/>
          <w:lang w:val="en-US" w:eastAsia="zh-CN" w:bidi="ar"/>
        </w:rPr>
        <w:fldChar w:fldCharType="separate"/>
      </w:r>
      <w:r>
        <w:rPr>
          <w:rStyle w:val="14"/>
          <w:rFonts w:hint="default" w:ascii="Times New Roman" w:hAnsi="Times New Roman" w:eastAsia="宋体" w:cs="Times New Roman"/>
          <w:sz w:val="24"/>
          <w:szCs w:val="24"/>
        </w:rPr>
        <w:t>https://doi.org/10.5465/amr.2008.31193458</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30963663">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Mokadem, W. and Muwafak, B.M. (2021) ‘The Difference of the Theoretical Approach of Corporate Social Responsibility Between the European Union and United States of America’, </w:t>
      </w:r>
      <w:r>
        <w:rPr>
          <w:rFonts w:hint="default" w:ascii="Times New Roman" w:hAnsi="Times New Roman" w:eastAsia="宋体" w:cs="Times New Roman"/>
          <w:i/>
          <w:iCs/>
          <w:kern w:val="0"/>
          <w:sz w:val="24"/>
          <w:szCs w:val="24"/>
          <w:lang w:val="en-US" w:eastAsia="zh-CN" w:bidi="ar"/>
        </w:rPr>
        <w:t>International Journal of Business Ethics and Governance</w:t>
      </w:r>
      <w:r>
        <w:rPr>
          <w:rFonts w:hint="default" w:ascii="Times New Roman" w:hAnsi="Times New Roman" w:eastAsia="宋体" w:cs="Times New Roman"/>
          <w:kern w:val="0"/>
          <w:sz w:val="24"/>
          <w:szCs w:val="24"/>
          <w:lang w:val="en-US" w:eastAsia="zh-CN" w:bidi="ar"/>
        </w:rPr>
        <w:t xml:space="preserve">, pp. 124–136.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"https://doi.org/10.51325/ijbeg.v4i1.22" </w:instrText>
      </w:r>
      <w:r>
        <w:rPr>
          <w:rFonts w:hint="default" w:ascii="Times New Roman" w:hAnsi="Times New Roman" w:eastAsia="宋体" w:cs="Times New Roman"/>
          <w:kern w:val="0"/>
          <w:sz w:val="24"/>
          <w:szCs w:val="24"/>
          <w:lang w:val="en-US" w:eastAsia="zh-CN" w:bidi="ar"/>
        </w:rPr>
        <w:fldChar w:fldCharType="separate"/>
      </w:r>
      <w:r>
        <w:rPr>
          <w:rStyle w:val="14"/>
          <w:rFonts w:hint="default" w:ascii="Times New Roman" w:hAnsi="Times New Roman" w:eastAsia="宋体" w:cs="Times New Roman"/>
          <w:sz w:val="24"/>
          <w:szCs w:val="24"/>
        </w:rPr>
        <w:t>https://doi.org/10.51325/ijbeg.v4i1.22</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25D085AB">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Moss, A.O. (2024) ‘Climate, Clarity, Controversy: A Constitutional, Statutory, and Policy Analysis of the SEC’s Proposed Climate Disclosure Rules’.</w:t>
      </w:r>
    </w:p>
    <w:p w14:paraId="207740B0">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Nomura, T., Houqe, M. and Stent, W. (2025) ‘Multiple global CSR pronouncements and CSR harmonisation in Europe’.</w:t>
      </w:r>
    </w:p>
    <w:p w14:paraId="28A4AE09">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Nonejad, N. (2022) ‘Predicting equity premium out-of-sample by conditioning on newspaper-based uncertainty measures: A comparative study’, </w:t>
      </w:r>
      <w:r>
        <w:rPr>
          <w:rFonts w:hint="default" w:ascii="Times New Roman" w:hAnsi="Times New Roman" w:eastAsia="宋体" w:cs="Times New Roman"/>
          <w:i/>
          <w:iCs/>
          <w:kern w:val="0"/>
          <w:sz w:val="24"/>
          <w:szCs w:val="24"/>
          <w:lang w:val="en-US" w:eastAsia="zh-CN" w:bidi="ar"/>
        </w:rPr>
        <w:t>International Review of Financial Analysis</w:t>
      </w:r>
      <w:r>
        <w:rPr>
          <w:rFonts w:hint="default" w:ascii="Times New Roman" w:hAnsi="Times New Roman" w:eastAsia="宋体" w:cs="Times New Roman"/>
          <w:kern w:val="0"/>
          <w:sz w:val="24"/>
          <w:szCs w:val="24"/>
          <w:lang w:val="en-US" w:eastAsia="zh-CN" w:bidi="ar"/>
        </w:rPr>
        <w:t xml:space="preserve">, 83, p. 102251.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"https://doi.org/10.1016/j.irfa.2022.102251" </w:instrText>
      </w:r>
      <w:r>
        <w:rPr>
          <w:rFonts w:hint="default" w:ascii="Times New Roman" w:hAnsi="Times New Roman" w:eastAsia="宋体" w:cs="Times New Roman"/>
          <w:kern w:val="0"/>
          <w:sz w:val="24"/>
          <w:szCs w:val="24"/>
          <w:lang w:val="en-US" w:eastAsia="zh-CN" w:bidi="ar"/>
        </w:rPr>
        <w:fldChar w:fldCharType="separate"/>
      </w:r>
      <w:r>
        <w:rPr>
          <w:rStyle w:val="14"/>
          <w:rFonts w:hint="default" w:ascii="Times New Roman" w:hAnsi="Times New Roman" w:eastAsia="宋体" w:cs="Times New Roman"/>
          <w:sz w:val="24"/>
          <w:szCs w:val="24"/>
        </w:rPr>
        <w:t>https://doi.org/10.1016/j.irfa.2022.102251</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6B51A846">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Proserpio, D. </w:t>
      </w:r>
      <w:r>
        <w:rPr>
          <w:rFonts w:hint="default" w:ascii="Times New Roman" w:hAnsi="Times New Roman" w:eastAsia="宋体" w:cs="Times New Roman"/>
          <w:i/>
          <w:iCs/>
          <w:kern w:val="0"/>
          <w:sz w:val="24"/>
          <w:szCs w:val="24"/>
          <w:lang w:val="en-US" w:eastAsia="zh-CN" w:bidi="ar"/>
        </w:rPr>
        <w:t>et al.</w:t>
      </w:r>
      <w:r>
        <w:rPr>
          <w:rFonts w:hint="default" w:ascii="Times New Roman" w:hAnsi="Times New Roman" w:eastAsia="宋体" w:cs="Times New Roman"/>
          <w:kern w:val="0"/>
          <w:sz w:val="24"/>
          <w:szCs w:val="24"/>
          <w:lang w:val="en-US" w:eastAsia="zh-CN" w:bidi="ar"/>
        </w:rPr>
        <w:t xml:space="preserve"> (2025) ‘The impact of sustainability programs on consumer purchase behavior: Evidence from Amazon’. SSRN.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"https://doi.org/10.2139/ssrn.5045830" </w:instrText>
      </w:r>
      <w:r>
        <w:rPr>
          <w:rFonts w:hint="default" w:ascii="Times New Roman" w:hAnsi="Times New Roman" w:eastAsia="宋体" w:cs="Times New Roman"/>
          <w:kern w:val="0"/>
          <w:sz w:val="24"/>
          <w:szCs w:val="24"/>
          <w:lang w:val="en-US" w:eastAsia="zh-CN" w:bidi="ar"/>
        </w:rPr>
        <w:fldChar w:fldCharType="separate"/>
      </w:r>
      <w:r>
        <w:rPr>
          <w:rStyle w:val="14"/>
          <w:rFonts w:hint="default" w:ascii="Times New Roman" w:hAnsi="Times New Roman" w:eastAsia="宋体" w:cs="Times New Roman"/>
          <w:sz w:val="24"/>
          <w:szCs w:val="24"/>
        </w:rPr>
        <w:t>https://doi.org/10.2139/ssrn.5045830</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5156F6CF">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Rocha, R., Bandeira, A. and Ramos, P. (2024) ‘The Impact of Social Responsibility on the Performance of European Listed Companies’, </w:t>
      </w:r>
      <w:r>
        <w:rPr>
          <w:rFonts w:hint="default" w:ascii="Times New Roman" w:hAnsi="Times New Roman" w:eastAsia="宋体" w:cs="Times New Roman"/>
          <w:i/>
          <w:iCs/>
          <w:kern w:val="0"/>
          <w:sz w:val="24"/>
          <w:szCs w:val="24"/>
          <w:lang w:val="en-US" w:eastAsia="zh-CN" w:bidi="ar"/>
        </w:rPr>
        <w:t>Sustainability</w:t>
      </w:r>
      <w:r>
        <w:rPr>
          <w:rFonts w:hint="default" w:ascii="Times New Roman" w:hAnsi="Times New Roman" w:eastAsia="宋体" w:cs="Times New Roman"/>
          <w:kern w:val="0"/>
          <w:sz w:val="24"/>
          <w:szCs w:val="24"/>
          <w:lang w:val="en-US" w:eastAsia="zh-CN" w:bidi="ar"/>
        </w:rPr>
        <w:t xml:space="preserve">, 16(17), p. 7658.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"https://doi.org/10.3390/su16177658" </w:instrText>
      </w:r>
      <w:r>
        <w:rPr>
          <w:rFonts w:hint="default" w:ascii="Times New Roman" w:hAnsi="Times New Roman" w:eastAsia="宋体" w:cs="Times New Roman"/>
          <w:kern w:val="0"/>
          <w:sz w:val="24"/>
          <w:szCs w:val="24"/>
          <w:lang w:val="en-US" w:eastAsia="zh-CN" w:bidi="ar"/>
        </w:rPr>
        <w:fldChar w:fldCharType="separate"/>
      </w:r>
      <w:r>
        <w:rPr>
          <w:rStyle w:val="14"/>
          <w:rFonts w:hint="default" w:ascii="Times New Roman" w:hAnsi="Times New Roman" w:eastAsia="宋体" w:cs="Times New Roman"/>
          <w:sz w:val="24"/>
          <w:szCs w:val="24"/>
        </w:rPr>
        <w:t>https://doi.org/10.3390/su16177658</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356112D7">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Struwig, J. and Roberts, B.J. (2024) ‘Exploring Environmentalism Across Nations: Understanding the Influence of Societal Social Progress on Environmental Values, Norms, and Behaviour’, </w:t>
      </w:r>
      <w:r>
        <w:rPr>
          <w:rFonts w:hint="default" w:ascii="Times New Roman" w:hAnsi="Times New Roman" w:eastAsia="宋体" w:cs="Times New Roman"/>
          <w:i/>
          <w:iCs/>
          <w:kern w:val="0"/>
          <w:sz w:val="24"/>
          <w:szCs w:val="24"/>
          <w:lang w:val="en-US" w:eastAsia="zh-CN" w:bidi="ar"/>
        </w:rPr>
        <w:t>International Journal of Sociology</w:t>
      </w:r>
      <w:r>
        <w:rPr>
          <w:rFonts w:hint="default" w:ascii="Times New Roman" w:hAnsi="Times New Roman" w:eastAsia="宋体" w:cs="Times New Roman"/>
          <w:kern w:val="0"/>
          <w:sz w:val="24"/>
          <w:szCs w:val="24"/>
          <w:lang w:val="en-US" w:eastAsia="zh-CN" w:bidi="ar"/>
        </w:rPr>
        <w:t xml:space="preserve">, 54(5–6), pp. 447–475.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"https://doi.org/10.1080/00207659.2024.2420498" </w:instrText>
      </w:r>
      <w:r>
        <w:rPr>
          <w:rFonts w:hint="default" w:ascii="Times New Roman" w:hAnsi="Times New Roman" w:eastAsia="宋体" w:cs="Times New Roman"/>
          <w:kern w:val="0"/>
          <w:sz w:val="24"/>
          <w:szCs w:val="24"/>
          <w:lang w:val="en-US" w:eastAsia="zh-CN" w:bidi="ar"/>
        </w:rPr>
        <w:fldChar w:fldCharType="separate"/>
      </w:r>
      <w:r>
        <w:rPr>
          <w:rStyle w:val="14"/>
          <w:rFonts w:hint="default" w:ascii="Times New Roman" w:hAnsi="Times New Roman" w:eastAsia="宋体" w:cs="Times New Roman"/>
          <w:sz w:val="24"/>
          <w:szCs w:val="24"/>
        </w:rPr>
        <w:t>https://doi.org/10.1080/00207659.2024.2420498</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0FD42904">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Tam, K.-P. (2025) ‘Culture and pro-environmental behavior’, </w:t>
      </w:r>
      <w:r>
        <w:rPr>
          <w:rFonts w:hint="default" w:ascii="Times New Roman" w:hAnsi="Times New Roman" w:eastAsia="宋体" w:cs="Times New Roman"/>
          <w:i/>
          <w:iCs/>
          <w:kern w:val="0"/>
          <w:sz w:val="24"/>
          <w:szCs w:val="24"/>
          <w:lang w:val="en-US" w:eastAsia="zh-CN" w:bidi="ar"/>
        </w:rPr>
        <w:t>Current Opinion in Psychology</w:t>
      </w:r>
      <w:r>
        <w:rPr>
          <w:rFonts w:hint="default" w:ascii="Times New Roman" w:hAnsi="Times New Roman" w:eastAsia="宋体" w:cs="Times New Roman"/>
          <w:kern w:val="0"/>
          <w:sz w:val="24"/>
          <w:szCs w:val="24"/>
          <w:lang w:val="en-US" w:eastAsia="zh-CN" w:bidi="ar"/>
        </w:rPr>
        <w:t xml:space="preserve">, 62, p. 101986.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"https://doi.org/10.1016/j.copsyc.2024.101986" </w:instrText>
      </w:r>
      <w:r>
        <w:rPr>
          <w:rFonts w:hint="default" w:ascii="Times New Roman" w:hAnsi="Times New Roman" w:eastAsia="宋体" w:cs="Times New Roman"/>
          <w:kern w:val="0"/>
          <w:sz w:val="24"/>
          <w:szCs w:val="24"/>
          <w:lang w:val="en-US" w:eastAsia="zh-CN" w:bidi="ar"/>
        </w:rPr>
        <w:fldChar w:fldCharType="separate"/>
      </w:r>
      <w:r>
        <w:rPr>
          <w:rStyle w:val="14"/>
          <w:rFonts w:hint="default" w:ascii="Times New Roman" w:hAnsi="Times New Roman" w:eastAsia="宋体" w:cs="Times New Roman"/>
          <w:sz w:val="24"/>
          <w:szCs w:val="24"/>
        </w:rPr>
        <w:t>https://doi.org/10.1016/j.copsyc.2024.101986</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7F816B5E">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Ullah, S. </w:t>
      </w:r>
      <w:r>
        <w:rPr>
          <w:rFonts w:hint="default" w:ascii="Times New Roman" w:hAnsi="Times New Roman" w:eastAsia="宋体" w:cs="Times New Roman"/>
          <w:i/>
          <w:iCs/>
          <w:kern w:val="0"/>
          <w:sz w:val="24"/>
          <w:szCs w:val="24"/>
          <w:lang w:val="en-US" w:eastAsia="zh-CN" w:bidi="ar"/>
        </w:rPr>
        <w:t>et al.</w:t>
      </w:r>
      <w:r>
        <w:rPr>
          <w:rFonts w:hint="default" w:ascii="Times New Roman" w:hAnsi="Times New Roman" w:eastAsia="宋体" w:cs="Times New Roman"/>
          <w:kern w:val="0"/>
          <w:sz w:val="24"/>
          <w:szCs w:val="24"/>
          <w:lang w:val="en-US" w:eastAsia="zh-CN" w:bidi="ar"/>
        </w:rPr>
        <w:t xml:space="preserve"> (2022) ‘Does national culture matter for environmental innovation? A study of emerging economies’, </w:t>
      </w:r>
      <w:r>
        <w:rPr>
          <w:rFonts w:hint="default" w:ascii="Times New Roman" w:hAnsi="Times New Roman" w:eastAsia="宋体" w:cs="Times New Roman"/>
          <w:i/>
          <w:iCs/>
          <w:kern w:val="0"/>
          <w:sz w:val="24"/>
          <w:szCs w:val="24"/>
          <w:lang w:val="en-US" w:eastAsia="zh-CN" w:bidi="ar"/>
        </w:rPr>
        <w:t>Technological Forecasting and Social Change</w:t>
      </w:r>
      <w:r>
        <w:rPr>
          <w:rFonts w:hint="default" w:ascii="Times New Roman" w:hAnsi="Times New Roman" w:eastAsia="宋体" w:cs="Times New Roman"/>
          <w:kern w:val="0"/>
          <w:sz w:val="24"/>
          <w:szCs w:val="24"/>
          <w:lang w:val="en-US" w:eastAsia="zh-CN" w:bidi="ar"/>
        </w:rPr>
        <w:t xml:space="preserve">, 181, p. 121755.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"https://doi.org/10.1016/j.techfore.2022.121755" </w:instrText>
      </w:r>
      <w:r>
        <w:rPr>
          <w:rFonts w:hint="default" w:ascii="Times New Roman" w:hAnsi="Times New Roman" w:eastAsia="宋体" w:cs="Times New Roman"/>
          <w:kern w:val="0"/>
          <w:sz w:val="24"/>
          <w:szCs w:val="24"/>
          <w:lang w:val="en-US" w:eastAsia="zh-CN" w:bidi="ar"/>
        </w:rPr>
        <w:fldChar w:fldCharType="separate"/>
      </w:r>
      <w:r>
        <w:rPr>
          <w:rStyle w:val="14"/>
          <w:rFonts w:hint="default" w:ascii="Times New Roman" w:hAnsi="Times New Roman" w:eastAsia="宋体" w:cs="Times New Roman"/>
          <w:sz w:val="24"/>
          <w:szCs w:val="24"/>
        </w:rPr>
        <w:t>https://doi.org/10.1016/j.techfore.2022.121755</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1B6799B8">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Vieira, L.C., Longo, M. and Mura, M. (2024) ‘Impact pathways: the hidden challenges of Scope 3 emissions measurement and management’, </w:t>
      </w:r>
      <w:r>
        <w:rPr>
          <w:rFonts w:hint="default" w:ascii="Times New Roman" w:hAnsi="Times New Roman" w:eastAsia="宋体" w:cs="Times New Roman"/>
          <w:i/>
          <w:iCs/>
          <w:kern w:val="0"/>
          <w:sz w:val="24"/>
          <w:szCs w:val="24"/>
          <w:lang w:val="en-US" w:eastAsia="zh-CN" w:bidi="ar"/>
        </w:rPr>
        <w:t>International Journal of Operations &amp; Production Management</w:t>
      </w:r>
      <w:r>
        <w:rPr>
          <w:rFonts w:hint="default" w:ascii="Times New Roman" w:hAnsi="Times New Roman" w:eastAsia="宋体" w:cs="Times New Roman"/>
          <w:kern w:val="0"/>
          <w:sz w:val="24"/>
          <w:szCs w:val="24"/>
          <w:lang w:val="en-US" w:eastAsia="zh-CN" w:bidi="ar"/>
        </w:rPr>
        <w:t xml:space="preserve">, 44(13), pp. 326–334.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"https://doi.org/10.1108/IJOPM-01-2024-0049" </w:instrText>
      </w:r>
      <w:r>
        <w:rPr>
          <w:rFonts w:hint="default" w:ascii="Times New Roman" w:hAnsi="Times New Roman" w:eastAsia="宋体" w:cs="Times New Roman"/>
          <w:kern w:val="0"/>
          <w:sz w:val="24"/>
          <w:szCs w:val="24"/>
          <w:lang w:val="en-US" w:eastAsia="zh-CN" w:bidi="ar"/>
        </w:rPr>
        <w:fldChar w:fldCharType="separate"/>
      </w:r>
      <w:r>
        <w:rPr>
          <w:rStyle w:val="14"/>
          <w:rFonts w:hint="default" w:ascii="Times New Roman" w:hAnsi="Times New Roman" w:eastAsia="宋体" w:cs="Times New Roman"/>
          <w:sz w:val="24"/>
          <w:szCs w:val="24"/>
        </w:rPr>
        <w:t>https://doi.org/10.1108/IJOPM-01-2024-0049</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0E166038">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Wang, L. and Li, S. (2023) ‘Is Corporate Social Responsibility a Must or a Plus? The Role of National Culture’. SSRN.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"https://doi.org/10.2139/ssrn.4563119" </w:instrText>
      </w:r>
      <w:r>
        <w:rPr>
          <w:rFonts w:hint="default" w:ascii="Times New Roman" w:hAnsi="Times New Roman" w:eastAsia="宋体" w:cs="Times New Roman"/>
          <w:kern w:val="0"/>
          <w:sz w:val="24"/>
          <w:szCs w:val="24"/>
          <w:lang w:val="en-US" w:eastAsia="zh-CN" w:bidi="ar"/>
        </w:rPr>
        <w:fldChar w:fldCharType="separate"/>
      </w:r>
      <w:r>
        <w:rPr>
          <w:rStyle w:val="14"/>
          <w:rFonts w:hint="default" w:ascii="Times New Roman" w:hAnsi="Times New Roman" w:eastAsia="宋体" w:cs="Times New Roman"/>
          <w:sz w:val="24"/>
          <w:szCs w:val="24"/>
        </w:rPr>
        <w:t>https://doi.org/10.2139/ssrn.4563119</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6585B63B">
      <w:pPr>
        <w:keepNext w:val="0"/>
        <w:keepLines w:val="0"/>
        <w:pageBreakBefore w:val="0"/>
        <w:widowControl/>
        <w:numPr>
          <w:ilvl w:val="0"/>
          <w:numId w:val="0"/>
        </w:numPr>
        <w:suppressLineNumbers w:val="0"/>
        <w:kinsoku/>
        <w:wordWrap/>
        <w:overflowPunct/>
        <w:topLinePunct w:val="0"/>
        <w:autoSpaceDE/>
        <w:autoSpaceDN/>
        <w:bidi w:val="0"/>
        <w:adjustRightInd/>
        <w:snapToGrid/>
        <w:spacing w:after="210" w:afterAutospacing="0" w:line="240" w:lineRule="auto"/>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Yu, E.P. </w:t>
      </w:r>
      <w:r>
        <w:rPr>
          <w:rFonts w:hint="default" w:ascii="Times New Roman" w:hAnsi="Times New Roman" w:eastAsia="宋体" w:cs="Times New Roman"/>
          <w:i/>
          <w:iCs/>
          <w:kern w:val="0"/>
          <w:sz w:val="24"/>
          <w:szCs w:val="24"/>
          <w:lang w:val="en-US" w:eastAsia="zh-CN" w:bidi="ar"/>
        </w:rPr>
        <w:t>et al.</w:t>
      </w:r>
      <w:r>
        <w:rPr>
          <w:rFonts w:hint="default" w:ascii="Times New Roman" w:hAnsi="Times New Roman" w:eastAsia="宋体" w:cs="Times New Roman"/>
          <w:kern w:val="0"/>
          <w:sz w:val="24"/>
          <w:szCs w:val="24"/>
          <w:lang w:val="en-US" w:eastAsia="zh-CN" w:bidi="ar"/>
        </w:rPr>
        <w:t xml:space="preserve"> (2021) ‘Environmental transparency and investors’ risk perception: Cross‐country evidence on multinational corporations’ sustainability practices and cost of equity’, </w:t>
      </w:r>
      <w:r>
        <w:rPr>
          <w:rFonts w:hint="default" w:ascii="Times New Roman" w:hAnsi="Times New Roman" w:eastAsia="宋体" w:cs="Times New Roman"/>
          <w:i/>
          <w:iCs/>
          <w:kern w:val="0"/>
          <w:sz w:val="24"/>
          <w:szCs w:val="24"/>
          <w:lang w:val="en-US" w:eastAsia="zh-CN" w:bidi="ar"/>
        </w:rPr>
        <w:t>Business Strategy and the Environment</w:t>
      </w:r>
      <w:r>
        <w:rPr>
          <w:rFonts w:hint="default" w:ascii="Times New Roman" w:hAnsi="Times New Roman" w:eastAsia="宋体" w:cs="Times New Roman"/>
          <w:kern w:val="0"/>
          <w:sz w:val="24"/>
          <w:szCs w:val="24"/>
          <w:lang w:val="en-US" w:eastAsia="zh-CN" w:bidi="ar"/>
        </w:rPr>
        <w:t xml:space="preserve">, 30(8), pp. 3975–4000.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"https://doi.org/10.1002/bse.2852" </w:instrText>
      </w:r>
      <w:r>
        <w:rPr>
          <w:rFonts w:hint="default" w:ascii="Times New Roman" w:hAnsi="Times New Roman" w:eastAsia="宋体" w:cs="Times New Roman"/>
          <w:kern w:val="0"/>
          <w:sz w:val="24"/>
          <w:szCs w:val="24"/>
          <w:lang w:val="en-US" w:eastAsia="zh-CN" w:bidi="ar"/>
        </w:rPr>
        <w:fldChar w:fldCharType="separate"/>
      </w:r>
      <w:r>
        <w:rPr>
          <w:rStyle w:val="14"/>
          <w:rFonts w:hint="default" w:ascii="Times New Roman" w:hAnsi="Times New Roman" w:eastAsia="宋体" w:cs="Times New Roman"/>
          <w:sz w:val="24"/>
          <w:szCs w:val="24"/>
        </w:rPr>
        <w:t>https://doi.org/10.1002/bse.2852</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786D6228">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uto"/>
        <w:ind w:left="720" w:leftChars="0" w:hanging="720"/>
        <w:jc w:val="left"/>
        <w:textAlignment w:val="auto"/>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Zimmer, L. and Swoboda, B. (2023) ‘Perceived corporate social responsibility effects across nations – The role of national institutions’, </w:t>
      </w:r>
      <w:r>
        <w:rPr>
          <w:rFonts w:hint="default" w:ascii="Times New Roman" w:hAnsi="Times New Roman" w:eastAsia="宋体" w:cs="Times New Roman"/>
          <w:i/>
          <w:iCs/>
          <w:kern w:val="0"/>
          <w:sz w:val="24"/>
          <w:szCs w:val="24"/>
          <w:lang w:val="en-US" w:eastAsia="zh-CN" w:bidi="ar"/>
        </w:rPr>
        <w:t>International Business Review</w:t>
      </w:r>
      <w:r>
        <w:rPr>
          <w:rFonts w:hint="default" w:ascii="Times New Roman" w:hAnsi="Times New Roman" w:eastAsia="宋体" w:cs="Times New Roman"/>
          <w:kern w:val="0"/>
          <w:sz w:val="24"/>
          <w:szCs w:val="24"/>
          <w:lang w:val="en-US" w:eastAsia="zh-CN" w:bidi="ar"/>
        </w:rPr>
        <w:t xml:space="preserve">, 32(3), p. 102073.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"https://doi.org/10.1016/j.ibusrev.2022.102073" </w:instrText>
      </w:r>
      <w:r>
        <w:rPr>
          <w:rFonts w:hint="default" w:ascii="Times New Roman" w:hAnsi="Times New Roman" w:eastAsia="宋体" w:cs="Times New Roman"/>
          <w:kern w:val="0"/>
          <w:sz w:val="24"/>
          <w:szCs w:val="24"/>
          <w:lang w:val="en-US" w:eastAsia="zh-CN" w:bidi="ar"/>
        </w:rPr>
        <w:fldChar w:fldCharType="separate"/>
      </w:r>
      <w:r>
        <w:rPr>
          <w:rStyle w:val="14"/>
          <w:rFonts w:hint="default" w:ascii="Times New Roman" w:hAnsi="Times New Roman" w:eastAsia="宋体" w:cs="Times New Roman"/>
          <w:sz w:val="24"/>
          <w:szCs w:val="24"/>
        </w:rPr>
        <w:t>https://doi.org/10.1016/j.ibusrev.2022.102073</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21F5DDFB">
      <w:pPr>
        <w:keepNext w:val="0"/>
        <w:keepLines w:val="0"/>
        <w:widowControl/>
        <w:suppressLineNumbers w:val="0"/>
        <w:spacing w:line="20" w:lineRule="atLeast"/>
        <w:jc w:val="left"/>
        <w:rPr>
          <w:rFonts w:ascii="宋体" w:hAnsi="宋体" w:eastAsia="宋体" w:cs="宋体"/>
          <w:kern w:val="0"/>
          <w:sz w:val="24"/>
          <w:szCs w:val="24"/>
          <w:lang w:val="en-US" w:eastAsia="zh-CN" w:bidi="ar"/>
        </w:rPr>
      </w:pPr>
    </w:p>
    <w:p w14:paraId="40724FC9">
      <w:pPr>
        <w:rPr>
          <w:rFonts w:hint="default"/>
          <w:lang w:val="en-US" w:eastAsia="zh-CN"/>
        </w:rPr>
      </w:pPr>
    </w:p>
    <w:p w14:paraId="571CA456">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0"/>
        <w:jc w:val="left"/>
        <w:textAlignment w:val="auto"/>
        <w:outlineLvl w:val="0"/>
        <w:rPr>
          <w:rFonts w:hint="default" w:ascii="Times New Roman" w:hAnsi="Times New Roman" w:cs="Times New Roman"/>
          <w:b/>
          <w:bCs/>
          <w:sz w:val="24"/>
          <w:szCs w:val="24"/>
          <w:lang w:val="en-US" w:eastAsia="zh-CN"/>
        </w:rPr>
      </w:pPr>
    </w:p>
    <w:sectPr>
      <w:footerReference r:id="rId4" w:type="default"/>
      <w:pgSz w:w="11906" w:h="16838"/>
      <w:pgMar w:top="1440" w:right="1800" w:bottom="1440" w:left="1800" w:header="851" w:footer="992" w:gutter="0"/>
      <w:pgNumType w:fmt="decimal" w:start="15"/>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 w:name="Calibri">
    <w:panose1 w:val="020F0502020204030204"/>
    <w:charset w:val="86"/>
    <w:family w:val="swiss"/>
    <w:pitch w:val="default"/>
    <w:sig w:usb0="E4002EFF" w:usb1="C200247B"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D0621EA">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1053E2D">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1DDF517D">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wiRJeMQIAAGEEAAAOAAAAAAAAAAEAIAAAAB8BAABkcnMvZTJvRG9jLnhtbFBLBQYA&#10;AAAABgAGAFkBAADCBQAAAAA=&#10;">
              <v:fill on="f" focussize="0,0"/>
              <v:stroke on="f" weight="0.5pt"/>
              <v:imagedata o:title=""/>
              <o:lock v:ext="edit" aspectratio="f"/>
              <v:textbox inset="0mm,0mm,0mm,0mm" style="mso-fit-shape-to-text:t;">
                <w:txbxContent>
                  <w:p w14:paraId="1DDF517D">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B8638E1"/>
    <w:rsid w:val="0F694BF0"/>
    <w:rsid w:val="16795C6E"/>
    <w:rsid w:val="22BB48F8"/>
    <w:rsid w:val="4B8638E1"/>
    <w:rsid w:val="5ABD1AB7"/>
    <w:rsid w:val="6A2C6105"/>
    <w:rsid w:val="741219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12">
    <w:name w:val="Default Paragraph Font"/>
    <w:semiHidden/>
    <w:qFormat/>
    <w:uiPriority w:val="0"/>
  </w:style>
  <w:style w:type="table" w:default="1" w:styleId="11">
    <w:name w:val="Normal Table"/>
    <w:semiHidden/>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qFormat/>
    <w:uiPriority w:val="0"/>
  </w:style>
  <w:style w:type="paragraph" w:styleId="9">
    <w:name w:val="toc 2"/>
    <w:basedOn w:val="1"/>
    <w:next w:val="1"/>
    <w:uiPriority w:val="0"/>
    <w:pPr>
      <w:ind w:left="420" w:leftChars="200"/>
    </w:pPr>
  </w:style>
  <w:style w:type="paragraph" w:styleId="10">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3">
    <w:name w:val="Strong"/>
    <w:basedOn w:val="12"/>
    <w:qFormat/>
    <w:uiPriority w:val="0"/>
    <w:rPr>
      <w:b/>
    </w:rPr>
  </w:style>
  <w:style w:type="character" w:styleId="14">
    <w:name w:val="Hyperlink"/>
    <w:basedOn w:val="12"/>
    <w:qFormat/>
    <w:uiPriority w:val="0"/>
    <w:rPr>
      <w:color w:val="0000FF"/>
      <w:u w:val="singl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19</Pages>
  <Words>3146</Words>
  <Characters>21575</Characters>
  <Lines>0</Lines>
  <Paragraphs>0</Paragraphs>
  <TotalTime>4</TotalTime>
  <ScaleCrop>false</ScaleCrop>
  <LinksUpToDate>false</LinksUpToDate>
  <CharactersWithSpaces>24660</CharactersWithSpaces>
  <Application>WPS Office_12.1.0.24034_F1E327BC-269C-435d-A152-05C5408002CA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2025-11-21T20:34:00Z</dcterms:created>
  <dc:creator>—</dc:creator>
  <cp:lastModifiedBy>—</cp:lastModifiedBy>
  <dcterms:modified xsi:type="dcterms:W3CDTF">2025-12-11T21:41:36Z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2052-12.1.0.24034</vt:lpwstr>
  </property>
  <property fmtid="{D5CDD505-2E9C-101B-9397-08002B2CF9AE}" pid="3" name="ICV">
    <vt:lpwstr>814C93E497B34105B5E2B3AC9F6C8CAD_13</vt:lpwstr>
  </property>
  <property fmtid="{D5CDD505-2E9C-101B-9397-08002B2CF9AE}" pid="4" name="KSOTemplateDocerSaveRecord">
    <vt:lpwstr>eyJoZGlkIjoiZTIxZGVhNzI3ZGFmYzdmMmFjZTcxMDEyYWFlYzhjMjMiLCJ1c2VySWQiOiIzMDE1NzQxMzMifQ==</vt:lpwstr>
  </property>
</Properties>
</file>