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1BAA38" w14:textId="39D808EF" w:rsidR="002976A7" w:rsidRPr="004E5F45" w:rsidRDefault="002976A7" w:rsidP="002976A7">
      <w:pPr>
        <w:jc w:val="center"/>
        <w:rPr>
          <w:rFonts w:cs="Times New Roman"/>
          <w:b/>
          <w:i/>
          <w:sz w:val="40"/>
          <w:szCs w:val="40"/>
          <w:bdr w:val="none" w:sz="0" w:space="0" w:color="auto" w:frame="1"/>
        </w:rPr>
      </w:pPr>
      <w:r w:rsidRPr="004E5F45">
        <w:rPr>
          <w:rFonts w:cs="Times New Roman"/>
          <w:b/>
          <w:i/>
          <w:sz w:val="40"/>
          <w:szCs w:val="40"/>
          <w:bdr w:val="none" w:sz="0" w:space="0" w:color="auto" w:frame="1"/>
        </w:rPr>
        <w:t>Accounting Fundamentals</w:t>
      </w:r>
    </w:p>
    <w:p w14:paraId="5DF07DE5" w14:textId="13ECC00E" w:rsidR="002976A7" w:rsidRPr="004E5F45" w:rsidRDefault="002976A7" w:rsidP="002976A7">
      <w:pPr>
        <w:jc w:val="center"/>
        <w:rPr>
          <w:rFonts w:cs="Times New Roman"/>
          <w:b/>
          <w:i/>
          <w:sz w:val="32"/>
          <w:szCs w:val="32"/>
          <w:bdr w:val="none" w:sz="0" w:space="0" w:color="auto" w:frame="1"/>
          <w:lang w:val="bg-BG"/>
        </w:rPr>
      </w:pPr>
      <w:r w:rsidRPr="004E5F45">
        <w:rPr>
          <w:rFonts w:cs="Times New Roman"/>
          <w:b/>
          <w:i/>
          <w:sz w:val="32"/>
          <w:szCs w:val="32"/>
          <w:bdr w:val="none" w:sz="0" w:space="0" w:color="auto" w:frame="1"/>
        </w:rPr>
        <w:t>LCBB400</w:t>
      </w:r>
      <w:r w:rsidR="001D3B4E" w:rsidRPr="004E5F45">
        <w:rPr>
          <w:rFonts w:cs="Times New Roman"/>
          <w:b/>
          <w:i/>
          <w:sz w:val="32"/>
          <w:szCs w:val="32"/>
          <w:bdr w:val="none" w:sz="0" w:space="0" w:color="auto" w:frame="1"/>
          <w:lang w:val="bg-BG"/>
        </w:rPr>
        <w:t>1</w:t>
      </w:r>
    </w:p>
    <w:p w14:paraId="5E6511A0" w14:textId="32647532" w:rsidR="001D3B4E" w:rsidRPr="004E5F45" w:rsidRDefault="001D3B4E" w:rsidP="002976A7">
      <w:pPr>
        <w:jc w:val="center"/>
        <w:rPr>
          <w:rFonts w:cs="Times New Roman"/>
          <w:b/>
          <w:i/>
          <w:sz w:val="32"/>
          <w:szCs w:val="32"/>
          <w:bdr w:val="none" w:sz="0" w:space="0" w:color="auto" w:frame="1"/>
        </w:rPr>
      </w:pPr>
      <w:r w:rsidRPr="004E5F45">
        <w:rPr>
          <w:rFonts w:cs="Times New Roman"/>
          <w:b/>
          <w:i/>
          <w:sz w:val="32"/>
          <w:szCs w:val="32"/>
          <w:bdr w:val="none" w:sz="0" w:space="0" w:color="auto" w:frame="1"/>
          <w:lang w:val="bg-BG"/>
        </w:rPr>
        <w:t>А</w:t>
      </w:r>
      <w:proofErr w:type="spellStart"/>
      <w:r w:rsidR="004E5F45" w:rsidRPr="004E5F45">
        <w:rPr>
          <w:rFonts w:cs="Times New Roman"/>
          <w:b/>
          <w:i/>
          <w:sz w:val="32"/>
          <w:szCs w:val="32"/>
          <w:bdr w:val="none" w:sz="0" w:space="0" w:color="auto" w:frame="1"/>
          <w:lang w:val="en-CA"/>
        </w:rPr>
        <w:t>ssignment</w:t>
      </w:r>
      <w:proofErr w:type="spellEnd"/>
      <w:r w:rsidRPr="004E5F45">
        <w:rPr>
          <w:rFonts w:cs="Times New Roman"/>
          <w:b/>
          <w:i/>
          <w:sz w:val="32"/>
          <w:szCs w:val="32"/>
          <w:bdr w:val="none" w:sz="0" w:space="0" w:color="auto" w:frame="1"/>
          <w:lang w:val="en-CA"/>
        </w:rPr>
        <w:t xml:space="preserve"> – A1</w:t>
      </w:r>
    </w:p>
    <w:p w14:paraId="2FDB9DC1" w14:textId="77777777" w:rsidR="002976A7" w:rsidRPr="00E31B36" w:rsidRDefault="002976A7" w:rsidP="002976A7">
      <w:pPr>
        <w:jc w:val="center"/>
        <w:rPr>
          <w:rFonts w:cs="Times New Roman"/>
          <w:b/>
          <w:i/>
          <w:szCs w:val="24"/>
          <w:bdr w:val="none" w:sz="0" w:space="0" w:color="auto" w:frame="1"/>
        </w:rPr>
      </w:pPr>
    </w:p>
    <w:p w14:paraId="173FC24B" w14:textId="77777777" w:rsidR="002976A7" w:rsidRPr="00E31B36" w:rsidRDefault="002976A7" w:rsidP="002976A7">
      <w:pPr>
        <w:jc w:val="center"/>
        <w:rPr>
          <w:rFonts w:cs="Times New Roman"/>
          <w:b/>
          <w:i/>
          <w:szCs w:val="24"/>
          <w:bdr w:val="none" w:sz="0" w:space="0" w:color="auto" w:frame="1"/>
        </w:rPr>
      </w:pPr>
    </w:p>
    <w:p w14:paraId="040D6E2C" w14:textId="77777777" w:rsidR="002976A7" w:rsidRPr="00E31B36" w:rsidRDefault="002976A7" w:rsidP="002976A7">
      <w:pPr>
        <w:jc w:val="center"/>
        <w:rPr>
          <w:rFonts w:cs="Times New Roman"/>
          <w:b/>
          <w:i/>
          <w:szCs w:val="24"/>
          <w:bdr w:val="none" w:sz="0" w:space="0" w:color="auto" w:frame="1"/>
        </w:rPr>
      </w:pPr>
    </w:p>
    <w:p w14:paraId="124846EF" w14:textId="77777777" w:rsidR="002976A7" w:rsidRPr="00E31B36" w:rsidRDefault="002976A7" w:rsidP="002976A7">
      <w:pPr>
        <w:jc w:val="center"/>
        <w:rPr>
          <w:rFonts w:cs="Times New Roman"/>
          <w:b/>
          <w:i/>
          <w:szCs w:val="24"/>
          <w:bdr w:val="none" w:sz="0" w:space="0" w:color="auto" w:frame="1"/>
        </w:rPr>
      </w:pPr>
    </w:p>
    <w:p w14:paraId="79D5F418" w14:textId="77777777" w:rsidR="002976A7" w:rsidRPr="00E31B36" w:rsidRDefault="002976A7" w:rsidP="002976A7">
      <w:pPr>
        <w:jc w:val="center"/>
        <w:rPr>
          <w:rFonts w:cs="Times New Roman"/>
          <w:b/>
          <w:i/>
          <w:szCs w:val="24"/>
          <w:bdr w:val="none" w:sz="0" w:space="0" w:color="auto" w:frame="1"/>
        </w:rPr>
      </w:pPr>
    </w:p>
    <w:p w14:paraId="2002428B" w14:textId="6FB2E7D5" w:rsidR="002976A7" w:rsidRPr="004E5F45" w:rsidRDefault="002976A7" w:rsidP="002976A7">
      <w:pPr>
        <w:jc w:val="center"/>
        <w:rPr>
          <w:rFonts w:cs="Times New Roman"/>
          <w:b/>
          <w:i/>
          <w:sz w:val="44"/>
          <w:szCs w:val="44"/>
          <w:bdr w:val="none" w:sz="0" w:space="0" w:color="auto" w:frame="1"/>
        </w:rPr>
      </w:pPr>
      <w:r w:rsidRPr="004E5F45">
        <w:rPr>
          <w:rFonts w:cs="Times New Roman"/>
          <w:b/>
          <w:i/>
          <w:sz w:val="44"/>
          <w:szCs w:val="44"/>
          <w:bdr w:val="none" w:sz="0" w:space="0" w:color="auto" w:frame="1"/>
        </w:rPr>
        <w:t>S</w:t>
      </w:r>
      <w:r w:rsidR="004E5F45" w:rsidRPr="004E5F45">
        <w:rPr>
          <w:rFonts w:cs="Times New Roman"/>
          <w:b/>
          <w:i/>
          <w:sz w:val="44"/>
          <w:szCs w:val="44"/>
          <w:bdr w:val="none" w:sz="0" w:space="0" w:color="auto" w:frame="1"/>
        </w:rPr>
        <w:t>vetoslav Stoianov</w:t>
      </w:r>
      <w:r w:rsidRPr="004E5F45">
        <w:rPr>
          <w:rFonts w:cs="Times New Roman"/>
          <w:b/>
          <w:i/>
          <w:sz w:val="44"/>
          <w:szCs w:val="44"/>
          <w:bdr w:val="none" w:sz="0" w:space="0" w:color="auto" w:frame="1"/>
        </w:rPr>
        <w:t xml:space="preserve"> </w:t>
      </w:r>
    </w:p>
    <w:p w14:paraId="11BF91DC" w14:textId="0282EABC" w:rsidR="002976A7" w:rsidRPr="004E5F45" w:rsidRDefault="004E5F45" w:rsidP="002976A7">
      <w:pPr>
        <w:jc w:val="center"/>
        <w:rPr>
          <w:rFonts w:cs="Times New Roman"/>
          <w:b/>
          <w:i/>
          <w:sz w:val="44"/>
          <w:szCs w:val="44"/>
          <w:bdr w:val="none" w:sz="0" w:space="0" w:color="auto" w:frame="1"/>
        </w:rPr>
      </w:pPr>
      <w:r w:rsidRPr="004E5F45">
        <w:rPr>
          <w:rFonts w:cs="Times New Roman"/>
          <w:b/>
          <w:i/>
          <w:sz w:val="44"/>
          <w:szCs w:val="44"/>
          <w:bdr w:val="none" w:sz="0" w:space="0" w:color="auto" w:frame="1"/>
        </w:rPr>
        <w:t xml:space="preserve">Student </w:t>
      </w:r>
      <w:r w:rsidR="002976A7" w:rsidRPr="004E5F45">
        <w:rPr>
          <w:rFonts w:cs="Times New Roman"/>
          <w:b/>
          <w:i/>
          <w:sz w:val="44"/>
          <w:szCs w:val="44"/>
          <w:bdr w:val="none" w:sz="0" w:space="0" w:color="auto" w:frame="1"/>
        </w:rPr>
        <w:t>ID</w:t>
      </w:r>
      <w:r w:rsidRPr="004E5F45">
        <w:rPr>
          <w:rFonts w:cs="Times New Roman"/>
          <w:b/>
          <w:i/>
          <w:sz w:val="44"/>
          <w:szCs w:val="44"/>
          <w:bdr w:val="none" w:sz="0" w:space="0" w:color="auto" w:frame="1"/>
        </w:rPr>
        <w:t>: 2023030</w:t>
      </w:r>
      <w:r w:rsidR="002976A7" w:rsidRPr="004E5F45">
        <w:rPr>
          <w:rFonts w:cs="Times New Roman"/>
          <w:b/>
          <w:i/>
          <w:sz w:val="44"/>
          <w:szCs w:val="44"/>
          <w:bdr w:val="none" w:sz="0" w:space="0" w:color="auto" w:frame="1"/>
        </w:rPr>
        <w:t xml:space="preserve"> </w:t>
      </w:r>
    </w:p>
    <w:p w14:paraId="503D1F33" w14:textId="3BCDD415" w:rsidR="002976A7" w:rsidRPr="00E31B36" w:rsidRDefault="002976A7">
      <w:pPr>
        <w:spacing w:line="259" w:lineRule="auto"/>
        <w:jc w:val="left"/>
        <w:rPr>
          <w:rFonts w:cs="Times New Roman"/>
          <w:b/>
          <w:i/>
          <w:szCs w:val="24"/>
          <w:bdr w:val="none" w:sz="0" w:space="0" w:color="auto" w:frame="1"/>
        </w:rPr>
      </w:pPr>
      <w:r w:rsidRPr="00E31B36">
        <w:rPr>
          <w:rFonts w:cs="Times New Roman"/>
          <w:b/>
          <w:i/>
          <w:szCs w:val="24"/>
          <w:bdr w:val="none" w:sz="0" w:space="0" w:color="auto" w:frame="1"/>
        </w:rPr>
        <w:br w:type="page"/>
      </w:r>
    </w:p>
    <w:p w14:paraId="624DF694" w14:textId="77777777" w:rsidR="002976A7" w:rsidRPr="00E31B36" w:rsidRDefault="002976A7" w:rsidP="002976A7">
      <w:pPr>
        <w:jc w:val="center"/>
        <w:rPr>
          <w:rFonts w:cs="Times New Roman"/>
          <w:b/>
          <w:i/>
          <w:szCs w:val="24"/>
          <w:bdr w:val="none" w:sz="0" w:space="0" w:color="auto" w:frame="1"/>
        </w:rPr>
      </w:pPr>
    </w:p>
    <w:p w14:paraId="53A4792C" w14:textId="429A233B" w:rsidR="00E44F11" w:rsidRPr="00E31B36" w:rsidRDefault="00E31B36" w:rsidP="002976A7">
      <w:pPr>
        <w:pStyle w:val="Heading1"/>
        <w:rPr>
          <w:rFonts w:ascii="Times New Roman" w:hAnsi="Times New Roman" w:cs="Times New Roman"/>
          <w:sz w:val="24"/>
          <w:szCs w:val="24"/>
          <w:bdr w:val="none" w:sz="0" w:space="0" w:color="auto" w:frame="1"/>
        </w:rPr>
      </w:pPr>
      <w:r>
        <w:rPr>
          <w:rFonts w:ascii="Times New Roman" w:hAnsi="Times New Roman" w:cs="Times New Roman"/>
          <w:sz w:val="24"/>
          <w:szCs w:val="24"/>
          <w:bdr w:val="none" w:sz="0" w:space="0" w:color="auto" w:frame="1"/>
        </w:rPr>
        <w:t>Q #</w:t>
      </w:r>
      <w:r w:rsidR="005C082E" w:rsidRPr="00E31B36">
        <w:rPr>
          <w:rFonts w:ascii="Times New Roman" w:hAnsi="Times New Roman" w:cs="Times New Roman"/>
          <w:sz w:val="24"/>
          <w:szCs w:val="24"/>
          <w:bdr w:val="none" w:sz="0" w:space="0" w:color="auto" w:frame="1"/>
        </w:rPr>
        <w:t xml:space="preserve"> 1 </w:t>
      </w:r>
    </w:p>
    <w:p w14:paraId="67C972A9" w14:textId="77777777" w:rsidR="00E44F11" w:rsidRPr="00E31B36" w:rsidRDefault="00E44F11" w:rsidP="00E44F11">
      <w:pPr>
        <w:pStyle w:val="Heading2"/>
        <w:rPr>
          <w:rFonts w:ascii="Times New Roman" w:hAnsi="Times New Roman" w:cs="Times New Roman"/>
          <w:sz w:val="24"/>
          <w:szCs w:val="24"/>
        </w:rPr>
      </w:pPr>
      <w:r w:rsidRPr="00E31B36">
        <w:rPr>
          <w:rFonts w:ascii="Times New Roman" w:hAnsi="Times New Roman" w:cs="Times New Roman"/>
          <w:sz w:val="24"/>
          <w:szCs w:val="24"/>
        </w:rPr>
        <w:t xml:space="preserve">a) Prepare a Profit and Loss statement for the year ended 31st December 2020 for </w:t>
      </w:r>
      <w:proofErr w:type="spellStart"/>
      <w:r w:rsidRPr="00E31B36">
        <w:rPr>
          <w:rFonts w:ascii="Times New Roman" w:hAnsi="Times New Roman" w:cs="Times New Roman"/>
          <w:sz w:val="24"/>
          <w:szCs w:val="24"/>
        </w:rPr>
        <w:t>Kedison</w:t>
      </w:r>
      <w:proofErr w:type="spellEnd"/>
      <w:r w:rsidRPr="00E31B36">
        <w:rPr>
          <w:rFonts w:ascii="Times New Roman" w:hAnsi="Times New Roman" w:cs="Times New Roman"/>
          <w:sz w:val="24"/>
          <w:szCs w:val="24"/>
        </w:rPr>
        <w:t xml:space="preserve"> PLC and a statement of financial position as at that date. </w:t>
      </w:r>
    </w:p>
    <w:p w14:paraId="6E6096F9" w14:textId="0770EDD6" w:rsidR="00E44F11" w:rsidRPr="00E31B36" w:rsidRDefault="00E31B36" w:rsidP="00532667">
      <w:pPr>
        <w:rPr>
          <w:rFonts w:cs="Times New Roman"/>
          <w:szCs w:val="24"/>
        </w:rPr>
      </w:pPr>
      <w:r w:rsidRPr="00E31B36">
        <w:rPr>
          <w:rFonts w:cs="Times New Roman"/>
          <w:noProof/>
          <w:szCs w:val="24"/>
        </w:rPr>
        <w:drawing>
          <wp:inline distT="0" distB="0" distL="0" distR="0" wp14:anchorId="339F8E55" wp14:editId="481FCFBA">
            <wp:extent cx="5935980" cy="629412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35980" cy="6294120"/>
                    </a:xfrm>
                    <a:prstGeom prst="rect">
                      <a:avLst/>
                    </a:prstGeom>
                    <a:noFill/>
                    <a:ln>
                      <a:noFill/>
                    </a:ln>
                  </pic:spPr>
                </pic:pic>
              </a:graphicData>
            </a:graphic>
          </wp:inline>
        </w:drawing>
      </w:r>
    </w:p>
    <w:p w14:paraId="4A51C424" w14:textId="77777777" w:rsidR="002976A7" w:rsidRPr="00E31B36" w:rsidRDefault="002976A7" w:rsidP="00532667">
      <w:pPr>
        <w:rPr>
          <w:rFonts w:cs="Times New Roman"/>
          <w:szCs w:val="24"/>
        </w:rPr>
      </w:pPr>
    </w:p>
    <w:p w14:paraId="3DDE697A" w14:textId="77777777" w:rsidR="002976A7" w:rsidRPr="00E31B36" w:rsidRDefault="002976A7" w:rsidP="00532667">
      <w:pPr>
        <w:rPr>
          <w:rFonts w:cs="Times New Roman"/>
          <w:szCs w:val="24"/>
        </w:rPr>
      </w:pPr>
    </w:p>
    <w:p w14:paraId="31C1B9B1" w14:textId="2C97F1A5" w:rsidR="00E44F11" w:rsidRPr="00E31B36" w:rsidRDefault="00E31B36" w:rsidP="00E44F11">
      <w:pPr>
        <w:pStyle w:val="Default"/>
        <w:rPr>
          <w:rFonts w:ascii="Times New Roman" w:hAnsi="Times New Roman" w:cs="Times New Roman"/>
        </w:rPr>
      </w:pPr>
      <w:r w:rsidRPr="00E31B36">
        <w:rPr>
          <w:rFonts w:ascii="Times New Roman" w:hAnsi="Times New Roman" w:cs="Times New Roman"/>
          <w:noProof/>
        </w:rPr>
        <w:drawing>
          <wp:inline distT="0" distB="0" distL="0" distR="0" wp14:anchorId="31218670" wp14:editId="535CDD05">
            <wp:extent cx="5935980" cy="4671060"/>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35980" cy="4671060"/>
                    </a:xfrm>
                    <a:prstGeom prst="rect">
                      <a:avLst/>
                    </a:prstGeom>
                    <a:noFill/>
                    <a:ln>
                      <a:noFill/>
                    </a:ln>
                  </pic:spPr>
                </pic:pic>
              </a:graphicData>
            </a:graphic>
          </wp:inline>
        </w:drawing>
      </w:r>
    </w:p>
    <w:p w14:paraId="3ED05F1A" w14:textId="4BD8B41F" w:rsidR="00E44F11" w:rsidRPr="00E31B36" w:rsidRDefault="00E44F11" w:rsidP="002976A7">
      <w:pPr>
        <w:pStyle w:val="Heading2"/>
        <w:rPr>
          <w:rFonts w:ascii="Times New Roman" w:hAnsi="Times New Roman" w:cs="Times New Roman"/>
          <w:sz w:val="24"/>
          <w:szCs w:val="24"/>
        </w:rPr>
      </w:pPr>
      <w:r w:rsidRPr="00E31B36">
        <w:rPr>
          <w:rFonts w:ascii="Times New Roman" w:hAnsi="Times New Roman" w:cs="Times New Roman"/>
          <w:sz w:val="24"/>
          <w:szCs w:val="24"/>
        </w:rPr>
        <w:t xml:space="preserve">b) Why does the statement of financial position balance? </w:t>
      </w:r>
    </w:p>
    <w:p w14:paraId="56CCB8C0" w14:textId="77777777" w:rsidR="005C082E" w:rsidRPr="00E31B36" w:rsidRDefault="005C082E" w:rsidP="005C082E">
      <w:pPr>
        <w:rPr>
          <w:rFonts w:cs="Times New Roman"/>
          <w:szCs w:val="24"/>
          <w:bdr w:val="none" w:sz="0" w:space="0" w:color="auto" w:frame="1"/>
        </w:rPr>
      </w:pPr>
      <w:r w:rsidRPr="00E31B36">
        <w:rPr>
          <w:rFonts w:cs="Times New Roman"/>
          <w:szCs w:val="24"/>
          <w:bdr w:val="none" w:sz="0" w:space="0" w:color="auto" w:frame="1"/>
        </w:rPr>
        <w:t>Assets are considered s those economic sources of an organization that are owning by company or they would be retained in future. Assets are accounted for in balance sheet of an organization. In contrast to it, liabilities are those payment that need to be paid by company and these may include debt, salaries, payables, and taxes. Capital and retain earnings of company are indicated in section of shareholders' equity in balance sheet. Basic formula that is used in preparing balance sheet of an organization that value of total shareholders' equity and liabilities must be equal to value of total assets of company (Song et al., 2019).</w:t>
      </w:r>
    </w:p>
    <w:p w14:paraId="06D876B2" w14:textId="77777777" w:rsidR="005C082E" w:rsidRPr="00E31B36" w:rsidRDefault="005C082E" w:rsidP="005C082E">
      <w:pPr>
        <w:rPr>
          <w:rFonts w:cs="Times New Roman"/>
          <w:szCs w:val="24"/>
          <w:bdr w:val="none" w:sz="0" w:space="0" w:color="auto" w:frame="1"/>
        </w:rPr>
      </w:pPr>
      <w:r w:rsidRPr="00E31B36">
        <w:rPr>
          <w:rFonts w:cs="Times New Roman"/>
          <w:szCs w:val="24"/>
          <w:bdr w:val="none" w:sz="0" w:space="0" w:color="auto" w:frame="1"/>
        </w:rPr>
        <w:t xml:space="preserve">The accounting principle of double entry is considered as basic principle-based n which balance sheet is prepared. Th8si principle is based on recording of all kinds of transaction that have occurred in accounting period. In this way consistency of relative entities is ensured by checking them in balance sheet. </w:t>
      </w:r>
    </w:p>
    <w:p w14:paraId="394E2F14" w14:textId="77777777" w:rsidR="005C082E" w:rsidRPr="00E31B36" w:rsidRDefault="005C082E" w:rsidP="005C082E">
      <w:pPr>
        <w:rPr>
          <w:rFonts w:cs="Times New Roman"/>
          <w:szCs w:val="24"/>
          <w:bdr w:val="none" w:sz="0" w:space="0" w:color="auto" w:frame="1"/>
        </w:rPr>
      </w:pPr>
      <w:r w:rsidRPr="00E31B36">
        <w:rPr>
          <w:rFonts w:cs="Times New Roman"/>
          <w:szCs w:val="24"/>
          <w:bdr w:val="none" w:sz="0" w:space="0" w:color="auto" w:frame="1"/>
        </w:rPr>
        <w:lastRenderedPageBreak/>
        <w:t>There are two entries that are made in preparing balance sheet. One is credit and other is debit entry. This means that two sides are affected by every transaction in business. Based on this an accounting equation is drawn that is given below:</w:t>
      </w:r>
    </w:p>
    <w:p w14:paraId="0770F6C0" w14:textId="77777777" w:rsidR="005C082E" w:rsidRPr="00E31B36" w:rsidRDefault="005C082E" w:rsidP="005C082E">
      <w:pPr>
        <w:rPr>
          <w:rFonts w:cs="Times New Roman"/>
          <w:szCs w:val="24"/>
          <w:bdr w:val="none" w:sz="0" w:space="0" w:color="auto" w:frame="1"/>
        </w:rPr>
      </w:pPr>
      <w:r w:rsidRPr="00E31B36">
        <w:rPr>
          <w:rFonts w:cs="Times New Roman"/>
          <w:szCs w:val="24"/>
          <w:bdr w:val="none" w:sz="0" w:space="0" w:color="auto" w:frame="1"/>
        </w:rPr>
        <w:t>Assets of company= Liabilities of company</w:t>
      </w:r>
    </w:p>
    <w:p w14:paraId="13B6C71F" w14:textId="77777777" w:rsidR="005C082E" w:rsidRPr="00E31B36" w:rsidRDefault="005C082E" w:rsidP="005C082E">
      <w:pPr>
        <w:rPr>
          <w:rFonts w:cs="Times New Roman"/>
          <w:szCs w:val="24"/>
          <w:bdr w:val="none" w:sz="0" w:space="0" w:color="auto" w:frame="1"/>
        </w:rPr>
      </w:pPr>
      <w:r w:rsidRPr="00E31B36">
        <w:rPr>
          <w:rFonts w:cs="Times New Roman"/>
          <w:szCs w:val="24"/>
          <w:bdr w:val="none" w:sz="0" w:space="0" w:color="auto" w:frame="1"/>
        </w:rPr>
        <w:t>Fixed Assets of company + Current Assets of company = Owner's Equity of company + Liabilities of company</w:t>
      </w:r>
    </w:p>
    <w:p w14:paraId="6601998C" w14:textId="77777777" w:rsidR="005C082E" w:rsidRPr="00E31B36" w:rsidRDefault="005C082E" w:rsidP="005C082E">
      <w:pPr>
        <w:rPr>
          <w:rFonts w:cs="Times New Roman"/>
          <w:szCs w:val="24"/>
          <w:bdr w:val="none" w:sz="0" w:space="0" w:color="auto" w:frame="1"/>
        </w:rPr>
      </w:pPr>
      <w:r w:rsidRPr="00E31B36">
        <w:rPr>
          <w:rFonts w:cs="Times New Roman"/>
          <w:szCs w:val="24"/>
          <w:bdr w:val="none" w:sz="0" w:space="0" w:color="auto" w:frame="1"/>
        </w:rPr>
        <w:t>Fixed Assets of company + Current Assets of company = Capital of company + Reserves &amp; Surplus of company + Long Term &amp; Short-term liabilities of company</w:t>
      </w:r>
    </w:p>
    <w:p w14:paraId="666C6CEB" w14:textId="77777777" w:rsidR="005C082E" w:rsidRPr="00E31B36" w:rsidRDefault="005C082E" w:rsidP="005C082E">
      <w:pPr>
        <w:rPr>
          <w:rFonts w:cs="Times New Roman"/>
          <w:szCs w:val="24"/>
          <w:bdr w:val="none" w:sz="0" w:space="0" w:color="auto" w:frame="1"/>
        </w:rPr>
      </w:pPr>
      <w:r w:rsidRPr="00E31B36">
        <w:rPr>
          <w:rFonts w:cs="Times New Roman"/>
          <w:szCs w:val="24"/>
          <w:bdr w:val="none" w:sz="0" w:space="0" w:color="auto" w:frame="1"/>
        </w:rPr>
        <w:t xml:space="preserve">Therefore </w:t>
      </w:r>
    </w:p>
    <w:p w14:paraId="689B6423" w14:textId="77777777" w:rsidR="005C082E" w:rsidRPr="00E31B36" w:rsidRDefault="005C082E" w:rsidP="005C082E">
      <w:pPr>
        <w:rPr>
          <w:rFonts w:cs="Times New Roman"/>
          <w:szCs w:val="24"/>
          <w:bdr w:val="none" w:sz="0" w:space="0" w:color="auto" w:frame="1"/>
        </w:rPr>
      </w:pPr>
      <w:r w:rsidRPr="00E31B36">
        <w:rPr>
          <w:rFonts w:cs="Times New Roman"/>
          <w:szCs w:val="24"/>
          <w:bdr w:val="none" w:sz="0" w:space="0" w:color="auto" w:frame="1"/>
        </w:rPr>
        <w:t>Assets of company =Liabilities of company + Capital of company (Porter and Norton, 2017).</w:t>
      </w:r>
    </w:p>
    <w:p w14:paraId="2C5D7AB8" w14:textId="77777777" w:rsidR="005C082E" w:rsidRPr="00E31B36" w:rsidRDefault="005C082E" w:rsidP="005C082E">
      <w:pPr>
        <w:rPr>
          <w:rFonts w:cs="Times New Roman"/>
          <w:b/>
          <w:bCs/>
          <w:szCs w:val="24"/>
          <w:bdr w:val="none" w:sz="0" w:space="0" w:color="auto" w:frame="1"/>
        </w:rPr>
      </w:pPr>
      <w:r w:rsidRPr="00E31B36">
        <w:rPr>
          <w:rFonts w:cs="Times New Roman"/>
          <w:b/>
          <w:bCs/>
          <w:szCs w:val="24"/>
          <w:bdr w:val="none" w:sz="0" w:space="0" w:color="auto" w:frame="1"/>
        </w:rPr>
        <w:t>Left Side Vs Right Side</w:t>
      </w:r>
    </w:p>
    <w:p w14:paraId="19399CD1" w14:textId="77777777" w:rsidR="005C082E" w:rsidRPr="00E31B36" w:rsidRDefault="005C082E" w:rsidP="005C082E">
      <w:pPr>
        <w:rPr>
          <w:rFonts w:cs="Times New Roman"/>
          <w:szCs w:val="24"/>
          <w:bdr w:val="none" w:sz="0" w:space="0" w:color="auto" w:frame="1"/>
        </w:rPr>
      </w:pPr>
      <w:r w:rsidRPr="00E31B36">
        <w:rPr>
          <w:rFonts w:cs="Times New Roman"/>
          <w:szCs w:val="24"/>
          <w:bdr w:val="none" w:sz="0" w:space="0" w:color="auto" w:frame="1"/>
        </w:rPr>
        <w:t xml:space="preserve">Left side of the accounting equation shows total assets of an organization. This side is based on including those assets that are owning by the company and these may include machinery, machinery, land, inventory, and cash etc. Owners and creditors provide funds to the company based on which assets are acquired by company. </w:t>
      </w:r>
    </w:p>
    <w:p w14:paraId="5241CBB3" w14:textId="77777777" w:rsidR="005C082E" w:rsidRDefault="005C082E" w:rsidP="005C082E">
      <w:pPr>
        <w:rPr>
          <w:rFonts w:cs="Times New Roman"/>
          <w:szCs w:val="24"/>
          <w:bdr w:val="none" w:sz="0" w:space="0" w:color="auto" w:frame="1"/>
        </w:rPr>
      </w:pPr>
      <w:r w:rsidRPr="00E31B36">
        <w:rPr>
          <w:rFonts w:cs="Times New Roman"/>
          <w:szCs w:val="24"/>
          <w:bdr w:val="none" w:sz="0" w:space="0" w:color="auto" w:frame="1"/>
        </w:rPr>
        <w:t xml:space="preserve">Aspects paid for assets is indicated by right side of equation. Liabilities are those aspects that would be paid by the company such as creditors have paid loan that comes in balance sheet as liabilities. Equity in this section is amount of finance that has provided by company’s owners. The total funds that </w:t>
      </w:r>
      <w:proofErr w:type="gramStart"/>
      <w:r w:rsidRPr="00E31B36">
        <w:rPr>
          <w:rFonts w:cs="Times New Roman"/>
          <w:szCs w:val="24"/>
          <w:bdr w:val="none" w:sz="0" w:space="0" w:color="auto" w:frame="1"/>
        </w:rPr>
        <w:t>was</w:t>
      </w:r>
      <w:proofErr w:type="gramEnd"/>
      <w:r w:rsidRPr="00E31B36">
        <w:rPr>
          <w:rFonts w:cs="Times New Roman"/>
          <w:szCs w:val="24"/>
          <w:bdr w:val="none" w:sz="0" w:space="0" w:color="auto" w:frame="1"/>
        </w:rPr>
        <w:t xml:space="preserve"> obtained by company is represented by sum of Equity and liability. Changes in elements of balance sheet could be made but at end both sides should be matched. This show change in one is resulted into change in other (</w:t>
      </w:r>
      <w:proofErr w:type="spellStart"/>
      <w:r w:rsidRPr="00E31B36">
        <w:rPr>
          <w:rFonts w:cs="Times New Roman"/>
          <w:szCs w:val="24"/>
          <w:bdr w:val="none" w:sz="0" w:space="0" w:color="auto" w:frame="1"/>
        </w:rPr>
        <w:t>Faccia</w:t>
      </w:r>
      <w:proofErr w:type="spellEnd"/>
      <w:r w:rsidRPr="00E31B36">
        <w:rPr>
          <w:rFonts w:cs="Times New Roman"/>
          <w:szCs w:val="24"/>
          <w:bdr w:val="none" w:sz="0" w:space="0" w:color="auto" w:frame="1"/>
        </w:rPr>
        <w:t xml:space="preserve"> and Mosco, 2019).</w:t>
      </w:r>
    </w:p>
    <w:p w14:paraId="7C17CEDE" w14:textId="77777777" w:rsidR="00E31B36" w:rsidRDefault="00E31B36" w:rsidP="005C082E">
      <w:pPr>
        <w:rPr>
          <w:rFonts w:cs="Times New Roman"/>
          <w:szCs w:val="24"/>
          <w:bdr w:val="none" w:sz="0" w:space="0" w:color="auto" w:frame="1"/>
        </w:rPr>
      </w:pPr>
    </w:p>
    <w:p w14:paraId="386806D8" w14:textId="77777777" w:rsidR="00E31B36" w:rsidRPr="00E31B36" w:rsidRDefault="00E31B36" w:rsidP="005C082E">
      <w:pPr>
        <w:rPr>
          <w:rFonts w:cs="Times New Roman"/>
          <w:szCs w:val="24"/>
          <w:bdr w:val="none" w:sz="0" w:space="0" w:color="auto" w:frame="1"/>
        </w:rPr>
      </w:pPr>
    </w:p>
    <w:p w14:paraId="413080B2" w14:textId="77777777" w:rsidR="005C082E" w:rsidRPr="00E31B36" w:rsidRDefault="005C082E" w:rsidP="005C082E">
      <w:pPr>
        <w:rPr>
          <w:rFonts w:cs="Times New Roman"/>
          <w:szCs w:val="24"/>
          <w:bdr w:val="none" w:sz="0" w:space="0" w:color="auto" w:frame="1"/>
        </w:rPr>
      </w:pPr>
    </w:p>
    <w:p w14:paraId="5DE7D63D" w14:textId="77777777" w:rsidR="005C082E" w:rsidRPr="00E31B36" w:rsidRDefault="005C082E" w:rsidP="005C082E">
      <w:pPr>
        <w:rPr>
          <w:rFonts w:cs="Times New Roman"/>
          <w:szCs w:val="24"/>
          <w:bdr w:val="none" w:sz="0" w:space="0" w:color="auto" w:frame="1"/>
        </w:rPr>
      </w:pPr>
    </w:p>
    <w:p w14:paraId="3B6E039A" w14:textId="05C644EB" w:rsidR="00BE11AA" w:rsidRPr="00E31B36" w:rsidRDefault="00BE11AA" w:rsidP="00BE11AA">
      <w:pPr>
        <w:pStyle w:val="Heading1"/>
        <w:rPr>
          <w:rFonts w:ascii="Times New Roman" w:eastAsia="Times New Roman" w:hAnsi="Times New Roman" w:cs="Times New Roman"/>
          <w:sz w:val="24"/>
          <w:szCs w:val="24"/>
          <w:bdr w:val="none" w:sz="0" w:space="0" w:color="auto" w:frame="1"/>
        </w:rPr>
      </w:pPr>
      <w:r w:rsidRPr="00E31B36">
        <w:rPr>
          <w:rFonts w:ascii="Times New Roman" w:eastAsia="Times New Roman" w:hAnsi="Times New Roman" w:cs="Times New Roman"/>
          <w:sz w:val="24"/>
          <w:szCs w:val="24"/>
          <w:bdr w:val="none" w:sz="0" w:space="0" w:color="auto" w:frame="1"/>
        </w:rPr>
        <w:lastRenderedPageBreak/>
        <w:t>Q</w:t>
      </w:r>
      <w:r w:rsidR="00E31B36" w:rsidRPr="00E31B36">
        <w:rPr>
          <w:rFonts w:ascii="Times New Roman" w:eastAsia="Times New Roman" w:hAnsi="Times New Roman" w:cs="Times New Roman"/>
          <w:sz w:val="24"/>
          <w:szCs w:val="24"/>
          <w:bdr w:val="none" w:sz="0" w:space="0" w:color="auto" w:frame="1"/>
        </w:rPr>
        <w:t xml:space="preserve"> #</w:t>
      </w:r>
      <w:r w:rsidRPr="00E31B36">
        <w:rPr>
          <w:rFonts w:ascii="Times New Roman" w:eastAsia="Times New Roman" w:hAnsi="Times New Roman" w:cs="Times New Roman"/>
          <w:sz w:val="24"/>
          <w:szCs w:val="24"/>
          <w:bdr w:val="none" w:sz="0" w:space="0" w:color="auto" w:frame="1"/>
        </w:rPr>
        <w:t xml:space="preserve"> 2 </w:t>
      </w:r>
    </w:p>
    <w:p w14:paraId="07451244" w14:textId="77777777" w:rsidR="00E44F11" w:rsidRPr="00E31B36" w:rsidRDefault="00E44F11" w:rsidP="00E44F11">
      <w:pPr>
        <w:autoSpaceDE w:val="0"/>
        <w:autoSpaceDN w:val="0"/>
        <w:adjustRightInd w:val="0"/>
        <w:spacing w:after="0" w:line="240" w:lineRule="auto"/>
        <w:rPr>
          <w:rFonts w:cs="Times New Roman"/>
          <w:color w:val="000000"/>
          <w:szCs w:val="24"/>
        </w:rPr>
      </w:pPr>
    </w:p>
    <w:p w14:paraId="3640A9E4" w14:textId="1529B52A" w:rsidR="00E44F11" w:rsidRPr="00E31B36" w:rsidRDefault="00E44F11" w:rsidP="00E44F11">
      <w:pPr>
        <w:pStyle w:val="Heading2"/>
        <w:numPr>
          <w:ilvl w:val="0"/>
          <w:numId w:val="5"/>
        </w:numPr>
        <w:rPr>
          <w:rFonts w:ascii="Times New Roman" w:hAnsi="Times New Roman" w:cs="Times New Roman"/>
          <w:sz w:val="24"/>
          <w:szCs w:val="24"/>
        </w:rPr>
      </w:pPr>
      <w:r w:rsidRPr="00E31B36">
        <w:rPr>
          <w:rFonts w:ascii="Times New Roman" w:hAnsi="Times New Roman" w:cs="Times New Roman"/>
          <w:sz w:val="24"/>
          <w:szCs w:val="24"/>
        </w:rPr>
        <w:t xml:space="preserve">Calculate the following ratios for </w:t>
      </w:r>
      <w:proofErr w:type="spellStart"/>
      <w:r w:rsidRPr="00E31B36">
        <w:rPr>
          <w:rFonts w:ascii="Times New Roman" w:hAnsi="Times New Roman" w:cs="Times New Roman"/>
          <w:sz w:val="24"/>
          <w:szCs w:val="24"/>
        </w:rPr>
        <w:t>Chocco</w:t>
      </w:r>
      <w:proofErr w:type="spellEnd"/>
      <w:r w:rsidRPr="00E31B36">
        <w:rPr>
          <w:rFonts w:ascii="Times New Roman" w:hAnsi="Times New Roman" w:cs="Times New Roman"/>
          <w:sz w:val="24"/>
          <w:szCs w:val="24"/>
        </w:rPr>
        <w:t xml:space="preserve"> plc for 2020 and 2019, showing the formulas and workings </w:t>
      </w:r>
    </w:p>
    <w:p w14:paraId="068D03E4" w14:textId="77777777" w:rsidR="009603B9" w:rsidRPr="00E31B36" w:rsidRDefault="009603B9" w:rsidP="00E44F11">
      <w:pPr>
        <w:pStyle w:val="Heading3"/>
        <w:numPr>
          <w:ilvl w:val="0"/>
          <w:numId w:val="9"/>
        </w:numPr>
        <w:rPr>
          <w:rFonts w:ascii="Times New Roman" w:hAnsi="Times New Roman" w:cs="Times New Roman"/>
        </w:rPr>
      </w:pPr>
      <w:r w:rsidRPr="00E31B36">
        <w:rPr>
          <w:rFonts w:ascii="Times New Roman" w:hAnsi="Times New Roman" w:cs="Times New Roman"/>
        </w:rPr>
        <w:t>Return on Capital Employed (ROCE</w:t>
      </w:r>
      <w:proofErr w:type="gramStart"/>
      <w:r w:rsidRPr="00E31B36">
        <w:rPr>
          <w:rFonts w:ascii="Times New Roman" w:hAnsi="Times New Roman" w:cs="Times New Roman"/>
        </w:rPr>
        <w:t>):-</w:t>
      </w:r>
      <w:proofErr w:type="gramEnd"/>
    </w:p>
    <w:p w14:paraId="6ABFBD00" w14:textId="70CD3920" w:rsidR="009603B9" w:rsidRPr="00E31B36" w:rsidRDefault="007C1E51" w:rsidP="00BE11AA">
      <w:pPr>
        <w:rPr>
          <w:rFonts w:cs="Times New Roman"/>
          <w:szCs w:val="24"/>
        </w:rPr>
      </w:pPr>
      <w:r w:rsidRPr="00E31B36">
        <w:rPr>
          <w:rFonts w:cs="Times New Roman"/>
          <w:szCs w:val="24"/>
        </w:rPr>
        <w:t>Capital efficiency and profitability are two important aspects that are measured and assessed based on using a financial ratio known as ROCE (Return on capital employed). So, capability of generating profits from using capital is measured and understood by looking at this ratio (</w:t>
      </w:r>
      <w:proofErr w:type="spellStart"/>
      <w:r w:rsidRPr="00E31B36">
        <w:rPr>
          <w:rFonts w:cs="Times New Roman"/>
          <w:color w:val="222222"/>
          <w:szCs w:val="24"/>
          <w:shd w:val="clear" w:color="auto" w:fill="FFFFFF"/>
        </w:rPr>
        <w:t>Lisek</w:t>
      </w:r>
      <w:proofErr w:type="spellEnd"/>
      <w:r w:rsidRPr="00E31B36">
        <w:rPr>
          <w:rFonts w:cs="Times New Roman"/>
          <w:color w:val="222222"/>
          <w:szCs w:val="24"/>
          <w:shd w:val="clear" w:color="auto" w:fill="FFFFFF"/>
        </w:rPr>
        <w:t xml:space="preserve">, </w:t>
      </w:r>
      <w:proofErr w:type="spellStart"/>
      <w:r w:rsidRPr="00E31B36">
        <w:rPr>
          <w:rFonts w:cs="Times New Roman"/>
          <w:color w:val="222222"/>
          <w:szCs w:val="24"/>
          <w:shd w:val="clear" w:color="auto" w:fill="FFFFFF"/>
        </w:rPr>
        <w:t>Luty</w:t>
      </w:r>
      <w:proofErr w:type="spellEnd"/>
      <w:r w:rsidRPr="00E31B36">
        <w:rPr>
          <w:rFonts w:cs="Times New Roman"/>
          <w:color w:val="222222"/>
          <w:szCs w:val="24"/>
          <w:shd w:val="clear" w:color="auto" w:fill="FFFFFF"/>
        </w:rPr>
        <w:t xml:space="preserve"> and </w:t>
      </w:r>
      <w:proofErr w:type="spellStart"/>
      <w:r w:rsidRPr="00E31B36">
        <w:rPr>
          <w:rFonts w:cs="Times New Roman"/>
          <w:color w:val="222222"/>
          <w:szCs w:val="24"/>
          <w:shd w:val="clear" w:color="auto" w:fill="FFFFFF"/>
        </w:rPr>
        <w:t>Zioło</w:t>
      </w:r>
      <w:proofErr w:type="spellEnd"/>
      <w:r w:rsidRPr="00E31B36">
        <w:rPr>
          <w:rFonts w:cs="Times New Roman"/>
          <w:color w:val="222222"/>
          <w:szCs w:val="24"/>
          <w:shd w:val="clear" w:color="auto" w:fill="FFFFFF"/>
        </w:rPr>
        <w:t>, 2020).</w:t>
      </w:r>
    </w:p>
    <w:p w14:paraId="074158C9" w14:textId="46EE44C1" w:rsidR="007C1E51" w:rsidRPr="00E31B36" w:rsidRDefault="00E31B36" w:rsidP="005C082E">
      <w:pPr>
        <w:rPr>
          <w:rFonts w:cs="Times New Roman"/>
          <w:szCs w:val="24"/>
          <w:bdr w:val="none" w:sz="0" w:space="0" w:color="auto" w:frame="1"/>
        </w:rPr>
      </w:pPr>
      <w:r w:rsidRPr="00E31B36">
        <w:rPr>
          <w:rFonts w:cs="Times New Roman"/>
          <w:noProof/>
          <w:szCs w:val="24"/>
          <w:bdr w:val="none" w:sz="0" w:space="0" w:color="auto" w:frame="1"/>
        </w:rPr>
        <w:drawing>
          <wp:inline distT="0" distB="0" distL="0" distR="0" wp14:anchorId="16E472DD" wp14:editId="4BB3AC85">
            <wp:extent cx="5935980" cy="1706880"/>
            <wp:effectExtent l="0" t="0" r="762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35980" cy="1706880"/>
                    </a:xfrm>
                    <a:prstGeom prst="rect">
                      <a:avLst/>
                    </a:prstGeom>
                    <a:noFill/>
                    <a:ln>
                      <a:noFill/>
                    </a:ln>
                  </pic:spPr>
                </pic:pic>
              </a:graphicData>
            </a:graphic>
          </wp:inline>
        </w:drawing>
      </w:r>
    </w:p>
    <w:p w14:paraId="6E7EEC07" w14:textId="0AE7DB5E" w:rsidR="007C1E51" w:rsidRPr="00E31B36" w:rsidRDefault="007C1E51" w:rsidP="007C1E51">
      <w:pPr>
        <w:rPr>
          <w:rFonts w:cs="Times New Roman"/>
          <w:szCs w:val="24"/>
        </w:rPr>
      </w:pPr>
      <w:r w:rsidRPr="00E31B36">
        <w:rPr>
          <w:rFonts w:cs="Times New Roman"/>
          <w:szCs w:val="24"/>
        </w:rPr>
        <w:t>Return on capital employed showing in table given above is indicating that performance was better in year 2020 because ROCE was 11.709% but in year 2019 it was 10.226%. This result is indicating that management has showed better control in term of using capital and resources were used by management effectively.</w:t>
      </w:r>
    </w:p>
    <w:p w14:paraId="72D48EFE" w14:textId="05670B15" w:rsidR="009603B9" w:rsidRPr="00E31B36" w:rsidRDefault="009603B9" w:rsidP="00E44F11">
      <w:pPr>
        <w:pStyle w:val="Heading3"/>
        <w:numPr>
          <w:ilvl w:val="0"/>
          <w:numId w:val="9"/>
        </w:numPr>
        <w:rPr>
          <w:rFonts w:ascii="Times New Roman" w:hAnsi="Times New Roman" w:cs="Times New Roman"/>
        </w:rPr>
      </w:pPr>
      <w:r w:rsidRPr="00E31B36">
        <w:rPr>
          <w:rFonts w:ascii="Times New Roman" w:hAnsi="Times New Roman" w:cs="Times New Roman"/>
        </w:rPr>
        <w:t>Return on Equity (ROE</w:t>
      </w:r>
      <w:proofErr w:type="gramStart"/>
      <w:r w:rsidRPr="00E31B36">
        <w:rPr>
          <w:rFonts w:ascii="Times New Roman" w:hAnsi="Times New Roman" w:cs="Times New Roman"/>
        </w:rPr>
        <w:t>):-</w:t>
      </w:r>
      <w:proofErr w:type="gramEnd"/>
    </w:p>
    <w:p w14:paraId="5F7E9F35" w14:textId="2A900FCE" w:rsidR="009603B9" w:rsidRPr="00E31B36" w:rsidRDefault="007C1E51" w:rsidP="00BE11AA">
      <w:pPr>
        <w:rPr>
          <w:rFonts w:cs="Times New Roman"/>
          <w:szCs w:val="24"/>
        </w:rPr>
      </w:pPr>
      <w:r w:rsidRPr="00E31B36">
        <w:rPr>
          <w:rFonts w:cs="Times New Roman"/>
          <w:szCs w:val="24"/>
        </w:rPr>
        <w:t>Financial performance of an organization is measured based on using this important ratio and calculation of ROE is based on division of net income of company by shareholder equity. ROE is considered as return on asset of an organization because of reason that assets minus debt is resulted into shareholders' equity. Profitability of an organization is measured by ROE in perspective of stockholders’ equity</w:t>
      </w:r>
      <w:r w:rsidR="00CA4EAD" w:rsidRPr="00E31B36">
        <w:rPr>
          <w:rFonts w:cs="Times New Roman"/>
          <w:szCs w:val="24"/>
        </w:rPr>
        <w:t xml:space="preserve"> (</w:t>
      </w:r>
      <w:proofErr w:type="spellStart"/>
      <w:r w:rsidR="00CA4EAD" w:rsidRPr="00E31B36">
        <w:rPr>
          <w:rFonts w:cs="Times New Roman"/>
          <w:szCs w:val="24"/>
        </w:rPr>
        <w:t>Nurmasari</w:t>
      </w:r>
      <w:proofErr w:type="spellEnd"/>
      <w:r w:rsidR="00CA4EAD" w:rsidRPr="00E31B36">
        <w:rPr>
          <w:rFonts w:cs="Times New Roman"/>
          <w:szCs w:val="24"/>
        </w:rPr>
        <w:t>, 2017).</w:t>
      </w:r>
    </w:p>
    <w:p w14:paraId="3DD0832B" w14:textId="77777777" w:rsidR="00E31B36" w:rsidRPr="00E31B36" w:rsidRDefault="00E31B36" w:rsidP="00BE11AA">
      <w:pPr>
        <w:rPr>
          <w:rFonts w:cs="Times New Roman"/>
          <w:szCs w:val="24"/>
        </w:rPr>
      </w:pPr>
    </w:p>
    <w:p w14:paraId="0344E769" w14:textId="77777777" w:rsidR="00E31B36" w:rsidRPr="00E31B36" w:rsidRDefault="00E31B36" w:rsidP="00BE11AA">
      <w:pPr>
        <w:rPr>
          <w:rFonts w:cs="Times New Roman"/>
          <w:szCs w:val="24"/>
        </w:rPr>
      </w:pPr>
    </w:p>
    <w:p w14:paraId="2B680C53" w14:textId="24A9479D" w:rsidR="007C1E51" w:rsidRPr="00E31B36" w:rsidRDefault="00E31B36" w:rsidP="007C1E51">
      <w:pPr>
        <w:rPr>
          <w:rFonts w:cs="Times New Roman"/>
          <w:szCs w:val="24"/>
        </w:rPr>
      </w:pPr>
      <w:r w:rsidRPr="00E31B36">
        <w:rPr>
          <w:rFonts w:cs="Times New Roman"/>
          <w:noProof/>
          <w:szCs w:val="24"/>
        </w:rPr>
        <w:lastRenderedPageBreak/>
        <w:drawing>
          <wp:inline distT="0" distB="0" distL="0" distR="0" wp14:anchorId="4A341D05" wp14:editId="08544A0B">
            <wp:extent cx="5935980" cy="2026920"/>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35980" cy="2026920"/>
                    </a:xfrm>
                    <a:prstGeom prst="rect">
                      <a:avLst/>
                    </a:prstGeom>
                    <a:noFill/>
                    <a:ln>
                      <a:noFill/>
                    </a:ln>
                  </pic:spPr>
                </pic:pic>
              </a:graphicData>
            </a:graphic>
          </wp:inline>
        </w:drawing>
      </w:r>
      <w:r w:rsidR="007C1E51" w:rsidRPr="00E31B36">
        <w:rPr>
          <w:rFonts w:cs="Times New Roman"/>
          <w:szCs w:val="24"/>
        </w:rPr>
        <w:t>Return on Equity showing in table given above is indicating that performance was better in year 2020 because ROE was 13.957% but in year 2019 it was 12.569%. This result is indicating that management has showed better control in term of capital structure and equity were used by management effectively.</w:t>
      </w:r>
    </w:p>
    <w:p w14:paraId="44192C72" w14:textId="0E0B4B1C" w:rsidR="009603B9" w:rsidRPr="00E31B36" w:rsidRDefault="009603B9" w:rsidP="00E44F11">
      <w:pPr>
        <w:pStyle w:val="Heading3"/>
        <w:numPr>
          <w:ilvl w:val="0"/>
          <w:numId w:val="9"/>
        </w:numPr>
        <w:rPr>
          <w:rFonts w:ascii="Times New Roman" w:eastAsia="Times New Roman" w:hAnsi="Times New Roman" w:cs="Times New Roman"/>
        </w:rPr>
      </w:pPr>
      <w:r w:rsidRPr="00E31B36">
        <w:rPr>
          <w:rFonts w:ascii="Times New Roman" w:eastAsia="Times New Roman" w:hAnsi="Times New Roman" w:cs="Times New Roman"/>
          <w:bdr w:val="none" w:sz="0" w:space="0" w:color="auto" w:frame="1"/>
        </w:rPr>
        <w:t>Earnings per share</w:t>
      </w:r>
    </w:p>
    <w:p w14:paraId="14CAE723" w14:textId="763C77A2" w:rsidR="009603B9" w:rsidRPr="00E31B36" w:rsidRDefault="007C1E51" w:rsidP="00BE11AA">
      <w:pPr>
        <w:rPr>
          <w:rFonts w:cs="Times New Roman"/>
          <w:szCs w:val="24"/>
        </w:rPr>
      </w:pPr>
      <w:r w:rsidRPr="00E31B36">
        <w:rPr>
          <w:rFonts w:cs="Times New Roman"/>
          <w:szCs w:val="24"/>
        </w:rPr>
        <w:t>Financial performance of an organization in term of generation of earning over every stock or share is measured based on using this important ratio and calculation of EPS is based on division of net profit of company by number of common shares. It could see that greater value is indicated by higher EPS and reason is that for share of company more will be pay by investor based on their perception that higher profits would be generated in term of share price</w:t>
      </w:r>
      <w:r w:rsidR="00CA4EAD" w:rsidRPr="00E31B36">
        <w:rPr>
          <w:rFonts w:cs="Times New Roman"/>
          <w:szCs w:val="24"/>
        </w:rPr>
        <w:t xml:space="preserve"> (</w:t>
      </w:r>
      <w:proofErr w:type="spellStart"/>
      <w:r w:rsidR="00CA4EAD" w:rsidRPr="00E31B36">
        <w:rPr>
          <w:rFonts w:cs="Times New Roman"/>
          <w:szCs w:val="24"/>
        </w:rPr>
        <w:t>Jasman</w:t>
      </w:r>
      <w:proofErr w:type="spellEnd"/>
      <w:r w:rsidR="00CA4EAD" w:rsidRPr="00E31B36">
        <w:rPr>
          <w:rFonts w:cs="Times New Roman"/>
          <w:szCs w:val="24"/>
        </w:rPr>
        <w:t xml:space="preserve"> and </w:t>
      </w:r>
      <w:proofErr w:type="spellStart"/>
      <w:r w:rsidR="00CA4EAD" w:rsidRPr="00E31B36">
        <w:rPr>
          <w:rFonts w:cs="Times New Roman"/>
          <w:szCs w:val="24"/>
        </w:rPr>
        <w:t>Kasran</w:t>
      </w:r>
      <w:proofErr w:type="spellEnd"/>
      <w:r w:rsidR="00CA4EAD" w:rsidRPr="00E31B36">
        <w:rPr>
          <w:rFonts w:cs="Times New Roman"/>
          <w:szCs w:val="24"/>
        </w:rPr>
        <w:t>, 2017).</w:t>
      </w:r>
      <w:r w:rsidRPr="00E31B36">
        <w:rPr>
          <w:rFonts w:cs="Times New Roman"/>
          <w:szCs w:val="24"/>
        </w:rPr>
        <w:t xml:space="preserve"> </w:t>
      </w:r>
    </w:p>
    <w:p w14:paraId="366DD805" w14:textId="154A2EB9" w:rsidR="007C1E51" w:rsidRPr="00E31B36" w:rsidRDefault="00E31B36" w:rsidP="007C1E51">
      <w:pPr>
        <w:rPr>
          <w:rFonts w:cs="Times New Roman"/>
          <w:szCs w:val="24"/>
        </w:rPr>
      </w:pPr>
      <w:r w:rsidRPr="00E31B36">
        <w:rPr>
          <w:rFonts w:cs="Times New Roman"/>
          <w:noProof/>
          <w:szCs w:val="24"/>
        </w:rPr>
        <w:drawing>
          <wp:inline distT="0" distB="0" distL="0" distR="0" wp14:anchorId="4180699F" wp14:editId="31AD876B">
            <wp:extent cx="5935980" cy="2194560"/>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35980" cy="2194560"/>
                    </a:xfrm>
                    <a:prstGeom prst="rect">
                      <a:avLst/>
                    </a:prstGeom>
                    <a:noFill/>
                    <a:ln>
                      <a:noFill/>
                    </a:ln>
                  </pic:spPr>
                </pic:pic>
              </a:graphicData>
            </a:graphic>
          </wp:inline>
        </w:drawing>
      </w:r>
      <w:r w:rsidR="007C1E51" w:rsidRPr="00E31B36">
        <w:rPr>
          <w:rFonts w:cs="Times New Roman"/>
          <w:szCs w:val="24"/>
        </w:rPr>
        <w:t xml:space="preserve">Based on looking at the results that are showing in table above it could see that EPS was 0.61 in year 2019 but EPS has increased to 0.7183 in year 2020. This is indicating that company has gained trust of investor by increasing share price during year 2020. Thus, performance in term of EPS was better in 2020. </w:t>
      </w:r>
    </w:p>
    <w:p w14:paraId="0030F278" w14:textId="146BA46E" w:rsidR="009603B9" w:rsidRPr="00E31B36" w:rsidRDefault="009603B9" w:rsidP="00E44F11">
      <w:pPr>
        <w:pStyle w:val="Heading3"/>
        <w:numPr>
          <w:ilvl w:val="0"/>
          <w:numId w:val="9"/>
        </w:numPr>
        <w:rPr>
          <w:rFonts w:ascii="Times New Roman" w:hAnsi="Times New Roman" w:cs="Times New Roman"/>
        </w:rPr>
      </w:pPr>
      <w:r w:rsidRPr="00E31B36">
        <w:rPr>
          <w:rFonts w:ascii="Times New Roman" w:hAnsi="Times New Roman" w:cs="Times New Roman"/>
        </w:rPr>
        <w:lastRenderedPageBreak/>
        <w:t>Net Profit Margin</w:t>
      </w:r>
    </w:p>
    <w:p w14:paraId="70D2A49B" w14:textId="3D8864C6" w:rsidR="009603B9" w:rsidRPr="00E31B36" w:rsidRDefault="00CA4EAD" w:rsidP="00BE11AA">
      <w:pPr>
        <w:rPr>
          <w:rFonts w:cs="Times New Roman"/>
          <w:szCs w:val="24"/>
        </w:rPr>
      </w:pPr>
      <w:r w:rsidRPr="00E31B36">
        <w:rPr>
          <w:rFonts w:cs="Times New Roman"/>
          <w:szCs w:val="24"/>
        </w:rPr>
        <w:t xml:space="preserve">Net profit margin is another important ratio of measuring profitability </w:t>
      </w:r>
      <w:proofErr w:type="gramStart"/>
      <w:r w:rsidRPr="00E31B36">
        <w:rPr>
          <w:rFonts w:cs="Times New Roman"/>
          <w:szCs w:val="24"/>
        </w:rPr>
        <w:t>level</w:t>
      </w:r>
      <w:proofErr w:type="gramEnd"/>
      <w:r w:rsidRPr="00E31B36">
        <w:rPr>
          <w:rFonts w:cs="Times New Roman"/>
          <w:szCs w:val="24"/>
        </w:rPr>
        <w:t xml:space="preserve"> and </w:t>
      </w:r>
      <w:r w:rsidR="00EF1008" w:rsidRPr="00E31B36">
        <w:rPr>
          <w:rFonts w:cs="Times New Roman"/>
          <w:szCs w:val="24"/>
        </w:rPr>
        <w:t>its</w:t>
      </w:r>
      <w:r w:rsidRPr="00E31B36">
        <w:rPr>
          <w:rFonts w:cs="Times New Roman"/>
          <w:szCs w:val="24"/>
        </w:rPr>
        <w:t xml:space="preserve"> calculation is based on division of net income by revenue or net profit by net sales made by company during specific period. One important aspect is that net income and net profit that are used in calculation is that they are used interchangeably (</w:t>
      </w:r>
      <w:proofErr w:type="spellStart"/>
      <w:r w:rsidRPr="00E31B36">
        <w:rPr>
          <w:rFonts w:cs="Times New Roman"/>
          <w:szCs w:val="24"/>
        </w:rPr>
        <w:t>Öztürk</w:t>
      </w:r>
      <w:proofErr w:type="spellEnd"/>
      <w:r w:rsidRPr="00E31B36">
        <w:rPr>
          <w:rFonts w:cs="Times New Roman"/>
          <w:szCs w:val="24"/>
        </w:rPr>
        <w:t xml:space="preserve"> and </w:t>
      </w:r>
      <w:proofErr w:type="spellStart"/>
      <w:r w:rsidRPr="00E31B36">
        <w:rPr>
          <w:rFonts w:cs="Times New Roman"/>
          <w:szCs w:val="24"/>
        </w:rPr>
        <w:t>Karabulut</w:t>
      </w:r>
      <w:proofErr w:type="spellEnd"/>
      <w:r w:rsidRPr="00E31B36">
        <w:rPr>
          <w:rFonts w:cs="Times New Roman"/>
          <w:szCs w:val="24"/>
        </w:rPr>
        <w:t>, 2018).</w:t>
      </w:r>
    </w:p>
    <w:p w14:paraId="701D5BBB" w14:textId="5DB5D632" w:rsidR="00E31B36" w:rsidRPr="00E31B36" w:rsidRDefault="00E31B36" w:rsidP="00BE11AA">
      <w:pPr>
        <w:rPr>
          <w:rFonts w:cs="Times New Roman"/>
          <w:szCs w:val="24"/>
        </w:rPr>
      </w:pPr>
      <w:r w:rsidRPr="00E31B36">
        <w:rPr>
          <w:rFonts w:cs="Times New Roman"/>
          <w:noProof/>
          <w:szCs w:val="24"/>
        </w:rPr>
        <w:drawing>
          <wp:inline distT="0" distB="0" distL="0" distR="0" wp14:anchorId="4AF55FD0" wp14:editId="7CFF0027">
            <wp:extent cx="5935980" cy="1668780"/>
            <wp:effectExtent l="0" t="0" r="762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35980" cy="1668780"/>
                    </a:xfrm>
                    <a:prstGeom prst="rect">
                      <a:avLst/>
                    </a:prstGeom>
                    <a:noFill/>
                    <a:ln>
                      <a:noFill/>
                    </a:ln>
                  </pic:spPr>
                </pic:pic>
              </a:graphicData>
            </a:graphic>
          </wp:inline>
        </w:drawing>
      </w:r>
    </w:p>
    <w:p w14:paraId="0C6FC257" w14:textId="41CEF69F" w:rsidR="007C1E51" w:rsidRPr="00E31B36" w:rsidRDefault="00CA4EAD" w:rsidP="00CA4EAD">
      <w:pPr>
        <w:rPr>
          <w:rFonts w:cs="Times New Roman"/>
          <w:szCs w:val="24"/>
        </w:rPr>
      </w:pPr>
      <w:r w:rsidRPr="00E31B36">
        <w:rPr>
          <w:rFonts w:cs="Times New Roman"/>
          <w:szCs w:val="24"/>
        </w:rPr>
        <w:t xml:space="preserve">Based on looking at the results presented in table above it could see that performance of company was better in year 2020 because of increasing level of net profit margin. NPM of company in year 2019 was 5.682% and it was 6.40% in year 2020 that mean effective control on expenses was made. </w:t>
      </w:r>
    </w:p>
    <w:p w14:paraId="17096C78" w14:textId="008FD307" w:rsidR="009603B9" w:rsidRPr="00E31B36" w:rsidRDefault="009603B9" w:rsidP="00E44F11">
      <w:pPr>
        <w:pStyle w:val="Heading3"/>
        <w:numPr>
          <w:ilvl w:val="0"/>
          <w:numId w:val="9"/>
        </w:numPr>
        <w:rPr>
          <w:rFonts w:ascii="Times New Roman" w:hAnsi="Times New Roman" w:cs="Times New Roman"/>
        </w:rPr>
      </w:pPr>
      <w:r w:rsidRPr="00E31B36">
        <w:rPr>
          <w:rFonts w:ascii="Times New Roman" w:hAnsi="Times New Roman" w:cs="Times New Roman"/>
        </w:rPr>
        <w:t>Asset Turnover</w:t>
      </w:r>
    </w:p>
    <w:p w14:paraId="5F92F136" w14:textId="74F84CB5" w:rsidR="009603B9" w:rsidRPr="00E31B36" w:rsidRDefault="00CA4EAD" w:rsidP="003333A4">
      <w:pPr>
        <w:rPr>
          <w:rFonts w:cs="Times New Roman"/>
          <w:szCs w:val="24"/>
        </w:rPr>
      </w:pPr>
      <w:r w:rsidRPr="00E31B36">
        <w:rPr>
          <w:rFonts w:cs="Times New Roman"/>
          <w:szCs w:val="24"/>
        </w:rPr>
        <w:t xml:space="preserve">Value of revenue or sales of company relative to value of assets of company is measured based on using this asset turnover ratio. </w:t>
      </w:r>
      <w:r w:rsidR="00F873E9" w:rsidRPr="00E31B36">
        <w:rPr>
          <w:rFonts w:cs="Times New Roman"/>
          <w:szCs w:val="24"/>
        </w:rPr>
        <w:t>Efficiency level of an organization in term of use of available assets is indicated by this ratio</w:t>
      </w:r>
      <w:r w:rsidRPr="00E31B36">
        <w:rPr>
          <w:rFonts w:cs="Times New Roman"/>
          <w:szCs w:val="24"/>
        </w:rPr>
        <w:t xml:space="preserve"> (</w:t>
      </w:r>
      <w:proofErr w:type="spellStart"/>
      <w:r w:rsidRPr="00E31B36">
        <w:rPr>
          <w:rFonts w:cs="Times New Roman"/>
          <w:szCs w:val="24"/>
        </w:rPr>
        <w:t>Irman</w:t>
      </w:r>
      <w:proofErr w:type="spellEnd"/>
      <w:r w:rsidRPr="00E31B36">
        <w:rPr>
          <w:rFonts w:cs="Times New Roman"/>
          <w:szCs w:val="24"/>
        </w:rPr>
        <w:t xml:space="preserve"> and </w:t>
      </w:r>
      <w:proofErr w:type="spellStart"/>
      <w:r w:rsidRPr="00E31B36">
        <w:rPr>
          <w:rFonts w:cs="Times New Roman"/>
          <w:szCs w:val="24"/>
        </w:rPr>
        <w:t>Purwati</w:t>
      </w:r>
      <w:proofErr w:type="spellEnd"/>
      <w:r w:rsidRPr="00E31B36">
        <w:rPr>
          <w:rFonts w:cs="Times New Roman"/>
          <w:szCs w:val="24"/>
        </w:rPr>
        <w:t>, 2020).</w:t>
      </w:r>
    </w:p>
    <w:p w14:paraId="7C856B81" w14:textId="3AABD1DB" w:rsidR="00E31B36" w:rsidRPr="00E31B36" w:rsidRDefault="00E31B36" w:rsidP="003333A4">
      <w:pPr>
        <w:rPr>
          <w:rFonts w:cs="Times New Roman"/>
          <w:szCs w:val="24"/>
        </w:rPr>
      </w:pPr>
      <w:r w:rsidRPr="00E31B36">
        <w:rPr>
          <w:rFonts w:cs="Times New Roman"/>
          <w:noProof/>
          <w:szCs w:val="24"/>
        </w:rPr>
        <w:drawing>
          <wp:inline distT="0" distB="0" distL="0" distR="0" wp14:anchorId="6891C890" wp14:editId="7ECDDD32">
            <wp:extent cx="5935980" cy="1821180"/>
            <wp:effectExtent l="0" t="0" r="762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35980" cy="1821180"/>
                    </a:xfrm>
                    <a:prstGeom prst="rect">
                      <a:avLst/>
                    </a:prstGeom>
                    <a:noFill/>
                    <a:ln>
                      <a:noFill/>
                    </a:ln>
                  </pic:spPr>
                </pic:pic>
              </a:graphicData>
            </a:graphic>
          </wp:inline>
        </w:drawing>
      </w:r>
    </w:p>
    <w:p w14:paraId="4820A16F" w14:textId="19EBA32C" w:rsidR="007C1E51" w:rsidRPr="00E31B36" w:rsidRDefault="00F873E9" w:rsidP="00F873E9">
      <w:pPr>
        <w:rPr>
          <w:rFonts w:cs="Times New Roman"/>
          <w:szCs w:val="24"/>
        </w:rPr>
      </w:pPr>
      <w:r w:rsidRPr="00E31B36">
        <w:rPr>
          <w:rFonts w:cs="Times New Roman"/>
          <w:szCs w:val="24"/>
        </w:rPr>
        <w:lastRenderedPageBreak/>
        <w:t xml:space="preserve">Table given above is indicating that asset turnover ratio was 0.639 times in year 2019 but it has increased to 0.692 times in year 2020. In this way, effective management of available assets could be witnessed in year 2020 that eventually has resulted into increase of revenue. </w:t>
      </w:r>
    </w:p>
    <w:p w14:paraId="6ED35B54" w14:textId="289F5676" w:rsidR="009603B9" w:rsidRPr="00E31B36" w:rsidRDefault="009603B9" w:rsidP="00E44F11">
      <w:pPr>
        <w:pStyle w:val="Heading3"/>
        <w:numPr>
          <w:ilvl w:val="0"/>
          <w:numId w:val="9"/>
        </w:numPr>
        <w:rPr>
          <w:rFonts w:ascii="Times New Roman" w:hAnsi="Times New Roman" w:cs="Times New Roman"/>
        </w:rPr>
      </w:pPr>
      <w:r w:rsidRPr="00E31B36">
        <w:rPr>
          <w:rFonts w:ascii="Times New Roman" w:hAnsi="Times New Roman" w:cs="Times New Roman"/>
        </w:rPr>
        <w:t>Stock Holding Days</w:t>
      </w:r>
    </w:p>
    <w:p w14:paraId="3D63AA70" w14:textId="127EE512" w:rsidR="003333A4" w:rsidRPr="00E31B36" w:rsidRDefault="00F873E9" w:rsidP="003333A4">
      <w:pPr>
        <w:rPr>
          <w:rFonts w:eastAsia="Times New Roman" w:cs="Times New Roman"/>
          <w:color w:val="333333"/>
          <w:szCs w:val="24"/>
        </w:rPr>
      </w:pPr>
      <w:r w:rsidRPr="00E31B36">
        <w:rPr>
          <w:rFonts w:eastAsia="Times New Roman" w:cs="Times New Roman"/>
          <w:color w:val="333333"/>
          <w:szCs w:val="24"/>
        </w:rPr>
        <w:t>Average time that is taken by an organization in term of days for converting available inventory into sales is measured and indicated by using this financial ratio of days sales of inventory (DSI)</w:t>
      </w:r>
      <w:r w:rsidR="00CA4EAD" w:rsidRPr="00E31B36">
        <w:rPr>
          <w:rFonts w:eastAsia="Times New Roman" w:cs="Times New Roman"/>
          <w:color w:val="333333"/>
          <w:szCs w:val="24"/>
        </w:rPr>
        <w:t xml:space="preserve"> (Wu and </w:t>
      </w:r>
      <w:proofErr w:type="spellStart"/>
      <w:r w:rsidR="00CA4EAD" w:rsidRPr="00E31B36">
        <w:rPr>
          <w:rFonts w:eastAsia="Times New Roman" w:cs="Times New Roman"/>
          <w:color w:val="333333"/>
          <w:szCs w:val="24"/>
        </w:rPr>
        <w:t>Yaron</w:t>
      </w:r>
      <w:proofErr w:type="spellEnd"/>
      <w:r w:rsidR="00CA4EAD" w:rsidRPr="00E31B36">
        <w:rPr>
          <w:rFonts w:eastAsia="Times New Roman" w:cs="Times New Roman"/>
          <w:color w:val="333333"/>
          <w:szCs w:val="24"/>
        </w:rPr>
        <w:t>, 2018).</w:t>
      </w:r>
    </w:p>
    <w:p w14:paraId="338E6D85" w14:textId="5A08DACB" w:rsidR="009603B9" w:rsidRPr="00E31B36" w:rsidRDefault="00E31B36" w:rsidP="00BE11AA">
      <w:pPr>
        <w:shd w:val="clear" w:color="auto" w:fill="FFFFFF"/>
        <w:spacing w:after="0" w:line="240" w:lineRule="auto"/>
        <w:textAlignment w:val="baseline"/>
        <w:rPr>
          <w:rFonts w:eastAsia="Times New Roman" w:cs="Times New Roman"/>
          <w:color w:val="333333"/>
          <w:szCs w:val="24"/>
        </w:rPr>
      </w:pPr>
      <w:r w:rsidRPr="00E31B36">
        <w:rPr>
          <w:rFonts w:eastAsia="Times New Roman" w:cs="Times New Roman"/>
          <w:noProof/>
          <w:color w:val="333333"/>
          <w:szCs w:val="24"/>
        </w:rPr>
        <w:drawing>
          <wp:inline distT="0" distB="0" distL="0" distR="0" wp14:anchorId="30467CF2" wp14:editId="10C1132A">
            <wp:extent cx="5935980" cy="1943100"/>
            <wp:effectExtent l="0" t="0" r="762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35980" cy="1943100"/>
                    </a:xfrm>
                    <a:prstGeom prst="rect">
                      <a:avLst/>
                    </a:prstGeom>
                    <a:noFill/>
                    <a:ln>
                      <a:noFill/>
                    </a:ln>
                  </pic:spPr>
                </pic:pic>
              </a:graphicData>
            </a:graphic>
          </wp:inline>
        </w:drawing>
      </w:r>
    </w:p>
    <w:p w14:paraId="2A200F4A" w14:textId="571D770E" w:rsidR="007C1E51" w:rsidRPr="00E31B36" w:rsidRDefault="00F873E9" w:rsidP="00F873E9">
      <w:pPr>
        <w:rPr>
          <w:rFonts w:cs="Times New Roman"/>
          <w:szCs w:val="24"/>
        </w:rPr>
      </w:pPr>
      <w:r w:rsidRPr="00E31B36">
        <w:rPr>
          <w:rFonts w:cs="Times New Roman"/>
          <w:szCs w:val="24"/>
        </w:rPr>
        <w:t>Based on comparing performance of company in term of Stock Holding Days, results in above table are showing that Stock Holding Days were 77.69 or 78 days in 2019 and in year 2020 Stock Holding Days were 79.88 or 80 days. In this way it is clearly showing that more days are taking by company in 2020 based on which it could say that performance was better in 2019.</w:t>
      </w:r>
    </w:p>
    <w:p w14:paraId="21D168F4" w14:textId="03C4B913" w:rsidR="009603B9" w:rsidRPr="00E31B36" w:rsidRDefault="009603B9" w:rsidP="00E44F11">
      <w:pPr>
        <w:pStyle w:val="Heading3"/>
        <w:numPr>
          <w:ilvl w:val="0"/>
          <w:numId w:val="9"/>
        </w:numPr>
        <w:rPr>
          <w:rFonts w:ascii="Times New Roman" w:hAnsi="Times New Roman" w:cs="Times New Roman"/>
        </w:rPr>
      </w:pPr>
      <w:r w:rsidRPr="00E31B36">
        <w:rPr>
          <w:rFonts w:ascii="Times New Roman" w:hAnsi="Times New Roman" w:cs="Times New Roman"/>
        </w:rPr>
        <w:t xml:space="preserve">Debtors Collection </w:t>
      </w:r>
      <w:r w:rsidR="00F873E9" w:rsidRPr="00E31B36">
        <w:rPr>
          <w:rFonts w:ascii="Times New Roman" w:hAnsi="Times New Roman" w:cs="Times New Roman"/>
        </w:rPr>
        <w:t>Period: -</w:t>
      </w:r>
    </w:p>
    <w:p w14:paraId="79B41BB3" w14:textId="598FCC3C" w:rsidR="003333A4" w:rsidRPr="00E31B36" w:rsidRDefault="00F873E9" w:rsidP="003333A4">
      <w:pPr>
        <w:rPr>
          <w:rFonts w:eastAsia="Times New Roman" w:cs="Times New Roman"/>
          <w:color w:val="333333"/>
          <w:szCs w:val="24"/>
        </w:rPr>
      </w:pPr>
      <w:r w:rsidRPr="00E31B36">
        <w:rPr>
          <w:rFonts w:eastAsia="Times New Roman" w:cs="Times New Roman"/>
          <w:color w:val="333333"/>
          <w:szCs w:val="24"/>
        </w:rPr>
        <w:t>This ratio is used for indicating time that is taking by company in term of collecting and receiving amount holding in its accounts receivable. This is amount that is owed by clients to company. For meeting financial obligation, company need average collection period</w:t>
      </w:r>
      <w:r w:rsidR="00CA4EAD" w:rsidRPr="00E31B36">
        <w:rPr>
          <w:rFonts w:eastAsia="Times New Roman" w:cs="Times New Roman"/>
          <w:color w:val="333333"/>
          <w:szCs w:val="24"/>
        </w:rPr>
        <w:t xml:space="preserve"> (Ullah, 2021).</w:t>
      </w:r>
    </w:p>
    <w:p w14:paraId="0D9791AD" w14:textId="77777777" w:rsidR="009603B9" w:rsidRPr="00E31B36" w:rsidRDefault="009603B9" w:rsidP="009603B9">
      <w:pPr>
        <w:shd w:val="clear" w:color="auto" w:fill="FFFFFF"/>
        <w:spacing w:after="0" w:line="240" w:lineRule="auto"/>
        <w:ind w:left="720"/>
        <w:textAlignment w:val="baseline"/>
        <w:rPr>
          <w:rFonts w:eastAsia="Times New Roman" w:cs="Times New Roman"/>
          <w:color w:val="333333"/>
          <w:szCs w:val="24"/>
        </w:rPr>
      </w:pPr>
    </w:p>
    <w:p w14:paraId="6C1ECB64" w14:textId="1D7B03AE" w:rsidR="007C1E51" w:rsidRPr="00E31B36" w:rsidRDefault="00E31B36" w:rsidP="00F873E9">
      <w:pPr>
        <w:rPr>
          <w:rFonts w:cs="Times New Roman"/>
          <w:szCs w:val="24"/>
        </w:rPr>
      </w:pPr>
      <w:r w:rsidRPr="00E31B36">
        <w:rPr>
          <w:rFonts w:cs="Times New Roman"/>
          <w:noProof/>
          <w:szCs w:val="24"/>
        </w:rPr>
        <w:lastRenderedPageBreak/>
        <w:drawing>
          <wp:inline distT="0" distB="0" distL="0" distR="0" wp14:anchorId="7F456575" wp14:editId="0FED4BA0">
            <wp:extent cx="5935980" cy="1965960"/>
            <wp:effectExtent l="0" t="0" r="762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35980" cy="1965960"/>
                    </a:xfrm>
                    <a:prstGeom prst="rect">
                      <a:avLst/>
                    </a:prstGeom>
                    <a:noFill/>
                    <a:ln>
                      <a:noFill/>
                    </a:ln>
                  </pic:spPr>
                </pic:pic>
              </a:graphicData>
            </a:graphic>
          </wp:inline>
        </w:drawing>
      </w:r>
      <w:r w:rsidR="00F873E9" w:rsidRPr="00E31B36">
        <w:rPr>
          <w:rFonts w:cs="Times New Roman"/>
          <w:szCs w:val="24"/>
        </w:rPr>
        <w:t xml:space="preserve">Based on comparing performance of company in term of Debtor Collection Period, results in above table are showing that Debtor Collection Period were 72.93 or 73 days in 2019 and in year 2020 Debtor Collection Period were 67.66 or 68 days. In this way it is clearly showing that more days are taking by company in 2019 based on which it could say that performance was better in 2020.  </w:t>
      </w:r>
    </w:p>
    <w:p w14:paraId="62903634" w14:textId="2E68FE73" w:rsidR="009603B9" w:rsidRPr="00E31B36" w:rsidRDefault="009603B9" w:rsidP="00E44F11">
      <w:pPr>
        <w:pStyle w:val="Heading3"/>
        <w:numPr>
          <w:ilvl w:val="0"/>
          <w:numId w:val="9"/>
        </w:numPr>
        <w:rPr>
          <w:rFonts w:ascii="Times New Roman" w:hAnsi="Times New Roman" w:cs="Times New Roman"/>
        </w:rPr>
      </w:pPr>
      <w:r w:rsidRPr="00E31B36">
        <w:rPr>
          <w:rFonts w:ascii="Times New Roman" w:hAnsi="Times New Roman" w:cs="Times New Roman"/>
        </w:rPr>
        <w:t>Current Ratio</w:t>
      </w:r>
    </w:p>
    <w:p w14:paraId="517C5F5A" w14:textId="52C9D818" w:rsidR="003333A4" w:rsidRPr="00E31B36" w:rsidRDefault="00E61C60" w:rsidP="00E44F11">
      <w:pPr>
        <w:rPr>
          <w:rFonts w:cs="Times New Roman"/>
          <w:szCs w:val="24"/>
        </w:rPr>
      </w:pPr>
      <w:r w:rsidRPr="00E31B36">
        <w:rPr>
          <w:rFonts w:cs="Times New Roman"/>
          <w:szCs w:val="24"/>
        </w:rPr>
        <w:t>A liquidity ratio is known as current ratio that is used for measuring capability of an organization of making payments of its outstanding short-term obligations based on using its current assets</w:t>
      </w:r>
      <w:r w:rsidR="00CA4EAD" w:rsidRPr="00E31B36">
        <w:rPr>
          <w:rFonts w:cs="Times New Roman"/>
          <w:szCs w:val="24"/>
        </w:rPr>
        <w:t xml:space="preserve"> (</w:t>
      </w:r>
      <w:proofErr w:type="spellStart"/>
      <w:r w:rsidR="00CA4EAD" w:rsidRPr="00E31B36">
        <w:rPr>
          <w:rFonts w:cs="Times New Roman"/>
          <w:szCs w:val="24"/>
        </w:rPr>
        <w:t>Tumanggor</w:t>
      </w:r>
      <w:proofErr w:type="spellEnd"/>
      <w:r w:rsidR="00CA4EAD" w:rsidRPr="00E31B36">
        <w:rPr>
          <w:rFonts w:cs="Times New Roman"/>
          <w:szCs w:val="24"/>
        </w:rPr>
        <w:t>, M., 2020).</w:t>
      </w:r>
    </w:p>
    <w:p w14:paraId="2B62E034" w14:textId="77777777" w:rsidR="009603B9" w:rsidRPr="00E31B36" w:rsidRDefault="009603B9" w:rsidP="009603B9">
      <w:pPr>
        <w:shd w:val="clear" w:color="auto" w:fill="FFFFFF"/>
        <w:spacing w:after="0" w:line="240" w:lineRule="auto"/>
        <w:ind w:left="720"/>
        <w:textAlignment w:val="baseline"/>
        <w:rPr>
          <w:rFonts w:eastAsia="Times New Roman" w:cs="Times New Roman"/>
          <w:color w:val="333333"/>
          <w:szCs w:val="24"/>
        </w:rPr>
      </w:pPr>
    </w:p>
    <w:p w14:paraId="2DB52520" w14:textId="08DDB241" w:rsidR="007C1E51" w:rsidRPr="00E31B36" w:rsidRDefault="00E31B36" w:rsidP="00E61C60">
      <w:pPr>
        <w:rPr>
          <w:rFonts w:cs="Times New Roman"/>
          <w:szCs w:val="24"/>
        </w:rPr>
      </w:pPr>
      <w:r w:rsidRPr="00E31B36">
        <w:rPr>
          <w:rFonts w:cs="Times New Roman"/>
          <w:noProof/>
          <w:szCs w:val="24"/>
        </w:rPr>
        <w:drawing>
          <wp:inline distT="0" distB="0" distL="0" distR="0" wp14:anchorId="4A314A79" wp14:editId="6258EF35">
            <wp:extent cx="5935980" cy="2011680"/>
            <wp:effectExtent l="0" t="0" r="762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35980" cy="2011680"/>
                    </a:xfrm>
                    <a:prstGeom prst="rect">
                      <a:avLst/>
                    </a:prstGeom>
                    <a:noFill/>
                    <a:ln>
                      <a:noFill/>
                    </a:ln>
                  </pic:spPr>
                </pic:pic>
              </a:graphicData>
            </a:graphic>
          </wp:inline>
        </w:drawing>
      </w:r>
      <w:r w:rsidR="00E61C60" w:rsidRPr="00E31B36">
        <w:rPr>
          <w:rFonts w:cs="Times New Roman"/>
          <w:szCs w:val="24"/>
        </w:rPr>
        <w:t>Based on looking at the results presented in above table it is noted that current ratio of company was 0.773 times in 2019 but an increase has occurred in current ratio to 0.917 times in 2020. This is showing that company has paid its current obligation during 2020 due to which performance is better in 2020.</w:t>
      </w:r>
    </w:p>
    <w:p w14:paraId="761C1278" w14:textId="2CFCC277" w:rsidR="009603B9" w:rsidRPr="00E31B36" w:rsidRDefault="009603B9" w:rsidP="00E44F11">
      <w:pPr>
        <w:pStyle w:val="Heading3"/>
        <w:numPr>
          <w:ilvl w:val="0"/>
          <w:numId w:val="9"/>
        </w:numPr>
        <w:rPr>
          <w:rFonts w:ascii="Times New Roman" w:hAnsi="Times New Roman" w:cs="Times New Roman"/>
        </w:rPr>
      </w:pPr>
      <w:r w:rsidRPr="00E31B36">
        <w:rPr>
          <w:rFonts w:ascii="Times New Roman" w:hAnsi="Times New Roman" w:cs="Times New Roman"/>
        </w:rPr>
        <w:lastRenderedPageBreak/>
        <w:t>Gearing Ratio</w:t>
      </w:r>
    </w:p>
    <w:p w14:paraId="2DFD7FCE" w14:textId="278C1EC7" w:rsidR="003333A4" w:rsidRPr="00E31B36" w:rsidRDefault="00E61C60" w:rsidP="003333A4">
      <w:pPr>
        <w:rPr>
          <w:rFonts w:cs="Times New Roman"/>
          <w:szCs w:val="24"/>
        </w:rPr>
      </w:pPr>
      <w:r w:rsidRPr="00E31B36">
        <w:rPr>
          <w:rFonts w:cs="Times New Roman"/>
          <w:szCs w:val="24"/>
        </w:rPr>
        <w:t>Funds that are borrowing by company or equity portion to debt in capital is measured and compared based on using Gearing ratio. Financial leverage is measured in this way that show level finding is made by debt vs equity capital</w:t>
      </w:r>
      <w:r w:rsidR="00CA4EAD" w:rsidRPr="00E31B36">
        <w:rPr>
          <w:rFonts w:cs="Times New Roman"/>
          <w:szCs w:val="24"/>
        </w:rPr>
        <w:t xml:space="preserve"> (BANSAL and KUKKAR, 2019).</w:t>
      </w:r>
    </w:p>
    <w:p w14:paraId="711CBF33" w14:textId="77777777" w:rsidR="009603B9" w:rsidRPr="00E31B36" w:rsidRDefault="009603B9" w:rsidP="009603B9">
      <w:pPr>
        <w:shd w:val="clear" w:color="auto" w:fill="FFFFFF"/>
        <w:spacing w:after="0" w:line="240" w:lineRule="auto"/>
        <w:ind w:left="720"/>
        <w:textAlignment w:val="baseline"/>
        <w:rPr>
          <w:rFonts w:eastAsia="Times New Roman" w:cs="Times New Roman"/>
          <w:color w:val="333333"/>
          <w:szCs w:val="24"/>
        </w:rPr>
      </w:pPr>
    </w:p>
    <w:p w14:paraId="4A261E2D" w14:textId="60C3FAE7" w:rsidR="007C1E51" w:rsidRPr="00E31B36" w:rsidRDefault="00E31B36" w:rsidP="00E61C60">
      <w:pPr>
        <w:rPr>
          <w:rFonts w:cs="Times New Roman"/>
          <w:szCs w:val="24"/>
        </w:rPr>
      </w:pPr>
      <w:r w:rsidRPr="00E31B36">
        <w:rPr>
          <w:rFonts w:cs="Times New Roman"/>
          <w:noProof/>
          <w:szCs w:val="24"/>
        </w:rPr>
        <w:drawing>
          <wp:inline distT="0" distB="0" distL="0" distR="0" wp14:anchorId="69F97040" wp14:editId="685A06CE">
            <wp:extent cx="5935980" cy="2065020"/>
            <wp:effectExtent l="0" t="0" r="762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35980" cy="2065020"/>
                    </a:xfrm>
                    <a:prstGeom prst="rect">
                      <a:avLst/>
                    </a:prstGeom>
                    <a:noFill/>
                    <a:ln>
                      <a:noFill/>
                    </a:ln>
                  </pic:spPr>
                </pic:pic>
              </a:graphicData>
            </a:graphic>
          </wp:inline>
        </w:drawing>
      </w:r>
      <w:r w:rsidR="00E61C60" w:rsidRPr="00E31B36">
        <w:rPr>
          <w:rFonts w:cs="Times New Roman"/>
          <w:szCs w:val="24"/>
        </w:rPr>
        <w:t xml:space="preserve">Based on consideration of results extracted by calculating </w:t>
      </w:r>
      <w:r w:rsidR="00E61C60" w:rsidRPr="00E31B36">
        <w:rPr>
          <w:rFonts w:cs="Times New Roman"/>
          <w:szCs w:val="24"/>
          <w:bdr w:val="none" w:sz="0" w:space="0" w:color="auto" w:frame="1"/>
        </w:rPr>
        <w:t xml:space="preserve">Gearing Ratio it has seen that Gearing Ratio was 1.418 times in 2019 and it was reduced to 1.340 times that is showing that company has reduced use of debt financing in 2020 as compared to equity. Therefore, company is less risky in 2020. </w:t>
      </w:r>
    </w:p>
    <w:p w14:paraId="20336A4B" w14:textId="77BD2608" w:rsidR="009603B9" w:rsidRPr="00E31B36" w:rsidRDefault="009603B9" w:rsidP="00E44F11">
      <w:pPr>
        <w:pStyle w:val="Heading3"/>
        <w:numPr>
          <w:ilvl w:val="0"/>
          <w:numId w:val="9"/>
        </w:numPr>
        <w:rPr>
          <w:rFonts w:ascii="Times New Roman" w:hAnsi="Times New Roman" w:cs="Times New Roman"/>
        </w:rPr>
      </w:pPr>
      <w:r w:rsidRPr="00E31B36">
        <w:rPr>
          <w:rFonts w:ascii="Times New Roman" w:hAnsi="Times New Roman" w:cs="Times New Roman"/>
        </w:rPr>
        <w:t>Invertor Cover</w:t>
      </w:r>
    </w:p>
    <w:p w14:paraId="6F818A52" w14:textId="7CA3AB7A" w:rsidR="001055C9" w:rsidRPr="00E31B36" w:rsidRDefault="00E61C60" w:rsidP="001055C9">
      <w:pPr>
        <w:rPr>
          <w:rFonts w:cs="Times New Roman"/>
          <w:szCs w:val="24"/>
        </w:rPr>
      </w:pPr>
      <w:r w:rsidRPr="00E31B36">
        <w:rPr>
          <w:rFonts w:cs="Times New Roman"/>
          <w:szCs w:val="24"/>
        </w:rPr>
        <w:t>Times or level to which current interest payment are covered by an organization by using earnings available is measured based on using this Invertor Cover ratio</w:t>
      </w:r>
      <w:r w:rsidR="00CA4EAD" w:rsidRPr="00E31B36">
        <w:rPr>
          <w:rFonts w:cs="Times New Roman"/>
          <w:szCs w:val="24"/>
        </w:rPr>
        <w:t xml:space="preserve"> (Rodrigo et al., 2018).</w:t>
      </w:r>
    </w:p>
    <w:p w14:paraId="1CA0EFF9" w14:textId="1A774B65" w:rsidR="00E44F11" w:rsidRPr="00E31B36" w:rsidRDefault="00E31B36" w:rsidP="00E44F11">
      <w:pPr>
        <w:rPr>
          <w:rFonts w:cs="Times New Roman"/>
          <w:szCs w:val="24"/>
        </w:rPr>
      </w:pPr>
      <w:r w:rsidRPr="00E31B36">
        <w:rPr>
          <w:rFonts w:cs="Times New Roman"/>
          <w:noProof/>
          <w:szCs w:val="24"/>
        </w:rPr>
        <w:drawing>
          <wp:inline distT="0" distB="0" distL="0" distR="0" wp14:anchorId="36677477" wp14:editId="36EC1891">
            <wp:extent cx="5935980" cy="1798320"/>
            <wp:effectExtent l="0" t="0" r="762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35980" cy="1798320"/>
                    </a:xfrm>
                    <a:prstGeom prst="rect">
                      <a:avLst/>
                    </a:prstGeom>
                    <a:noFill/>
                    <a:ln>
                      <a:noFill/>
                    </a:ln>
                  </pic:spPr>
                </pic:pic>
              </a:graphicData>
            </a:graphic>
          </wp:inline>
        </w:drawing>
      </w:r>
      <w:r w:rsidR="00E61C60" w:rsidRPr="00E31B36">
        <w:rPr>
          <w:rFonts w:cs="Times New Roman"/>
          <w:szCs w:val="24"/>
        </w:rPr>
        <w:t xml:space="preserve">Comparison of performance of company based on results presented in table above regarding Invertor Cover has indicated that 3.978 times was Invertor Cover in 2019 and it was 3.743 times in 2020. </w:t>
      </w:r>
      <w:r w:rsidR="000F1498" w:rsidRPr="00E31B36">
        <w:rPr>
          <w:rFonts w:cs="Times New Roman"/>
          <w:szCs w:val="24"/>
        </w:rPr>
        <w:t xml:space="preserve">This is indicating that company has showed better performance in 2019. </w:t>
      </w:r>
    </w:p>
    <w:p w14:paraId="2C9EA839" w14:textId="5E51C616" w:rsidR="009603B9" w:rsidRPr="00E31B36" w:rsidRDefault="00E44F11" w:rsidP="00E44F11">
      <w:pPr>
        <w:pStyle w:val="Heading2"/>
        <w:numPr>
          <w:ilvl w:val="0"/>
          <w:numId w:val="5"/>
        </w:numPr>
        <w:rPr>
          <w:rFonts w:ascii="Times New Roman" w:eastAsia="Times New Roman" w:hAnsi="Times New Roman" w:cs="Times New Roman"/>
          <w:sz w:val="24"/>
          <w:szCs w:val="24"/>
        </w:rPr>
      </w:pPr>
      <w:r w:rsidRPr="00E31B36">
        <w:rPr>
          <w:rFonts w:ascii="Times New Roman" w:eastAsia="Times New Roman" w:hAnsi="Times New Roman" w:cs="Times New Roman"/>
          <w:sz w:val="24"/>
          <w:szCs w:val="24"/>
        </w:rPr>
        <w:lastRenderedPageBreak/>
        <w:t xml:space="preserve">Using the information in the financial statements and the ratios you have calculated, comment on the </w:t>
      </w:r>
      <w:r w:rsidRPr="00E31B36">
        <w:rPr>
          <w:rFonts w:ascii="Times New Roman" w:hAnsi="Times New Roman" w:cs="Times New Roman"/>
          <w:sz w:val="24"/>
          <w:szCs w:val="24"/>
        </w:rPr>
        <w:t>financial</w:t>
      </w:r>
      <w:r w:rsidRPr="00E31B36">
        <w:rPr>
          <w:rFonts w:ascii="Times New Roman" w:eastAsia="Times New Roman" w:hAnsi="Times New Roman" w:cs="Times New Roman"/>
          <w:sz w:val="24"/>
          <w:szCs w:val="24"/>
        </w:rPr>
        <w:t xml:space="preserve"> performance and position of </w:t>
      </w:r>
      <w:proofErr w:type="spellStart"/>
      <w:r w:rsidRPr="00E31B36">
        <w:rPr>
          <w:rFonts w:ascii="Times New Roman" w:eastAsia="Times New Roman" w:hAnsi="Times New Roman" w:cs="Times New Roman"/>
          <w:sz w:val="24"/>
          <w:szCs w:val="24"/>
        </w:rPr>
        <w:t>Chocco</w:t>
      </w:r>
      <w:proofErr w:type="spellEnd"/>
      <w:r w:rsidRPr="00E31B36">
        <w:rPr>
          <w:rFonts w:ascii="Times New Roman" w:eastAsia="Times New Roman" w:hAnsi="Times New Roman" w:cs="Times New Roman"/>
          <w:sz w:val="24"/>
          <w:szCs w:val="24"/>
        </w:rPr>
        <w:t xml:space="preserve"> plc. </w:t>
      </w:r>
    </w:p>
    <w:p w14:paraId="6D941790" w14:textId="77777777" w:rsidR="00E31B36" w:rsidRPr="00E31B36" w:rsidRDefault="00E31B36" w:rsidP="009603B9">
      <w:pPr>
        <w:rPr>
          <w:rFonts w:cs="Times New Roman"/>
          <w:szCs w:val="24"/>
        </w:rPr>
      </w:pPr>
    </w:p>
    <w:p w14:paraId="621D8296" w14:textId="452D943B" w:rsidR="000F1498" w:rsidRPr="00E31B36" w:rsidRDefault="000F1498" w:rsidP="009603B9">
      <w:pPr>
        <w:rPr>
          <w:rFonts w:cs="Times New Roman"/>
          <w:szCs w:val="24"/>
        </w:rPr>
      </w:pPr>
      <w:r w:rsidRPr="00E31B36">
        <w:rPr>
          <w:rFonts w:cs="Times New Roman"/>
          <w:szCs w:val="24"/>
        </w:rPr>
        <w:t xml:space="preserve">An increase in performance of company is concluded by comparing different ratio by using information from financial statements. Based on comparison to previous year it has indicated that increasing trend is showing by company in term of performance. </w:t>
      </w:r>
    </w:p>
    <w:p w14:paraId="0F1A3F45" w14:textId="391D5CE6" w:rsidR="000F1498" w:rsidRPr="00E31B36" w:rsidRDefault="000F1498" w:rsidP="009603B9">
      <w:pPr>
        <w:rPr>
          <w:rFonts w:cs="Times New Roman"/>
          <w:szCs w:val="24"/>
        </w:rPr>
      </w:pPr>
      <w:r w:rsidRPr="00E31B36">
        <w:rPr>
          <w:rFonts w:cs="Times New Roman"/>
          <w:szCs w:val="24"/>
        </w:rPr>
        <w:t xml:space="preserve">As compared to previous year, an increase has noted in respect of Return on Equity and </w:t>
      </w:r>
      <w:r w:rsidRPr="00E31B36">
        <w:rPr>
          <w:rFonts w:cs="Times New Roman"/>
          <w:szCs w:val="24"/>
          <w:bdr w:val="none" w:sz="0" w:space="0" w:color="auto" w:frame="1"/>
        </w:rPr>
        <w:t xml:space="preserve">Return on </w:t>
      </w:r>
      <w:r w:rsidRPr="00E31B36">
        <w:rPr>
          <w:rFonts w:cs="Times New Roman"/>
          <w:szCs w:val="24"/>
        </w:rPr>
        <w:t xml:space="preserve">Capital Employed. Analysis of above ratios has revealed that an increase has also occurred in 2020 in perspective of net profit </w:t>
      </w:r>
      <w:r w:rsidR="00EF1008" w:rsidRPr="00E31B36">
        <w:rPr>
          <w:rFonts w:cs="Times New Roman"/>
          <w:szCs w:val="24"/>
        </w:rPr>
        <w:t>ratio because</w:t>
      </w:r>
      <w:r w:rsidRPr="00E31B36">
        <w:rPr>
          <w:rFonts w:cs="Times New Roman"/>
          <w:szCs w:val="24"/>
        </w:rPr>
        <w:t xml:space="preserve"> this increase has noted as 0.718% when it was compared to previous year 2019.</w:t>
      </w:r>
    </w:p>
    <w:p w14:paraId="4BBF6749" w14:textId="2F456D2D" w:rsidR="000F1498" w:rsidRPr="00E31B36" w:rsidRDefault="000F1498" w:rsidP="009603B9">
      <w:pPr>
        <w:rPr>
          <w:rFonts w:cs="Times New Roman"/>
          <w:szCs w:val="24"/>
        </w:rPr>
      </w:pPr>
      <w:r w:rsidRPr="00E31B36">
        <w:rPr>
          <w:rFonts w:cs="Times New Roman"/>
          <w:szCs w:val="24"/>
        </w:rPr>
        <w:t>Company has potential of declaring high dividend (255m) as comparison to previous year because increasing trend has identified in term of EPS ratio. In this way an increase in 2020 has occurred in mar</w:t>
      </w:r>
      <w:r w:rsidR="00E44F11" w:rsidRPr="00E31B36">
        <w:rPr>
          <w:rFonts w:cs="Times New Roman"/>
          <w:szCs w:val="24"/>
        </w:rPr>
        <w:t xml:space="preserve">ket price of </w:t>
      </w:r>
      <w:proofErr w:type="spellStart"/>
      <w:r w:rsidR="00E44F11" w:rsidRPr="00E31B36">
        <w:rPr>
          <w:rFonts w:cs="Times New Roman"/>
          <w:szCs w:val="24"/>
        </w:rPr>
        <w:t>Chocco</w:t>
      </w:r>
      <w:proofErr w:type="spellEnd"/>
      <w:r w:rsidR="00E44F11" w:rsidRPr="00E31B36">
        <w:rPr>
          <w:rFonts w:cs="Times New Roman"/>
          <w:szCs w:val="24"/>
        </w:rPr>
        <w:t xml:space="preserve"> P</w:t>
      </w:r>
      <w:r w:rsidRPr="00E31B36">
        <w:rPr>
          <w:rFonts w:cs="Times New Roman"/>
          <w:szCs w:val="24"/>
        </w:rPr>
        <w:t>lc that has showed that it is a growing entity.</w:t>
      </w:r>
    </w:p>
    <w:p w14:paraId="39564BC8" w14:textId="0417BF8D" w:rsidR="000F1498" w:rsidRPr="00E31B36" w:rsidRDefault="000F1498" w:rsidP="009603B9">
      <w:pPr>
        <w:rPr>
          <w:rFonts w:cs="Times New Roman"/>
          <w:szCs w:val="24"/>
        </w:rPr>
      </w:pPr>
      <w:r w:rsidRPr="00E31B36">
        <w:rPr>
          <w:rFonts w:cs="Times New Roman"/>
          <w:szCs w:val="24"/>
        </w:rPr>
        <w:t xml:space="preserve">A little change has identified in respect of assets </w:t>
      </w:r>
      <w:proofErr w:type="gramStart"/>
      <w:r w:rsidRPr="00E31B36">
        <w:rPr>
          <w:rFonts w:cs="Times New Roman"/>
          <w:szCs w:val="24"/>
        </w:rPr>
        <w:t>turnover</w:t>
      </w:r>
      <w:proofErr w:type="gramEnd"/>
      <w:r w:rsidRPr="00E31B36">
        <w:rPr>
          <w:rFonts w:cs="Times New Roman"/>
          <w:szCs w:val="24"/>
        </w:rPr>
        <w:t xml:space="preserve"> but one important aspect is that this change was acceptable. Certain improvement is needed by company in collecting its receivables because of little improvement as compared to previous year. Same is a case in perspective of current asset ratio that was increase with low level that mean improvement is needed.</w:t>
      </w:r>
    </w:p>
    <w:p w14:paraId="1E1C4470" w14:textId="066B7874" w:rsidR="000F1498" w:rsidRPr="00E31B36" w:rsidRDefault="000F1498" w:rsidP="009603B9">
      <w:pPr>
        <w:rPr>
          <w:rFonts w:cs="Times New Roman"/>
          <w:szCs w:val="24"/>
        </w:rPr>
      </w:pPr>
      <w:r w:rsidRPr="00E31B36">
        <w:rPr>
          <w:rFonts w:cs="Times New Roman"/>
          <w:szCs w:val="24"/>
        </w:rPr>
        <w:t xml:space="preserve">Since previous year it is </w:t>
      </w:r>
      <w:proofErr w:type="gramStart"/>
      <w:r w:rsidRPr="00E31B36">
        <w:rPr>
          <w:rFonts w:cs="Times New Roman"/>
          <w:szCs w:val="24"/>
        </w:rPr>
        <w:t>noted</w:t>
      </w:r>
      <w:proofErr w:type="gramEnd"/>
      <w:r w:rsidRPr="00E31B36">
        <w:rPr>
          <w:rFonts w:cs="Times New Roman"/>
          <w:szCs w:val="24"/>
        </w:rPr>
        <w:t xml:space="preserve"> an increase has occurred in interest </w:t>
      </w:r>
      <w:r w:rsidR="00EF1008" w:rsidRPr="00E31B36">
        <w:rPr>
          <w:rFonts w:cs="Times New Roman"/>
          <w:szCs w:val="24"/>
        </w:rPr>
        <w:t>expense</w:t>
      </w:r>
      <w:r w:rsidRPr="00E31B36">
        <w:rPr>
          <w:rFonts w:cs="Times New Roman"/>
          <w:szCs w:val="24"/>
        </w:rPr>
        <w:t xml:space="preserve"> </w:t>
      </w:r>
      <w:r w:rsidR="00EF1008" w:rsidRPr="00E31B36">
        <w:rPr>
          <w:rFonts w:cs="Times New Roman"/>
          <w:szCs w:val="24"/>
        </w:rPr>
        <w:t>because</w:t>
      </w:r>
      <w:r w:rsidRPr="00E31B36">
        <w:rPr>
          <w:rFonts w:cs="Times New Roman"/>
          <w:szCs w:val="24"/>
        </w:rPr>
        <w:t xml:space="preserve"> of increase of equity, gearing ratio was </w:t>
      </w:r>
      <w:r w:rsidR="00EF1008" w:rsidRPr="00E31B36">
        <w:rPr>
          <w:rFonts w:cs="Times New Roman"/>
          <w:szCs w:val="24"/>
        </w:rPr>
        <w:t>considered</w:t>
      </w:r>
      <w:r w:rsidRPr="00E31B36">
        <w:rPr>
          <w:rFonts w:cs="Times New Roman"/>
          <w:szCs w:val="24"/>
        </w:rPr>
        <w:t xml:space="preserve"> acceptable in 2020 but increase of debt has resulted into </w:t>
      </w:r>
      <w:r w:rsidR="00EF1008" w:rsidRPr="00E31B36">
        <w:rPr>
          <w:rFonts w:cs="Times New Roman"/>
          <w:szCs w:val="24"/>
        </w:rPr>
        <w:t>decrease of interest coverage ratio.</w:t>
      </w:r>
    </w:p>
    <w:p w14:paraId="1214DB45" w14:textId="452CA515" w:rsidR="00E44F11" w:rsidRPr="00E31B36" w:rsidRDefault="00E44F11" w:rsidP="00E44F11">
      <w:pPr>
        <w:spacing w:line="259" w:lineRule="auto"/>
        <w:jc w:val="left"/>
        <w:rPr>
          <w:rFonts w:cs="Times New Roman"/>
          <w:szCs w:val="24"/>
        </w:rPr>
      </w:pPr>
      <w:r w:rsidRPr="00E31B36">
        <w:rPr>
          <w:rFonts w:cs="Times New Roman"/>
          <w:szCs w:val="24"/>
        </w:rPr>
        <w:br w:type="page"/>
      </w:r>
    </w:p>
    <w:p w14:paraId="5C07EB7C" w14:textId="2D02F197" w:rsidR="00E44F11" w:rsidRPr="00E31B36" w:rsidRDefault="00EF1008" w:rsidP="00E44F11">
      <w:pPr>
        <w:pStyle w:val="Heading1"/>
        <w:rPr>
          <w:rFonts w:ascii="Times New Roman" w:hAnsi="Times New Roman" w:cs="Times New Roman"/>
          <w:sz w:val="24"/>
          <w:szCs w:val="24"/>
        </w:rPr>
      </w:pPr>
      <w:r w:rsidRPr="00E31B36">
        <w:rPr>
          <w:rFonts w:ascii="Times New Roman" w:hAnsi="Times New Roman" w:cs="Times New Roman"/>
          <w:sz w:val="24"/>
          <w:szCs w:val="24"/>
        </w:rPr>
        <w:lastRenderedPageBreak/>
        <w:t>References</w:t>
      </w:r>
    </w:p>
    <w:p w14:paraId="36E1E231" w14:textId="77777777" w:rsidR="00E44F11" w:rsidRPr="00E31B36" w:rsidRDefault="00E44F11" w:rsidP="00E44F11">
      <w:pPr>
        <w:ind w:left="720" w:hanging="720"/>
        <w:rPr>
          <w:rFonts w:cs="Times New Roman"/>
          <w:szCs w:val="24"/>
          <w:shd w:val="clear" w:color="auto" w:fill="FFFFFF"/>
        </w:rPr>
      </w:pPr>
      <w:r w:rsidRPr="00E31B36">
        <w:rPr>
          <w:rFonts w:cs="Times New Roman"/>
          <w:szCs w:val="24"/>
          <w:shd w:val="clear" w:color="auto" w:fill="FFFFFF"/>
        </w:rPr>
        <w:t>BANSAL, D.S.K. and KUKKAR, D.P., 2019. Analysis of Debt-Equity Ratio in Reliance Industries Ltd. </w:t>
      </w:r>
      <w:r w:rsidRPr="00E31B36">
        <w:rPr>
          <w:rFonts w:cs="Times New Roman"/>
          <w:i/>
          <w:iCs/>
          <w:szCs w:val="24"/>
          <w:shd w:val="clear" w:color="auto" w:fill="FFFFFF"/>
        </w:rPr>
        <w:t>Interpretation</w:t>
      </w:r>
      <w:r w:rsidRPr="00E31B36">
        <w:rPr>
          <w:rFonts w:cs="Times New Roman"/>
          <w:szCs w:val="24"/>
          <w:shd w:val="clear" w:color="auto" w:fill="FFFFFF"/>
        </w:rPr>
        <w:t>, </w:t>
      </w:r>
      <w:r w:rsidRPr="00E31B36">
        <w:rPr>
          <w:rFonts w:cs="Times New Roman"/>
          <w:i/>
          <w:iCs/>
          <w:szCs w:val="24"/>
          <w:shd w:val="clear" w:color="auto" w:fill="FFFFFF"/>
        </w:rPr>
        <w:t>230156</w:t>
      </w:r>
      <w:r w:rsidRPr="00E31B36">
        <w:rPr>
          <w:rFonts w:cs="Times New Roman"/>
          <w:szCs w:val="24"/>
          <w:shd w:val="clear" w:color="auto" w:fill="FFFFFF"/>
        </w:rPr>
        <w:t>, pp.198687-00.</w:t>
      </w:r>
    </w:p>
    <w:p w14:paraId="12AF4C18" w14:textId="77777777" w:rsidR="00E44F11" w:rsidRPr="00E31B36" w:rsidRDefault="00E44F11" w:rsidP="00E44F11">
      <w:pPr>
        <w:ind w:left="720" w:hanging="720"/>
        <w:rPr>
          <w:rFonts w:cs="Times New Roman"/>
          <w:szCs w:val="24"/>
        </w:rPr>
      </w:pPr>
      <w:proofErr w:type="spellStart"/>
      <w:r w:rsidRPr="00E31B36">
        <w:rPr>
          <w:rFonts w:cs="Times New Roman"/>
          <w:szCs w:val="24"/>
        </w:rPr>
        <w:t>Faccia</w:t>
      </w:r>
      <w:proofErr w:type="spellEnd"/>
      <w:r w:rsidRPr="00E31B36">
        <w:rPr>
          <w:rFonts w:cs="Times New Roman"/>
          <w:szCs w:val="24"/>
        </w:rPr>
        <w:t>, A. and Mosco, D., 2019. Understanding the Nature of Accounts Using Comprehensive Tools to Understand Financial Statements.</w:t>
      </w:r>
    </w:p>
    <w:p w14:paraId="6A06E379" w14:textId="77777777" w:rsidR="00E44F11" w:rsidRPr="00E31B36" w:rsidRDefault="00E44F11" w:rsidP="00E44F11">
      <w:pPr>
        <w:ind w:left="720" w:hanging="720"/>
        <w:rPr>
          <w:rFonts w:cs="Times New Roman"/>
          <w:szCs w:val="24"/>
          <w:shd w:val="clear" w:color="auto" w:fill="FFFFFF"/>
        </w:rPr>
      </w:pPr>
      <w:proofErr w:type="spellStart"/>
      <w:r w:rsidRPr="00E31B36">
        <w:rPr>
          <w:rFonts w:cs="Times New Roman"/>
          <w:szCs w:val="24"/>
          <w:shd w:val="clear" w:color="auto" w:fill="FFFFFF"/>
        </w:rPr>
        <w:t>Irman</w:t>
      </w:r>
      <w:proofErr w:type="spellEnd"/>
      <w:r w:rsidRPr="00E31B36">
        <w:rPr>
          <w:rFonts w:cs="Times New Roman"/>
          <w:szCs w:val="24"/>
          <w:shd w:val="clear" w:color="auto" w:fill="FFFFFF"/>
        </w:rPr>
        <w:t xml:space="preserve">, M. and </w:t>
      </w:r>
      <w:proofErr w:type="spellStart"/>
      <w:r w:rsidRPr="00E31B36">
        <w:rPr>
          <w:rFonts w:cs="Times New Roman"/>
          <w:szCs w:val="24"/>
          <w:shd w:val="clear" w:color="auto" w:fill="FFFFFF"/>
        </w:rPr>
        <w:t>Purwati</w:t>
      </w:r>
      <w:proofErr w:type="spellEnd"/>
      <w:r w:rsidRPr="00E31B36">
        <w:rPr>
          <w:rFonts w:cs="Times New Roman"/>
          <w:szCs w:val="24"/>
          <w:shd w:val="clear" w:color="auto" w:fill="FFFFFF"/>
        </w:rPr>
        <w:t xml:space="preserve">, A.A., 2020. Analysis On </w:t>
      </w:r>
      <w:proofErr w:type="gramStart"/>
      <w:r w:rsidRPr="00E31B36">
        <w:rPr>
          <w:rFonts w:cs="Times New Roman"/>
          <w:szCs w:val="24"/>
          <w:shd w:val="clear" w:color="auto" w:fill="FFFFFF"/>
        </w:rPr>
        <w:t>The</w:t>
      </w:r>
      <w:proofErr w:type="gramEnd"/>
      <w:r w:rsidRPr="00E31B36">
        <w:rPr>
          <w:rFonts w:cs="Times New Roman"/>
          <w:szCs w:val="24"/>
          <w:shd w:val="clear" w:color="auto" w:fill="FFFFFF"/>
        </w:rPr>
        <w:t xml:space="preserve"> Influence Of Current Ratio, Debt to Equity Ratio and Total Asset Turnover Toward Return On Assets On The </w:t>
      </w:r>
      <w:proofErr w:type="spellStart"/>
      <w:r w:rsidRPr="00E31B36">
        <w:rPr>
          <w:rFonts w:cs="Times New Roman"/>
          <w:szCs w:val="24"/>
          <w:shd w:val="clear" w:color="auto" w:fill="FFFFFF"/>
        </w:rPr>
        <w:t>Otomotive</w:t>
      </w:r>
      <w:proofErr w:type="spellEnd"/>
      <w:r w:rsidRPr="00E31B36">
        <w:rPr>
          <w:rFonts w:cs="Times New Roman"/>
          <w:szCs w:val="24"/>
          <w:shd w:val="clear" w:color="auto" w:fill="FFFFFF"/>
        </w:rPr>
        <w:t xml:space="preserve"> and Component Company That Has Been Registered In Indonesia Stock Exchange Within 2011-2017. </w:t>
      </w:r>
      <w:r w:rsidRPr="00E31B36">
        <w:rPr>
          <w:rFonts w:cs="Times New Roman"/>
          <w:i/>
          <w:iCs/>
          <w:szCs w:val="24"/>
          <w:shd w:val="clear" w:color="auto" w:fill="FFFFFF"/>
        </w:rPr>
        <w:t>International Journal of Economics Development Research (IJEDR)</w:t>
      </w:r>
      <w:r w:rsidRPr="00E31B36">
        <w:rPr>
          <w:rFonts w:cs="Times New Roman"/>
          <w:szCs w:val="24"/>
          <w:shd w:val="clear" w:color="auto" w:fill="FFFFFF"/>
        </w:rPr>
        <w:t>, </w:t>
      </w:r>
      <w:r w:rsidRPr="00E31B36">
        <w:rPr>
          <w:rFonts w:cs="Times New Roman"/>
          <w:i/>
          <w:iCs/>
          <w:szCs w:val="24"/>
          <w:shd w:val="clear" w:color="auto" w:fill="FFFFFF"/>
        </w:rPr>
        <w:t>1</w:t>
      </w:r>
      <w:r w:rsidRPr="00E31B36">
        <w:rPr>
          <w:rFonts w:cs="Times New Roman"/>
          <w:szCs w:val="24"/>
          <w:shd w:val="clear" w:color="auto" w:fill="FFFFFF"/>
        </w:rPr>
        <w:t>(1), pp.36-44.</w:t>
      </w:r>
    </w:p>
    <w:p w14:paraId="25517FFC" w14:textId="77777777" w:rsidR="00E44F11" w:rsidRPr="00E31B36" w:rsidRDefault="00E44F11" w:rsidP="00E44F11">
      <w:pPr>
        <w:ind w:left="720" w:hanging="720"/>
        <w:rPr>
          <w:rFonts w:cs="Times New Roman"/>
          <w:szCs w:val="24"/>
          <w:shd w:val="clear" w:color="auto" w:fill="FFFFFF"/>
        </w:rPr>
      </w:pPr>
      <w:proofErr w:type="spellStart"/>
      <w:r w:rsidRPr="00E31B36">
        <w:rPr>
          <w:rFonts w:cs="Times New Roman"/>
          <w:szCs w:val="24"/>
          <w:shd w:val="clear" w:color="auto" w:fill="FFFFFF"/>
        </w:rPr>
        <w:t>Jasman</w:t>
      </w:r>
      <w:proofErr w:type="spellEnd"/>
      <w:r w:rsidRPr="00E31B36">
        <w:rPr>
          <w:rFonts w:cs="Times New Roman"/>
          <w:szCs w:val="24"/>
          <w:shd w:val="clear" w:color="auto" w:fill="FFFFFF"/>
        </w:rPr>
        <w:t xml:space="preserve">, J. and </w:t>
      </w:r>
      <w:proofErr w:type="spellStart"/>
      <w:r w:rsidRPr="00E31B36">
        <w:rPr>
          <w:rFonts w:cs="Times New Roman"/>
          <w:szCs w:val="24"/>
          <w:shd w:val="clear" w:color="auto" w:fill="FFFFFF"/>
        </w:rPr>
        <w:t>Kasran</w:t>
      </w:r>
      <w:proofErr w:type="spellEnd"/>
      <w:r w:rsidRPr="00E31B36">
        <w:rPr>
          <w:rFonts w:cs="Times New Roman"/>
          <w:szCs w:val="24"/>
          <w:shd w:val="clear" w:color="auto" w:fill="FFFFFF"/>
        </w:rPr>
        <w:t>, M., 2017. Profitability, earnings per share on stock return with size as moderation. </w:t>
      </w:r>
      <w:proofErr w:type="spellStart"/>
      <w:r w:rsidRPr="00E31B36">
        <w:rPr>
          <w:rFonts w:cs="Times New Roman"/>
          <w:i/>
          <w:iCs/>
          <w:szCs w:val="24"/>
          <w:shd w:val="clear" w:color="auto" w:fill="FFFFFF"/>
        </w:rPr>
        <w:t>Trikonomika</w:t>
      </w:r>
      <w:proofErr w:type="spellEnd"/>
      <w:r w:rsidRPr="00E31B36">
        <w:rPr>
          <w:rFonts w:cs="Times New Roman"/>
          <w:szCs w:val="24"/>
          <w:shd w:val="clear" w:color="auto" w:fill="FFFFFF"/>
        </w:rPr>
        <w:t>, </w:t>
      </w:r>
      <w:r w:rsidRPr="00E31B36">
        <w:rPr>
          <w:rFonts w:cs="Times New Roman"/>
          <w:i/>
          <w:iCs/>
          <w:szCs w:val="24"/>
          <w:shd w:val="clear" w:color="auto" w:fill="FFFFFF"/>
        </w:rPr>
        <w:t>16</w:t>
      </w:r>
      <w:r w:rsidRPr="00E31B36">
        <w:rPr>
          <w:rFonts w:cs="Times New Roman"/>
          <w:szCs w:val="24"/>
          <w:shd w:val="clear" w:color="auto" w:fill="FFFFFF"/>
        </w:rPr>
        <w:t>(2), pp.88-94.</w:t>
      </w:r>
    </w:p>
    <w:p w14:paraId="42A7B705" w14:textId="77777777" w:rsidR="00E44F11" w:rsidRPr="00E31B36" w:rsidRDefault="00E44F11" w:rsidP="00E44F11">
      <w:pPr>
        <w:ind w:left="720" w:hanging="720"/>
        <w:rPr>
          <w:rFonts w:cs="Times New Roman"/>
          <w:szCs w:val="24"/>
          <w:shd w:val="clear" w:color="auto" w:fill="FFFFFF"/>
        </w:rPr>
      </w:pPr>
      <w:proofErr w:type="spellStart"/>
      <w:r w:rsidRPr="00E31B36">
        <w:rPr>
          <w:rFonts w:cs="Times New Roman"/>
          <w:szCs w:val="24"/>
          <w:shd w:val="clear" w:color="auto" w:fill="FFFFFF"/>
        </w:rPr>
        <w:t>Lisek</w:t>
      </w:r>
      <w:proofErr w:type="spellEnd"/>
      <w:r w:rsidRPr="00E31B36">
        <w:rPr>
          <w:rFonts w:cs="Times New Roman"/>
          <w:szCs w:val="24"/>
          <w:shd w:val="clear" w:color="auto" w:fill="FFFFFF"/>
        </w:rPr>
        <w:t xml:space="preserve">, S., </w:t>
      </w:r>
      <w:proofErr w:type="spellStart"/>
      <w:r w:rsidRPr="00E31B36">
        <w:rPr>
          <w:rFonts w:cs="Times New Roman"/>
          <w:szCs w:val="24"/>
          <w:shd w:val="clear" w:color="auto" w:fill="FFFFFF"/>
        </w:rPr>
        <w:t>Luty</w:t>
      </w:r>
      <w:proofErr w:type="spellEnd"/>
      <w:r w:rsidRPr="00E31B36">
        <w:rPr>
          <w:rFonts w:cs="Times New Roman"/>
          <w:szCs w:val="24"/>
          <w:shd w:val="clear" w:color="auto" w:fill="FFFFFF"/>
        </w:rPr>
        <w:t xml:space="preserve">, L. and </w:t>
      </w:r>
      <w:proofErr w:type="spellStart"/>
      <w:r w:rsidRPr="00E31B36">
        <w:rPr>
          <w:rFonts w:cs="Times New Roman"/>
          <w:szCs w:val="24"/>
          <w:shd w:val="clear" w:color="auto" w:fill="FFFFFF"/>
        </w:rPr>
        <w:t>Zioło</w:t>
      </w:r>
      <w:proofErr w:type="spellEnd"/>
      <w:r w:rsidRPr="00E31B36">
        <w:rPr>
          <w:rFonts w:cs="Times New Roman"/>
          <w:szCs w:val="24"/>
          <w:shd w:val="clear" w:color="auto" w:fill="FFFFFF"/>
        </w:rPr>
        <w:t>, M., 2020. The measurement of return on capital employed in assessment of company’s condition. </w:t>
      </w:r>
      <w:proofErr w:type="spellStart"/>
      <w:r w:rsidRPr="00E31B36">
        <w:rPr>
          <w:rFonts w:cs="Times New Roman"/>
          <w:i/>
          <w:iCs/>
          <w:szCs w:val="24"/>
          <w:shd w:val="clear" w:color="auto" w:fill="FFFFFF"/>
        </w:rPr>
        <w:t>Zeszyty</w:t>
      </w:r>
      <w:proofErr w:type="spellEnd"/>
      <w:r w:rsidRPr="00E31B36">
        <w:rPr>
          <w:rFonts w:cs="Times New Roman"/>
          <w:i/>
          <w:iCs/>
          <w:szCs w:val="24"/>
          <w:shd w:val="clear" w:color="auto" w:fill="FFFFFF"/>
        </w:rPr>
        <w:t xml:space="preserve"> </w:t>
      </w:r>
      <w:proofErr w:type="spellStart"/>
      <w:r w:rsidRPr="00E31B36">
        <w:rPr>
          <w:rFonts w:cs="Times New Roman"/>
          <w:i/>
          <w:iCs/>
          <w:szCs w:val="24"/>
          <w:shd w:val="clear" w:color="auto" w:fill="FFFFFF"/>
        </w:rPr>
        <w:t>Naukowe</w:t>
      </w:r>
      <w:proofErr w:type="spellEnd"/>
      <w:r w:rsidRPr="00E31B36">
        <w:rPr>
          <w:rFonts w:cs="Times New Roman"/>
          <w:i/>
          <w:iCs/>
          <w:szCs w:val="24"/>
          <w:shd w:val="clear" w:color="auto" w:fill="FFFFFF"/>
        </w:rPr>
        <w:t xml:space="preserve"> </w:t>
      </w:r>
      <w:proofErr w:type="spellStart"/>
      <w:r w:rsidRPr="00E31B36">
        <w:rPr>
          <w:rFonts w:cs="Times New Roman"/>
          <w:i/>
          <w:iCs/>
          <w:szCs w:val="24"/>
          <w:shd w:val="clear" w:color="auto" w:fill="FFFFFF"/>
        </w:rPr>
        <w:t>Małopolskiej</w:t>
      </w:r>
      <w:proofErr w:type="spellEnd"/>
      <w:r w:rsidRPr="00E31B36">
        <w:rPr>
          <w:rFonts w:cs="Times New Roman"/>
          <w:i/>
          <w:iCs/>
          <w:szCs w:val="24"/>
          <w:shd w:val="clear" w:color="auto" w:fill="FFFFFF"/>
        </w:rPr>
        <w:t xml:space="preserve"> </w:t>
      </w:r>
      <w:proofErr w:type="spellStart"/>
      <w:r w:rsidRPr="00E31B36">
        <w:rPr>
          <w:rFonts w:cs="Times New Roman"/>
          <w:i/>
          <w:iCs/>
          <w:szCs w:val="24"/>
          <w:shd w:val="clear" w:color="auto" w:fill="FFFFFF"/>
        </w:rPr>
        <w:t>Wyższej</w:t>
      </w:r>
      <w:proofErr w:type="spellEnd"/>
      <w:r w:rsidRPr="00E31B36">
        <w:rPr>
          <w:rFonts w:cs="Times New Roman"/>
          <w:i/>
          <w:iCs/>
          <w:szCs w:val="24"/>
          <w:shd w:val="clear" w:color="auto" w:fill="FFFFFF"/>
        </w:rPr>
        <w:t xml:space="preserve"> </w:t>
      </w:r>
      <w:proofErr w:type="spellStart"/>
      <w:r w:rsidRPr="00E31B36">
        <w:rPr>
          <w:rFonts w:cs="Times New Roman"/>
          <w:i/>
          <w:iCs/>
          <w:szCs w:val="24"/>
          <w:shd w:val="clear" w:color="auto" w:fill="FFFFFF"/>
        </w:rPr>
        <w:t>Szkoły</w:t>
      </w:r>
      <w:proofErr w:type="spellEnd"/>
      <w:r w:rsidRPr="00E31B36">
        <w:rPr>
          <w:rFonts w:cs="Times New Roman"/>
          <w:i/>
          <w:iCs/>
          <w:szCs w:val="24"/>
          <w:shd w:val="clear" w:color="auto" w:fill="FFFFFF"/>
        </w:rPr>
        <w:t xml:space="preserve"> </w:t>
      </w:r>
      <w:proofErr w:type="spellStart"/>
      <w:r w:rsidRPr="00E31B36">
        <w:rPr>
          <w:rFonts w:cs="Times New Roman"/>
          <w:i/>
          <w:iCs/>
          <w:szCs w:val="24"/>
          <w:shd w:val="clear" w:color="auto" w:fill="FFFFFF"/>
        </w:rPr>
        <w:t>Ekonomicznej</w:t>
      </w:r>
      <w:proofErr w:type="spellEnd"/>
      <w:r w:rsidRPr="00E31B36">
        <w:rPr>
          <w:rFonts w:cs="Times New Roman"/>
          <w:i/>
          <w:iCs/>
          <w:szCs w:val="24"/>
          <w:shd w:val="clear" w:color="auto" w:fill="FFFFFF"/>
        </w:rPr>
        <w:t xml:space="preserve"> w </w:t>
      </w:r>
      <w:proofErr w:type="spellStart"/>
      <w:r w:rsidRPr="00E31B36">
        <w:rPr>
          <w:rFonts w:cs="Times New Roman"/>
          <w:i/>
          <w:iCs/>
          <w:szCs w:val="24"/>
          <w:shd w:val="clear" w:color="auto" w:fill="FFFFFF"/>
        </w:rPr>
        <w:t>Tarnowie</w:t>
      </w:r>
      <w:proofErr w:type="spellEnd"/>
      <w:r w:rsidRPr="00E31B36">
        <w:rPr>
          <w:rFonts w:cs="Times New Roman"/>
          <w:szCs w:val="24"/>
          <w:shd w:val="clear" w:color="auto" w:fill="FFFFFF"/>
        </w:rPr>
        <w:t>, </w:t>
      </w:r>
      <w:r w:rsidRPr="00E31B36">
        <w:rPr>
          <w:rFonts w:cs="Times New Roman"/>
          <w:i/>
          <w:iCs/>
          <w:szCs w:val="24"/>
          <w:shd w:val="clear" w:color="auto" w:fill="FFFFFF"/>
        </w:rPr>
        <w:t>46</w:t>
      </w:r>
      <w:r w:rsidRPr="00E31B36">
        <w:rPr>
          <w:rFonts w:cs="Times New Roman"/>
          <w:szCs w:val="24"/>
          <w:shd w:val="clear" w:color="auto" w:fill="FFFFFF"/>
        </w:rPr>
        <w:t>(2), pp.55-67.</w:t>
      </w:r>
    </w:p>
    <w:p w14:paraId="372517CE" w14:textId="77777777" w:rsidR="00E44F11" w:rsidRPr="00E31B36" w:rsidRDefault="00E44F11" w:rsidP="00E44F11">
      <w:pPr>
        <w:ind w:left="720" w:hanging="720"/>
        <w:rPr>
          <w:rFonts w:cs="Times New Roman"/>
          <w:szCs w:val="24"/>
          <w:shd w:val="clear" w:color="auto" w:fill="FFFFFF"/>
        </w:rPr>
      </w:pPr>
      <w:proofErr w:type="spellStart"/>
      <w:r w:rsidRPr="00E31B36">
        <w:rPr>
          <w:rFonts w:cs="Times New Roman"/>
          <w:szCs w:val="24"/>
          <w:shd w:val="clear" w:color="auto" w:fill="FFFFFF"/>
        </w:rPr>
        <w:t>Nurmasari</w:t>
      </w:r>
      <w:proofErr w:type="spellEnd"/>
      <w:r w:rsidRPr="00E31B36">
        <w:rPr>
          <w:rFonts w:cs="Times New Roman"/>
          <w:szCs w:val="24"/>
          <w:shd w:val="clear" w:color="auto" w:fill="FFFFFF"/>
        </w:rPr>
        <w:t xml:space="preserve">, I., 2017. </w:t>
      </w:r>
      <w:proofErr w:type="spellStart"/>
      <w:r w:rsidRPr="00E31B36">
        <w:rPr>
          <w:rFonts w:cs="Times New Roman"/>
          <w:szCs w:val="24"/>
          <w:shd w:val="clear" w:color="auto" w:fill="FFFFFF"/>
        </w:rPr>
        <w:t>Analisis</w:t>
      </w:r>
      <w:proofErr w:type="spellEnd"/>
      <w:r w:rsidRPr="00E31B36">
        <w:rPr>
          <w:rFonts w:cs="Times New Roman"/>
          <w:szCs w:val="24"/>
          <w:shd w:val="clear" w:color="auto" w:fill="FFFFFF"/>
        </w:rPr>
        <w:t xml:space="preserve"> Current Ratio, Return on Equity, Debt to Equity Ratio dan </w:t>
      </w:r>
      <w:proofErr w:type="spellStart"/>
      <w:r w:rsidRPr="00E31B36">
        <w:rPr>
          <w:rFonts w:cs="Times New Roman"/>
          <w:szCs w:val="24"/>
          <w:shd w:val="clear" w:color="auto" w:fill="FFFFFF"/>
        </w:rPr>
        <w:t>Pertumbuhan</w:t>
      </w:r>
      <w:proofErr w:type="spellEnd"/>
      <w:r w:rsidRPr="00E31B36">
        <w:rPr>
          <w:rFonts w:cs="Times New Roman"/>
          <w:szCs w:val="24"/>
          <w:shd w:val="clear" w:color="auto" w:fill="FFFFFF"/>
        </w:rPr>
        <w:t xml:space="preserve"> </w:t>
      </w:r>
      <w:proofErr w:type="spellStart"/>
      <w:r w:rsidRPr="00E31B36">
        <w:rPr>
          <w:rFonts w:cs="Times New Roman"/>
          <w:szCs w:val="24"/>
          <w:shd w:val="clear" w:color="auto" w:fill="FFFFFF"/>
        </w:rPr>
        <w:t>pendapatan</w:t>
      </w:r>
      <w:proofErr w:type="spellEnd"/>
      <w:r w:rsidRPr="00E31B36">
        <w:rPr>
          <w:rFonts w:cs="Times New Roman"/>
          <w:szCs w:val="24"/>
          <w:shd w:val="clear" w:color="auto" w:fill="FFFFFF"/>
        </w:rPr>
        <w:t xml:space="preserve"> </w:t>
      </w:r>
      <w:proofErr w:type="spellStart"/>
      <w:r w:rsidRPr="00E31B36">
        <w:rPr>
          <w:rFonts w:cs="Times New Roman"/>
          <w:szCs w:val="24"/>
          <w:shd w:val="clear" w:color="auto" w:fill="FFFFFF"/>
        </w:rPr>
        <w:t>berpengaruh</w:t>
      </w:r>
      <w:proofErr w:type="spellEnd"/>
      <w:r w:rsidRPr="00E31B36">
        <w:rPr>
          <w:rFonts w:cs="Times New Roman"/>
          <w:szCs w:val="24"/>
          <w:shd w:val="clear" w:color="auto" w:fill="FFFFFF"/>
        </w:rPr>
        <w:t xml:space="preserve"> </w:t>
      </w:r>
      <w:proofErr w:type="spellStart"/>
      <w:r w:rsidRPr="00E31B36">
        <w:rPr>
          <w:rFonts w:cs="Times New Roman"/>
          <w:szCs w:val="24"/>
          <w:shd w:val="clear" w:color="auto" w:fill="FFFFFF"/>
        </w:rPr>
        <w:t>terhadap</w:t>
      </w:r>
      <w:proofErr w:type="spellEnd"/>
      <w:r w:rsidRPr="00E31B36">
        <w:rPr>
          <w:rFonts w:cs="Times New Roman"/>
          <w:szCs w:val="24"/>
          <w:shd w:val="clear" w:color="auto" w:fill="FFFFFF"/>
        </w:rPr>
        <w:t xml:space="preserve"> return </w:t>
      </w:r>
      <w:proofErr w:type="spellStart"/>
      <w:r w:rsidRPr="00E31B36">
        <w:rPr>
          <w:rFonts w:cs="Times New Roman"/>
          <w:szCs w:val="24"/>
          <w:shd w:val="clear" w:color="auto" w:fill="FFFFFF"/>
        </w:rPr>
        <w:t>saham</w:t>
      </w:r>
      <w:proofErr w:type="spellEnd"/>
      <w:r w:rsidRPr="00E31B36">
        <w:rPr>
          <w:rFonts w:cs="Times New Roman"/>
          <w:szCs w:val="24"/>
          <w:shd w:val="clear" w:color="auto" w:fill="FFFFFF"/>
        </w:rPr>
        <w:t xml:space="preserve"> pada </w:t>
      </w:r>
      <w:proofErr w:type="spellStart"/>
      <w:r w:rsidRPr="00E31B36">
        <w:rPr>
          <w:rFonts w:cs="Times New Roman"/>
          <w:szCs w:val="24"/>
          <w:shd w:val="clear" w:color="auto" w:fill="FFFFFF"/>
        </w:rPr>
        <w:t>perusahaan</w:t>
      </w:r>
      <w:proofErr w:type="spellEnd"/>
      <w:r w:rsidRPr="00E31B36">
        <w:rPr>
          <w:rFonts w:cs="Times New Roman"/>
          <w:szCs w:val="24"/>
          <w:shd w:val="clear" w:color="auto" w:fill="FFFFFF"/>
        </w:rPr>
        <w:t xml:space="preserve"> </w:t>
      </w:r>
      <w:proofErr w:type="spellStart"/>
      <w:r w:rsidRPr="00E31B36">
        <w:rPr>
          <w:rFonts w:cs="Times New Roman"/>
          <w:szCs w:val="24"/>
          <w:shd w:val="clear" w:color="auto" w:fill="FFFFFF"/>
        </w:rPr>
        <w:t>pertambangan</w:t>
      </w:r>
      <w:proofErr w:type="spellEnd"/>
      <w:r w:rsidRPr="00E31B36">
        <w:rPr>
          <w:rFonts w:cs="Times New Roman"/>
          <w:szCs w:val="24"/>
          <w:shd w:val="clear" w:color="auto" w:fill="FFFFFF"/>
        </w:rPr>
        <w:t xml:space="preserve"> di Bursa </w:t>
      </w:r>
      <w:proofErr w:type="spellStart"/>
      <w:r w:rsidRPr="00E31B36">
        <w:rPr>
          <w:rFonts w:cs="Times New Roman"/>
          <w:szCs w:val="24"/>
          <w:shd w:val="clear" w:color="auto" w:fill="FFFFFF"/>
        </w:rPr>
        <w:t>Efek</w:t>
      </w:r>
      <w:proofErr w:type="spellEnd"/>
      <w:r w:rsidRPr="00E31B36">
        <w:rPr>
          <w:rFonts w:cs="Times New Roman"/>
          <w:szCs w:val="24"/>
          <w:shd w:val="clear" w:color="auto" w:fill="FFFFFF"/>
        </w:rPr>
        <w:t xml:space="preserve"> Indonesia 2010-2014. </w:t>
      </w:r>
      <w:proofErr w:type="spellStart"/>
      <w:r w:rsidRPr="00E31B36">
        <w:rPr>
          <w:rFonts w:cs="Times New Roman"/>
          <w:i/>
          <w:iCs/>
          <w:szCs w:val="24"/>
          <w:shd w:val="clear" w:color="auto" w:fill="FFFFFF"/>
        </w:rPr>
        <w:t>Jurnal</w:t>
      </w:r>
      <w:proofErr w:type="spellEnd"/>
      <w:r w:rsidRPr="00E31B36">
        <w:rPr>
          <w:rFonts w:cs="Times New Roman"/>
          <w:i/>
          <w:iCs/>
          <w:szCs w:val="24"/>
          <w:shd w:val="clear" w:color="auto" w:fill="FFFFFF"/>
        </w:rPr>
        <w:t xml:space="preserve"> </w:t>
      </w:r>
      <w:proofErr w:type="spellStart"/>
      <w:r w:rsidRPr="00E31B36">
        <w:rPr>
          <w:rFonts w:cs="Times New Roman"/>
          <w:i/>
          <w:iCs/>
          <w:szCs w:val="24"/>
          <w:shd w:val="clear" w:color="auto" w:fill="FFFFFF"/>
        </w:rPr>
        <w:t>Kreatif</w:t>
      </w:r>
      <w:proofErr w:type="spellEnd"/>
      <w:r w:rsidRPr="00E31B36">
        <w:rPr>
          <w:rFonts w:cs="Times New Roman"/>
          <w:szCs w:val="24"/>
          <w:shd w:val="clear" w:color="auto" w:fill="FFFFFF"/>
        </w:rPr>
        <w:t>, </w:t>
      </w:r>
      <w:r w:rsidRPr="00E31B36">
        <w:rPr>
          <w:rFonts w:cs="Times New Roman"/>
          <w:i/>
          <w:iCs/>
          <w:szCs w:val="24"/>
          <w:shd w:val="clear" w:color="auto" w:fill="FFFFFF"/>
        </w:rPr>
        <w:t>5</w:t>
      </w:r>
      <w:r w:rsidRPr="00E31B36">
        <w:rPr>
          <w:rFonts w:cs="Times New Roman"/>
          <w:szCs w:val="24"/>
          <w:shd w:val="clear" w:color="auto" w:fill="FFFFFF"/>
        </w:rPr>
        <w:t>(1), pp.112-131.</w:t>
      </w:r>
    </w:p>
    <w:p w14:paraId="250EFD46" w14:textId="77777777" w:rsidR="00E44F11" w:rsidRPr="00E31B36" w:rsidRDefault="00E44F11" w:rsidP="00E44F11">
      <w:pPr>
        <w:ind w:left="720" w:hanging="720"/>
        <w:rPr>
          <w:rFonts w:cs="Times New Roman"/>
          <w:szCs w:val="24"/>
          <w:shd w:val="clear" w:color="auto" w:fill="FFFFFF"/>
        </w:rPr>
      </w:pPr>
      <w:proofErr w:type="spellStart"/>
      <w:r w:rsidRPr="00E31B36">
        <w:rPr>
          <w:rFonts w:cs="Times New Roman"/>
          <w:szCs w:val="24"/>
          <w:shd w:val="clear" w:color="auto" w:fill="FFFFFF"/>
        </w:rPr>
        <w:t>Öztürk</w:t>
      </w:r>
      <w:proofErr w:type="spellEnd"/>
      <w:r w:rsidRPr="00E31B36">
        <w:rPr>
          <w:rFonts w:cs="Times New Roman"/>
          <w:szCs w:val="24"/>
          <w:shd w:val="clear" w:color="auto" w:fill="FFFFFF"/>
        </w:rPr>
        <w:t xml:space="preserve">, H. and </w:t>
      </w:r>
      <w:proofErr w:type="spellStart"/>
      <w:r w:rsidRPr="00E31B36">
        <w:rPr>
          <w:rFonts w:cs="Times New Roman"/>
          <w:szCs w:val="24"/>
          <w:shd w:val="clear" w:color="auto" w:fill="FFFFFF"/>
        </w:rPr>
        <w:t>Karabulut</w:t>
      </w:r>
      <w:proofErr w:type="spellEnd"/>
      <w:r w:rsidRPr="00E31B36">
        <w:rPr>
          <w:rFonts w:cs="Times New Roman"/>
          <w:szCs w:val="24"/>
          <w:shd w:val="clear" w:color="auto" w:fill="FFFFFF"/>
        </w:rPr>
        <w:t>, T.A., 2018. The relationship between earnings-to-price, current ratio, profit margin and return: an empirical analysis on Istanbul stock exchange. </w:t>
      </w:r>
      <w:r w:rsidRPr="00E31B36">
        <w:rPr>
          <w:rFonts w:cs="Times New Roman"/>
          <w:i/>
          <w:iCs/>
          <w:szCs w:val="24"/>
          <w:shd w:val="clear" w:color="auto" w:fill="FFFFFF"/>
        </w:rPr>
        <w:t>Accounting and Finance Research</w:t>
      </w:r>
      <w:r w:rsidRPr="00E31B36">
        <w:rPr>
          <w:rFonts w:cs="Times New Roman"/>
          <w:szCs w:val="24"/>
          <w:shd w:val="clear" w:color="auto" w:fill="FFFFFF"/>
        </w:rPr>
        <w:t>, </w:t>
      </w:r>
      <w:r w:rsidRPr="00E31B36">
        <w:rPr>
          <w:rFonts w:cs="Times New Roman"/>
          <w:i/>
          <w:iCs/>
          <w:szCs w:val="24"/>
          <w:shd w:val="clear" w:color="auto" w:fill="FFFFFF"/>
        </w:rPr>
        <w:t>7</w:t>
      </w:r>
      <w:r w:rsidRPr="00E31B36">
        <w:rPr>
          <w:rFonts w:cs="Times New Roman"/>
          <w:szCs w:val="24"/>
          <w:shd w:val="clear" w:color="auto" w:fill="FFFFFF"/>
        </w:rPr>
        <w:t>(1), pp.109-115.</w:t>
      </w:r>
    </w:p>
    <w:p w14:paraId="4B172C30" w14:textId="77777777" w:rsidR="00E44F11" w:rsidRPr="00E31B36" w:rsidRDefault="00E44F11" w:rsidP="00E44F11">
      <w:pPr>
        <w:ind w:left="720" w:hanging="720"/>
        <w:rPr>
          <w:rFonts w:cs="Times New Roman"/>
          <w:szCs w:val="24"/>
        </w:rPr>
      </w:pPr>
      <w:r w:rsidRPr="00E31B36">
        <w:rPr>
          <w:rFonts w:cs="Times New Roman"/>
          <w:szCs w:val="24"/>
        </w:rPr>
        <w:t>Porter, G.A. and Norton, C.L., 2017. </w:t>
      </w:r>
      <w:r w:rsidRPr="00E31B36">
        <w:rPr>
          <w:rFonts w:cs="Times New Roman"/>
          <w:i/>
          <w:iCs/>
          <w:szCs w:val="24"/>
        </w:rPr>
        <w:t>Using financial accounting information: the alternative to debits and credits</w:t>
      </w:r>
      <w:r w:rsidRPr="00E31B36">
        <w:rPr>
          <w:rFonts w:cs="Times New Roman"/>
          <w:szCs w:val="24"/>
        </w:rPr>
        <w:t>. Cengage Learning.</w:t>
      </w:r>
    </w:p>
    <w:p w14:paraId="53070B66" w14:textId="77777777" w:rsidR="00E44F11" w:rsidRPr="00E31B36" w:rsidRDefault="00E44F11" w:rsidP="00E44F11">
      <w:pPr>
        <w:ind w:left="720" w:hanging="720"/>
        <w:rPr>
          <w:rFonts w:cs="Times New Roman"/>
          <w:szCs w:val="24"/>
          <w:shd w:val="clear" w:color="auto" w:fill="FFFFFF"/>
        </w:rPr>
      </w:pPr>
      <w:r w:rsidRPr="00E31B36">
        <w:rPr>
          <w:rFonts w:cs="Times New Roman"/>
          <w:szCs w:val="24"/>
          <w:shd w:val="clear" w:color="auto" w:fill="FFFFFF"/>
        </w:rPr>
        <w:t xml:space="preserve">Rodrigo, P.M., Fernández, E.F., </w:t>
      </w:r>
      <w:proofErr w:type="spellStart"/>
      <w:r w:rsidRPr="00E31B36">
        <w:rPr>
          <w:rFonts w:cs="Times New Roman"/>
          <w:szCs w:val="24"/>
          <w:shd w:val="clear" w:color="auto" w:fill="FFFFFF"/>
        </w:rPr>
        <w:t>Almonacid</w:t>
      </w:r>
      <w:proofErr w:type="spellEnd"/>
      <w:r w:rsidRPr="00E31B36">
        <w:rPr>
          <w:rFonts w:cs="Times New Roman"/>
          <w:szCs w:val="24"/>
          <w:shd w:val="clear" w:color="auto" w:fill="FFFFFF"/>
        </w:rPr>
        <w:t>, F.M. and Pérez-</w:t>
      </w:r>
      <w:proofErr w:type="spellStart"/>
      <w:r w:rsidRPr="00E31B36">
        <w:rPr>
          <w:rFonts w:cs="Times New Roman"/>
          <w:szCs w:val="24"/>
          <w:shd w:val="clear" w:color="auto" w:fill="FFFFFF"/>
        </w:rPr>
        <w:t>Higueras</w:t>
      </w:r>
      <w:proofErr w:type="spellEnd"/>
      <w:r w:rsidRPr="00E31B36">
        <w:rPr>
          <w:rFonts w:cs="Times New Roman"/>
          <w:szCs w:val="24"/>
          <w:shd w:val="clear" w:color="auto" w:fill="FFFFFF"/>
        </w:rPr>
        <w:t>, P.J., 2018, September. Influence of ground cover ratio on optimum inverter size in CPV plants. In </w:t>
      </w:r>
      <w:r w:rsidRPr="00E31B36">
        <w:rPr>
          <w:rFonts w:cs="Times New Roman"/>
          <w:i/>
          <w:iCs/>
          <w:szCs w:val="24"/>
          <w:shd w:val="clear" w:color="auto" w:fill="FFFFFF"/>
        </w:rPr>
        <w:t>AIP Conference Proceedings</w:t>
      </w:r>
      <w:r w:rsidRPr="00E31B36">
        <w:rPr>
          <w:rFonts w:cs="Times New Roman"/>
          <w:szCs w:val="24"/>
          <w:shd w:val="clear" w:color="auto" w:fill="FFFFFF"/>
        </w:rPr>
        <w:t> (Vol. 2012, No. 1, p. 080009). AIP Publishing LLC.</w:t>
      </w:r>
    </w:p>
    <w:p w14:paraId="504D195A" w14:textId="77777777" w:rsidR="00E44F11" w:rsidRPr="00E31B36" w:rsidRDefault="00E44F11" w:rsidP="00E44F11">
      <w:pPr>
        <w:ind w:left="720" w:hanging="720"/>
        <w:rPr>
          <w:rFonts w:cs="Times New Roman"/>
          <w:szCs w:val="24"/>
        </w:rPr>
      </w:pPr>
      <w:r w:rsidRPr="00E31B36">
        <w:rPr>
          <w:rFonts w:cs="Times New Roman"/>
          <w:szCs w:val="24"/>
        </w:rPr>
        <w:lastRenderedPageBreak/>
        <w:t>Song, M., Zhu, S., Wang, J. and Wang, S., 2019. China's natural resources balance sheet from the perspective of government oversight: based on the analysis of governance and accounting attributes. </w:t>
      </w:r>
      <w:r w:rsidRPr="00E31B36">
        <w:rPr>
          <w:rFonts w:cs="Times New Roman"/>
          <w:i/>
          <w:iCs/>
          <w:szCs w:val="24"/>
        </w:rPr>
        <w:t>Journal of environmental management</w:t>
      </w:r>
      <w:r w:rsidRPr="00E31B36">
        <w:rPr>
          <w:rFonts w:cs="Times New Roman"/>
          <w:szCs w:val="24"/>
        </w:rPr>
        <w:t>, </w:t>
      </w:r>
      <w:r w:rsidRPr="00E31B36">
        <w:rPr>
          <w:rFonts w:cs="Times New Roman"/>
          <w:i/>
          <w:iCs/>
          <w:szCs w:val="24"/>
        </w:rPr>
        <w:t>248</w:t>
      </w:r>
      <w:r w:rsidRPr="00E31B36">
        <w:rPr>
          <w:rFonts w:cs="Times New Roman"/>
          <w:szCs w:val="24"/>
        </w:rPr>
        <w:t>, p.109232.</w:t>
      </w:r>
    </w:p>
    <w:p w14:paraId="38D26E9B" w14:textId="77777777" w:rsidR="00E44F11" w:rsidRPr="00E31B36" w:rsidRDefault="00E44F11" w:rsidP="00E44F11">
      <w:pPr>
        <w:ind w:left="720" w:hanging="720"/>
        <w:rPr>
          <w:rFonts w:cs="Times New Roman"/>
          <w:szCs w:val="24"/>
          <w:shd w:val="clear" w:color="auto" w:fill="FFFFFF"/>
        </w:rPr>
      </w:pPr>
      <w:proofErr w:type="spellStart"/>
      <w:r w:rsidRPr="00E31B36">
        <w:rPr>
          <w:rFonts w:cs="Times New Roman"/>
          <w:szCs w:val="24"/>
          <w:shd w:val="clear" w:color="auto" w:fill="FFFFFF"/>
        </w:rPr>
        <w:t>Tumanggor</w:t>
      </w:r>
      <w:proofErr w:type="spellEnd"/>
      <w:r w:rsidRPr="00E31B36">
        <w:rPr>
          <w:rFonts w:cs="Times New Roman"/>
          <w:szCs w:val="24"/>
          <w:shd w:val="clear" w:color="auto" w:fill="FFFFFF"/>
        </w:rPr>
        <w:t xml:space="preserve">, M., 2020. The Influence of Current Ratio, Quick Ratio and Net Profit Margin on Return on Assets at PT. Hero Supermarket </w:t>
      </w:r>
      <w:proofErr w:type="spellStart"/>
      <w:r w:rsidRPr="00E31B36">
        <w:rPr>
          <w:rFonts w:cs="Times New Roman"/>
          <w:szCs w:val="24"/>
          <w:shd w:val="clear" w:color="auto" w:fill="FFFFFF"/>
        </w:rPr>
        <w:t>Tbk</w:t>
      </w:r>
      <w:proofErr w:type="spellEnd"/>
      <w:r w:rsidRPr="00E31B36">
        <w:rPr>
          <w:rFonts w:cs="Times New Roman"/>
          <w:szCs w:val="24"/>
          <w:shd w:val="clear" w:color="auto" w:fill="FFFFFF"/>
        </w:rPr>
        <w:t>. </w:t>
      </w:r>
      <w:r w:rsidRPr="00E31B36">
        <w:rPr>
          <w:rFonts w:cs="Times New Roman"/>
          <w:i/>
          <w:iCs/>
          <w:szCs w:val="24"/>
          <w:shd w:val="clear" w:color="auto" w:fill="FFFFFF"/>
        </w:rPr>
        <w:t>PINISI Discretion Review</w:t>
      </w:r>
      <w:r w:rsidRPr="00E31B36">
        <w:rPr>
          <w:rFonts w:cs="Times New Roman"/>
          <w:szCs w:val="24"/>
          <w:shd w:val="clear" w:color="auto" w:fill="FFFFFF"/>
        </w:rPr>
        <w:t>, </w:t>
      </w:r>
      <w:r w:rsidRPr="00E31B36">
        <w:rPr>
          <w:rFonts w:cs="Times New Roman"/>
          <w:i/>
          <w:iCs/>
          <w:szCs w:val="24"/>
          <w:shd w:val="clear" w:color="auto" w:fill="FFFFFF"/>
        </w:rPr>
        <w:t>1</w:t>
      </w:r>
      <w:r w:rsidRPr="00E31B36">
        <w:rPr>
          <w:rFonts w:cs="Times New Roman"/>
          <w:szCs w:val="24"/>
          <w:shd w:val="clear" w:color="auto" w:fill="FFFFFF"/>
        </w:rPr>
        <w:t>(1), pp.137-146.</w:t>
      </w:r>
    </w:p>
    <w:p w14:paraId="7BEA1323" w14:textId="77777777" w:rsidR="00E44F11" w:rsidRPr="00E31B36" w:rsidRDefault="00E44F11" w:rsidP="00E44F11">
      <w:pPr>
        <w:ind w:left="720" w:hanging="720"/>
        <w:rPr>
          <w:rFonts w:cs="Times New Roman"/>
          <w:szCs w:val="24"/>
          <w:shd w:val="clear" w:color="auto" w:fill="FFFFFF"/>
        </w:rPr>
      </w:pPr>
      <w:r w:rsidRPr="00E31B36">
        <w:rPr>
          <w:rFonts w:cs="Times New Roman"/>
          <w:szCs w:val="24"/>
          <w:shd w:val="clear" w:color="auto" w:fill="FFFFFF"/>
        </w:rPr>
        <w:t>Ullah, N., 2021. Financial Ratios Analysis of 7-Elaven: An Analysis of Five Years Financial Statement.</w:t>
      </w:r>
    </w:p>
    <w:p w14:paraId="5DED15F5" w14:textId="77777777" w:rsidR="00E44F11" w:rsidRPr="00E31B36" w:rsidRDefault="00E44F11" w:rsidP="00E44F11">
      <w:pPr>
        <w:ind w:left="720" w:hanging="720"/>
        <w:rPr>
          <w:rFonts w:cs="Times New Roman"/>
          <w:szCs w:val="24"/>
          <w:shd w:val="clear" w:color="auto" w:fill="FFFFFF"/>
        </w:rPr>
      </w:pPr>
      <w:r w:rsidRPr="00E31B36">
        <w:rPr>
          <w:rFonts w:cs="Times New Roman"/>
          <w:szCs w:val="24"/>
          <w:shd w:val="clear" w:color="auto" w:fill="FFFFFF"/>
        </w:rPr>
        <w:t xml:space="preserve">Wu, D.A. and </w:t>
      </w:r>
      <w:proofErr w:type="spellStart"/>
      <w:r w:rsidRPr="00E31B36">
        <w:rPr>
          <w:rFonts w:cs="Times New Roman"/>
          <w:szCs w:val="24"/>
          <w:shd w:val="clear" w:color="auto" w:fill="FFFFFF"/>
        </w:rPr>
        <w:t>Yaron</w:t>
      </w:r>
      <w:proofErr w:type="spellEnd"/>
      <w:r w:rsidRPr="00E31B36">
        <w:rPr>
          <w:rFonts w:cs="Times New Roman"/>
          <w:szCs w:val="24"/>
          <w:shd w:val="clear" w:color="auto" w:fill="FFFFFF"/>
        </w:rPr>
        <w:t>, A., 2018. Analyst Days, Stock Prices, and Firm Performance. </w:t>
      </w:r>
      <w:r w:rsidRPr="00E31B36">
        <w:rPr>
          <w:rFonts w:cs="Times New Roman"/>
          <w:i/>
          <w:iCs/>
          <w:szCs w:val="24"/>
          <w:shd w:val="clear" w:color="auto" w:fill="FFFFFF"/>
        </w:rPr>
        <w:t>Stock Prices, and Firm Performance (October 2, 2018)</w:t>
      </w:r>
      <w:r w:rsidRPr="00E31B36">
        <w:rPr>
          <w:rFonts w:cs="Times New Roman"/>
          <w:szCs w:val="24"/>
          <w:shd w:val="clear" w:color="auto" w:fill="FFFFFF"/>
        </w:rPr>
        <w:t>.</w:t>
      </w:r>
    </w:p>
    <w:p w14:paraId="448238A5" w14:textId="77777777" w:rsidR="00E44F11" w:rsidRPr="00E31B36" w:rsidRDefault="00E44F11" w:rsidP="00E44F11">
      <w:pPr>
        <w:rPr>
          <w:rFonts w:cs="Times New Roman"/>
          <w:szCs w:val="24"/>
        </w:rPr>
      </w:pPr>
    </w:p>
    <w:p w14:paraId="6CE6C221" w14:textId="77777777" w:rsidR="00EF1008" w:rsidRPr="00E31B36" w:rsidRDefault="00EF1008" w:rsidP="00EF1008">
      <w:pPr>
        <w:rPr>
          <w:rFonts w:cs="Times New Roman"/>
          <w:szCs w:val="24"/>
        </w:rPr>
      </w:pPr>
    </w:p>
    <w:p w14:paraId="64EEB610" w14:textId="77777777" w:rsidR="00EF1008" w:rsidRPr="00E31B36" w:rsidRDefault="00EF1008" w:rsidP="009603B9">
      <w:pPr>
        <w:rPr>
          <w:rFonts w:cs="Times New Roman"/>
          <w:szCs w:val="24"/>
        </w:rPr>
      </w:pPr>
    </w:p>
    <w:sectPr w:rsidR="00EF1008" w:rsidRPr="00E31B3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CD56C464"/>
    <w:multiLevelType w:val="hybridMultilevel"/>
    <w:tmpl w:val="E43ABB70"/>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33A6B57"/>
    <w:multiLevelType w:val="hybridMultilevel"/>
    <w:tmpl w:val="8F18F6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8AC3DCA"/>
    <w:multiLevelType w:val="hybridMultilevel"/>
    <w:tmpl w:val="645A58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0644733"/>
    <w:multiLevelType w:val="hybridMultilevel"/>
    <w:tmpl w:val="E8580AB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6CF18F7"/>
    <w:multiLevelType w:val="hybridMultilevel"/>
    <w:tmpl w:val="CB4A56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54DBD52"/>
    <w:multiLevelType w:val="hybridMultilevel"/>
    <w:tmpl w:val="976D053B"/>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56204D80"/>
    <w:multiLevelType w:val="hybridMultilevel"/>
    <w:tmpl w:val="6314540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A704E70"/>
    <w:multiLevelType w:val="hybridMultilevel"/>
    <w:tmpl w:val="E042D7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5212DA5"/>
    <w:multiLevelType w:val="hybridMultilevel"/>
    <w:tmpl w:val="1189DD45"/>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6"/>
  </w:num>
  <w:num w:numId="2">
    <w:abstractNumId w:val="0"/>
  </w:num>
  <w:num w:numId="3">
    <w:abstractNumId w:val="8"/>
  </w:num>
  <w:num w:numId="4">
    <w:abstractNumId w:val="5"/>
  </w:num>
  <w:num w:numId="5">
    <w:abstractNumId w:val="3"/>
  </w:num>
  <w:num w:numId="6">
    <w:abstractNumId w:val="7"/>
  </w:num>
  <w:num w:numId="7">
    <w:abstractNumId w:val="4"/>
  </w:num>
  <w:num w:numId="8">
    <w:abstractNumId w:val="2"/>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03B9"/>
    <w:rsid w:val="000F1498"/>
    <w:rsid w:val="001055C9"/>
    <w:rsid w:val="00165654"/>
    <w:rsid w:val="001D3B4E"/>
    <w:rsid w:val="002976A7"/>
    <w:rsid w:val="003333A4"/>
    <w:rsid w:val="004E5F45"/>
    <w:rsid w:val="00532667"/>
    <w:rsid w:val="00537016"/>
    <w:rsid w:val="005C082E"/>
    <w:rsid w:val="007C1E51"/>
    <w:rsid w:val="009603B9"/>
    <w:rsid w:val="00BE11AA"/>
    <w:rsid w:val="00CA4EAD"/>
    <w:rsid w:val="00E31B36"/>
    <w:rsid w:val="00E44F11"/>
    <w:rsid w:val="00E61C60"/>
    <w:rsid w:val="00EF1008"/>
    <w:rsid w:val="00F873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F3871A"/>
  <w15:chartTrackingRefBased/>
  <w15:docId w15:val="{652D61D9-0C90-4998-A505-DD6B630252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4F1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44F11"/>
    <w:pPr>
      <w:keepNext/>
      <w:keepLines/>
      <w:spacing w:before="240" w:after="0"/>
      <w:outlineLvl w:val="0"/>
    </w:pPr>
    <w:rPr>
      <w:rFonts w:asciiTheme="majorHAnsi" w:eastAsiaTheme="majorEastAsia" w:hAnsiTheme="majorHAnsi" w:cstheme="majorBidi"/>
      <w:b/>
      <w:color w:val="0D0D0D" w:themeColor="text1" w:themeTint="F2"/>
      <w:sz w:val="28"/>
      <w:szCs w:val="32"/>
    </w:rPr>
  </w:style>
  <w:style w:type="paragraph" w:styleId="Heading2">
    <w:name w:val="heading 2"/>
    <w:basedOn w:val="Normal"/>
    <w:next w:val="Normal"/>
    <w:link w:val="Heading2Char"/>
    <w:uiPriority w:val="9"/>
    <w:unhideWhenUsed/>
    <w:qFormat/>
    <w:rsid w:val="00E44F11"/>
    <w:pPr>
      <w:keepNext/>
      <w:keepLines/>
      <w:spacing w:before="40" w:after="0"/>
      <w:outlineLvl w:val="1"/>
    </w:pPr>
    <w:rPr>
      <w:rFonts w:asciiTheme="majorHAnsi" w:eastAsiaTheme="majorEastAsia" w:hAnsiTheme="majorHAnsi" w:cstheme="majorBidi"/>
      <w:b/>
      <w:color w:val="1F4E79" w:themeColor="accent1" w:themeShade="80"/>
      <w:sz w:val="26"/>
      <w:szCs w:val="26"/>
    </w:rPr>
  </w:style>
  <w:style w:type="paragraph" w:styleId="Heading3">
    <w:name w:val="heading 3"/>
    <w:basedOn w:val="Normal"/>
    <w:next w:val="Normal"/>
    <w:link w:val="Heading3Char"/>
    <w:uiPriority w:val="9"/>
    <w:unhideWhenUsed/>
    <w:qFormat/>
    <w:rsid w:val="009603B9"/>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603B9"/>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9603B9"/>
    <w:rPr>
      <w:b/>
      <w:bCs/>
    </w:rPr>
  </w:style>
  <w:style w:type="character" w:customStyle="1" w:styleId="Heading1Char">
    <w:name w:val="Heading 1 Char"/>
    <w:basedOn w:val="DefaultParagraphFont"/>
    <w:link w:val="Heading1"/>
    <w:uiPriority w:val="9"/>
    <w:rsid w:val="00E44F11"/>
    <w:rPr>
      <w:rFonts w:asciiTheme="majorHAnsi" w:eastAsiaTheme="majorEastAsia" w:hAnsiTheme="majorHAnsi" w:cstheme="majorBidi"/>
      <w:b/>
      <w:color w:val="0D0D0D" w:themeColor="text1" w:themeTint="F2"/>
      <w:sz w:val="28"/>
      <w:szCs w:val="32"/>
    </w:rPr>
  </w:style>
  <w:style w:type="character" w:customStyle="1" w:styleId="Heading2Char">
    <w:name w:val="Heading 2 Char"/>
    <w:basedOn w:val="DefaultParagraphFont"/>
    <w:link w:val="Heading2"/>
    <w:uiPriority w:val="9"/>
    <w:rsid w:val="00E44F11"/>
    <w:rPr>
      <w:rFonts w:asciiTheme="majorHAnsi" w:eastAsiaTheme="majorEastAsia" w:hAnsiTheme="majorHAnsi" w:cstheme="majorBidi"/>
      <w:b/>
      <w:color w:val="1F4E79" w:themeColor="accent1" w:themeShade="80"/>
      <w:sz w:val="26"/>
      <w:szCs w:val="26"/>
    </w:rPr>
  </w:style>
  <w:style w:type="table" w:styleId="TableGrid">
    <w:name w:val="Table Grid"/>
    <w:basedOn w:val="TableNormal"/>
    <w:uiPriority w:val="39"/>
    <w:rsid w:val="009603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9603B9"/>
    <w:rPr>
      <w:rFonts w:asciiTheme="majorHAnsi" w:eastAsiaTheme="majorEastAsia" w:hAnsiTheme="majorHAnsi" w:cstheme="majorBidi"/>
      <w:color w:val="1F4D78" w:themeColor="accent1" w:themeShade="7F"/>
      <w:sz w:val="24"/>
      <w:szCs w:val="24"/>
    </w:rPr>
  </w:style>
  <w:style w:type="paragraph" w:customStyle="1" w:styleId="comp">
    <w:name w:val="comp"/>
    <w:basedOn w:val="Normal"/>
    <w:rsid w:val="00BE11AA"/>
    <w:pPr>
      <w:spacing w:before="100" w:beforeAutospacing="1" w:after="100" w:afterAutospacing="1" w:line="240" w:lineRule="auto"/>
    </w:pPr>
    <w:rPr>
      <w:rFonts w:eastAsia="Times New Roman" w:cs="Times New Roman"/>
      <w:szCs w:val="24"/>
    </w:rPr>
  </w:style>
  <w:style w:type="character" w:styleId="Hyperlink">
    <w:name w:val="Hyperlink"/>
    <w:basedOn w:val="DefaultParagraphFont"/>
    <w:uiPriority w:val="99"/>
    <w:semiHidden/>
    <w:unhideWhenUsed/>
    <w:rsid w:val="00BE11AA"/>
    <w:rPr>
      <w:color w:val="0000FF"/>
      <w:u w:val="single"/>
    </w:rPr>
  </w:style>
  <w:style w:type="paragraph" w:customStyle="1" w:styleId="Default">
    <w:name w:val="Default"/>
    <w:rsid w:val="00E44F11"/>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8896979">
      <w:bodyDiv w:val="1"/>
      <w:marLeft w:val="0"/>
      <w:marRight w:val="0"/>
      <w:marTop w:val="0"/>
      <w:marBottom w:val="0"/>
      <w:divBdr>
        <w:top w:val="none" w:sz="0" w:space="0" w:color="auto"/>
        <w:left w:val="none" w:sz="0" w:space="0" w:color="auto"/>
        <w:bottom w:val="none" w:sz="0" w:space="0" w:color="auto"/>
        <w:right w:val="none" w:sz="0" w:space="0" w:color="auto"/>
      </w:divBdr>
    </w:div>
    <w:div w:id="555698791">
      <w:bodyDiv w:val="1"/>
      <w:marLeft w:val="0"/>
      <w:marRight w:val="0"/>
      <w:marTop w:val="0"/>
      <w:marBottom w:val="0"/>
      <w:divBdr>
        <w:top w:val="none" w:sz="0" w:space="0" w:color="auto"/>
        <w:left w:val="none" w:sz="0" w:space="0" w:color="auto"/>
        <w:bottom w:val="none" w:sz="0" w:space="0" w:color="auto"/>
        <w:right w:val="none" w:sz="0" w:space="0" w:color="auto"/>
      </w:divBdr>
    </w:div>
    <w:div w:id="669412244">
      <w:bodyDiv w:val="1"/>
      <w:marLeft w:val="0"/>
      <w:marRight w:val="0"/>
      <w:marTop w:val="0"/>
      <w:marBottom w:val="0"/>
      <w:divBdr>
        <w:top w:val="none" w:sz="0" w:space="0" w:color="auto"/>
        <w:left w:val="none" w:sz="0" w:space="0" w:color="auto"/>
        <w:bottom w:val="none" w:sz="0" w:space="0" w:color="auto"/>
        <w:right w:val="none" w:sz="0" w:space="0" w:color="auto"/>
      </w:divBdr>
    </w:div>
    <w:div w:id="796140365">
      <w:bodyDiv w:val="1"/>
      <w:marLeft w:val="0"/>
      <w:marRight w:val="0"/>
      <w:marTop w:val="0"/>
      <w:marBottom w:val="0"/>
      <w:divBdr>
        <w:top w:val="none" w:sz="0" w:space="0" w:color="auto"/>
        <w:left w:val="none" w:sz="0" w:space="0" w:color="auto"/>
        <w:bottom w:val="none" w:sz="0" w:space="0" w:color="auto"/>
        <w:right w:val="none" w:sz="0" w:space="0" w:color="auto"/>
      </w:divBdr>
    </w:div>
    <w:div w:id="919605141">
      <w:bodyDiv w:val="1"/>
      <w:marLeft w:val="0"/>
      <w:marRight w:val="0"/>
      <w:marTop w:val="0"/>
      <w:marBottom w:val="0"/>
      <w:divBdr>
        <w:top w:val="none" w:sz="0" w:space="0" w:color="auto"/>
        <w:left w:val="none" w:sz="0" w:space="0" w:color="auto"/>
        <w:bottom w:val="none" w:sz="0" w:space="0" w:color="auto"/>
        <w:right w:val="none" w:sz="0" w:space="0" w:color="auto"/>
      </w:divBdr>
    </w:div>
    <w:div w:id="973096500">
      <w:bodyDiv w:val="1"/>
      <w:marLeft w:val="0"/>
      <w:marRight w:val="0"/>
      <w:marTop w:val="0"/>
      <w:marBottom w:val="0"/>
      <w:divBdr>
        <w:top w:val="none" w:sz="0" w:space="0" w:color="auto"/>
        <w:left w:val="none" w:sz="0" w:space="0" w:color="auto"/>
        <w:bottom w:val="none" w:sz="0" w:space="0" w:color="auto"/>
        <w:right w:val="none" w:sz="0" w:space="0" w:color="auto"/>
      </w:divBdr>
    </w:div>
    <w:div w:id="1062025073">
      <w:bodyDiv w:val="1"/>
      <w:marLeft w:val="0"/>
      <w:marRight w:val="0"/>
      <w:marTop w:val="0"/>
      <w:marBottom w:val="0"/>
      <w:divBdr>
        <w:top w:val="none" w:sz="0" w:space="0" w:color="auto"/>
        <w:left w:val="none" w:sz="0" w:space="0" w:color="auto"/>
        <w:bottom w:val="none" w:sz="0" w:space="0" w:color="auto"/>
        <w:right w:val="none" w:sz="0" w:space="0" w:color="auto"/>
      </w:divBdr>
    </w:div>
    <w:div w:id="1283532217">
      <w:bodyDiv w:val="1"/>
      <w:marLeft w:val="0"/>
      <w:marRight w:val="0"/>
      <w:marTop w:val="0"/>
      <w:marBottom w:val="0"/>
      <w:divBdr>
        <w:top w:val="none" w:sz="0" w:space="0" w:color="auto"/>
        <w:left w:val="none" w:sz="0" w:space="0" w:color="auto"/>
        <w:bottom w:val="none" w:sz="0" w:space="0" w:color="auto"/>
        <w:right w:val="none" w:sz="0" w:space="0" w:color="auto"/>
      </w:divBdr>
    </w:div>
    <w:div w:id="1354186194">
      <w:bodyDiv w:val="1"/>
      <w:marLeft w:val="0"/>
      <w:marRight w:val="0"/>
      <w:marTop w:val="0"/>
      <w:marBottom w:val="0"/>
      <w:divBdr>
        <w:top w:val="none" w:sz="0" w:space="0" w:color="auto"/>
        <w:left w:val="none" w:sz="0" w:space="0" w:color="auto"/>
        <w:bottom w:val="none" w:sz="0" w:space="0" w:color="auto"/>
        <w:right w:val="none" w:sz="0" w:space="0" w:color="auto"/>
      </w:divBdr>
    </w:div>
    <w:div w:id="1653217214">
      <w:bodyDiv w:val="1"/>
      <w:marLeft w:val="0"/>
      <w:marRight w:val="0"/>
      <w:marTop w:val="0"/>
      <w:marBottom w:val="0"/>
      <w:divBdr>
        <w:top w:val="none" w:sz="0" w:space="0" w:color="auto"/>
        <w:left w:val="none" w:sz="0" w:space="0" w:color="auto"/>
        <w:bottom w:val="none" w:sz="0" w:space="0" w:color="auto"/>
        <w:right w:val="none" w:sz="0" w:space="0" w:color="auto"/>
      </w:divBdr>
    </w:div>
    <w:div w:id="1796213847">
      <w:bodyDiv w:val="1"/>
      <w:marLeft w:val="0"/>
      <w:marRight w:val="0"/>
      <w:marTop w:val="0"/>
      <w:marBottom w:val="0"/>
      <w:divBdr>
        <w:top w:val="none" w:sz="0" w:space="0" w:color="auto"/>
        <w:left w:val="none" w:sz="0" w:space="0" w:color="auto"/>
        <w:bottom w:val="none" w:sz="0" w:space="0" w:color="auto"/>
        <w:right w:val="none" w:sz="0" w:space="0" w:color="auto"/>
      </w:divBdr>
    </w:div>
    <w:div w:id="1804807485">
      <w:bodyDiv w:val="1"/>
      <w:marLeft w:val="0"/>
      <w:marRight w:val="0"/>
      <w:marTop w:val="0"/>
      <w:marBottom w:val="0"/>
      <w:divBdr>
        <w:top w:val="none" w:sz="0" w:space="0" w:color="auto"/>
        <w:left w:val="none" w:sz="0" w:space="0" w:color="auto"/>
        <w:bottom w:val="none" w:sz="0" w:space="0" w:color="auto"/>
        <w:right w:val="none" w:sz="0" w:space="0" w:color="auto"/>
      </w:divBdr>
    </w:div>
    <w:div w:id="2029673996">
      <w:bodyDiv w:val="1"/>
      <w:marLeft w:val="0"/>
      <w:marRight w:val="0"/>
      <w:marTop w:val="0"/>
      <w:marBottom w:val="0"/>
      <w:divBdr>
        <w:top w:val="none" w:sz="0" w:space="0" w:color="auto"/>
        <w:left w:val="none" w:sz="0" w:space="0" w:color="auto"/>
        <w:bottom w:val="none" w:sz="0" w:space="0" w:color="auto"/>
        <w:right w:val="none" w:sz="0" w:space="0" w:color="auto"/>
      </w:divBdr>
      <w:divsChild>
        <w:div w:id="1604727526">
          <w:marLeft w:val="0"/>
          <w:marRight w:val="0"/>
          <w:marTop w:val="0"/>
          <w:marBottom w:val="0"/>
          <w:divBdr>
            <w:top w:val="none" w:sz="0" w:space="0" w:color="auto"/>
            <w:left w:val="none" w:sz="0" w:space="0" w:color="auto"/>
            <w:bottom w:val="none" w:sz="0" w:space="0" w:color="auto"/>
            <w:right w:val="none" w:sz="0" w:space="0" w:color="auto"/>
          </w:divBdr>
        </w:div>
      </w:divsChild>
    </w:div>
    <w:div w:id="2086488039">
      <w:bodyDiv w:val="1"/>
      <w:marLeft w:val="0"/>
      <w:marRight w:val="0"/>
      <w:marTop w:val="0"/>
      <w:marBottom w:val="0"/>
      <w:divBdr>
        <w:top w:val="none" w:sz="0" w:space="0" w:color="auto"/>
        <w:left w:val="none" w:sz="0" w:space="0" w:color="auto"/>
        <w:bottom w:val="none" w:sz="0" w:space="0" w:color="auto"/>
        <w:right w:val="none" w:sz="0" w:space="0" w:color="auto"/>
      </w:divBdr>
    </w:div>
    <w:div w:id="2109962843">
      <w:bodyDiv w:val="1"/>
      <w:marLeft w:val="0"/>
      <w:marRight w:val="0"/>
      <w:marTop w:val="0"/>
      <w:marBottom w:val="0"/>
      <w:divBdr>
        <w:top w:val="none" w:sz="0" w:space="0" w:color="auto"/>
        <w:left w:val="none" w:sz="0" w:space="0" w:color="auto"/>
        <w:bottom w:val="none" w:sz="0" w:space="0" w:color="auto"/>
        <w:right w:val="none" w:sz="0" w:space="0" w:color="auto"/>
      </w:divBdr>
    </w:div>
    <w:div w:id="2127385871">
      <w:bodyDiv w:val="1"/>
      <w:marLeft w:val="0"/>
      <w:marRight w:val="0"/>
      <w:marTop w:val="0"/>
      <w:marBottom w:val="0"/>
      <w:divBdr>
        <w:top w:val="none" w:sz="0" w:space="0" w:color="auto"/>
        <w:left w:val="none" w:sz="0" w:space="0" w:color="auto"/>
        <w:bottom w:val="none" w:sz="0" w:space="0" w:color="auto"/>
        <w:right w:val="none" w:sz="0" w:space="0" w:color="auto"/>
      </w:divBdr>
    </w:div>
    <w:div w:id="21324349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13</Pages>
  <Words>1994</Words>
  <Characters>11368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Svetoslav Stoianov (2023030)</cp:lastModifiedBy>
  <cp:revision>10</cp:revision>
  <dcterms:created xsi:type="dcterms:W3CDTF">2021-08-21T07:05:00Z</dcterms:created>
  <dcterms:modified xsi:type="dcterms:W3CDTF">2021-09-03T06:39:00Z</dcterms:modified>
</cp:coreProperties>
</file>