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48"/>
          <w:szCs w:val="48"/>
        </w:rPr>
      </w:pPr>
    </w:p>
    <w:p>
      <w:pPr>
        <w:rPr>
          <w:rFonts w:hint="default"/>
          <w:b/>
          <w:bCs/>
          <w:sz w:val="32"/>
          <w:szCs w:val="32"/>
        </w:rPr>
      </w:pPr>
      <w:r>
        <w:rPr>
          <w:rFonts w:hint="default"/>
          <w:b/>
          <w:bCs/>
          <w:sz w:val="32"/>
          <w:szCs w:val="32"/>
        </w:rPr>
        <w:t>Programe : Ba(HONS)</w:t>
      </w:r>
      <w:r>
        <w:rPr>
          <w:rFonts w:hint="default"/>
          <w:b/>
          <w:bCs/>
          <w:sz w:val="32"/>
          <w:szCs w:val="32"/>
        </w:rPr>
        <w:t xml:space="preserve"> </w:t>
      </w:r>
      <w:r>
        <w:rPr>
          <w:rFonts w:hint="default"/>
          <w:b/>
          <w:bCs/>
          <w:sz w:val="32"/>
          <w:szCs w:val="32"/>
        </w:rPr>
        <w:t xml:space="preserve">Leadership and management  </w:t>
      </w:r>
      <w:r>
        <w:rPr>
          <w:rFonts w:hint="default"/>
          <w:b/>
          <w:bCs/>
          <w:sz w:val="32"/>
          <w:szCs w:val="32"/>
        </w:rPr>
        <w:t xml:space="preserve">for the Workplace level </w:t>
      </w:r>
      <w:r>
        <w:rPr>
          <w:rFonts w:hint="default"/>
          <w:b/>
          <w:bCs/>
          <w:sz w:val="32"/>
          <w:szCs w:val="32"/>
        </w:rPr>
        <w:t>5</w:t>
      </w:r>
      <w:bookmarkStart w:id="9" w:name="_GoBack"/>
      <w:bookmarkEnd w:id="9"/>
    </w:p>
    <w:p>
      <w:pPr>
        <w:rPr>
          <w:rFonts w:hint="default"/>
          <w:b/>
          <w:bCs/>
          <w:sz w:val="32"/>
          <w:szCs w:val="32"/>
        </w:rPr>
      </w:pPr>
    </w:p>
    <w:p>
      <w:pPr>
        <w:rPr>
          <w:b/>
          <w:bCs/>
          <w:i/>
          <w:iCs/>
          <w:sz w:val="40"/>
          <w:szCs w:val="40"/>
        </w:rPr>
      </w:pPr>
      <w:r>
        <w:rPr>
          <w:b/>
          <w:bCs/>
          <w:i/>
          <w:iCs/>
          <w:sz w:val="40"/>
          <w:szCs w:val="40"/>
        </w:rPr>
        <w:t>Module Title: BMSW5102 Developing Relationships and Workplace Achievements</w:t>
      </w:r>
    </w:p>
    <w:p>
      <w:pPr>
        <w:rPr>
          <w:rFonts w:hint="default"/>
          <w:b/>
          <w:bCs/>
          <w:i/>
          <w:iCs/>
          <w:sz w:val="40"/>
          <w:szCs w:val="40"/>
        </w:rPr>
      </w:pPr>
      <w:r>
        <w:rPr>
          <w:rFonts w:hint="default"/>
          <w:b/>
          <w:bCs/>
          <w:i/>
          <w:iCs/>
          <w:sz w:val="40"/>
          <w:szCs w:val="40"/>
        </w:rPr>
        <w:t xml:space="preserve">Module leader : Nishi M Ramsurrun </w:t>
      </w:r>
    </w:p>
    <w:p>
      <w:pPr>
        <w:rPr>
          <w:rFonts w:hint="default"/>
          <w:b/>
          <w:bCs/>
          <w:i/>
          <w:iCs/>
          <w:sz w:val="40"/>
          <w:szCs w:val="40"/>
        </w:rPr>
      </w:pPr>
      <w:r>
        <w:rPr>
          <w:rFonts w:hint="default"/>
          <w:b/>
          <w:bCs/>
          <w:i/>
          <w:iCs/>
          <w:sz w:val="40"/>
          <w:szCs w:val="40"/>
        </w:rPr>
        <w:t xml:space="preserve">Modile Lecturer :Rexon Nting </w:t>
      </w:r>
    </w:p>
    <w:p>
      <w:pPr>
        <w:rPr>
          <w:rFonts w:hint="default"/>
          <w:b/>
          <w:bCs/>
          <w:i/>
          <w:iCs/>
          <w:sz w:val="40"/>
          <w:szCs w:val="40"/>
        </w:rPr>
      </w:pPr>
      <w:r>
        <w:rPr>
          <w:b/>
          <w:bCs/>
          <w:i/>
          <w:iCs/>
          <w:sz w:val="40"/>
          <w:szCs w:val="40"/>
        </w:rPr>
        <w:t xml:space="preserve">Assignment No: </w:t>
      </w:r>
      <w:r>
        <w:rPr>
          <w:rFonts w:hint="default"/>
          <w:b/>
          <w:bCs/>
          <w:i/>
          <w:iCs/>
          <w:sz w:val="40"/>
          <w:szCs w:val="40"/>
        </w:rPr>
        <w:t xml:space="preserve">2 Individual Report </w:t>
      </w:r>
    </w:p>
    <w:p>
      <w:pPr>
        <w:rPr>
          <w:rFonts w:hint="default"/>
          <w:b/>
          <w:bCs/>
          <w:i/>
          <w:iCs/>
          <w:sz w:val="40"/>
          <w:szCs w:val="40"/>
        </w:rPr>
      </w:pPr>
      <w:r>
        <w:rPr>
          <w:rFonts w:hint="default"/>
          <w:b/>
          <w:bCs/>
          <w:i/>
          <w:iCs/>
          <w:sz w:val="40"/>
          <w:szCs w:val="40"/>
        </w:rPr>
        <w:t xml:space="preserve">Student name : Iosif Tcaciu </w:t>
      </w:r>
    </w:p>
    <w:p>
      <w:pPr>
        <w:rPr>
          <w:rFonts w:hint="default"/>
          <w:b/>
          <w:bCs/>
          <w:i/>
          <w:iCs/>
          <w:sz w:val="40"/>
          <w:szCs w:val="40"/>
        </w:rPr>
      </w:pPr>
      <w:r>
        <w:rPr>
          <w:b/>
          <w:bCs/>
          <w:i/>
          <w:iCs/>
          <w:sz w:val="40"/>
          <w:szCs w:val="40"/>
        </w:rPr>
        <w:t xml:space="preserve">Student ID: </w:t>
      </w:r>
      <w:r>
        <w:rPr>
          <w:rFonts w:hint="default"/>
          <w:b/>
          <w:bCs/>
          <w:i/>
          <w:iCs/>
          <w:sz w:val="40"/>
          <w:szCs w:val="40"/>
        </w:rPr>
        <w:t>2022775</w:t>
      </w:r>
    </w:p>
    <w:p>
      <w:pPr>
        <w:rPr>
          <w:b/>
          <w:bCs/>
          <w:sz w:val="48"/>
          <w:szCs w:val="48"/>
          <w:u w:val="single"/>
        </w:rPr>
      </w:pPr>
    </w:p>
    <w:p>
      <w:pPr>
        <w:rPr>
          <w:b/>
          <w:bCs/>
          <w:sz w:val="48"/>
          <w:szCs w:val="48"/>
          <w:u w:val="single"/>
        </w:rPr>
      </w:pPr>
      <w:r>
        <w:rPr>
          <w:b/>
          <w:bCs/>
          <w:sz w:val="48"/>
          <w:szCs w:val="48"/>
          <w:u w:val="single"/>
        </w:rPr>
        <w:br w:type="page"/>
      </w:r>
    </w:p>
    <w:sdt>
      <w:sdtPr>
        <w:rPr>
          <w:rFonts w:asciiTheme="minorHAnsi" w:hAnsiTheme="minorHAnsi" w:eastAsiaTheme="minorHAnsi" w:cstheme="minorBidi"/>
          <w:b w:val="0"/>
          <w:sz w:val="22"/>
          <w:szCs w:val="22"/>
          <w:lang w:val="en-GB"/>
        </w:rPr>
        <w:id w:val="-1233690752"/>
        <w:docPartObj>
          <w:docPartGallery w:val="Table of Contents"/>
          <w:docPartUnique/>
        </w:docPartObj>
      </w:sdtPr>
      <w:sdtEndPr>
        <w:rPr>
          <w:rFonts w:ascii="Times New Roman" w:hAnsi="Times New Roman" w:eastAsiaTheme="minorHAnsi" w:cstheme="minorBidi"/>
          <w:b w:val="0"/>
          <w:bCs/>
          <w:sz w:val="32"/>
          <w:szCs w:val="28"/>
          <w:lang w:val="en-GB"/>
        </w:rPr>
      </w:sdtEndPr>
      <w:sdtContent>
        <w:p>
          <w:pPr>
            <w:pStyle w:val="15"/>
            <w:jc w:val="center"/>
            <w:rPr>
              <w:sz w:val="36"/>
              <w:szCs w:val="36"/>
            </w:rPr>
          </w:pPr>
          <w:r>
            <w:rPr>
              <w:sz w:val="36"/>
              <w:szCs w:val="36"/>
            </w:rPr>
            <w:t>Contents</w:t>
          </w:r>
        </w:p>
        <w:p>
          <w:pPr>
            <w:pStyle w:val="12"/>
            <w:tabs>
              <w:tab w:val="right" w:leader="dot" w:pos="9016"/>
            </w:tabs>
            <w:rPr>
              <w:rFonts w:asciiTheme="minorHAnsi" w:hAnsiTheme="minorHAnsi" w:eastAsiaTheme="minorEastAsia"/>
              <w:sz w:val="22"/>
              <w:lang w:val="en-US"/>
            </w:rPr>
          </w:pPr>
          <w:r>
            <w:fldChar w:fldCharType="begin"/>
          </w:r>
          <w:r>
            <w:instrText xml:space="preserve"> TOC \o "1-3" \h \z \u </w:instrText>
          </w:r>
          <w:r>
            <w:fldChar w:fldCharType="separate"/>
          </w:r>
          <w:r>
            <w:fldChar w:fldCharType="begin"/>
          </w:r>
          <w:r>
            <w:instrText xml:space="preserve"> HYPERLINK \l "_Toc108213798" </w:instrText>
          </w:r>
          <w:r>
            <w:fldChar w:fldCharType="separate"/>
          </w:r>
          <w:r>
            <w:rPr>
              <w:rStyle w:val="9"/>
            </w:rPr>
            <w:t>Introduction</w:t>
          </w:r>
          <w:r>
            <w:tab/>
          </w:r>
          <w:r>
            <w:fldChar w:fldCharType="begin"/>
          </w:r>
          <w:r>
            <w:instrText xml:space="preserve"> PAGEREF _Toc108213798 \h </w:instrText>
          </w:r>
          <w:r>
            <w:fldChar w:fldCharType="separate"/>
          </w:r>
          <w:r>
            <w:t>2</w:t>
          </w:r>
          <w:r>
            <w:fldChar w:fldCharType="end"/>
          </w:r>
          <w:r>
            <w:fldChar w:fldCharType="end"/>
          </w:r>
        </w:p>
        <w:p>
          <w:pPr>
            <w:pStyle w:val="12"/>
            <w:tabs>
              <w:tab w:val="right" w:leader="dot" w:pos="9016"/>
            </w:tabs>
            <w:rPr>
              <w:rFonts w:asciiTheme="minorHAnsi" w:hAnsiTheme="minorHAnsi" w:eastAsiaTheme="minorEastAsia"/>
              <w:sz w:val="22"/>
              <w:lang w:val="en-US"/>
            </w:rPr>
          </w:pPr>
          <w:r>
            <w:fldChar w:fldCharType="begin"/>
          </w:r>
          <w:r>
            <w:instrText xml:space="preserve"> HYPERLINK \l "_Toc108213799" </w:instrText>
          </w:r>
          <w:r>
            <w:fldChar w:fldCharType="separate"/>
          </w:r>
          <w:r>
            <w:rPr>
              <w:rStyle w:val="9"/>
            </w:rPr>
            <w:t>Company Profile</w:t>
          </w:r>
          <w:r>
            <w:tab/>
          </w:r>
          <w:r>
            <w:fldChar w:fldCharType="begin"/>
          </w:r>
          <w:r>
            <w:instrText xml:space="preserve"> PAGEREF _Toc108213799 \h </w:instrText>
          </w:r>
          <w:r>
            <w:fldChar w:fldCharType="separate"/>
          </w:r>
          <w:r>
            <w:t>2</w:t>
          </w:r>
          <w:r>
            <w:fldChar w:fldCharType="end"/>
          </w:r>
          <w:r>
            <w:fldChar w:fldCharType="end"/>
          </w:r>
        </w:p>
        <w:p>
          <w:pPr>
            <w:pStyle w:val="12"/>
            <w:tabs>
              <w:tab w:val="right" w:leader="dot" w:pos="9016"/>
            </w:tabs>
            <w:rPr>
              <w:rFonts w:asciiTheme="minorHAnsi" w:hAnsiTheme="minorHAnsi" w:eastAsiaTheme="minorEastAsia"/>
              <w:sz w:val="22"/>
              <w:lang w:val="en-US"/>
            </w:rPr>
          </w:pPr>
          <w:r>
            <w:fldChar w:fldCharType="begin"/>
          </w:r>
          <w:r>
            <w:instrText xml:space="preserve"> HYPERLINK \l "_Toc108213800" </w:instrText>
          </w:r>
          <w:r>
            <w:fldChar w:fldCharType="separate"/>
          </w:r>
          <w:r>
            <w:rPr>
              <w:rStyle w:val="9"/>
            </w:rPr>
            <w:t>The Potential Benefits to Tesco of Developing Individuals in the Workplace</w:t>
          </w:r>
          <w:r>
            <w:tab/>
          </w:r>
          <w:r>
            <w:fldChar w:fldCharType="begin"/>
          </w:r>
          <w:r>
            <w:instrText xml:space="preserve"> PAGEREF _Toc108213800 \h </w:instrText>
          </w:r>
          <w:r>
            <w:fldChar w:fldCharType="separate"/>
          </w:r>
          <w:r>
            <w:t>3</w:t>
          </w:r>
          <w:r>
            <w:fldChar w:fldCharType="end"/>
          </w:r>
          <w:r>
            <w:fldChar w:fldCharType="end"/>
          </w:r>
        </w:p>
        <w:p>
          <w:pPr>
            <w:pStyle w:val="12"/>
            <w:tabs>
              <w:tab w:val="right" w:leader="dot" w:pos="9016"/>
            </w:tabs>
            <w:rPr>
              <w:rFonts w:asciiTheme="minorHAnsi" w:hAnsiTheme="minorHAnsi" w:eastAsiaTheme="minorEastAsia"/>
              <w:sz w:val="22"/>
              <w:lang w:val="en-US"/>
            </w:rPr>
          </w:pPr>
          <w:r>
            <w:fldChar w:fldCharType="begin"/>
          </w:r>
          <w:r>
            <w:instrText xml:space="preserve"> HYPERLINK \l "_Toc108213801" </w:instrText>
          </w:r>
          <w:r>
            <w:fldChar w:fldCharType="separate"/>
          </w:r>
          <w:r>
            <w:rPr>
              <w:rStyle w:val="9"/>
            </w:rPr>
            <w:t>Management of an Employee’s Expectations in respect of Personal Development</w:t>
          </w:r>
          <w:r>
            <w:tab/>
          </w:r>
          <w:r>
            <w:fldChar w:fldCharType="begin"/>
          </w:r>
          <w:r>
            <w:instrText xml:space="preserve"> PAGEREF _Toc108213801 \h </w:instrText>
          </w:r>
          <w:r>
            <w:fldChar w:fldCharType="separate"/>
          </w:r>
          <w:r>
            <w:t>4</w:t>
          </w:r>
          <w:r>
            <w:fldChar w:fldCharType="end"/>
          </w:r>
          <w:r>
            <w:fldChar w:fldCharType="end"/>
          </w:r>
        </w:p>
        <w:p>
          <w:pPr>
            <w:pStyle w:val="12"/>
            <w:tabs>
              <w:tab w:val="right" w:leader="dot" w:pos="9016"/>
            </w:tabs>
            <w:rPr>
              <w:rFonts w:asciiTheme="minorHAnsi" w:hAnsiTheme="minorHAnsi" w:eastAsiaTheme="minorEastAsia"/>
              <w:sz w:val="22"/>
              <w:lang w:val="en-US"/>
            </w:rPr>
          </w:pPr>
          <w:r>
            <w:fldChar w:fldCharType="begin"/>
          </w:r>
          <w:r>
            <w:instrText xml:space="preserve"> HYPERLINK \l "_Toc108213802" </w:instrText>
          </w:r>
          <w:r>
            <w:fldChar w:fldCharType="separate"/>
          </w:r>
          <w:r>
            <w:rPr>
              <w:rStyle w:val="9"/>
            </w:rPr>
            <w:t>Tesco’s Development Vehicles</w:t>
          </w:r>
          <w:r>
            <w:tab/>
          </w:r>
          <w:r>
            <w:fldChar w:fldCharType="begin"/>
          </w:r>
          <w:r>
            <w:instrText xml:space="preserve"> PAGEREF _Toc108213802 \h </w:instrText>
          </w:r>
          <w:r>
            <w:fldChar w:fldCharType="separate"/>
          </w:r>
          <w:r>
            <w:t>5</w:t>
          </w:r>
          <w:r>
            <w:fldChar w:fldCharType="end"/>
          </w:r>
          <w:r>
            <w:fldChar w:fldCharType="end"/>
          </w:r>
        </w:p>
        <w:p>
          <w:pPr>
            <w:pStyle w:val="12"/>
            <w:tabs>
              <w:tab w:val="right" w:leader="dot" w:pos="9016"/>
            </w:tabs>
            <w:rPr>
              <w:rFonts w:asciiTheme="minorHAnsi" w:hAnsiTheme="minorHAnsi" w:eastAsiaTheme="minorEastAsia"/>
              <w:sz w:val="22"/>
              <w:lang w:val="en-US"/>
            </w:rPr>
          </w:pPr>
          <w:r>
            <w:fldChar w:fldCharType="begin"/>
          </w:r>
          <w:r>
            <w:instrText xml:space="preserve"> HYPERLINK \l "_Toc108213803" </w:instrText>
          </w:r>
          <w:r>
            <w:fldChar w:fldCharType="separate"/>
          </w:r>
          <w:r>
            <w:rPr>
              <w:rStyle w:val="9"/>
            </w:rPr>
            <w:t>A Detailed Plan to Fulfil the Development Needs of the Employees</w:t>
          </w:r>
          <w:r>
            <w:tab/>
          </w:r>
          <w:r>
            <w:fldChar w:fldCharType="begin"/>
          </w:r>
          <w:r>
            <w:instrText xml:space="preserve"> PAGEREF _Toc108213803 \h </w:instrText>
          </w:r>
          <w:r>
            <w:fldChar w:fldCharType="separate"/>
          </w:r>
          <w:r>
            <w:t>7</w:t>
          </w:r>
          <w:r>
            <w:fldChar w:fldCharType="end"/>
          </w:r>
          <w:r>
            <w:fldChar w:fldCharType="end"/>
          </w:r>
        </w:p>
        <w:p>
          <w:pPr>
            <w:pStyle w:val="12"/>
            <w:tabs>
              <w:tab w:val="right" w:leader="dot" w:pos="9016"/>
            </w:tabs>
            <w:rPr>
              <w:rFonts w:asciiTheme="minorHAnsi" w:hAnsiTheme="minorHAnsi" w:eastAsiaTheme="minorEastAsia"/>
              <w:sz w:val="22"/>
              <w:lang w:val="en-US"/>
            </w:rPr>
          </w:pPr>
          <w:r>
            <w:fldChar w:fldCharType="begin"/>
          </w:r>
          <w:r>
            <w:instrText xml:space="preserve"> HYPERLINK \l "_Toc108213804" </w:instrText>
          </w:r>
          <w:r>
            <w:fldChar w:fldCharType="separate"/>
          </w:r>
          <w:r>
            <w:rPr>
              <w:rStyle w:val="9"/>
            </w:rPr>
            <w:t>Conclusion</w:t>
          </w:r>
          <w:r>
            <w:tab/>
          </w:r>
          <w:r>
            <w:fldChar w:fldCharType="begin"/>
          </w:r>
          <w:r>
            <w:instrText xml:space="preserve"> PAGEREF _Toc108213804 \h </w:instrText>
          </w:r>
          <w:r>
            <w:fldChar w:fldCharType="separate"/>
          </w:r>
          <w:r>
            <w:t>9</w:t>
          </w:r>
          <w:r>
            <w:fldChar w:fldCharType="end"/>
          </w:r>
          <w:r>
            <w:fldChar w:fldCharType="end"/>
          </w:r>
        </w:p>
        <w:p>
          <w:pPr>
            <w:pStyle w:val="12"/>
            <w:tabs>
              <w:tab w:val="right" w:leader="dot" w:pos="9016"/>
            </w:tabs>
            <w:rPr>
              <w:rFonts w:asciiTheme="minorHAnsi" w:hAnsiTheme="minorHAnsi" w:eastAsiaTheme="minorEastAsia"/>
              <w:sz w:val="22"/>
              <w:lang w:val="en-US"/>
            </w:rPr>
          </w:pPr>
          <w:r>
            <w:fldChar w:fldCharType="begin"/>
          </w:r>
          <w:r>
            <w:instrText xml:space="preserve"> HYPERLINK \l "_Toc108213805" </w:instrText>
          </w:r>
          <w:r>
            <w:fldChar w:fldCharType="separate"/>
          </w:r>
          <w:r>
            <w:rPr>
              <w:rStyle w:val="9"/>
            </w:rPr>
            <w:t>Reference</w:t>
          </w:r>
          <w:r>
            <w:tab/>
          </w:r>
          <w:r>
            <w:fldChar w:fldCharType="begin"/>
          </w:r>
          <w:r>
            <w:instrText xml:space="preserve"> PAGEREF _Toc108213805 \h </w:instrText>
          </w:r>
          <w:r>
            <w:fldChar w:fldCharType="separate"/>
          </w:r>
          <w:r>
            <w:t>10</w:t>
          </w:r>
          <w:r>
            <w:fldChar w:fldCharType="end"/>
          </w:r>
          <w:r>
            <w:fldChar w:fldCharType="end"/>
          </w:r>
        </w:p>
        <w:p>
          <w:pPr>
            <w:jc w:val="center"/>
            <w:rPr>
              <w:b/>
              <w:bCs/>
              <w:sz w:val="32"/>
              <w:szCs w:val="28"/>
              <w:lang w:val="en-US"/>
            </w:rPr>
          </w:pPr>
          <w:r>
            <w:rPr>
              <w:b/>
              <w:bCs/>
              <w:lang w:val="en-US"/>
            </w:rPr>
            <w:fldChar w:fldCharType="end"/>
          </w:r>
          <w:r>
            <w:rPr>
              <w:b/>
              <w:bCs/>
              <w:sz w:val="32"/>
              <w:szCs w:val="28"/>
              <w:lang w:val="en-US"/>
            </w:rPr>
            <w:t>List of Tables</w:t>
          </w:r>
        </w:p>
        <w:p>
          <w:pPr>
            <w:pStyle w:val="11"/>
            <w:tabs>
              <w:tab w:val="right" w:leader="dot" w:pos="9016"/>
            </w:tabs>
          </w:pPr>
          <w:r>
            <w:rPr>
              <w:sz w:val="32"/>
              <w:szCs w:val="28"/>
            </w:rPr>
            <w:fldChar w:fldCharType="begin"/>
          </w:r>
          <w:r>
            <w:rPr>
              <w:sz w:val="32"/>
              <w:szCs w:val="28"/>
            </w:rPr>
            <w:instrText xml:space="preserve"> TOC \h \z \c "Table" </w:instrText>
          </w:r>
          <w:r>
            <w:rPr>
              <w:sz w:val="32"/>
              <w:szCs w:val="28"/>
            </w:rPr>
            <w:fldChar w:fldCharType="separate"/>
          </w:r>
          <w:r>
            <w:fldChar w:fldCharType="begin"/>
          </w:r>
          <w:r>
            <w:instrText xml:space="preserve"> HYPERLINK \l "_Toc108213962" </w:instrText>
          </w:r>
          <w:r>
            <w:fldChar w:fldCharType="separate"/>
          </w:r>
          <w:r>
            <w:rPr>
              <w:rStyle w:val="9"/>
            </w:rPr>
            <w:t>Table 1: Action Plan</w:t>
          </w:r>
          <w:r>
            <w:tab/>
          </w:r>
          <w:r>
            <w:fldChar w:fldCharType="begin"/>
          </w:r>
          <w:r>
            <w:instrText xml:space="preserve"> PAGEREF _Toc108213962 \h </w:instrText>
          </w:r>
          <w:r>
            <w:fldChar w:fldCharType="separate"/>
          </w:r>
          <w:r>
            <w:t>8</w:t>
          </w:r>
          <w:r>
            <w:fldChar w:fldCharType="end"/>
          </w:r>
          <w:r>
            <w:fldChar w:fldCharType="end"/>
          </w:r>
        </w:p>
        <w:p>
          <w:pPr>
            <w:jc w:val="center"/>
            <w:rPr>
              <w:sz w:val="32"/>
              <w:szCs w:val="28"/>
            </w:rPr>
          </w:pPr>
          <w:r>
            <w:rPr>
              <w:sz w:val="32"/>
              <w:szCs w:val="28"/>
            </w:rPr>
            <w:fldChar w:fldCharType="end"/>
          </w:r>
        </w:p>
      </w:sdtContent>
    </w:sdt>
    <w:p>
      <w:pPr>
        <w:rPr>
          <w:szCs w:val="24"/>
        </w:rPr>
      </w:pPr>
    </w:p>
    <w:p>
      <w:pPr>
        <w:rPr>
          <w:szCs w:val="24"/>
        </w:rPr>
      </w:pPr>
      <w:r>
        <w:rPr>
          <w:szCs w:val="24"/>
        </w:rPr>
        <w:br w:type="page"/>
      </w:r>
    </w:p>
    <w:p>
      <w:pPr>
        <w:pStyle w:val="2"/>
      </w:pPr>
      <w:bookmarkStart w:id="0" w:name="_Toc108213798"/>
      <w:r>
        <w:t>Introduction</w:t>
      </w:r>
      <w:bookmarkEnd w:id="0"/>
    </w:p>
    <w:p>
      <w:pPr>
        <w:rPr>
          <w:szCs w:val="24"/>
        </w:rPr>
      </w:pPr>
      <w:r>
        <w:rPr>
          <w:szCs w:val="24"/>
        </w:rPr>
        <w:t>In today's dynamic job sector, employees operate for a diversity of goals, including physiological wants, security needs, self-esteem, and self-actualization requirements, and organisations must satisfy those demands by facilitating a good interaction with employees and strengthening their sense of commitment, thus boosting productivity and organisational efficiency. For both firms and consumers, personal growth would have a beneficial influence on the bottom line. In addition, Tesco's growth vehicles would be highlighted in this section, as would a policy for satisfying the specified demands of Tesco's employees for their self-improvement.</w:t>
      </w:r>
    </w:p>
    <w:p>
      <w:pPr>
        <w:pStyle w:val="2"/>
      </w:pPr>
      <w:bookmarkStart w:id="1" w:name="_Toc108213799"/>
      <w:r>
        <w:t>Company Profile</w:t>
      </w:r>
      <w:bookmarkEnd w:id="1"/>
    </w:p>
    <w:p>
      <w:r>
        <w:t>Jack Cohen established Tesco in 1929 in Hertfordshire, the UK, and it has grown to be one of the nation's largest general merchandise retailers. Throughout the centuries, T&amp;T has expanded significantly, creating locations in nations such as Hungary Malaysia, Slovakia and Thailand. In addition to groceries, Tesco now supplies gas, financial solutions, telephones, clothes, and furnishing, in addition to other services and goods (</w:t>
      </w:r>
      <w:r>
        <w:rPr>
          <w:rFonts w:cs="Times New Roman"/>
          <w:color w:val="222222"/>
          <w:szCs w:val="24"/>
          <w:shd w:val="clear" w:color="auto" w:fill="FFFFFF"/>
        </w:rPr>
        <w:t>Hunter, Laursen and Seymour, 2017)</w:t>
      </w:r>
      <w:r>
        <w:t>. Anybody could purchase Tesco's share because it is publicly listed. As per Tesco's Financial Statement, there have been an anticipated 6,800 Tesco stores and 450,000 Tesco staff. Employees are Tesco's most vital treasure, and the corporation acknowledges the requirement of supporting employees to improve professionally so that they could effectively represent the business overall.</w:t>
      </w:r>
      <w:r>
        <w:br w:type="page"/>
      </w:r>
    </w:p>
    <w:p>
      <w:pPr>
        <w:pStyle w:val="2"/>
      </w:pPr>
      <w:bookmarkStart w:id="2" w:name="_Toc108213800"/>
      <w:r>
        <w:t>The Potential Benefits to Tesco of Developing Individuals in the Workplace</w:t>
      </w:r>
      <w:bookmarkEnd w:id="2"/>
    </w:p>
    <w:p>
      <w:r>
        <w:t>Individual employee efficiency and satisfaction are enhanced when professional growth is recognised by both the firm as a whole by the individual employee. The ability of a corporation to think creatively and boost overall productivity is directly tied to the level of training and development provided to its personnel (</w:t>
      </w:r>
      <w:r>
        <w:rPr>
          <w:rFonts w:cs="Times New Roman"/>
          <w:color w:val="222222"/>
          <w:szCs w:val="24"/>
          <w:shd w:val="clear" w:color="auto" w:fill="FFFFFF"/>
        </w:rPr>
        <w:t>Asio and Jimenez, 2020)</w:t>
      </w:r>
      <w:r>
        <w:t>. By encouraging employees to develop their analytical and critical thinking abilities, the company is better able to experiment with fresh ideas and important feedback for quality management. Tesco could benefit in a myriad of areas from the professional development of its employees, including:</w:t>
      </w:r>
    </w:p>
    <w:p>
      <w:r>
        <w:rPr>
          <w:b/>
          <w:bCs/>
        </w:rPr>
        <w:t>Improve Corporate Performance</w:t>
      </w:r>
      <w:r>
        <w:t xml:space="preserve">: Professional abilities would be enhanced when Tesco supplies numerous resources including training, e-learning (online), or work-based education, which could inevitably lead to a rise in employee and organisational productivity as an outcome. </w:t>
      </w:r>
    </w:p>
    <w:p>
      <w:r>
        <w:rPr>
          <w:b/>
          <w:bCs/>
        </w:rPr>
        <w:t>Minimise Employee Attrition</w:t>
      </w:r>
      <w:r>
        <w:t>: Employee retention and decreased absenteeism are two of the most powerful advantages of spending on self-improvement at Tesco (</w:t>
      </w:r>
      <w:r>
        <w:rPr>
          <w:rFonts w:cs="Times New Roman"/>
          <w:color w:val="222222"/>
          <w:szCs w:val="24"/>
          <w:shd w:val="clear" w:color="auto" w:fill="FFFFFF"/>
        </w:rPr>
        <w:t>Awadari and Kanwal, 2019)</w:t>
      </w:r>
      <w:r>
        <w:t>. It lessens the firm's attrition expenses by promoting a growth-oriented environment among the remaining workforce.</w:t>
      </w:r>
    </w:p>
    <w:p>
      <w:r>
        <w:rPr>
          <w:b/>
          <w:bCs/>
        </w:rPr>
        <w:t>Develop a Positive Work Culture</w:t>
      </w:r>
      <w:r>
        <w:t>: To boost productivity, interactions, and performance in the workplace, it is fundamental to have a welcoming environment. Tesco should promote a positive working environment by establishing a corporate culture which encourages employees to flourish personally as well as professionally (</w:t>
      </w:r>
      <w:r>
        <w:rPr>
          <w:rFonts w:cs="Times New Roman"/>
          <w:color w:val="222222"/>
          <w:szCs w:val="24"/>
          <w:shd w:val="clear" w:color="auto" w:fill="FFFFFF"/>
        </w:rPr>
        <w:t>Withana et al., 2020)</w:t>
      </w:r>
      <w:r>
        <w:t>.</w:t>
      </w:r>
    </w:p>
    <w:p>
      <w:r>
        <w:rPr>
          <w:b/>
          <w:bCs/>
        </w:rPr>
        <w:t>Increase Firm Reputation</w:t>
      </w:r>
      <w:r>
        <w:t>: Tesco would be equipped to distinguish itself from its competing companies when it supports its employees to develop their abilities and expertise in the workplace, which could contribute to stronger customer satisfaction.</w:t>
      </w:r>
    </w:p>
    <w:p>
      <w:r>
        <w:rPr>
          <w:b/>
          <w:bCs/>
        </w:rPr>
        <w:t>Cultivate Innovation</w:t>
      </w:r>
      <w:r>
        <w:t>: As an outcome of employees' self-growth, Tesco would also be ready to deliver its buyers with creative goods and services, as staff members will explore fresh thoughts or offer constructive feedback for system or application optimisation (</w:t>
      </w:r>
      <w:r>
        <w:rPr>
          <w:rFonts w:cs="Times New Roman"/>
          <w:color w:val="222222"/>
          <w:szCs w:val="24"/>
          <w:shd w:val="clear" w:color="auto" w:fill="FFFFFF"/>
        </w:rPr>
        <w:t>Woods, 2018)</w:t>
      </w:r>
      <w:r>
        <w:t>, thus allowing Tesco to deliver its buyers with innovative goods and facilities.</w:t>
      </w:r>
    </w:p>
    <w:p>
      <w:r>
        <w:rPr>
          <w:b/>
          <w:bCs/>
        </w:rPr>
        <w:t>Change Responsiveness</w:t>
      </w:r>
      <w:r>
        <w:t>: The only consistency in today's continuously changing business climate is change itself. Employees who engage in self-improvement initiatives are more prepared to adapt to transformation on their own since they are ready to continually strengthen their competencies. As an outcome, Tesco's potential to efficiently facilitate change depends heavily on the self-improvement of its employees.</w:t>
      </w:r>
    </w:p>
    <w:p>
      <w:pPr>
        <w:pStyle w:val="2"/>
      </w:pPr>
      <w:bookmarkStart w:id="3" w:name="_Toc108213801"/>
      <w:r>
        <w:t>Management of an Employee’s Expectations in respect of Personal Development</w:t>
      </w:r>
      <w:bookmarkEnd w:id="3"/>
    </w:p>
    <w:p>
      <w:pPr>
        <w:rPr>
          <w:szCs w:val="24"/>
        </w:rPr>
      </w:pPr>
      <w:r>
        <w:rPr>
          <w:szCs w:val="24"/>
        </w:rPr>
        <w:t>It is essential to pinpoint the accurate employee demands since it focuses on the goals of the business and specifies the competencies that employees demand in the job to efficiently accomplish the mission of the company. Tesco employs the following techniques to discover the growth necessities of its employees at the workplace:</w:t>
      </w:r>
    </w:p>
    <w:p>
      <w:pPr>
        <w:rPr>
          <w:szCs w:val="24"/>
        </w:rPr>
      </w:pPr>
      <w:r>
        <w:rPr>
          <w:b/>
          <w:bCs/>
          <w:szCs w:val="24"/>
        </w:rPr>
        <w:t>Establishes Specific Objectives</w:t>
      </w:r>
      <w:r>
        <w:rPr>
          <w:szCs w:val="24"/>
        </w:rPr>
        <w:t>: Tesco develops feasible standards for every position at the workplace or managers examine job requirements for job hires and then create explicit criteria for all these employments since these roles are associated with organisational priorities, to pinpoint development needs (</w:t>
      </w:r>
      <w:r>
        <w:rPr>
          <w:rFonts w:cs="Times New Roman"/>
          <w:color w:val="222222"/>
          <w:szCs w:val="24"/>
          <w:shd w:val="clear" w:color="auto" w:fill="FFFFFF"/>
        </w:rPr>
        <w:t>Schoberova, 2015)</w:t>
      </w:r>
      <w:r>
        <w:rPr>
          <w:szCs w:val="24"/>
        </w:rPr>
        <w:t>.</w:t>
      </w:r>
    </w:p>
    <w:p>
      <w:pPr>
        <w:rPr>
          <w:szCs w:val="24"/>
        </w:rPr>
      </w:pPr>
      <w:r>
        <w:rPr>
          <w:b/>
          <w:bCs/>
          <w:szCs w:val="24"/>
        </w:rPr>
        <w:t>Supervise Performance</w:t>
      </w:r>
      <w:r>
        <w:rPr>
          <w:szCs w:val="24"/>
        </w:rPr>
        <w:t>: As an outcome of this monitoring, Tesco could determine the employee's weak areas and assist them to strengthen their effectiveness. By keeping track of how well employees are functioning, managers possess the chance to assist them to flourish as individuals by supplying them with a diversity of possibilities to learn and progress.</w:t>
      </w:r>
    </w:p>
    <w:p>
      <w:pPr>
        <w:rPr>
          <w:szCs w:val="24"/>
        </w:rPr>
      </w:pPr>
      <w:r>
        <w:rPr>
          <w:b/>
          <w:bCs/>
          <w:szCs w:val="24"/>
        </w:rPr>
        <w:t>Evaluation</w:t>
      </w:r>
      <w:r>
        <w:rPr>
          <w:szCs w:val="24"/>
        </w:rPr>
        <w:t>: Targeted evaluations of Tesco's personnel who require specific capacities are performed to obtain honest and constructive feedback from staff who demand more development (</w:t>
      </w:r>
      <w:r>
        <w:rPr>
          <w:rFonts w:cs="Times New Roman"/>
          <w:color w:val="222222"/>
          <w:szCs w:val="24"/>
          <w:shd w:val="clear" w:color="auto" w:fill="FFFFFF"/>
        </w:rPr>
        <w:t>Rande, Rahawarin and Zacharias, 2015)</w:t>
      </w:r>
      <w:r>
        <w:rPr>
          <w:szCs w:val="24"/>
        </w:rPr>
        <w:t>. In addition, Tesco receives supervisory and management opinions and matches them with those of employees to detect any inconsistencies.</w:t>
      </w:r>
    </w:p>
    <w:p>
      <w:pPr>
        <w:rPr>
          <w:szCs w:val="24"/>
        </w:rPr>
      </w:pPr>
      <w:r>
        <w:rPr>
          <w:b/>
          <w:bCs/>
          <w:szCs w:val="24"/>
        </w:rPr>
        <w:t>Analysis</w:t>
      </w:r>
      <w:r>
        <w:rPr>
          <w:szCs w:val="24"/>
        </w:rPr>
        <w:t>: Tesco analyses the data it gathers from management and staff to assess where it might achieve enhancements. Furthermore, Tesco monitors the organisational objectives, policies, and employee performance results to unearth improvement opportunities, like self-improvement, job-related growth, or professional growth.</w:t>
      </w:r>
    </w:p>
    <w:p>
      <w:pPr>
        <w:rPr>
          <w:szCs w:val="24"/>
        </w:rPr>
      </w:pPr>
      <w:r>
        <w:rPr>
          <w:b/>
          <w:bCs/>
          <w:szCs w:val="24"/>
        </w:rPr>
        <w:t>Devising a Training Program</w:t>
      </w:r>
      <w:r>
        <w:rPr>
          <w:szCs w:val="24"/>
        </w:rPr>
        <w:t>: As part of the evaluation system, Tesco calculates which training sessions might aid an employee to achieve their respective work more effectively (</w:t>
      </w:r>
      <w:r>
        <w:rPr>
          <w:rFonts w:cs="Times New Roman"/>
          <w:color w:val="222222"/>
          <w:szCs w:val="24"/>
          <w:shd w:val="clear" w:color="auto" w:fill="FFFFFF"/>
        </w:rPr>
        <w:t>Morrison and Thurnell, 2012)</w:t>
      </w:r>
      <w:r>
        <w:rPr>
          <w:szCs w:val="24"/>
        </w:rPr>
        <w:t>. Tesco employs a selection of training courses, including job cycle, mentorship, and on-the-job learning, to guide employees acquire the competencies they require.</w:t>
      </w:r>
    </w:p>
    <w:p>
      <w:pPr>
        <w:rPr>
          <w:szCs w:val="24"/>
        </w:rPr>
      </w:pPr>
      <w:r>
        <w:rPr>
          <w:b/>
          <w:bCs/>
          <w:szCs w:val="24"/>
        </w:rPr>
        <w:t>Measurement of Training Effectiveness</w:t>
      </w:r>
      <w:r>
        <w:rPr>
          <w:szCs w:val="24"/>
        </w:rPr>
        <w:t>: 'Performance Rating,' one of Tesco's most fundamental techniques for measuring training impact, enables management to check employees' overall performance with their expectations following the program. The discrepancies in the employee's productivity could also be observed (</w:t>
      </w:r>
      <w:r>
        <w:rPr>
          <w:rFonts w:cs="Times New Roman"/>
          <w:color w:val="222222"/>
          <w:szCs w:val="24"/>
          <w:shd w:val="clear" w:color="auto" w:fill="FFFFFF"/>
        </w:rPr>
        <w:t>Mittendorff et al., 2018)</w:t>
      </w:r>
      <w:r>
        <w:rPr>
          <w:szCs w:val="24"/>
        </w:rPr>
        <w:t>. Hence, Tesco is equipped to construct or deliver the proper training programs to improve the competencies of its employees.</w:t>
      </w:r>
    </w:p>
    <w:p>
      <w:pPr>
        <w:rPr>
          <w:szCs w:val="24"/>
        </w:rPr>
      </w:pPr>
      <w:r>
        <w:rPr>
          <w:b/>
          <w:bCs/>
          <w:szCs w:val="24"/>
        </w:rPr>
        <w:t>Rewards</w:t>
      </w:r>
      <w:r>
        <w:rPr>
          <w:szCs w:val="24"/>
        </w:rPr>
        <w:t>: To engage the workforce, Tesco rewards them when their actual productivity has better, which in return fosters their enthusiasm and job happiness. Because of this, Tesco's profitability is elevated by the personnel.</w:t>
      </w:r>
    </w:p>
    <w:p>
      <w:pPr>
        <w:rPr>
          <w:szCs w:val="24"/>
        </w:rPr>
      </w:pPr>
      <w:r>
        <w:rPr>
          <w:szCs w:val="24"/>
        </w:rPr>
        <w:t>With such employee training and development initiatives in action, Tesco might recognise and serve the demands of an employee at work, encouraging them to complete their given work more effectively and thereby boosting organisational performance and profitability (</w:t>
      </w:r>
      <w:r>
        <w:rPr>
          <w:rFonts w:cs="Times New Roman"/>
          <w:color w:val="222222"/>
          <w:szCs w:val="24"/>
          <w:shd w:val="clear" w:color="auto" w:fill="FFFFFF"/>
        </w:rPr>
        <w:t>Lejeune, Beausaert and Raemdonck, 2021)</w:t>
      </w:r>
      <w:r>
        <w:rPr>
          <w:szCs w:val="24"/>
        </w:rPr>
        <w:t>. Tesco deployed the proper strategy as training is a loss of effort and money for a company if it doesn't address the underlying causes of poor productivity. This signifies that Tesco concentrates on professional growth and then offers required training relied on the "Training Needs Evaluation," which culminates in reciprocal advantages both for Tesco and its workforce.</w:t>
      </w:r>
    </w:p>
    <w:p>
      <w:pPr>
        <w:pStyle w:val="2"/>
      </w:pPr>
      <w:bookmarkStart w:id="4" w:name="_Toc108213802"/>
      <w:r>
        <w:t>Tesco’s Development Vehicles</w:t>
      </w:r>
      <w:bookmarkEnd w:id="4"/>
      <w:r>
        <w:t xml:space="preserve"> </w:t>
      </w:r>
    </w:p>
    <w:p>
      <w:r>
        <w:t>Companies have to cultivate a culture of individual and career development among their workforce by supplying resources such as workshops and seminars, coaching, and e-learning to aid people to upgrade their knowledge (</w:t>
      </w:r>
      <w:r>
        <w:rPr>
          <w:rFonts w:cs="Times New Roman"/>
          <w:color w:val="222222"/>
          <w:szCs w:val="24"/>
          <w:shd w:val="clear" w:color="auto" w:fill="FFFFFF"/>
        </w:rPr>
        <w:t>Kuh, 2015)</w:t>
      </w:r>
      <w:r>
        <w:t>. Promoting staff performance at work might promote organisational efficiency by empowering employees to advance high-quality offerings that finally add benefit to the company and assist construct a brand reputation in a certain industry. Tesco employs numerous development techniques which are discussed below:</w:t>
      </w:r>
    </w:p>
    <w:p>
      <w:r>
        <w:rPr>
          <w:b/>
          <w:bCs/>
        </w:rPr>
        <w:t>Training</w:t>
      </w:r>
      <w:r>
        <w:t>: Tesco employs on-the-job and off-the-job training sessions as one of its growth methods to strengthen the competencies and knowledge of its employees to perform specialised responsibilities. Several training methods have been adopted for Tesco employees, including soft qualities improvement training (</w:t>
      </w:r>
      <w:r>
        <w:rPr>
          <w:rFonts w:cs="Times New Roman"/>
          <w:color w:val="222222"/>
          <w:szCs w:val="24"/>
          <w:shd w:val="clear" w:color="auto" w:fill="FFFFFF"/>
        </w:rPr>
        <w:t>Jha, 2016)</w:t>
      </w:r>
      <w:r>
        <w:t>, technical proficiency growth coaching and product offerings knowledge.</w:t>
      </w:r>
    </w:p>
    <w:p>
      <w:r>
        <w:rPr>
          <w:b/>
          <w:bCs/>
        </w:rPr>
        <w:t>Coaching</w:t>
      </w:r>
      <w:r>
        <w:t>: This is crucial to the success of both the company and the employee that coaching is leveraged as a driver for employee training. Tesco utilises counselling to develop upper management leadership and other operational talents in a short time, which are mandated to attain the job efficiently; yet, coaching is a method for boosting an employee's abilities or experience.</w:t>
      </w:r>
    </w:p>
    <w:p>
      <w:r>
        <w:rPr>
          <w:b/>
          <w:bCs/>
        </w:rPr>
        <w:t>Workshop</w:t>
      </w:r>
      <w:r>
        <w:t>: Corporate workshops have also been applied by Tesco as an effective method to maximise personnel's soft skills. Participants are taught how to communicate more effectively with others, work collaboratively and deal with problems (</w:t>
      </w:r>
      <w:r>
        <w:rPr>
          <w:rFonts w:cs="Times New Roman"/>
          <w:color w:val="222222"/>
          <w:szCs w:val="24"/>
          <w:shd w:val="clear" w:color="auto" w:fill="FFFFFF"/>
        </w:rPr>
        <w:t>Hunter, Laursen and Seymour, 2017)</w:t>
      </w:r>
      <w:r>
        <w:t>. Employees who have these qualities might acquire self-confidence, be masters in their sectors, seek enthusiasm in their colleagues, and contribute greatly more to the firm overall.</w:t>
      </w:r>
    </w:p>
    <w:p>
      <w:r>
        <w:rPr>
          <w:b/>
          <w:bCs/>
        </w:rPr>
        <w:t>Job Shadowing</w:t>
      </w:r>
      <w:r>
        <w:t>: Tesco introduced job shadowing at the office to encourage new hires to discover the new elements of their employment. Adopting job shadowing as a teaching instrument might benefit the company both money and effort because it delivers employees a holistic assessment of what this is like to complete their assigned tasks.</w:t>
      </w:r>
    </w:p>
    <w:p>
      <w:r>
        <w:rPr>
          <w:b/>
          <w:bCs/>
        </w:rPr>
        <w:t>Job Rotation</w:t>
      </w:r>
      <w:r>
        <w:t>: Tesco managers employ this method to strengthen the competencies, talents, and skills of its employees so that they might function in a diversity of roles in the organisation. Tesco implements job rotation to rotate personnel from one role to another in the workplace (</w:t>
      </w:r>
      <w:r>
        <w:rPr>
          <w:rFonts w:cs="Times New Roman"/>
          <w:color w:val="222222"/>
          <w:szCs w:val="24"/>
          <w:shd w:val="clear" w:color="auto" w:fill="FFFFFF"/>
        </w:rPr>
        <w:t>Figurska, 2016)</w:t>
      </w:r>
      <w:r>
        <w:t>. Employee growth has been facilitated by rotating roles, which lowers monotony and aids Tesco to identify in which its best-performing employees must be positioned.</w:t>
      </w:r>
    </w:p>
    <w:p>
      <w:r>
        <w:rPr>
          <w:b/>
          <w:bCs/>
        </w:rPr>
        <w:t>E-Learning</w:t>
      </w:r>
      <w:r>
        <w:t>: By delivering numerous development options including Tesco pay for the course and encouraging and fostering staff performance through e-learning and short classes from external partners, Tesco promotes and stimulates its personnel to complete such seminars for personal and career development. After completing a program or completing a technical skill assessment, Tesco fosters and encourages work engagement by advancing employees based on expertise.</w:t>
      </w:r>
    </w:p>
    <w:p>
      <w:r>
        <w:rPr>
          <w:b/>
          <w:bCs/>
        </w:rPr>
        <w:t>Mentoring</w:t>
      </w:r>
      <w:r>
        <w:t>: Employees with less professional experience profit from the assistance and supervision of seasoned senior managers and leaders at Tesco, who empower them to attain constructive tips and boost their self-esteem so they could execute their responsibilities more effectively (</w:t>
      </w:r>
      <w:r>
        <w:rPr>
          <w:rFonts w:cs="Times New Roman"/>
          <w:color w:val="222222"/>
          <w:szCs w:val="24"/>
          <w:shd w:val="clear" w:color="auto" w:fill="FFFFFF"/>
        </w:rPr>
        <w:t>Doufexi and Pampouri, 2022)</w:t>
      </w:r>
      <w:r>
        <w:t>. This aids Tesco's organisation to operate more seamlessly and generates a competitive benefit in the marketplace.</w:t>
      </w:r>
    </w:p>
    <w:p>
      <w:r>
        <w:t>For Tesco's employees and the organisation as a whole, tools such as training, coaching, and self-study were available to assist them to grow their skills and knowledge. Utilizing these techniques for personal development is essential for both Tesco and its personnel, as it improves the company's overall performance, fosters a happy workplace for employees, and enables them to express their specific skills more effectively. Under John Allan's leadership, Tesco's staff are doing a fantastic job since the company has developed efficient techniques to help people improve their working abilities, which profits both Tesco and its workforce.</w:t>
      </w:r>
    </w:p>
    <w:p>
      <w:pPr>
        <w:pStyle w:val="2"/>
      </w:pPr>
      <w:bookmarkStart w:id="5" w:name="_Toc108213803"/>
      <w:r>
        <w:t>A Detailed Plan to Fulfil the Development Needs of the Employees</w:t>
      </w:r>
      <w:bookmarkEnd w:id="5"/>
    </w:p>
    <w:p>
      <w:r>
        <w:t>It is imperative for today’s employees to constantly improve their knowledge and ability to keep up with the rapidly changing job environment. A person can strengthen their present talents by obtaining certificates, training, or gaining experience; nevertheless, it is important to examine one's strengths and limits to better anticipate prospective skills shortages and take the appropriate efforts to close these gaps (</w:t>
      </w:r>
      <w:r>
        <w:rPr>
          <w:rFonts w:cs="Times New Roman"/>
          <w:color w:val="222222"/>
          <w:szCs w:val="24"/>
          <w:shd w:val="clear" w:color="auto" w:fill="FFFFFF"/>
        </w:rPr>
        <w:t>Beausaert, Segers and Gijselaers, 2011)</w:t>
      </w:r>
      <w:r>
        <w:t>. A personal development plan can be used by individuals to establish the long-term goals and outcomes they need to take to accomplish them. The following are just a few of the many advantages of making a personal development plan:</w:t>
      </w:r>
    </w:p>
    <w:p>
      <w:pPr>
        <w:pStyle w:val="19"/>
        <w:numPr>
          <w:ilvl w:val="0"/>
          <w:numId w:val="1"/>
        </w:numPr>
      </w:pPr>
      <w:r>
        <w:t>Increase self-confidence.</w:t>
      </w:r>
    </w:p>
    <w:p>
      <w:pPr>
        <w:pStyle w:val="19"/>
        <w:numPr>
          <w:ilvl w:val="0"/>
          <w:numId w:val="1"/>
        </w:numPr>
      </w:pPr>
      <w:r>
        <w:t>Stay motivated and engaged.</w:t>
      </w:r>
    </w:p>
    <w:p>
      <w:pPr>
        <w:pStyle w:val="19"/>
        <w:numPr>
          <w:ilvl w:val="0"/>
          <w:numId w:val="1"/>
        </w:numPr>
      </w:pPr>
      <w:r>
        <w:t>Able to function more effectively.</w:t>
      </w:r>
    </w:p>
    <w:p>
      <w:pPr>
        <w:pStyle w:val="19"/>
        <w:numPr>
          <w:ilvl w:val="0"/>
          <w:numId w:val="1"/>
        </w:numPr>
      </w:pPr>
      <w:r>
        <w:t>Be a successful achiever.</w:t>
      </w:r>
    </w:p>
    <w:p>
      <w:r>
        <w:t>Every company or employee needs to establish a personal development plan that allows both the employee and the company, in the long run, thus enhancing the effectiveness and productivity of the workforce. Personal growth strategies are formulated by Tesco relating to employee skill shortages, recognition of demands, and short- and long-term aims, all of which facilitate the business in addressing employee growth targets while also making the company reach its stated goals (</w:t>
      </w:r>
      <w:r>
        <w:rPr>
          <w:rFonts w:cs="Times New Roman"/>
          <w:color w:val="222222"/>
          <w:szCs w:val="24"/>
          <w:shd w:val="clear" w:color="auto" w:fill="FFFFFF"/>
        </w:rPr>
        <w:t>Awadari and Kanwal, 2019)</w:t>
      </w:r>
      <w:r>
        <w:t>. As Tesco has acknowledged that its staff's participation is important to creating its desired outcomes, it has determined the competencies that personnel require and established suitable development systems to improve their personal and professional growth. Below are the stated growth objectives for addressing the development expectations of employees:</w:t>
      </w:r>
    </w:p>
    <w:p>
      <w:pPr>
        <w:spacing w:line="259" w:lineRule="auto"/>
        <w:jc w:val="left"/>
      </w:pPr>
      <w:r>
        <w:br w:type="page"/>
      </w:r>
    </w:p>
    <w:p>
      <w:pPr>
        <w:pStyle w:val="6"/>
        <w:jc w:val="center"/>
        <w:rPr>
          <w:b/>
          <w:bCs/>
          <w:color w:val="auto"/>
          <w:sz w:val="22"/>
          <w:szCs w:val="22"/>
        </w:rPr>
      </w:pPr>
      <w:bookmarkStart w:id="6" w:name="_Toc108213962"/>
      <w:r>
        <w:rPr>
          <w:b/>
          <w:bCs/>
          <w:color w:val="auto"/>
          <w:sz w:val="22"/>
          <w:szCs w:val="22"/>
        </w:rPr>
        <w:t xml:space="preserve">Table </w:t>
      </w:r>
      <w:r>
        <w:rPr>
          <w:b/>
          <w:bCs/>
          <w:color w:val="auto"/>
          <w:sz w:val="22"/>
          <w:szCs w:val="22"/>
        </w:rPr>
        <w:fldChar w:fldCharType="begin"/>
      </w:r>
      <w:r>
        <w:rPr>
          <w:b/>
          <w:bCs/>
          <w:color w:val="auto"/>
          <w:sz w:val="22"/>
          <w:szCs w:val="22"/>
        </w:rPr>
        <w:instrText xml:space="preserve"> SEQ Table \* ARABIC </w:instrText>
      </w:r>
      <w:r>
        <w:rPr>
          <w:b/>
          <w:bCs/>
          <w:color w:val="auto"/>
          <w:sz w:val="22"/>
          <w:szCs w:val="22"/>
        </w:rPr>
        <w:fldChar w:fldCharType="separate"/>
      </w:r>
      <w:r>
        <w:rPr>
          <w:b/>
          <w:bCs/>
          <w:color w:val="auto"/>
          <w:sz w:val="22"/>
          <w:szCs w:val="22"/>
        </w:rPr>
        <w:t>1</w:t>
      </w:r>
      <w:r>
        <w:rPr>
          <w:b/>
          <w:bCs/>
          <w:color w:val="auto"/>
          <w:sz w:val="22"/>
          <w:szCs w:val="22"/>
        </w:rPr>
        <w:fldChar w:fldCharType="end"/>
      </w:r>
      <w:r>
        <w:rPr>
          <w:b/>
          <w:bCs/>
          <w:color w:val="auto"/>
          <w:sz w:val="22"/>
          <w:szCs w:val="22"/>
        </w:rPr>
        <w:t>: Action Plan</w:t>
      </w:r>
      <w:bookmarkEnd w:id="6"/>
    </w:p>
    <w:tbl>
      <w:tblPr>
        <w:tblStyle w:val="20"/>
        <w:tblW w:w="10348"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5"/>
        <w:gridCol w:w="1026"/>
        <w:gridCol w:w="1483"/>
        <w:gridCol w:w="1950"/>
        <w:gridCol w:w="968"/>
        <w:gridCol w:w="1332"/>
        <w:gridCol w:w="19"/>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0" w:type="dxa"/>
            <w:tcBorders>
              <w:top w:val="nil"/>
              <w:left w:val="nil"/>
              <w:bottom w:val="nil"/>
              <w:right w:val="nil"/>
            </w:tcBorders>
          </w:tcPr>
          <w:p>
            <w:pPr>
              <w:spacing w:after="0"/>
              <w:rPr>
                <w:color w:val="auto"/>
              </w:rPr>
            </w:pPr>
            <w:r>
              <w:rPr>
                <w:color w:val="auto"/>
              </w:rPr>
              <w:t>Development Objectives</w:t>
            </w:r>
          </w:p>
        </w:tc>
        <w:tc>
          <w:tcPr>
            <w:tcW w:w="1029" w:type="dxa"/>
            <w:tcBorders>
              <w:top w:val="nil"/>
              <w:left w:val="nil"/>
              <w:bottom w:val="nil"/>
              <w:right w:val="nil"/>
            </w:tcBorders>
          </w:tcPr>
          <w:p>
            <w:pPr>
              <w:spacing w:after="0"/>
              <w:rPr>
                <w:color w:val="auto"/>
              </w:rPr>
            </w:pPr>
            <w:r>
              <w:rPr>
                <w:color w:val="auto"/>
              </w:rPr>
              <w:t>Priority</w:t>
            </w:r>
          </w:p>
        </w:tc>
        <w:tc>
          <w:tcPr>
            <w:tcW w:w="1450" w:type="dxa"/>
            <w:tcBorders>
              <w:top w:val="nil"/>
              <w:left w:val="nil"/>
              <w:bottom w:val="nil"/>
              <w:right w:val="nil"/>
            </w:tcBorders>
          </w:tcPr>
          <w:p>
            <w:pPr>
              <w:spacing w:after="0"/>
              <w:rPr>
                <w:color w:val="auto"/>
              </w:rPr>
            </w:pPr>
            <w:r>
              <w:rPr>
                <w:color w:val="auto"/>
              </w:rPr>
              <w:t>Activities to be Undertaken</w:t>
            </w:r>
          </w:p>
        </w:tc>
        <w:tc>
          <w:tcPr>
            <w:tcW w:w="1950" w:type="dxa"/>
            <w:tcBorders>
              <w:top w:val="nil"/>
              <w:left w:val="nil"/>
              <w:bottom w:val="nil"/>
              <w:right w:val="nil"/>
            </w:tcBorders>
          </w:tcPr>
          <w:p>
            <w:pPr>
              <w:spacing w:after="0"/>
              <w:rPr>
                <w:color w:val="auto"/>
              </w:rPr>
            </w:pPr>
            <w:r>
              <w:rPr>
                <w:color w:val="auto"/>
              </w:rPr>
              <w:t>Resources</w:t>
            </w:r>
          </w:p>
        </w:tc>
        <w:tc>
          <w:tcPr>
            <w:tcW w:w="970" w:type="dxa"/>
            <w:tcBorders>
              <w:top w:val="nil"/>
              <w:left w:val="nil"/>
              <w:bottom w:val="nil"/>
              <w:right w:val="nil"/>
            </w:tcBorders>
          </w:tcPr>
          <w:p>
            <w:pPr>
              <w:spacing w:after="0"/>
              <w:rPr>
                <w:color w:val="auto"/>
              </w:rPr>
            </w:pPr>
            <w:r>
              <w:rPr>
                <w:color w:val="auto"/>
              </w:rPr>
              <w:t>Target Start Date</w:t>
            </w:r>
          </w:p>
        </w:tc>
        <w:tc>
          <w:tcPr>
            <w:tcW w:w="1356" w:type="dxa"/>
            <w:gridSpan w:val="2"/>
            <w:tcBorders>
              <w:top w:val="nil"/>
              <w:left w:val="nil"/>
              <w:bottom w:val="nil"/>
              <w:right w:val="nil"/>
            </w:tcBorders>
          </w:tcPr>
          <w:p>
            <w:pPr>
              <w:spacing w:after="0"/>
              <w:rPr>
                <w:color w:val="auto"/>
              </w:rPr>
            </w:pPr>
            <w:r>
              <w:rPr>
                <w:color w:val="auto"/>
              </w:rPr>
              <w:t>Target End Date</w:t>
            </w:r>
          </w:p>
        </w:tc>
        <w:tc>
          <w:tcPr>
            <w:tcW w:w="1723" w:type="dxa"/>
            <w:tcBorders>
              <w:top w:val="nil"/>
              <w:left w:val="nil"/>
              <w:bottom w:val="nil"/>
              <w:right w:val="nil"/>
            </w:tcBorders>
          </w:tcPr>
          <w:p>
            <w:pPr>
              <w:spacing w:after="0"/>
              <w:rPr>
                <w:color w:val="auto"/>
              </w:rPr>
            </w:pPr>
            <w:r>
              <w:rPr>
                <w:color w:val="auto"/>
              </w:rPr>
              <w:t>Evaluation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0" w:type="dxa"/>
          </w:tcPr>
          <w:p>
            <w:pPr>
              <w:spacing w:after="0"/>
            </w:pPr>
            <w:r>
              <w:t>Improving IT Skills</w:t>
            </w:r>
          </w:p>
        </w:tc>
        <w:tc>
          <w:tcPr>
            <w:tcW w:w="1029" w:type="dxa"/>
          </w:tcPr>
          <w:p>
            <w:pPr>
              <w:spacing w:after="0"/>
            </w:pPr>
            <w:r>
              <w:t>2</w:t>
            </w:r>
          </w:p>
        </w:tc>
        <w:tc>
          <w:tcPr>
            <w:tcW w:w="1450" w:type="dxa"/>
          </w:tcPr>
          <w:p>
            <w:pPr>
              <w:spacing w:after="0"/>
            </w:pPr>
            <w:r>
              <w:t xml:space="preserve">Regular Practice with Peers </w:t>
            </w:r>
          </w:p>
        </w:tc>
        <w:tc>
          <w:tcPr>
            <w:tcW w:w="1950" w:type="dxa"/>
          </w:tcPr>
          <w:p>
            <w:pPr>
              <w:pStyle w:val="19"/>
              <w:numPr>
                <w:ilvl w:val="0"/>
                <w:numId w:val="2"/>
              </w:numPr>
              <w:spacing w:after="0"/>
            </w:pPr>
            <w:r>
              <w:t>E-learning</w:t>
            </w:r>
          </w:p>
          <w:p>
            <w:pPr>
              <w:pStyle w:val="19"/>
              <w:numPr>
                <w:ilvl w:val="0"/>
                <w:numId w:val="2"/>
              </w:numPr>
              <w:spacing w:after="0"/>
            </w:pPr>
            <w:r>
              <w:t>Training</w:t>
            </w:r>
          </w:p>
        </w:tc>
        <w:tc>
          <w:tcPr>
            <w:tcW w:w="970" w:type="dxa"/>
          </w:tcPr>
          <w:p>
            <w:pPr>
              <w:spacing w:after="0"/>
            </w:pPr>
            <w:r>
              <w:t>July 2022</w:t>
            </w:r>
          </w:p>
        </w:tc>
        <w:tc>
          <w:tcPr>
            <w:tcW w:w="1336" w:type="dxa"/>
          </w:tcPr>
          <w:p>
            <w:pPr>
              <w:spacing w:after="0"/>
            </w:pPr>
            <w:r>
              <w:t>October 2022</w:t>
            </w:r>
          </w:p>
        </w:tc>
        <w:tc>
          <w:tcPr>
            <w:tcW w:w="1743" w:type="dxa"/>
            <w:gridSpan w:val="2"/>
          </w:tcPr>
          <w:p>
            <w:pPr>
              <w:spacing w:after="0"/>
            </w:pPr>
            <w:r>
              <w:t>Online Test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0" w:type="dxa"/>
          </w:tcPr>
          <w:p>
            <w:pPr>
              <w:spacing w:after="0"/>
            </w:pPr>
            <w:r>
              <w:t>Better Communication Abilities</w:t>
            </w:r>
          </w:p>
        </w:tc>
        <w:tc>
          <w:tcPr>
            <w:tcW w:w="1029" w:type="dxa"/>
          </w:tcPr>
          <w:p>
            <w:pPr>
              <w:spacing w:after="0"/>
            </w:pPr>
            <w:r>
              <w:t>1</w:t>
            </w:r>
          </w:p>
        </w:tc>
        <w:tc>
          <w:tcPr>
            <w:tcW w:w="1450" w:type="dxa"/>
          </w:tcPr>
          <w:p>
            <w:pPr>
              <w:spacing w:after="0"/>
            </w:pPr>
            <w:r>
              <w:t>Direct Interaction with Customers and Peers</w:t>
            </w:r>
          </w:p>
        </w:tc>
        <w:tc>
          <w:tcPr>
            <w:tcW w:w="1950" w:type="dxa"/>
          </w:tcPr>
          <w:p>
            <w:pPr>
              <w:pStyle w:val="19"/>
              <w:numPr>
                <w:ilvl w:val="0"/>
                <w:numId w:val="3"/>
              </w:numPr>
              <w:spacing w:after="0"/>
            </w:pPr>
            <w:r>
              <w:t>Training</w:t>
            </w:r>
          </w:p>
          <w:p>
            <w:pPr>
              <w:pStyle w:val="19"/>
              <w:numPr>
                <w:ilvl w:val="0"/>
                <w:numId w:val="3"/>
              </w:numPr>
              <w:spacing w:after="0"/>
            </w:pPr>
            <w:r>
              <w:t>Field Work</w:t>
            </w:r>
          </w:p>
        </w:tc>
        <w:tc>
          <w:tcPr>
            <w:tcW w:w="970" w:type="dxa"/>
          </w:tcPr>
          <w:p>
            <w:pPr>
              <w:spacing w:after="0"/>
            </w:pPr>
            <w:r>
              <w:t>August 2022</w:t>
            </w:r>
          </w:p>
        </w:tc>
        <w:tc>
          <w:tcPr>
            <w:tcW w:w="1336" w:type="dxa"/>
          </w:tcPr>
          <w:p>
            <w:pPr>
              <w:spacing w:after="0"/>
            </w:pPr>
            <w:r>
              <w:t>October 2022</w:t>
            </w:r>
          </w:p>
        </w:tc>
        <w:tc>
          <w:tcPr>
            <w:tcW w:w="1743" w:type="dxa"/>
            <w:gridSpan w:val="2"/>
          </w:tcPr>
          <w:p>
            <w:pPr>
              <w:spacing w:after="0"/>
            </w:pPr>
            <w:r>
              <w:t>Memory Test Activity,</w:t>
            </w:r>
          </w:p>
          <w:p>
            <w:pPr>
              <w:spacing w:after="0"/>
            </w:pPr>
            <w:r>
              <w:t>Customer Feedback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0" w:type="dxa"/>
          </w:tcPr>
          <w:p>
            <w:pPr>
              <w:spacing w:after="0"/>
            </w:pPr>
            <w:r>
              <w:t>Improving Leadership Abilities</w:t>
            </w:r>
          </w:p>
        </w:tc>
        <w:tc>
          <w:tcPr>
            <w:tcW w:w="1029" w:type="dxa"/>
          </w:tcPr>
          <w:p>
            <w:pPr>
              <w:spacing w:after="0"/>
            </w:pPr>
            <w:r>
              <w:t>3</w:t>
            </w:r>
          </w:p>
        </w:tc>
        <w:tc>
          <w:tcPr>
            <w:tcW w:w="1450" w:type="dxa"/>
          </w:tcPr>
          <w:p>
            <w:pPr>
              <w:spacing w:after="0"/>
            </w:pPr>
            <w:r>
              <w:t>Volunteering in CSR activities, Participating in Team Activities</w:t>
            </w:r>
          </w:p>
        </w:tc>
        <w:tc>
          <w:tcPr>
            <w:tcW w:w="1950" w:type="dxa"/>
          </w:tcPr>
          <w:p>
            <w:pPr>
              <w:pStyle w:val="19"/>
              <w:numPr>
                <w:ilvl w:val="0"/>
                <w:numId w:val="4"/>
              </w:numPr>
              <w:spacing w:after="0"/>
            </w:pPr>
            <w:r>
              <w:t>Training</w:t>
            </w:r>
          </w:p>
          <w:p>
            <w:pPr>
              <w:pStyle w:val="19"/>
              <w:numPr>
                <w:ilvl w:val="0"/>
                <w:numId w:val="4"/>
              </w:numPr>
              <w:spacing w:after="0"/>
            </w:pPr>
            <w:r>
              <w:t>Coaching</w:t>
            </w:r>
          </w:p>
        </w:tc>
        <w:tc>
          <w:tcPr>
            <w:tcW w:w="970" w:type="dxa"/>
          </w:tcPr>
          <w:p>
            <w:pPr>
              <w:spacing w:after="0"/>
            </w:pPr>
            <w:r>
              <w:t>July 2022</w:t>
            </w:r>
          </w:p>
        </w:tc>
        <w:tc>
          <w:tcPr>
            <w:tcW w:w="1336" w:type="dxa"/>
          </w:tcPr>
          <w:p>
            <w:pPr>
              <w:spacing w:after="0"/>
            </w:pPr>
            <w:r>
              <w:t>October 2022</w:t>
            </w:r>
          </w:p>
        </w:tc>
        <w:tc>
          <w:tcPr>
            <w:tcW w:w="1743" w:type="dxa"/>
            <w:gridSpan w:val="2"/>
          </w:tcPr>
          <w:p>
            <w:pPr>
              <w:spacing w:after="0"/>
            </w:pPr>
            <w:r>
              <w:t>Team member Feedback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0" w:type="dxa"/>
          </w:tcPr>
          <w:p>
            <w:pPr>
              <w:spacing w:after="0"/>
            </w:pPr>
            <w:r>
              <w:t>Developing Conflict Management skills</w:t>
            </w:r>
          </w:p>
        </w:tc>
        <w:tc>
          <w:tcPr>
            <w:tcW w:w="1029" w:type="dxa"/>
          </w:tcPr>
          <w:p>
            <w:pPr>
              <w:spacing w:after="0"/>
            </w:pPr>
            <w:r>
              <w:t>1</w:t>
            </w:r>
          </w:p>
        </w:tc>
        <w:tc>
          <w:tcPr>
            <w:tcW w:w="1450" w:type="dxa"/>
          </w:tcPr>
          <w:p>
            <w:pPr>
              <w:spacing w:after="0"/>
            </w:pPr>
            <w:r>
              <w:t>Assess the problem thoroughly, evaluate alternatives</w:t>
            </w:r>
          </w:p>
        </w:tc>
        <w:tc>
          <w:tcPr>
            <w:tcW w:w="1950" w:type="dxa"/>
          </w:tcPr>
          <w:p>
            <w:pPr>
              <w:pStyle w:val="19"/>
              <w:numPr>
                <w:ilvl w:val="0"/>
                <w:numId w:val="5"/>
              </w:numPr>
              <w:spacing w:after="0"/>
            </w:pPr>
            <w:r>
              <w:t>Workshop</w:t>
            </w:r>
          </w:p>
          <w:p>
            <w:pPr>
              <w:pStyle w:val="19"/>
              <w:numPr>
                <w:ilvl w:val="0"/>
                <w:numId w:val="5"/>
              </w:numPr>
              <w:spacing w:after="0"/>
            </w:pPr>
            <w:r>
              <w:t>Mentoring</w:t>
            </w:r>
          </w:p>
        </w:tc>
        <w:tc>
          <w:tcPr>
            <w:tcW w:w="970" w:type="dxa"/>
          </w:tcPr>
          <w:p>
            <w:pPr>
              <w:spacing w:after="0"/>
            </w:pPr>
            <w:r>
              <w:t>August 2022</w:t>
            </w:r>
          </w:p>
        </w:tc>
        <w:tc>
          <w:tcPr>
            <w:tcW w:w="1336" w:type="dxa"/>
          </w:tcPr>
          <w:p>
            <w:pPr>
              <w:spacing w:after="0"/>
            </w:pPr>
            <w:r>
              <w:t>November 2022</w:t>
            </w:r>
          </w:p>
        </w:tc>
        <w:tc>
          <w:tcPr>
            <w:tcW w:w="1743" w:type="dxa"/>
            <w:gridSpan w:val="2"/>
          </w:tcPr>
          <w:p>
            <w:pPr>
              <w:spacing w:after="0"/>
            </w:pPr>
            <w:r>
              <w:t>Online Test, Real Scenario Solving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0" w:type="dxa"/>
          </w:tcPr>
          <w:p>
            <w:pPr>
              <w:spacing w:after="0"/>
            </w:pPr>
            <w:r>
              <w:t>Improving Listening Skills</w:t>
            </w:r>
          </w:p>
        </w:tc>
        <w:tc>
          <w:tcPr>
            <w:tcW w:w="1029" w:type="dxa"/>
          </w:tcPr>
          <w:p>
            <w:pPr>
              <w:spacing w:after="0"/>
            </w:pPr>
            <w:r>
              <w:t>2</w:t>
            </w:r>
          </w:p>
        </w:tc>
        <w:tc>
          <w:tcPr>
            <w:tcW w:w="1450" w:type="dxa"/>
          </w:tcPr>
          <w:p>
            <w:pPr>
              <w:spacing w:after="0"/>
            </w:pPr>
            <w:r>
              <w:t xml:space="preserve">Asking questions, Share Opinions </w:t>
            </w:r>
          </w:p>
        </w:tc>
        <w:tc>
          <w:tcPr>
            <w:tcW w:w="1950" w:type="dxa"/>
          </w:tcPr>
          <w:p>
            <w:pPr>
              <w:pStyle w:val="19"/>
              <w:numPr>
                <w:ilvl w:val="0"/>
                <w:numId w:val="6"/>
              </w:numPr>
              <w:spacing w:after="0"/>
            </w:pPr>
            <w:r>
              <w:t>Training</w:t>
            </w:r>
          </w:p>
          <w:p>
            <w:pPr>
              <w:pStyle w:val="19"/>
              <w:numPr>
                <w:ilvl w:val="0"/>
                <w:numId w:val="6"/>
              </w:numPr>
              <w:spacing w:after="0"/>
            </w:pPr>
            <w:r>
              <w:t>E-learning</w:t>
            </w:r>
          </w:p>
        </w:tc>
        <w:tc>
          <w:tcPr>
            <w:tcW w:w="970" w:type="dxa"/>
          </w:tcPr>
          <w:p>
            <w:pPr>
              <w:spacing w:after="0"/>
            </w:pPr>
            <w:r>
              <w:t>July 2022</w:t>
            </w:r>
          </w:p>
        </w:tc>
        <w:tc>
          <w:tcPr>
            <w:tcW w:w="1336" w:type="dxa"/>
          </w:tcPr>
          <w:p>
            <w:pPr>
              <w:spacing w:after="0"/>
            </w:pPr>
            <w:r>
              <w:t>November 2022</w:t>
            </w:r>
          </w:p>
        </w:tc>
        <w:tc>
          <w:tcPr>
            <w:tcW w:w="1743" w:type="dxa"/>
            <w:gridSpan w:val="2"/>
          </w:tcPr>
          <w:p>
            <w:pPr>
              <w:spacing w:after="0"/>
            </w:pPr>
            <w:r>
              <w:t>Active Listening Test, Daily Quiz Test</w:t>
            </w:r>
          </w:p>
        </w:tc>
      </w:tr>
    </w:tbl>
    <w:p>
      <w:pPr>
        <w:jc w:val="center"/>
        <w:rPr>
          <w:b/>
          <w:bCs/>
        </w:rPr>
      </w:pPr>
      <w:r>
        <w:rPr>
          <w:b/>
          <w:bCs/>
        </w:rPr>
        <w:t>*1= Very Essential, *5= Not Essential</w:t>
      </w:r>
    </w:p>
    <w:p>
      <w:r>
        <w:t>Tesco has noticed that organisational productivity is being inhibited by the dearth of such competencies among its employees and thus has designed a personal development approach to handle this challenge. Training, seminars, e-learning, and coaching would be supplied by Tesco to tailor the expectations of staff and expand their specific capabilities (</w:t>
      </w:r>
      <w:r>
        <w:rPr>
          <w:rFonts w:cs="Times New Roman"/>
          <w:color w:val="222222"/>
          <w:szCs w:val="24"/>
          <w:shd w:val="clear" w:color="auto" w:fill="FFFFFF"/>
        </w:rPr>
        <w:t>Asio and Jimenez, 2020)</w:t>
      </w:r>
      <w:r>
        <w:t>, which could eventually serve both Tesco and its employees to achieve success. Improved corporate employee engagement is fundamental to a firm's capacity to supply high-quality offerings that boost its competitiveness, create positive brand recognition, and save expenses.</w:t>
      </w:r>
      <w:r>
        <w:br w:type="page"/>
      </w:r>
    </w:p>
    <w:p>
      <w:pPr>
        <w:pStyle w:val="2"/>
      </w:pPr>
      <w:bookmarkStart w:id="7" w:name="_Toc108213804"/>
      <w:r>
        <w:t>Conclusion</w:t>
      </w:r>
      <w:bookmarkEnd w:id="7"/>
    </w:p>
    <w:p>
      <w:pPr>
        <w:rPr>
          <w:szCs w:val="24"/>
        </w:rPr>
      </w:pPr>
      <w:r>
        <w:rPr>
          <w:szCs w:val="24"/>
        </w:rPr>
        <w:t>This paper suggests that individual growth is one of the most essential factors driving work engagement as it boosts staff morale, encourages staff, enhances staff efficiency, and fosters corporate innovation. Tesco must offer its employees a variety of training opportunities to aid them to strengthen their skills and boost as individuals in the work. There are several positives for the company when the workforce has the right capacity to complete their assigned work without or without minimal assistance. Therefore, Tesco aims to specify the employee's demands for workplace success, foster a positive relationship, and stimulate self-development through training and growth initiatives to attain the organisation's objectives more efficiently.</w:t>
      </w:r>
      <w:r>
        <w:rPr>
          <w:szCs w:val="24"/>
        </w:rPr>
        <w:br w:type="page"/>
      </w:r>
    </w:p>
    <w:p>
      <w:pPr>
        <w:pStyle w:val="2"/>
      </w:pPr>
      <w:bookmarkStart w:id="8" w:name="_Toc108213805"/>
      <w:r>
        <w:t>Reference</w:t>
      </w:r>
      <w:bookmarkEnd w:id="8"/>
    </w:p>
    <w:p>
      <w:pPr>
        <w:ind w:left="720" w:hanging="720"/>
        <w:rPr>
          <w:rFonts w:cs="Times New Roman"/>
          <w:color w:val="222222"/>
          <w:szCs w:val="24"/>
          <w:shd w:val="clear" w:color="auto" w:fill="FFFFFF"/>
        </w:rPr>
      </w:pPr>
      <w:r>
        <w:rPr>
          <w:rFonts w:cs="Times New Roman"/>
          <w:color w:val="222222"/>
          <w:szCs w:val="24"/>
          <w:shd w:val="clear" w:color="auto" w:fill="FFFFFF"/>
        </w:rPr>
        <w:t>Asio, J.M.R. and Jimenez, E., 2020. Professional Development, Organizational Climate, Supervisory Rapport and Overall Satisfaction of Employees: An Attitudinal Study. </w:t>
      </w:r>
      <w:r>
        <w:rPr>
          <w:rFonts w:cs="Times New Roman"/>
          <w:i/>
          <w:iCs/>
          <w:color w:val="222222"/>
          <w:szCs w:val="24"/>
          <w:shd w:val="clear" w:color="auto" w:fill="FFFFFF"/>
        </w:rPr>
        <w:t xml:space="preserve"> International Journal of Scientific Research in Multidisciplinary Studies</w:t>
      </w:r>
      <w:r>
        <w:rPr>
          <w:rFonts w:cs="Times New Roman"/>
          <w:color w:val="222222"/>
          <w:szCs w:val="24"/>
          <w:shd w:val="clear" w:color="auto" w:fill="FFFFFF"/>
        </w:rPr>
        <w:t>, </w:t>
      </w:r>
      <w:r>
        <w:rPr>
          <w:rFonts w:cs="Times New Roman"/>
          <w:i/>
          <w:iCs/>
          <w:color w:val="222222"/>
          <w:szCs w:val="24"/>
          <w:shd w:val="clear" w:color="auto" w:fill="FFFFFF"/>
        </w:rPr>
        <w:t>6</w:t>
      </w:r>
      <w:r>
        <w:rPr>
          <w:rFonts w:cs="Times New Roman"/>
          <w:color w:val="222222"/>
          <w:szCs w:val="24"/>
          <w:shd w:val="clear" w:color="auto" w:fill="FFFFFF"/>
        </w:rPr>
        <w:t>(4), pp.34-40.</w:t>
      </w:r>
    </w:p>
    <w:p>
      <w:pPr>
        <w:ind w:left="720" w:hanging="720"/>
        <w:rPr>
          <w:rFonts w:cs="Times New Roman"/>
          <w:color w:val="222222"/>
          <w:szCs w:val="24"/>
          <w:shd w:val="clear" w:color="auto" w:fill="FFFFFF"/>
        </w:rPr>
      </w:pPr>
      <w:r>
        <w:rPr>
          <w:rFonts w:cs="Times New Roman"/>
          <w:color w:val="222222"/>
          <w:szCs w:val="24"/>
          <w:shd w:val="clear" w:color="auto" w:fill="FFFFFF"/>
        </w:rPr>
        <w:t>Awadari, A.C. and Kanwal, S., 2019. Employee Participation in Organizational Change: A Case of Tesco PLC. </w:t>
      </w:r>
      <w:r>
        <w:rPr>
          <w:rFonts w:cs="Times New Roman"/>
          <w:i/>
          <w:iCs/>
          <w:color w:val="222222"/>
          <w:szCs w:val="24"/>
          <w:shd w:val="clear" w:color="auto" w:fill="FFFFFF"/>
        </w:rPr>
        <w:t>International Journal of Financial, Accounting, and Management</w:t>
      </w:r>
      <w:r>
        <w:rPr>
          <w:rFonts w:cs="Times New Roman"/>
          <w:color w:val="222222"/>
          <w:szCs w:val="24"/>
          <w:shd w:val="clear" w:color="auto" w:fill="FFFFFF"/>
        </w:rPr>
        <w:t>, </w:t>
      </w:r>
      <w:r>
        <w:rPr>
          <w:rFonts w:cs="Times New Roman"/>
          <w:i/>
          <w:iCs/>
          <w:color w:val="222222"/>
          <w:szCs w:val="24"/>
          <w:shd w:val="clear" w:color="auto" w:fill="FFFFFF"/>
        </w:rPr>
        <w:t>1</w:t>
      </w:r>
      <w:r>
        <w:rPr>
          <w:rFonts w:cs="Times New Roman"/>
          <w:color w:val="222222"/>
          <w:szCs w:val="24"/>
          <w:shd w:val="clear" w:color="auto" w:fill="FFFFFF"/>
        </w:rPr>
        <w:t>(2), pp.91-99.</w:t>
      </w:r>
    </w:p>
    <w:p>
      <w:pPr>
        <w:ind w:left="720" w:hanging="720"/>
        <w:rPr>
          <w:rFonts w:cs="Times New Roman"/>
          <w:color w:val="222222"/>
          <w:szCs w:val="24"/>
          <w:shd w:val="clear" w:color="auto" w:fill="FFFFFF"/>
        </w:rPr>
      </w:pPr>
      <w:r>
        <w:rPr>
          <w:rFonts w:cs="Times New Roman"/>
          <w:color w:val="222222"/>
          <w:szCs w:val="24"/>
          <w:shd w:val="clear" w:color="auto" w:fill="FFFFFF"/>
        </w:rPr>
        <w:t>Beausaert, S., Segers, M. and Gijselaers, W., 2011. The Personal Development Plan Practice Questionnaire: The Development and Validation of An Instrument to Assess the Employee's Perception of Personal Development Plan Practice. </w:t>
      </w:r>
      <w:r>
        <w:rPr>
          <w:rFonts w:cs="Times New Roman"/>
          <w:i/>
          <w:iCs/>
          <w:color w:val="222222"/>
          <w:szCs w:val="24"/>
          <w:shd w:val="clear" w:color="auto" w:fill="FFFFFF"/>
        </w:rPr>
        <w:t>International Journal of Training and Development</w:t>
      </w:r>
      <w:r>
        <w:rPr>
          <w:rFonts w:cs="Times New Roman"/>
          <w:color w:val="222222"/>
          <w:szCs w:val="24"/>
          <w:shd w:val="clear" w:color="auto" w:fill="FFFFFF"/>
        </w:rPr>
        <w:t>, </w:t>
      </w:r>
      <w:r>
        <w:rPr>
          <w:rFonts w:cs="Times New Roman"/>
          <w:i/>
          <w:iCs/>
          <w:color w:val="222222"/>
          <w:szCs w:val="24"/>
          <w:shd w:val="clear" w:color="auto" w:fill="FFFFFF"/>
        </w:rPr>
        <w:t>15</w:t>
      </w:r>
      <w:r>
        <w:rPr>
          <w:rFonts w:cs="Times New Roman"/>
          <w:color w:val="222222"/>
          <w:szCs w:val="24"/>
          <w:shd w:val="clear" w:color="auto" w:fill="FFFFFF"/>
        </w:rPr>
        <w:t xml:space="preserve">(4), pp.249-270. </w:t>
      </w:r>
    </w:p>
    <w:p>
      <w:pPr>
        <w:ind w:left="720" w:hanging="720"/>
        <w:rPr>
          <w:rFonts w:cs="Times New Roman"/>
          <w:color w:val="222222"/>
          <w:szCs w:val="24"/>
          <w:shd w:val="clear" w:color="auto" w:fill="FFFFFF"/>
        </w:rPr>
      </w:pPr>
      <w:r>
        <w:rPr>
          <w:rFonts w:cs="Times New Roman"/>
          <w:color w:val="222222"/>
          <w:szCs w:val="24"/>
          <w:shd w:val="clear" w:color="auto" w:fill="FFFFFF"/>
        </w:rPr>
        <w:t>Doufexi, T. and Pampouri, A., 2022. Evaluation Of Employees’ Vocational Training Programmes and Professional Development: A Case Study in Greece. </w:t>
      </w:r>
      <w:r>
        <w:rPr>
          <w:rFonts w:cs="Times New Roman"/>
          <w:i/>
          <w:iCs/>
          <w:color w:val="222222"/>
          <w:szCs w:val="24"/>
          <w:shd w:val="clear" w:color="auto" w:fill="FFFFFF"/>
        </w:rPr>
        <w:t>Journal of Adult and Continuing Education</w:t>
      </w:r>
      <w:r>
        <w:rPr>
          <w:rFonts w:cs="Times New Roman"/>
          <w:color w:val="222222"/>
          <w:szCs w:val="24"/>
          <w:shd w:val="clear" w:color="auto" w:fill="FFFFFF"/>
        </w:rPr>
        <w:t>, </w:t>
      </w:r>
      <w:r>
        <w:rPr>
          <w:rFonts w:cs="Times New Roman"/>
          <w:i/>
          <w:iCs/>
          <w:color w:val="222222"/>
          <w:szCs w:val="24"/>
          <w:shd w:val="clear" w:color="auto" w:fill="FFFFFF"/>
        </w:rPr>
        <w:t>28</w:t>
      </w:r>
      <w:r>
        <w:rPr>
          <w:rFonts w:cs="Times New Roman"/>
          <w:color w:val="222222"/>
          <w:szCs w:val="24"/>
          <w:shd w:val="clear" w:color="auto" w:fill="FFFFFF"/>
        </w:rPr>
        <w:t>(1), pp.49-72.</w:t>
      </w:r>
    </w:p>
    <w:p>
      <w:pPr>
        <w:ind w:left="720" w:hanging="720"/>
        <w:rPr>
          <w:rFonts w:cs="Times New Roman"/>
          <w:color w:val="222222"/>
          <w:szCs w:val="24"/>
          <w:shd w:val="clear" w:color="auto" w:fill="FFFFFF"/>
        </w:rPr>
      </w:pPr>
      <w:r>
        <w:rPr>
          <w:rFonts w:cs="Times New Roman"/>
          <w:color w:val="222222"/>
          <w:szCs w:val="24"/>
          <w:shd w:val="clear" w:color="auto" w:fill="FFFFFF"/>
        </w:rPr>
        <w:t>Figurska, I.R.E.N.A., 2016. Personal Branding as An Element of Employees’ Professional Development. </w:t>
      </w:r>
      <w:r>
        <w:rPr>
          <w:rFonts w:cs="Times New Roman"/>
          <w:i/>
          <w:iCs/>
          <w:color w:val="222222"/>
          <w:szCs w:val="24"/>
          <w:shd w:val="clear" w:color="auto" w:fill="FFFFFF"/>
        </w:rPr>
        <w:t>Human Resources Management &amp; Ergonomics</w:t>
      </w:r>
      <w:r>
        <w:rPr>
          <w:rFonts w:cs="Times New Roman"/>
          <w:color w:val="222222"/>
          <w:szCs w:val="24"/>
          <w:shd w:val="clear" w:color="auto" w:fill="FFFFFF"/>
        </w:rPr>
        <w:t>, </w:t>
      </w:r>
      <w:r>
        <w:rPr>
          <w:rFonts w:cs="Times New Roman"/>
          <w:i/>
          <w:iCs/>
          <w:color w:val="222222"/>
          <w:szCs w:val="24"/>
          <w:shd w:val="clear" w:color="auto" w:fill="FFFFFF"/>
        </w:rPr>
        <w:t>10</w:t>
      </w:r>
      <w:r>
        <w:rPr>
          <w:rFonts w:cs="Times New Roman"/>
          <w:color w:val="222222"/>
          <w:szCs w:val="24"/>
          <w:shd w:val="clear" w:color="auto" w:fill="FFFFFF"/>
        </w:rPr>
        <w:t>(2), pp.33-47.</w:t>
      </w:r>
    </w:p>
    <w:p>
      <w:pPr>
        <w:ind w:left="720" w:hanging="720"/>
        <w:rPr>
          <w:rFonts w:cs="Times New Roman"/>
          <w:color w:val="222222"/>
          <w:szCs w:val="24"/>
          <w:shd w:val="clear" w:color="auto" w:fill="FFFFFF"/>
        </w:rPr>
      </w:pPr>
      <w:r>
        <w:rPr>
          <w:rFonts w:cs="Times New Roman"/>
          <w:color w:val="222222"/>
          <w:szCs w:val="24"/>
          <w:shd w:val="clear" w:color="auto" w:fill="FFFFFF"/>
        </w:rPr>
        <w:t>Hunter, A.B., Laursen, S.L. and Seymour, E., 2017. Becoming A Scientist: The Role of Undergraduate Research in Students' Cognitive, Personal, And Professional Development. </w:t>
      </w:r>
      <w:r>
        <w:rPr>
          <w:rFonts w:cs="Times New Roman"/>
          <w:i/>
          <w:iCs/>
          <w:color w:val="222222"/>
          <w:szCs w:val="24"/>
          <w:shd w:val="clear" w:color="auto" w:fill="FFFFFF"/>
        </w:rPr>
        <w:t>Science education</w:t>
      </w:r>
      <w:r>
        <w:rPr>
          <w:rFonts w:cs="Times New Roman"/>
          <w:color w:val="222222"/>
          <w:szCs w:val="24"/>
          <w:shd w:val="clear" w:color="auto" w:fill="FFFFFF"/>
        </w:rPr>
        <w:t>, </w:t>
      </w:r>
      <w:r>
        <w:rPr>
          <w:rFonts w:cs="Times New Roman"/>
          <w:i/>
          <w:iCs/>
          <w:color w:val="222222"/>
          <w:szCs w:val="24"/>
          <w:shd w:val="clear" w:color="auto" w:fill="FFFFFF"/>
        </w:rPr>
        <w:t>91</w:t>
      </w:r>
      <w:r>
        <w:rPr>
          <w:rFonts w:cs="Times New Roman"/>
          <w:color w:val="222222"/>
          <w:szCs w:val="24"/>
          <w:shd w:val="clear" w:color="auto" w:fill="FFFFFF"/>
        </w:rPr>
        <w:t>(1), pp.36-74.</w:t>
      </w:r>
    </w:p>
    <w:p>
      <w:pPr>
        <w:ind w:left="720" w:hanging="720"/>
        <w:rPr>
          <w:rFonts w:cs="Times New Roman"/>
          <w:color w:val="222222"/>
          <w:szCs w:val="24"/>
          <w:shd w:val="clear" w:color="auto" w:fill="FFFFFF"/>
        </w:rPr>
      </w:pPr>
      <w:r>
        <w:rPr>
          <w:rFonts w:cs="Times New Roman"/>
          <w:color w:val="222222"/>
          <w:szCs w:val="24"/>
          <w:shd w:val="clear" w:color="auto" w:fill="FFFFFF"/>
        </w:rPr>
        <w:t>Jha, V., 2016. Training And Development Program and Its Benefits to Employee and Organization: A Conceptual Study. </w:t>
      </w:r>
      <w:r>
        <w:rPr>
          <w:rFonts w:cs="Times New Roman"/>
          <w:i/>
          <w:iCs/>
          <w:color w:val="222222"/>
          <w:szCs w:val="24"/>
          <w:shd w:val="clear" w:color="auto" w:fill="FFFFFF"/>
        </w:rPr>
        <w:t>International Journal of Scientific Research in Science and Technology</w:t>
      </w:r>
      <w:r>
        <w:rPr>
          <w:rFonts w:cs="Times New Roman"/>
          <w:color w:val="222222"/>
          <w:szCs w:val="24"/>
          <w:shd w:val="clear" w:color="auto" w:fill="FFFFFF"/>
        </w:rPr>
        <w:t>, </w:t>
      </w:r>
      <w:r>
        <w:rPr>
          <w:rFonts w:cs="Times New Roman"/>
          <w:i/>
          <w:iCs/>
          <w:color w:val="222222"/>
          <w:szCs w:val="24"/>
          <w:shd w:val="clear" w:color="auto" w:fill="FFFFFF"/>
        </w:rPr>
        <w:t>2</w:t>
      </w:r>
      <w:r>
        <w:rPr>
          <w:rFonts w:cs="Times New Roman"/>
          <w:color w:val="222222"/>
          <w:szCs w:val="24"/>
          <w:shd w:val="clear" w:color="auto" w:fill="FFFFFF"/>
        </w:rPr>
        <w:t>(5), pp.80-86.</w:t>
      </w:r>
    </w:p>
    <w:p>
      <w:pPr>
        <w:ind w:left="720" w:hanging="720"/>
        <w:rPr>
          <w:rFonts w:cs="Times New Roman"/>
          <w:color w:val="222222"/>
          <w:szCs w:val="24"/>
          <w:shd w:val="clear" w:color="auto" w:fill="FFFFFF"/>
        </w:rPr>
      </w:pPr>
      <w:r>
        <w:rPr>
          <w:rFonts w:cs="Times New Roman"/>
          <w:color w:val="222222"/>
          <w:szCs w:val="24"/>
          <w:shd w:val="clear" w:color="auto" w:fill="FFFFFF"/>
        </w:rPr>
        <w:t>Kuh, G.D., 2015. The Other Curriculum: Out-Of-Class Experiences Associated with Student Learning and Personal Development. </w:t>
      </w:r>
      <w:r>
        <w:rPr>
          <w:rFonts w:cs="Times New Roman"/>
          <w:i/>
          <w:iCs/>
          <w:color w:val="222222"/>
          <w:szCs w:val="24"/>
          <w:shd w:val="clear" w:color="auto" w:fill="FFFFFF"/>
        </w:rPr>
        <w:t>The Journal of Higher Education</w:t>
      </w:r>
      <w:r>
        <w:rPr>
          <w:rFonts w:cs="Times New Roman"/>
          <w:color w:val="222222"/>
          <w:szCs w:val="24"/>
          <w:shd w:val="clear" w:color="auto" w:fill="FFFFFF"/>
        </w:rPr>
        <w:t>, </w:t>
      </w:r>
      <w:r>
        <w:rPr>
          <w:rFonts w:cs="Times New Roman"/>
          <w:i/>
          <w:iCs/>
          <w:color w:val="222222"/>
          <w:szCs w:val="24"/>
          <w:shd w:val="clear" w:color="auto" w:fill="FFFFFF"/>
        </w:rPr>
        <w:t>66</w:t>
      </w:r>
      <w:r>
        <w:rPr>
          <w:rFonts w:cs="Times New Roman"/>
          <w:color w:val="222222"/>
          <w:szCs w:val="24"/>
          <w:shd w:val="clear" w:color="auto" w:fill="FFFFFF"/>
        </w:rPr>
        <w:t>(2), pp.123-155.</w:t>
      </w:r>
    </w:p>
    <w:p>
      <w:pPr>
        <w:ind w:left="720" w:hanging="720"/>
        <w:rPr>
          <w:rFonts w:cs="Times New Roman"/>
          <w:color w:val="222222"/>
          <w:szCs w:val="24"/>
          <w:shd w:val="clear" w:color="auto" w:fill="FFFFFF"/>
        </w:rPr>
      </w:pPr>
      <w:r>
        <w:rPr>
          <w:rFonts w:cs="Times New Roman"/>
          <w:color w:val="222222"/>
          <w:szCs w:val="24"/>
          <w:shd w:val="clear" w:color="auto" w:fill="FFFFFF"/>
        </w:rPr>
        <w:t>Lejeune, C., Beausaert, S. and Raemdonck, I., 2021. The Impact on Employees’ Job Performance of Exercising Self-Directed Learning Within Personal Development Plan Practice. </w:t>
      </w:r>
      <w:r>
        <w:rPr>
          <w:rFonts w:cs="Times New Roman"/>
          <w:i/>
          <w:iCs/>
          <w:color w:val="222222"/>
          <w:szCs w:val="24"/>
          <w:shd w:val="clear" w:color="auto" w:fill="FFFFFF"/>
        </w:rPr>
        <w:t>The International Journal of Human Resource Management</w:t>
      </w:r>
      <w:r>
        <w:rPr>
          <w:rFonts w:cs="Times New Roman"/>
          <w:color w:val="222222"/>
          <w:szCs w:val="24"/>
          <w:shd w:val="clear" w:color="auto" w:fill="FFFFFF"/>
        </w:rPr>
        <w:t>, </w:t>
      </w:r>
      <w:r>
        <w:rPr>
          <w:rFonts w:cs="Times New Roman"/>
          <w:i/>
          <w:iCs/>
          <w:color w:val="222222"/>
          <w:szCs w:val="24"/>
          <w:shd w:val="clear" w:color="auto" w:fill="FFFFFF"/>
        </w:rPr>
        <w:t>32</w:t>
      </w:r>
      <w:r>
        <w:rPr>
          <w:rFonts w:cs="Times New Roman"/>
          <w:color w:val="222222"/>
          <w:szCs w:val="24"/>
          <w:shd w:val="clear" w:color="auto" w:fill="FFFFFF"/>
        </w:rPr>
        <w:t>(5), pp.1086-1112.</w:t>
      </w:r>
    </w:p>
    <w:p>
      <w:pPr>
        <w:ind w:left="720" w:hanging="720"/>
        <w:rPr>
          <w:rFonts w:cs="Times New Roman"/>
          <w:color w:val="222222"/>
          <w:szCs w:val="24"/>
          <w:shd w:val="clear" w:color="auto" w:fill="FFFFFF"/>
        </w:rPr>
      </w:pPr>
      <w:r>
        <w:rPr>
          <w:rFonts w:cs="Times New Roman"/>
          <w:color w:val="222222"/>
          <w:szCs w:val="24"/>
          <w:shd w:val="clear" w:color="auto" w:fill="FFFFFF"/>
        </w:rPr>
        <w:t>Mittendorff, K., Jochems, W., Meijers, F. and den Brok, P., 2018. Differences And Similarities in The Use of The Portfolio and Personal Development Plan for Career Guidance in Various Vocational Schools in The Netherlands. </w:t>
      </w:r>
      <w:r>
        <w:rPr>
          <w:rFonts w:cs="Times New Roman"/>
          <w:i/>
          <w:iCs/>
          <w:color w:val="222222"/>
          <w:szCs w:val="24"/>
          <w:shd w:val="clear" w:color="auto" w:fill="FFFFFF"/>
        </w:rPr>
        <w:t>Journal of Vocational Education and Training</w:t>
      </w:r>
      <w:r>
        <w:rPr>
          <w:rFonts w:cs="Times New Roman"/>
          <w:color w:val="222222"/>
          <w:szCs w:val="24"/>
          <w:shd w:val="clear" w:color="auto" w:fill="FFFFFF"/>
        </w:rPr>
        <w:t>, </w:t>
      </w:r>
      <w:r>
        <w:rPr>
          <w:rFonts w:cs="Times New Roman"/>
          <w:i/>
          <w:iCs/>
          <w:color w:val="222222"/>
          <w:szCs w:val="24"/>
          <w:shd w:val="clear" w:color="auto" w:fill="FFFFFF"/>
        </w:rPr>
        <w:t>60</w:t>
      </w:r>
      <w:r>
        <w:rPr>
          <w:rFonts w:cs="Times New Roman"/>
          <w:color w:val="222222"/>
          <w:szCs w:val="24"/>
          <w:shd w:val="clear" w:color="auto" w:fill="FFFFFF"/>
        </w:rPr>
        <w:t>(1), pp.75-91.</w:t>
      </w:r>
    </w:p>
    <w:p>
      <w:pPr>
        <w:ind w:left="720" w:hanging="720"/>
        <w:rPr>
          <w:rFonts w:cs="Times New Roman"/>
          <w:color w:val="222222"/>
          <w:szCs w:val="24"/>
          <w:shd w:val="clear" w:color="auto" w:fill="FFFFFF"/>
        </w:rPr>
      </w:pPr>
      <w:r>
        <w:rPr>
          <w:rFonts w:cs="Times New Roman"/>
          <w:color w:val="222222"/>
          <w:szCs w:val="24"/>
          <w:shd w:val="clear" w:color="auto" w:fill="FFFFFF"/>
        </w:rPr>
        <w:t>Morrison, E. and Thurnell, D., 2012. Employee Preferences for Work-Life Benefits in A Large New Zealand Construction. </w:t>
      </w:r>
      <w:r>
        <w:rPr>
          <w:rFonts w:cs="Times New Roman"/>
          <w:i/>
          <w:iCs/>
          <w:color w:val="222222"/>
          <w:szCs w:val="24"/>
          <w:shd w:val="clear" w:color="auto" w:fill="FFFFFF"/>
        </w:rPr>
        <w:t>Australasian Journal of Construction Economics and Building, The</w:t>
      </w:r>
      <w:r>
        <w:rPr>
          <w:rFonts w:cs="Times New Roman"/>
          <w:color w:val="222222"/>
          <w:szCs w:val="24"/>
          <w:shd w:val="clear" w:color="auto" w:fill="FFFFFF"/>
        </w:rPr>
        <w:t>, </w:t>
      </w:r>
      <w:r>
        <w:rPr>
          <w:rFonts w:cs="Times New Roman"/>
          <w:i/>
          <w:iCs/>
          <w:color w:val="222222"/>
          <w:szCs w:val="24"/>
          <w:shd w:val="clear" w:color="auto" w:fill="FFFFFF"/>
        </w:rPr>
        <w:t>12</w:t>
      </w:r>
      <w:r>
        <w:rPr>
          <w:rFonts w:cs="Times New Roman"/>
          <w:color w:val="222222"/>
          <w:szCs w:val="24"/>
          <w:shd w:val="clear" w:color="auto" w:fill="FFFFFF"/>
        </w:rPr>
        <w:t>(1), pp.12-25.</w:t>
      </w:r>
    </w:p>
    <w:p>
      <w:pPr>
        <w:ind w:left="720" w:hanging="720"/>
        <w:rPr>
          <w:rFonts w:cs="Times New Roman"/>
          <w:color w:val="222222"/>
          <w:szCs w:val="24"/>
          <w:shd w:val="clear" w:color="auto" w:fill="FFFFFF"/>
        </w:rPr>
      </w:pPr>
      <w:r>
        <w:rPr>
          <w:rFonts w:cs="Times New Roman"/>
          <w:color w:val="222222"/>
          <w:szCs w:val="24"/>
          <w:shd w:val="clear" w:color="auto" w:fill="FFFFFF"/>
        </w:rPr>
        <w:t>Rande, S., Rahawarin, Y. and Zacharias, T., 2015. Factors Affecting the Career Development of Employees in Secretariat Office of City Samarinda. </w:t>
      </w:r>
      <w:r>
        <w:rPr>
          <w:rFonts w:cs="Times New Roman"/>
          <w:i/>
          <w:iCs/>
          <w:color w:val="222222"/>
          <w:szCs w:val="24"/>
          <w:shd w:val="clear" w:color="auto" w:fill="FFFFFF"/>
        </w:rPr>
        <w:t>International Journal of Scientific &amp; Technology Research</w:t>
      </w:r>
      <w:r>
        <w:rPr>
          <w:rFonts w:cs="Times New Roman"/>
          <w:color w:val="222222"/>
          <w:szCs w:val="24"/>
          <w:shd w:val="clear" w:color="auto" w:fill="FFFFFF"/>
        </w:rPr>
        <w:t>, </w:t>
      </w:r>
      <w:r>
        <w:rPr>
          <w:rFonts w:cs="Times New Roman"/>
          <w:i/>
          <w:iCs/>
          <w:color w:val="222222"/>
          <w:szCs w:val="24"/>
          <w:shd w:val="clear" w:color="auto" w:fill="FFFFFF"/>
        </w:rPr>
        <w:t>4</w:t>
      </w:r>
      <w:r>
        <w:rPr>
          <w:rFonts w:cs="Times New Roman"/>
          <w:color w:val="222222"/>
          <w:szCs w:val="24"/>
          <w:shd w:val="clear" w:color="auto" w:fill="FFFFFF"/>
        </w:rPr>
        <w:t>(3), pp.93-99.</w:t>
      </w:r>
    </w:p>
    <w:p>
      <w:pPr>
        <w:ind w:left="720" w:hanging="720"/>
        <w:rPr>
          <w:rFonts w:cs="Times New Roman"/>
          <w:color w:val="222222"/>
          <w:szCs w:val="24"/>
          <w:shd w:val="clear" w:color="auto" w:fill="FFFFFF"/>
        </w:rPr>
      </w:pPr>
      <w:r>
        <w:rPr>
          <w:rFonts w:cs="Times New Roman"/>
          <w:color w:val="222222"/>
          <w:szCs w:val="24"/>
          <w:shd w:val="clear" w:color="auto" w:fill="FFFFFF"/>
        </w:rPr>
        <w:t xml:space="preserve">Schoberova, M., 2015. Job Crafting and Personal Development in The Workplace: Employees and Managers Co-Creating Meaningful and Productive Work in Personal Development Discussions. </w:t>
      </w:r>
      <w:r>
        <w:rPr>
          <w:rFonts w:cs="Times New Roman"/>
          <w:i/>
          <w:iCs/>
          <w:color w:val="222222"/>
          <w:szCs w:val="24"/>
          <w:shd w:val="clear" w:color="auto" w:fill="FFFFFF"/>
        </w:rPr>
        <w:t>Journal of Vocational Education and Training</w:t>
      </w:r>
      <w:r>
        <w:rPr>
          <w:rFonts w:cs="Times New Roman"/>
          <w:color w:val="222222"/>
          <w:szCs w:val="24"/>
          <w:shd w:val="clear" w:color="auto" w:fill="FFFFFF"/>
        </w:rPr>
        <w:t>, </w:t>
      </w:r>
      <w:r>
        <w:rPr>
          <w:rFonts w:cs="Times New Roman"/>
          <w:i/>
          <w:iCs/>
          <w:color w:val="222222"/>
          <w:szCs w:val="24"/>
          <w:shd w:val="clear" w:color="auto" w:fill="FFFFFF"/>
        </w:rPr>
        <w:t>60</w:t>
      </w:r>
      <w:r>
        <w:rPr>
          <w:rFonts w:cs="Times New Roman"/>
          <w:color w:val="222222"/>
          <w:szCs w:val="24"/>
          <w:shd w:val="clear" w:color="auto" w:fill="FFFFFF"/>
        </w:rPr>
        <w:t>(1), pp.75-91.</w:t>
      </w:r>
    </w:p>
    <w:p>
      <w:pPr>
        <w:ind w:left="720" w:hanging="720"/>
        <w:rPr>
          <w:rFonts w:cs="Times New Roman"/>
          <w:color w:val="222222"/>
          <w:szCs w:val="24"/>
          <w:shd w:val="clear" w:color="auto" w:fill="FFFFFF"/>
        </w:rPr>
      </w:pPr>
      <w:r>
        <w:rPr>
          <w:rFonts w:cs="Times New Roman"/>
          <w:color w:val="222222"/>
          <w:szCs w:val="24"/>
          <w:shd w:val="clear" w:color="auto" w:fill="FFFFFF"/>
        </w:rPr>
        <w:t>Withana, C.A., Lavaro, J., Prasad, P.W.C. and Elchouemi, A., 2020, November. Web-based Enhancement of Employees Continuous Professional Development. In </w:t>
      </w:r>
      <w:r>
        <w:rPr>
          <w:rFonts w:cs="Times New Roman"/>
          <w:i/>
          <w:iCs/>
          <w:color w:val="222222"/>
          <w:szCs w:val="24"/>
          <w:shd w:val="clear" w:color="auto" w:fill="FFFFFF"/>
        </w:rPr>
        <w:t>2020 5th International Conference on Innovative Technologies in Intelligent Systems and Industrial Applications (CITISIA)</w:t>
      </w:r>
      <w:r>
        <w:rPr>
          <w:rFonts w:cs="Times New Roman"/>
          <w:color w:val="222222"/>
          <w:szCs w:val="24"/>
          <w:shd w:val="clear" w:color="auto" w:fill="FFFFFF"/>
        </w:rPr>
        <w:t xml:space="preserve">, IEEE, </w:t>
      </w:r>
      <w:r>
        <w:rPr>
          <w:rFonts w:cs="Times New Roman"/>
          <w:i/>
          <w:iCs/>
          <w:color w:val="222222"/>
          <w:szCs w:val="24"/>
          <w:shd w:val="clear" w:color="auto" w:fill="FFFFFF"/>
        </w:rPr>
        <w:t>15</w:t>
      </w:r>
      <w:r>
        <w:rPr>
          <w:rFonts w:cs="Times New Roman"/>
          <w:color w:val="222222"/>
          <w:szCs w:val="24"/>
          <w:shd w:val="clear" w:color="auto" w:fill="FFFFFF"/>
        </w:rPr>
        <w:t>(4), pp.249-270.</w:t>
      </w:r>
    </w:p>
    <w:p>
      <w:pPr>
        <w:ind w:left="720" w:hanging="720"/>
        <w:rPr>
          <w:rFonts w:cs="Times New Roman"/>
          <w:color w:val="222222"/>
          <w:szCs w:val="24"/>
          <w:shd w:val="clear" w:color="auto" w:fill="FFFFFF"/>
        </w:rPr>
      </w:pPr>
      <w:r>
        <w:rPr>
          <w:rFonts w:cs="Times New Roman"/>
          <w:color w:val="222222"/>
          <w:szCs w:val="24"/>
          <w:shd w:val="clear" w:color="auto" w:fill="FFFFFF"/>
        </w:rPr>
        <w:t>Woods, M., 2018. Linking Risk Management to Strategic Controls: A Case Study of Tesco Plc. </w:t>
      </w:r>
      <w:r>
        <w:rPr>
          <w:rFonts w:cs="Times New Roman"/>
          <w:i/>
          <w:iCs/>
          <w:color w:val="222222"/>
          <w:szCs w:val="24"/>
          <w:shd w:val="clear" w:color="auto" w:fill="FFFFFF"/>
        </w:rPr>
        <w:t>International Journal of Risk Assessment and Management</w:t>
      </w:r>
      <w:r>
        <w:rPr>
          <w:rFonts w:cs="Times New Roman"/>
          <w:color w:val="222222"/>
          <w:szCs w:val="24"/>
          <w:shd w:val="clear" w:color="auto" w:fill="FFFFFF"/>
        </w:rPr>
        <w:t>, </w:t>
      </w:r>
      <w:r>
        <w:rPr>
          <w:rFonts w:cs="Times New Roman"/>
          <w:i/>
          <w:iCs/>
          <w:color w:val="222222"/>
          <w:szCs w:val="24"/>
          <w:shd w:val="clear" w:color="auto" w:fill="FFFFFF"/>
        </w:rPr>
        <w:t>7</w:t>
      </w:r>
      <w:r>
        <w:rPr>
          <w:rFonts w:cs="Times New Roman"/>
          <w:color w:val="222222"/>
          <w:szCs w:val="24"/>
          <w:shd w:val="clear" w:color="auto" w:fill="FFFFFF"/>
        </w:rPr>
        <w:t>(8), pp.1074-1088.</w:t>
      </w:r>
    </w:p>
    <w:p>
      <w:pPr>
        <w:rPr>
          <w:rFonts w:cstheme="minorHAnsi"/>
          <w:color w:val="222222"/>
          <w:szCs w:val="24"/>
          <w:shd w:val="clear" w:color="auto" w:fill="FFFFFF"/>
        </w:rPr>
      </w:pPr>
    </w:p>
    <w:sectPr>
      <w:footerReference r:id="rId5"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Vrinda">
    <w:altName w:val="苹方-简"/>
    <w:panose1 w:val="00000400000000000000"/>
    <w:charset w:val="00"/>
    <w:family w:val="swiss"/>
    <w:pitch w:val="default"/>
    <w:sig w:usb0="00000000" w:usb1="00000000" w:usb2="00000000" w:usb3="00000000" w:csb0="00000001" w:csb1="00000000"/>
  </w:font>
  <w:font w:name="苹方-简">
    <w:panose1 w:val="020B0400000000000000"/>
    <w:charset w:val="86"/>
    <w:family w:val="auto"/>
    <w:pitch w:val="default"/>
    <w:sig w:usb0="00000000" w:usb1="00000000" w:usb2="00000000" w:usb3="00000000" w:csb0="00160000"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7769098"/>
      <w:docPartObj>
        <w:docPartGallery w:val="autotext"/>
      </w:docPartObj>
    </w:sdtPr>
    <w:sdtContent>
      <w:p>
        <w:pPr>
          <w:pStyle w:val="7"/>
          <w:jc w:val="right"/>
        </w:pPr>
        <w:r>
          <w:fldChar w:fldCharType="begin"/>
        </w:r>
        <w:r>
          <w:instrText xml:space="preserve"> PAGE   \* MERGEFORMAT </w:instrText>
        </w:r>
        <w:r>
          <w:fldChar w:fldCharType="separate"/>
        </w:r>
        <w:r>
          <w:t>2</w:t>
        </w:r>
        <w: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A71F08"/>
    <w:multiLevelType w:val="multilevel"/>
    <w:tmpl w:val="13A71F0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8242121"/>
    <w:multiLevelType w:val="multilevel"/>
    <w:tmpl w:val="28242121"/>
    <w:lvl w:ilvl="0" w:tentative="0">
      <w:start w:val="1"/>
      <w:numFmt w:val="bullet"/>
      <w:lvlText w:val=""/>
      <w:lvlJc w:val="left"/>
      <w:pPr>
        <w:ind w:left="927" w:hanging="360"/>
      </w:pPr>
      <w:rPr>
        <w:rFonts w:hint="default" w:ascii="Wingdings" w:hAnsi="Wingdings"/>
      </w:rPr>
    </w:lvl>
    <w:lvl w:ilvl="1" w:tentative="0">
      <w:start w:val="1"/>
      <w:numFmt w:val="bullet"/>
      <w:lvlText w:val="o"/>
      <w:lvlJc w:val="left"/>
      <w:pPr>
        <w:ind w:left="283" w:hanging="360"/>
      </w:pPr>
      <w:rPr>
        <w:rFonts w:hint="default" w:ascii="Courier New" w:hAnsi="Courier New" w:cs="Courier New"/>
      </w:rPr>
    </w:lvl>
    <w:lvl w:ilvl="2" w:tentative="0">
      <w:start w:val="1"/>
      <w:numFmt w:val="bullet"/>
      <w:lvlText w:val=""/>
      <w:lvlJc w:val="left"/>
      <w:pPr>
        <w:ind w:left="1003" w:hanging="360"/>
      </w:pPr>
      <w:rPr>
        <w:rFonts w:hint="default" w:ascii="Wingdings" w:hAnsi="Wingdings"/>
      </w:rPr>
    </w:lvl>
    <w:lvl w:ilvl="3" w:tentative="0">
      <w:start w:val="1"/>
      <w:numFmt w:val="bullet"/>
      <w:lvlText w:val=""/>
      <w:lvlJc w:val="left"/>
      <w:pPr>
        <w:ind w:left="1723" w:hanging="360"/>
      </w:pPr>
      <w:rPr>
        <w:rFonts w:hint="default" w:ascii="Symbol" w:hAnsi="Symbol"/>
      </w:rPr>
    </w:lvl>
    <w:lvl w:ilvl="4" w:tentative="0">
      <w:start w:val="1"/>
      <w:numFmt w:val="bullet"/>
      <w:lvlText w:val="o"/>
      <w:lvlJc w:val="left"/>
      <w:pPr>
        <w:ind w:left="2443" w:hanging="360"/>
      </w:pPr>
      <w:rPr>
        <w:rFonts w:hint="default" w:ascii="Courier New" w:hAnsi="Courier New" w:cs="Courier New"/>
      </w:rPr>
    </w:lvl>
    <w:lvl w:ilvl="5" w:tentative="0">
      <w:start w:val="1"/>
      <w:numFmt w:val="bullet"/>
      <w:lvlText w:val=""/>
      <w:lvlJc w:val="left"/>
      <w:pPr>
        <w:ind w:left="3163" w:hanging="360"/>
      </w:pPr>
      <w:rPr>
        <w:rFonts w:hint="default" w:ascii="Wingdings" w:hAnsi="Wingdings"/>
      </w:rPr>
    </w:lvl>
    <w:lvl w:ilvl="6" w:tentative="0">
      <w:start w:val="1"/>
      <w:numFmt w:val="bullet"/>
      <w:lvlText w:val=""/>
      <w:lvlJc w:val="left"/>
      <w:pPr>
        <w:ind w:left="3883" w:hanging="360"/>
      </w:pPr>
      <w:rPr>
        <w:rFonts w:hint="default" w:ascii="Symbol" w:hAnsi="Symbol"/>
      </w:rPr>
    </w:lvl>
    <w:lvl w:ilvl="7" w:tentative="0">
      <w:start w:val="1"/>
      <w:numFmt w:val="bullet"/>
      <w:lvlText w:val="o"/>
      <w:lvlJc w:val="left"/>
      <w:pPr>
        <w:ind w:left="4603" w:hanging="360"/>
      </w:pPr>
      <w:rPr>
        <w:rFonts w:hint="default" w:ascii="Courier New" w:hAnsi="Courier New" w:cs="Courier New"/>
      </w:rPr>
    </w:lvl>
    <w:lvl w:ilvl="8" w:tentative="0">
      <w:start w:val="1"/>
      <w:numFmt w:val="bullet"/>
      <w:lvlText w:val=""/>
      <w:lvlJc w:val="left"/>
      <w:pPr>
        <w:ind w:left="5323" w:hanging="360"/>
      </w:pPr>
      <w:rPr>
        <w:rFonts w:hint="default" w:ascii="Wingdings" w:hAnsi="Wingdings"/>
      </w:rPr>
    </w:lvl>
  </w:abstractNum>
  <w:abstractNum w:abstractNumId="2">
    <w:nsid w:val="3C5C45CB"/>
    <w:multiLevelType w:val="multilevel"/>
    <w:tmpl w:val="3C5C45C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52B76D20"/>
    <w:multiLevelType w:val="multilevel"/>
    <w:tmpl w:val="52B76D2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0AB3037"/>
    <w:multiLevelType w:val="multilevel"/>
    <w:tmpl w:val="70AB303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7CF34E3A"/>
    <w:multiLevelType w:val="multilevel"/>
    <w:tmpl w:val="7CF34E3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A0szQ3NDOzMDQ3MDVW0lEKTi0uzszPAykwqwUA/AGKaSwAAAA="/>
  </w:docVars>
  <w:rsids>
    <w:rsidRoot w:val="00050987"/>
    <w:rsid w:val="00004E2D"/>
    <w:rsid w:val="00050987"/>
    <w:rsid w:val="00052827"/>
    <w:rsid w:val="00052A56"/>
    <w:rsid w:val="00056DB1"/>
    <w:rsid w:val="00086F40"/>
    <w:rsid w:val="000C6EEE"/>
    <w:rsid w:val="000F0B08"/>
    <w:rsid w:val="001155D5"/>
    <w:rsid w:val="0013061F"/>
    <w:rsid w:val="001528A8"/>
    <w:rsid w:val="00152F88"/>
    <w:rsid w:val="0017279A"/>
    <w:rsid w:val="00175BE3"/>
    <w:rsid w:val="00176E44"/>
    <w:rsid w:val="0018443E"/>
    <w:rsid w:val="001C53AB"/>
    <w:rsid w:val="001E61A1"/>
    <w:rsid w:val="00204F99"/>
    <w:rsid w:val="00210C9F"/>
    <w:rsid w:val="002308AE"/>
    <w:rsid w:val="0024187F"/>
    <w:rsid w:val="00255A1C"/>
    <w:rsid w:val="002D0999"/>
    <w:rsid w:val="00333AF2"/>
    <w:rsid w:val="00343D34"/>
    <w:rsid w:val="003579F0"/>
    <w:rsid w:val="003B7410"/>
    <w:rsid w:val="003C7CF4"/>
    <w:rsid w:val="004872FF"/>
    <w:rsid w:val="00490D33"/>
    <w:rsid w:val="004A428D"/>
    <w:rsid w:val="00501A62"/>
    <w:rsid w:val="00507AD9"/>
    <w:rsid w:val="00515594"/>
    <w:rsid w:val="00530667"/>
    <w:rsid w:val="005351B9"/>
    <w:rsid w:val="00553A01"/>
    <w:rsid w:val="00555B07"/>
    <w:rsid w:val="005C7A40"/>
    <w:rsid w:val="0061730A"/>
    <w:rsid w:val="00625AA1"/>
    <w:rsid w:val="00643EA2"/>
    <w:rsid w:val="006579F4"/>
    <w:rsid w:val="00663D2F"/>
    <w:rsid w:val="006B41D9"/>
    <w:rsid w:val="006E440D"/>
    <w:rsid w:val="007004BA"/>
    <w:rsid w:val="00724B5A"/>
    <w:rsid w:val="0077033B"/>
    <w:rsid w:val="007A62CA"/>
    <w:rsid w:val="007D4FB4"/>
    <w:rsid w:val="0087058D"/>
    <w:rsid w:val="00896194"/>
    <w:rsid w:val="00897CE5"/>
    <w:rsid w:val="008B7F32"/>
    <w:rsid w:val="008E4085"/>
    <w:rsid w:val="008F72D0"/>
    <w:rsid w:val="0090185A"/>
    <w:rsid w:val="00933257"/>
    <w:rsid w:val="0093523D"/>
    <w:rsid w:val="0094773A"/>
    <w:rsid w:val="00962D6B"/>
    <w:rsid w:val="009D4041"/>
    <w:rsid w:val="009E0277"/>
    <w:rsid w:val="009F6A88"/>
    <w:rsid w:val="00A36469"/>
    <w:rsid w:val="00A36B3D"/>
    <w:rsid w:val="00A70728"/>
    <w:rsid w:val="00A920BD"/>
    <w:rsid w:val="00AA7B0B"/>
    <w:rsid w:val="00AC44BE"/>
    <w:rsid w:val="00AE4729"/>
    <w:rsid w:val="00AF1927"/>
    <w:rsid w:val="00B7057F"/>
    <w:rsid w:val="00BB50AD"/>
    <w:rsid w:val="00BD1BD9"/>
    <w:rsid w:val="00C02AC3"/>
    <w:rsid w:val="00C87E32"/>
    <w:rsid w:val="00CE72B8"/>
    <w:rsid w:val="00D169EA"/>
    <w:rsid w:val="00E2257B"/>
    <w:rsid w:val="00E2566A"/>
    <w:rsid w:val="00E54B42"/>
    <w:rsid w:val="00E84491"/>
    <w:rsid w:val="00EA549D"/>
    <w:rsid w:val="00EA5DDF"/>
    <w:rsid w:val="00EF5B15"/>
    <w:rsid w:val="00F2332F"/>
    <w:rsid w:val="00F5599D"/>
    <w:rsid w:val="00F62A75"/>
    <w:rsid w:val="00F776A8"/>
    <w:rsid w:val="00FC1F90"/>
    <w:rsid w:val="00FE51B4"/>
    <w:rsid w:val="2FDDD329"/>
    <w:rsid w:val="6FA40334"/>
    <w:rsid w:val="EFFF2704"/>
    <w:rsid w:val="FFEF4D7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4"/>
    <w:qFormat/>
    <w:uiPriority w:val="9"/>
    <w:pPr>
      <w:keepNext/>
      <w:keepLines/>
      <w:spacing w:before="240" w:after="0"/>
      <w:outlineLvl w:val="0"/>
    </w:pPr>
    <w:rPr>
      <w:rFonts w:eastAsiaTheme="majorEastAsia" w:cstheme="majorBidi"/>
      <w:b/>
      <w:sz w:val="32"/>
      <w:szCs w:val="32"/>
    </w:rPr>
  </w:style>
  <w:style w:type="paragraph" w:styleId="3">
    <w:name w:val="heading 2"/>
    <w:basedOn w:val="1"/>
    <w:next w:val="1"/>
    <w:link w:val="18"/>
    <w:unhideWhenUsed/>
    <w:qFormat/>
    <w:uiPriority w:val="9"/>
    <w:pPr>
      <w:keepNext/>
      <w:keepLines/>
      <w:spacing w:before="40" w:after="0"/>
      <w:outlineLvl w:val="1"/>
    </w:pPr>
    <w:rPr>
      <w:rFonts w:eastAsiaTheme="majorEastAsia" w:cstheme="majorBidi"/>
      <w:color w:val="2F5597" w:themeColor="accent1" w:themeShade="BF"/>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7">
    <w:name w:val="footer"/>
    <w:basedOn w:val="1"/>
    <w:link w:val="17"/>
    <w:unhideWhenUsed/>
    <w:qFormat/>
    <w:uiPriority w:val="99"/>
    <w:pPr>
      <w:tabs>
        <w:tab w:val="center" w:pos="4513"/>
        <w:tab w:val="right" w:pos="9026"/>
      </w:tabs>
      <w:spacing w:after="0" w:line="240" w:lineRule="auto"/>
    </w:pPr>
  </w:style>
  <w:style w:type="paragraph" w:styleId="8">
    <w:name w:val="header"/>
    <w:basedOn w:val="1"/>
    <w:link w:val="16"/>
    <w:unhideWhenUsed/>
    <w:qFormat/>
    <w:uiPriority w:val="99"/>
    <w:pPr>
      <w:tabs>
        <w:tab w:val="center" w:pos="4513"/>
        <w:tab w:val="right" w:pos="9026"/>
      </w:tabs>
      <w:spacing w:after="0" w:line="240" w:lineRule="auto"/>
    </w:pPr>
  </w:style>
  <w:style w:type="character" w:styleId="9">
    <w:name w:val="Hyperlink"/>
    <w:basedOn w:val="4"/>
    <w:unhideWhenUsed/>
    <w:qFormat/>
    <w:uiPriority w:val="99"/>
    <w:rPr>
      <w:color w:val="0563C1" w:themeColor="hyperlink"/>
      <w:u w:val="single"/>
      <w14:textFill>
        <w14:solidFill>
          <w14:schemeClr w14:val="hlink"/>
        </w14:solidFill>
      </w14:textFill>
    </w:rPr>
  </w:style>
  <w:style w:type="table" w:styleId="10">
    <w:name w:val="Table Grid"/>
    <w:basedOn w:val="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table of figures"/>
    <w:basedOn w:val="1"/>
    <w:next w:val="1"/>
    <w:unhideWhenUsed/>
    <w:qFormat/>
    <w:uiPriority w:val="99"/>
    <w:pPr>
      <w:spacing w:after="0"/>
    </w:pPr>
  </w:style>
  <w:style w:type="paragraph" w:styleId="12">
    <w:name w:val="toc 1"/>
    <w:basedOn w:val="1"/>
    <w:next w:val="1"/>
    <w:unhideWhenUsed/>
    <w:qFormat/>
    <w:uiPriority w:val="39"/>
    <w:pPr>
      <w:spacing w:after="100"/>
    </w:pPr>
  </w:style>
  <w:style w:type="paragraph" w:styleId="13">
    <w:name w:val="toc 2"/>
    <w:basedOn w:val="1"/>
    <w:next w:val="1"/>
    <w:unhideWhenUsed/>
    <w:qFormat/>
    <w:uiPriority w:val="39"/>
    <w:pPr>
      <w:spacing w:after="100"/>
      <w:ind w:left="220"/>
    </w:pPr>
  </w:style>
  <w:style w:type="character" w:customStyle="1" w:styleId="14">
    <w:name w:val="Heading 1 Char"/>
    <w:basedOn w:val="4"/>
    <w:link w:val="2"/>
    <w:qFormat/>
    <w:uiPriority w:val="9"/>
    <w:rPr>
      <w:rFonts w:ascii="Arial" w:hAnsi="Arial" w:eastAsiaTheme="majorEastAsia" w:cstheme="majorBidi"/>
      <w:b/>
      <w:sz w:val="32"/>
      <w:szCs w:val="32"/>
    </w:rPr>
  </w:style>
  <w:style w:type="paragraph" w:customStyle="1" w:styleId="15">
    <w:name w:val="TOC Heading"/>
    <w:basedOn w:val="2"/>
    <w:next w:val="1"/>
    <w:unhideWhenUsed/>
    <w:qFormat/>
    <w:uiPriority w:val="39"/>
    <w:pPr>
      <w:outlineLvl w:val="9"/>
    </w:pPr>
    <w:rPr>
      <w:lang w:val="en-US"/>
    </w:rPr>
  </w:style>
  <w:style w:type="character" w:customStyle="1" w:styleId="16">
    <w:name w:val="Header Char"/>
    <w:basedOn w:val="4"/>
    <w:link w:val="8"/>
    <w:qFormat/>
    <w:uiPriority w:val="99"/>
  </w:style>
  <w:style w:type="character" w:customStyle="1" w:styleId="17">
    <w:name w:val="Footer Char"/>
    <w:basedOn w:val="4"/>
    <w:link w:val="7"/>
    <w:qFormat/>
    <w:uiPriority w:val="99"/>
  </w:style>
  <w:style w:type="character" w:customStyle="1" w:styleId="18">
    <w:name w:val="Heading 2 Char"/>
    <w:basedOn w:val="4"/>
    <w:link w:val="3"/>
    <w:qFormat/>
    <w:uiPriority w:val="9"/>
    <w:rPr>
      <w:rFonts w:ascii="Arial" w:hAnsi="Arial" w:eastAsiaTheme="majorEastAsia" w:cstheme="majorBidi"/>
      <w:color w:val="2F5597" w:themeColor="accent1" w:themeShade="BF"/>
      <w:sz w:val="26"/>
      <w:szCs w:val="26"/>
    </w:rPr>
  </w:style>
  <w:style w:type="paragraph" w:styleId="19">
    <w:name w:val="List Paragraph"/>
    <w:basedOn w:val="1"/>
    <w:qFormat/>
    <w:uiPriority w:val="34"/>
    <w:pPr>
      <w:ind w:left="720"/>
      <w:contextualSpacing/>
    </w:pPr>
  </w:style>
  <w:style w:type="table" w:customStyle="1" w:styleId="20">
    <w:name w:val="Grid Table 4 Accent 5"/>
    <w:basedOn w:val="5"/>
    <w:qFormat/>
    <w:uiPriority w:val="49"/>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paragraph" w:styleId="21">
    <w:name w:val="No Spacing"/>
    <w:qFormat/>
    <w:uiPriority w:val="1"/>
    <w:pPr>
      <w:spacing w:after="0" w:line="240" w:lineRule="auto"/>
      <w:jc w:val="both"/>
    </w:pPr>
    <w:rPr>
      <w:rFonts w:ascii="Times New Roman" w:hAnsi="Times New Roman" w:eastAsiaTheme="minorHAnsi" w:cstheme="minorBidi"/>
      <w:sz w:val="24"/>
      <w:szCs w:val="22"/>
      <w:lang w:val="en-GB"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3046</Words>
  <Characters>17365</Characters>
  <Lines>144</Lines>
  <Paragraphs>40</Paragraphs>
  <TotalTime>9</TotalTime>
  <ScaleCrop>false</ScaleCrop>
  <LinksUpToDate>false</LinksUpToDate>
  <CharactersWithSpaces>20371</CharactersWithSpaces>
  <Application>WPS Office_4.2.0.7541_F1E327BC-269C-435d-A152-05C5408002CA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2021-11-01T13:45:00Z</dcterms:created>
  <dcterms:modified xsi:type="dcterms:W3CDTF">2022-07-11T19:33:26Z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1033-4.2.0.7541</vt:lpwstr>
  </property>
</Properties>
</file>