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CDC191" w14:textId="77777777" w:rsidR="00B75FA2" w:rsidRDefault="00B75FA2" w:rsidP="00B75FA2">
      <w:pPr>
        <w:pStyle w:val="NormalWeb"/>
        <w:spacing w:before="0" w:beforeAutospacing="0" w:after="0" w:afterAutospacing="0"/>
        <w:ind w:left="-180" w:right="-334"/>
      </w:pPr>
      <w:r>
        <w:rPr>
          <w:noProof/>
        </w:rPr>
        <w:drawing>
          <wp:inline distT="0" distB="0" distL="0" distR="0" wp14:anchorId="27069D81" wp14:editId="43D5360E">
            <wp:extent cx="1907540" cy="635635"/>
            <wp:effectExtent l="25400" t="25400" r="10160" b="12065"/>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7540" cy="635635"/>
                    </a:xfrm>
                    <a:prstGeom prst="rect">
                      <a:avLst/>
                    </a:prstGeom>
                    <a:noFill/>
                    <a:ln w="19050" cmpd="sng">
                      <a:solidFill>
                        <a:srgbClr val="000000"/>
                      </a:solidFill>
                      <a:miter lim="800000"/>
                      <a:headEnd/>
                      <a:tailEnd/>
                    </a:ln>
                    <a:effectLst/>
                  </pic:spPr>
                </pic:pic>
              </a:graphicData>
            </a:graphic>
          </wp:inline>
        </w:drawing>
      </w:r>
    </w:p>
    <w:p w14:paraId="1987A288" w14:textId="77777777" w:rsidR="00B75FA2" w:rsidRDefault="00B75FA2" w:rsidP="00B75FA2">
      <w:pPr>
        <w:pStyle w:val="NormalWeb"/>
        <w:spacing w:before="0" w:beforeAutospacing="0" w:after="0" w:afterAutospacing="0"/>
        <w:ind w:left="-180" w:right="-334"/>
      </w:pPr>
    </w:p>
    <w:p w14:paraId="0373007F" w14:textId="77777777" w:rsidR="00B75FA2" w:rsidRDefault="00B75FA2" w:rsidP="00B75FA2">
      <w:pPr>
        <w:pStyle w:val="NormalWeb"/>
        <w:spacing w:before="0" w:beforeAutospacing="0" w:after="0" w:afterAutospacing="0"/>
        <w:ind w:left="-180" w:right="-334"/>
      </w:pPr>
    </w:p>
    <w:p w14:paraId="6DE6A761" w14:textId="77777777" w:rsidR="00B75FA2" w:rsidRDefault="00B75FA2" w:rsidP="00B75FA2">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4B02AA0" w14:textId="77777777" w:rsidR="00B75FA2" w:rsidRPr="00230F35" w:rsidRDefault="00B75FA2" w:rsidP="00B75FA2">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56015AA" w14:textId="77777777" w:rsidR="00B75FA2" w:rsidRPr="00230F35" w:rsidRDefault="00B75FA2" w:rsidP="00B75FA2">
      <w:pPr>
        <w:rPr>
          <w:rFonts w:ascii="Arial" w:hAnsi="Arial" w:cs="Arial"/>
          <w:sz w:val="28"/>
          <w:szCs w:val="28"/>
          <w:lang w:val="cy-GB"/>
        </w:rPr>
      </w:pPr>
    </w:p>
    <w:p w14:paraId="422BF6EB" w14:textId="77777777" w:rsidR="00B75FA2" w:rsidRDefault="00B75FA2" w:rsidP="00B75FA2">
      <w:pPr>
        <w:pStyle w:val="Heading3"/>
        <w:jc w:val="center"/>
        <w:rPr>
          <w:lang w:val="cy-GB"/>
        </w:rPr>
      </w:pPr>
      <w:r>
        <w:rPr>
          <w:lang w:val="cy-GB"/>
        </w:rPr>
        <w:t>THIS SHEET MUST BE THE FIRST PAGE OF THE ASSIGNMENT YOU ARE SUBMITTING  (DO NOT SEND AS A SEPARATE FILE)</w:t>
      </w:r>
    </w:p>
    <w:p w14:paraId="2BAC7F3F" w14:textId="77777777" w:rsidR="00B75FA2" w:rsidRDefault="00B75FA2" w:rsidP="00B75FA2">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75FA2" w:rsidRPr="00230F35" w14:paraId="247940E0" w14:textId="77777777" w:rsidTr="00E15B12">
        <w:trPr>
          <w:trHeight w:val="614"/>
        </w:trPr>
        <w:tc>
          <w:tcPr>
            <w:tcW w:w="8856" w:type="dxa"/>
            <w:gridSpan w:val="5"/>
          </w:tcPr>
          <w:p w14:paraId="139A609E" w14:textId="77777777" w:rsidR="00B75FA2" w:rsidRPr="00230F35" w:rsidRDefault="00B75FA2" w:rsidP="00E15B12">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B75FA2" w:rsidRPr="00230F35" w14:paraId="3FDA7FFA" w14:textId="77777777" w:rsidTr="00E15B12">
        <w:trPr>
          <w:trHeight w:val="718"/>
        </w:trPr>
        <w:tc>
          <w:tcPr>
            <w:tcW w:w="8856" w:type="dxa"/>
            <w:gridSpan w:val="5"/>
          </w:tcPr>
          <w:p w14:paraId="5ABAA30C" w14:textId="77777777" w:rsidR="00B75FA2" w:rsidRDefault="00B75FA2" w:rsidP="00E15B1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450DDCC0" w14:textId="77777777" w:rsidR="00B75FA2" w:rsidRPr="00230F35" w:rsidRDefault="00B75FA2" w:rsidP="00E15B12">
            <w:pPr>
              <w:pStyle w:val="NormalWeb"/>
              <w:spacing w:before="0" w:beforeAutospacing="0" w:after="0" w:afterAutospacing="0"/>
              <w:ind w:right="34"/>
              <w:rPr>
                <w:rFonts w:ascii="Arial" w:hAnsi="Arial" w:cs="Arial"/>
                <w:sz w:val="22"/>
                <w:szCs w:val="22"/>
              </w:rPr>
            </w:pPr>
            <w:r>
              <w:rPr>
                <w:rFonts w:ascii="Arial" w:hAnsi="Arial" w:cs="Arial"/>
                <w:sz w:val="22"/>
                <w:szCs w:val="22"/>
              </w:rPr>
              <w:t>Danielle Marie Goldstein</w:t>
            </w:r>
          </w:p>
        </w:tc>
      </w:tr>
      <w:tr w:rsidR="00B75FA2" w:rsidRPr="00230F35" w14:paraId="385E57B8" w14:textId="77777777" w:rsidTr="00E15B12">
        <w:trPr>
          <w:trHeight w:val="849"/>
        </w:trPr>
        <w:tc>
          <w:tcPr>
            <w:tcW w:w="4788" w:type="dxa"/>
          </w:tcPr>
          <w:p w14:paraId="3C6C6593" w14:textId="77777777" w:rsidR="00B75FA2" w:rsidRPr="00230F35" w:rsidRDefault="00B75FA2" w:rsidP="00E15B1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HPCA7005</w:t>
            </w:r>
          </w:p>
          <w:p w14:paraId="25818462" w14:textId="77777777" w:rsidR="00B75FA2" w:rsidRPr="00230F35" w:rsidRDefault="00B75FA2" w:rsidP="00E15B12">
            <w:pPr>
              <w:pStyle w:val="NormalWeb"/>
              <w:spacing w:before="0" w:beforeAutospacing="0" w:after="0" w:afterAutospacing="0"/>
              <w:ind w:right="34"/>
              <w:rPr>
                <w:rFonts w:ascii="Arial" w:hAnsi="Arial" w:cs="Arial"/>
                <w:sz w:val="22"/>
                <w:szCs w:val="22"/>
              </w:rPr>
            </w:pPr>
          </w:p>
          <w:p w14:paraId="74C05E1E" w14:textId="77777777" w:rsidR="00B75FA2" w:rsidRDefault="00B75FA2" w:rsidP="00E15B1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Cosmology, Magic and Divination</w:t>
            </w:r>
          </w:p>
          <w:p w14:paraId="12E79FC9" w14:textId="77777777" w:rsidR="00B75FA2" w:rsidRDefault="00B75FA2" w:rsidP="00E15B12">
            <w:pPr>
              <w:pStyle w:val="NormalWeb"/>
              <w:spacing w:before="0" w:beforeAutospacing="0" w:after="0" w:afterAutospacing="0"/>
              <w:ind w:right="34"/>
              <w:rPr>
                <w:rFonts w:ascii="Arial" w:hAnsi="Arial" w:cs="Arial"/>
                <w:sz w:val="22"/>
                <w:szCs w:val="22"/>
              </w:rPr>
            </w:pPr>
          </w:p>
          <w:p w14:paraId="5AE9914C" w14:textId="77777777" w:rsidR="00B75FA2" w:rsidRPr="00230F35" w:rsidRDefault="00B75FA2" w:rsidP="00E15B12">
            <w:pPr>
              <w:pStyle w:val="NormalWeb"/>
              <w:spacing w:before="0" w:beforeAutospacing="0" w:after="0" w:afterAutospacing="0"/>
              <w:ind w:right="34"/>
              <w:rPr>
                <w:rFonts w:ascii="Arial" w:hAnsi="Arial" w:cs="Arial"/>
                <w:sz w:val="22"/>
                <w:szCs w:val="22"/>
              </w:rPr>
            </w:pPr>
          </w:p>
        </w:tc>
        <w:tc>
          <w:tcPr>
            <w:tcW w:w="2266" w:type="dxa"/>
            <w:gridSpan w:val="3"/>
          </w:tcPr>
          <w:p w14:paraId="4D78020D" w14:textId="77777777" w:rsidR="00B75FA2" w:rsidRPr="00230F35" w:rsidRDefault="00B75FA2" w:rsidP="00E15B1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171</w:t>
            </w:r>
            <w:r w:rsidRPr="001F0E97">
              <w:rPr>
                <w:rFonts w:ascii="Arial" w:hAnsi="Arial" w:cs="Arial"/>
                <w:sz w:val="22"/>
                <w:szCs w:val="22"/>
              </w:rPr>
              <w:t>0933</w:t>
            </w:r>
          </w:p>
        </w:tc>
        <w:tc>
          <w:tcPr>
            <w:tcW w:w="1802" w:type="dxa"/>
          </w:tcPr>
          <w:p w14:paraId="0FF386B7" w14:textId="77777777" w:rsidR="00B75FA2" w:rsidRPr="00230F35" w:rsidRDefault="00B75FA2" w:rsidP="00E15B1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C83D3BB" w14:textId="77777777" w:rsidR="00B75FA2" w:rsidRPr="00230F35" w:rsidRDefault="00B75FA2" w:rsidP="00E15B1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B75FA2" w:rsidRPr="00230F35" w14:paraId="5885B095" w14:textId="77777777" w:rsidTr="00E15B12">
        <w:trPr>
          <w:trHeight w:val="1139"/>
        </w:trPr>
        <w:tc>
          <w:tcPr>
            <w:tcW w:w="8856" w:type="dxa"/>
            <w:gridSpan w:val="5"/>
          </w:tcPr>
          <w:p w14:paraId="1657FCD2" w14:textId="77777777" w:rsidR="00B75FA2" w:rsidRDefault="00B75FA2" w:rsidP="00E15B12">
            <w:r>
              <w:rPr>
                <w:rFonts w:ascii="Arial" w:hAnsi="Arial" w:cs="Arial"/>
                <w:sz w:val="22"/>
                <w:szCs w:val="22"/>
              </w:rPr>
              <w:t xml:space="preserve">Module tutor:  Dorian Greenbaum </w:t>
            </w:r>
          </w:p>
          <w:p w14:paraId="488AC900" w14:textId="77777777" w:rsidR="00B75FA2" w:rsidRPr="00230F35" w:rsidRDefault="00B75FA2" w:rsidP="00E15B12">
            <w:pPr>
              <w:pStyle w:val="NormalWeb"/>
              <w:spacing w:before="0" w:beforeAutospacing="0" w:after="0" w:afterAutospacing="0"/>
              <w:ind w:right="34"/>
              <w:rPr>
                <w:rFonts w:ascii="Arial" w:hAnsi="Arial" w:cs="Arial"/>
                <w:sz w:val="22"/>
                <w:szCs w:val="22"/>
              </w:rPr>
            </w:pPr>
          </w:p>
          <w:p w14:paraId="0F4DCE22" w14:textId="77777777" w:rsidR="00B75FA2" w:rsidRPr="00230F35" w:rsidRDefault="00B75FA2" w:rsidP="00E15B12">
            <w:pPr>
              <w:pStyle w:val="NormalWeb"/>
              <w:spacing w:before="0" w:beforeAutospacing="0" w:after="0" w:afterAutospacing="0"/>
              <w:ind w:right="34"/>
              <w:rPr>
                <w:rFonts w:ascii="Arial" w:hAnsi="Arial" w:cs="Arial"/>
                <w:sz w:val="22"/>
                <w:szCs w:val="22"/>
              </w:rPr>
            </w:pPr>
          </w:p>
          <w:p w14:paraId="36E9AC9E" w14:textId="77777777" w:rsidR="00B75FA2" w:rsidRDefault="00B75FA2" w:rsidP="00E15B12">
            <w:pPr>
              <w:pStyle w:val="NormalWeb"/>
              <w:spacing w:before="0" w:beforeAutospacing="0" w:after="0" w:afterAutospacing="0"/>
              <w:ind w:right="34"/>
              <w:rPr>
                <w:rFonts w:ascii="Arial" w:hAnsi="Arial" w:cs="Arial"/>
                <w:sz w:val="22"/>
                <w:szCs w:val="22"/>
              </w:rPr>
            </w:pPr>
          </w:p>
          <w:p w14:paraId="3D900111" w14:textId="77777777" w:rsidR="00B75FA2" w:rsidRPr="00230F35" w:rsidRDefault="00B75FA2" w:rsidP="00E15B1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J</w:t>
            </w:r>
            <w:r w:rsidR="004C0D75">
              <w:rPr>
                <w:rFonts w:ascii="Arial" w:hAnsi="Arial" w:cs="Arial"/>
                <w:sz w:val="22"/>
                <w:szCs w:val="22"/>
              </w:rPr>
              <w:t>uly 6th</w:t>
            </w:r>
            <w:r>
              <w:rPr>
                <w:rFonts w:ascii="Arial" w:hAnsi="Arial" w:cs="Arial"/>
                <w:sz w:val="22"/>
                <w:szCs w:val="22"/>
              </w:rPr>
              <w:t>, 2020</w:t>
            </w:r>
          </w:p>
        </w:tc>
      </w:tr>
      <w:tr w:rsidR="00B75FA2" w:rsidRPr="00230F35" w14:paraId="1AF02C31" w14:textId="77777777" w:rsidTr="00E15B12">
        <w:trPr>
          <w:trHeight w:val="978"/>
        </w:trPr>
        <w:tc>
          <w:tcPr>
            <w:tcW w:w="8856" w:type="dxa"/>
            <w:gridSpan w:val="5"/>
            <w:tcBorders>
              <w:bottom w:val="single" w:sz="4" w:space="0" w:color="000000"/>
            </w:tcBorders>
          </w:tcPr>
          <w:p w14:paraId="1BD421F1" w14:textId="77777777" w:rsidR="00B75FA2" w:rsidRDefault="00B75FA2" w:rsidP="00E15B12">
            <w:pPr>
              <w:rPr>
                <w:rFonts w:ascii="Arial" w:hAnsi="Arial" w:cs="Arial"/>
                <w:sz w:val="22"/>
                <w:szCs w:val="22"/>
              </w:rPr>
            </w:pPr>
            <w:r>
              <w:rPr>
                <w:rFonts w:ascii="Arial" w:hAnsi="Arial" w:cs="Arial"/>
                <w:sz w:val="22"/>
                <w:szCs w:val="22"/>
              </w:rPr>
              <w:t>If your module has multiple submissions, please indicate which piece of work this is.</w:t>
            </w:r>
          </w:p>
          <w:p w14:paraId="3426DDEA" w14:textId="77777777" w:rsidR="00B75FA2" w:rsidRDefault="00B75FA2" w:rsidP="00E15B12">
            <w:pPr>
              <w:rPr>
                <w:rFonts w:ascii="Arial" w:hAnsi="Arial" w:cs="Arial"/>
                <w:sz w:val="22"/>
                <w:szCs w:val="22"/>
              </w:rPr>
            </w:pPr>
          </w:p>
          <w:p w14:paraId="521C18CC" w14:textId="77777777" w:rsidR="00B75FA2" w:rsidRPr="00230F35" w:rsidRDefault="00B75FA2" w:rsidP="00E15B12">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004C0D75" w:rsidRPr="00230F35">
              <w:rPr>
                <w:rFonts w:ascii="Arial" w:hAnsi="Arial" w:cs="Arial"/>
                <w:sz w:val="22"/>
                <w:szCs w:val="22"/>
              </w:rPr>
              <w:fldChar w:fldCharType="begin">
                <w:ffData>
                  <w:name w:val="Check15"/>
                  <w:enabled/>
                  <w:calcOnExit w:val="0"/>
                  <w:checkBox>
                    <w:sizeAuto/>
                    <w:default w:val="0"/>
                  </w:checkBox>
                </w:ffData>
              </w:fldChar>
            </w:r>
            <w:r w:rsidR="004C0D75" w:rsidRPr="00230F35">
              <w:rPr>
                <w:rFonts w:ascii="Arial" w:hAnsi="Arial" w:cs="Arial"/>
                <w:sz w:val="22"/>
                <w:szCs w:val="22"/>
              </w:rPr>
              <w:instrText xml:space="preserve"> FORMCHECKBOX </w:instrText>
            </w:r>
            <w:r w:rsidR="00B80925">
              <w:rPr>
                <w:rFonts w:ascii="Arial" w:hAnsi="Arial" w:cs="Arial"/>
                <w:sz w:val="22"/>
                <w:szCs w:val="22"/>
              </w:rPr>
            </w:r>
            <w:r w:rsidR="00B80925">
              <w:rPr>
                <w:rFonts w:ascii="Arial" w:hAnsi="Arial" w:cs="Arial"/>
                <w:sz w:val="22"/>
                <w:szCs w:val="22"/>
              </w:rPr>
              <w:fldChar w:fldCharType="separate"/>
            </w:r>
            <w:r w:rsidR="004C0D75" w:rsidRPr="00230F35">
              <w:rPr>
                <w:rFonts w:ascii="Arial" w:hAnsi="Arial" w:cs="Arial"/>
                <w:sz w:val="22"/>
                <w:szCs w:val="22"/>
              </w:rPr>
              <w:fldChar w:fldCharType="end"/>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004C0D75">
              <w:rPr>
                <w:rFonts w:ascii="Arial" w:hAnsi="Arial" w:cs="Arial"/>
                <w:sz w:val="22"/>
                <w:szCs w:val="22"/>
              </w:rPr>
              <w:t>X</w:t>
            </w:r>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0" w:name="Check15"/>
            <w:r w:rsidRPr="00230F35">
              <w:rPr>
                <w:rFonts w:ascii="Arial" w:hAnsi="Arial" w:cs="Arial"/>
                <w:sz w:val="22"/>
                <w:szCs w:val="22"/>
              </w:rPr>
              <w:instrText xml:space="preserve"> FORMCHECKBOX </w:instrText>
            </w:r>
            <w:r w:rsidR="00B80925">
              <w:rPr>
                <w:rFonts w:ascii="Arial" w:hAnsi="Arial" w:cs="Arial"/>
                <w:sz w:val="22"/>
                <w:szCs w:val="22"/>
              </w:rPr>
            </w:r>
            <w:r w:rsidR="00B80925">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1" w:name="Check16"/>
            <w:r w:rsidRPr="00230F35">
              <w:rPr>
                <w:rFonts w:ascii="Arial" w:hAnsi="Arial" w:cs="Arial"/>
                <w:sz w:val="22"/>
                <w:szCs w:val="22"/>
              </w:rPr>
              <w:instrText xml:space="preserve"> FORMCHECKBOX </w:instrText>
            </w:r>
            <w:r w:rsidR="00B80925">
              <w:rPr>
                <w:rFonts w:ascii="Arial" w:hAnsi="Arial" w:cs="Arial"/>
                <w:sz w:val="22"/>
                <w:szCs w:val="22"/>
              </w:rPr>
            </w:r>
            <w:r w:rsidR="00B80925">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2" w:name="Check17"/>
            <w:r w:rsidRPr="00230F35">
              <w:rPr>
                <w:rFonts w:ascii="Arial" w:hAnsi="Arial" w:cs="Arial"/>
                <w:sz w:val="22"/>
                <w:szCs w:val="22"/>
              </w:rPr>
              <w:instrText xml:space="preserve"> FORMCHECKBOX </w:instrText>
            </w:r>
            <w:r w:rsidR="00B80925">
              <w:rPr>
                <w:rFonts w:ascii="Arial" w:hAnsi="Arial" w:cs="Arial"/>
                <w:sz w:val="22"/>
                <w:szCs w:val="22"/>
              </w:rPr>
            </w:r>
            <w:r w:rsidR="00B80925">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3" w:name="Check18"/>
            <w:r w:rsidRPr="00230F35">
              <w:rPr>
                <w:rFonts w:ascii="Arial" w:hAnsi="Arial" w:cs="Arial"/>
                <w:sz w:val="22"/>
                <w:szCs w:val="22"/>
              </w:rPr>
              <w:instrText xml:space="preserve"> FORMCHECKBOX </w:instrText>
            </w:r>
            <w:r w:rsidR="00B80925">
              <w:rPr>
                <w:rFonts w:ascii="Arial" w:hAnsi="Arial" w:cs="Arial"/>
                <w:sz w:val="22"/>
                <w:szCs w:val="22"/>
              </w:rPr>
            </w:r>
            <w:r w:rsidR="00B80925">
              <w:rPr>
                <w:rFonts w:ascii="Arial" w:hAnsi="Arial" w:cs="Arial"/>
                <w:sz w:val="22"/>
                <w:szCs w:val="22"/>
              </w:rPr>
              <w:fldChar w:fldCharType="separate"/>
            </w:r>
            <w:r w:rsidRPr="00230F35">
              <w:rPr>
                <w:rFonts w:ascii="Arial" w:hAnsi="Arial" w:cs="Arial"/>
                <w:sz w:val="22"/>
                <w:szCs w:val="22"/>
              </w:rPr>
              <w:fldChar w:fldCharType="end"/>
            </w:r>
            <w:bookmarkEnd w:id="3"/>
          </w:p>
        </w:tc>
      </w:tr>
      <w:tr w:rsidR="00B75FA2" w:rsidRPr="00230F35" w14:paraId="662E70AD" w14:textId="77777777" w:rsidTr="00E15B12">
        <w:trPr>
          <w:trHeight w:val="978"/>
        </w:trPr>
        <w:tc>
          <w:tcPr>
            <w:tcW w:w="8856" w:type="dxa"/>
            <w:gridSpan w:val="5"/>
            <w:shd w:val="clear" w:color="auto" w:fill="D9D9D9"/>
          </w:tcPr>
          <w:p w14:paraId="0ADC24BA" w14:textId="77777777" w:rsidR="00B75FA2" w:rsidRPr="00230F35" w:rsidRDefault="00B75FA2" w:rsidP="00E15B1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A79ADA4" w14:textId="77777777" w:rsidR="00B75FA2" w:rsidRDefault="00B75FA2" w:rsidP="00E15B1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r>
              <w:rPr>
                <w:rFonts w:ascii="Arial" w:hAnsi="Arial" w:cs="Arial"/>
                <w:sz w:val="22"/>
                <w:szCs w:val="22"/>
              </w:rPr>
              <w:t>Danielle Marie Goldstein</w:t>
            </w:r>
          </w:p>
          <w:p w14:paraId="69073DA6" w14:textId="77777777" w:rsidR="00B75FA2" w:rsidRDefault="00B75FA2" w:rsidP="00E15B12">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Calibri"/>
                <w:b/>
                <w:sz w:val="44"/>
                <w:szCs w:val="44"/>
              </w:rPr>
              <w:t>X</w:t>
            </w:r>
          </w:p>
          <w:p w14:paraId="55D4F7AC" w14:textId="77777777" w:rsidR="00B75FA2" w:rsidRPr="00230F35" w:rsidRDefault="00B75FA2" w:rsidP="00E15B12">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B75FA2" w:rsidRPr="00230F35" w14:paraId="474DA0EF" w14:textId="77777777" w:rsidTr="00E15B12">
        <w:trPr>
          <w:trHeight w:val="3972"/>
        </w:trPr>
        <w:tc>
          <w:tcPr>
            <w:tcW w:w="8856" w:type="dxa"/>
            <w:gridSpan w:val="5"/>
          </w:tcPr>
          <w:p w14:paraId="1EA58BF8" w14:textId="77777777" w:rsidR="00B75FA2" w:rsidRDefault="00B75FA2" w:rsidP="00E15B12">
            <w:pPr>
              <w:rPr>
                <w:rFonts w:ascii="Arial" w:hAnsi="Arial"/>
                <w:b/>
              </w:rPr>
            </w:pPr>
          </w:p>
          <w:p w14:paraId="4FF76AE1" w14:textId="77777777" w:rsidR="00B75FA2" w:rsidRPr="00116CE6" w:rsidRDefault="00B75FA2" w:rsidP="00E15B12">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75FA2" w:rsidRPr="00116CE6" w14:paraId="6CC64F72" w14:textId="77777777" w:rsidTr="00E15B12">
              <w:tc>
                <w:tcPr>
                  <w:tcW w:w="6970" w:type="dxa"/>
                </w:tcPr>
                <w:p w14:paraId="61CC2602" w14:textId="77777777" w:rsidR="00B75FA2" w:rsidRPr="00116CE6" w:rsidRDefault="00B75FA2" w:rsidP="00E15B12">
                  <w:pPr>
                    <w:rPr>
                      <w:rFonts w:ascii="Arial" w:hAnsi="Arial"/>
                      <w:sz w:val="20"/>
                      <w:szCs w:val="20"/>
                    </w:rPr>
                  </w:pPr>
                </w:p>
                <w:p w14:paraId="6FDB069F" w14:textId="77777777" w:rsidR="00B75FA2" w:rsidRPr="00116CE6" w:rsidRDefault="00B75FA2" w:rsidP="00E15B12">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099F12E" w14:textId="77777777" w:rsidR="00B75FA2" w:rsidRPr="00116CE6" w:rsidRDefault="00B75FA2" w:rsidP="00E15B12">
                  <w:pPr>
                    <w:rPr>
                      <w:rFonts w:ascii="Arial" w:hAnsi="Arial"/>
                      <w:sz w:val="20"/>
                      <w:szCs w:val="20"/>
                    </w:rPr>
                  </w:pPr>
                </w:p>
              </w:tc>
            </w:tr>
            <w:tr w:rsidR="00B75FA2" w:rsidRPr="00116CE6" w14:paraId="5BF64AC7" w14:textId="77777777" w:rsidTr="00E15B12">
              <w:tc>
                <w:tcPr>
                  <w:tcW w:w="6970" w:type="dxa"/>
                </w:tcPr>
                <w:p w14:paraId="0EE2AB2C" w14:textId="77777777" w:rsidR="00B75FA2" w:rsidRPr="00116CE6" w:rsidRDefault="00B75FA2" w:rsidP="00E15B12">
                  <w:pPr>
                    <w:rPr>
                      <w:rFonts w:ascii="Arial" w:hAnsi="Arial"/>
                      <w:sz w:val="20"/>
                      <w:szCs w:val="20"/>
                    </w:rPr>
                  </w:pPr>
                </w:p>
                <w:p w14:paraId="28CD7A0C" w14:textId="77777777" w:rsidR="00B75FA2" w:rsidRPr="00116CE6" w:rsidRDefault="00B75FA2" w:rsidP="00E15B12">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6DCFE7A3" w14:textId="77777777" w:rsidR="00B75FA2" w:rsidRPr="00116CE6" w:rsidRDefault="00B75FA2" w:rsidP="00E15B12">
                  <w:pPr>
                    <w:rPr>
                      <w:rFonts w:ascii="Arial" w:hAnsi="Arial"/>
                      <w:sz w:val="20"/>
                      <w:szCs w:val="20"/>
                    </w:rPr>
                  </w:pPr>
                </w:p>
              </w:tc>
            </w:tr>
            <w:tr w:rsidR="00B75FA2" w:rsidRPr="00116CE6" w14:paraId="69D8BE19" w14:textId="77777777" w:rsidTr="00E15B12">
              <w:tc>
                <w:tcPr>
                  <w:tcW w:w="6970" w:type="dxa"/>
                </w:tcPr>
                <w:p w14:paraId="129FAA29" w14:textId="77777777" w:rsidR="00B75FA2" w:rsidRPr="006367FD" w:rsidRDefault="00B75FA2" w:rsidP="00E15B12">
                  <w:pPr>
                    <w:rPr>
                      <w:rFonts w:ascii="Arial" w:hAnsi="Arial"/>
                      <w:color w:val="000000"/>
                      <w:sz w:val="20"/>
                      <w:szCs w:val="20"/>
                    </w:rPr>
                  </w:pPr>
                  <w:r w:rsidRPr="006367FD">
                    <w:rPr>
                      <w:rFonts w:ascii="Arial" w:hAnsi="Arial"/>
                      <w:color w:val="000000"/>
                      <w:sz w:val="20"/>
                      <w:szCs w:val="20"/>
                    </w:rPr>
                    <w:t xml:space="preserve">Agreed Internal Mark: </w:t>
                  </w:r>
                </w:p>
                <w:p w14:paraId="124F8FA9" w14:textId="77777777" w:rsidR="00B75FA2" w:rsidRPr="00E14D2E" w:rsidRDefault="00B75FA2" w:rsidP="00E15B12">
                  <w:pPr>
                    <w:rPr>
                      <w:rFonts w:ascii="Arial" w:hAnsi="Arial"/>
                      <w:sz w:val="20"/>
                      <w:szCs w:val="20"/>
                      <w:highlight w:val="yellow"/>
                    </w:rPr>
                  </w:pPr>
                </w:p>
              </w:tc>
              <w:tc>
                <w:tcPr>
                  <w:tcW w:w="1660" w:type="dxa"/>
                </w:tcPr>
                <w:p w14:paraId="1146F2AE" w14:textId="77777777" w:rsidR="00B75FA2" w:rsidRPr="00E14D2E" w:rsidRDefault="00B75FA2" w:rsidP="00E15B12">
                  <w:pPr>
                    <w:rPr>
                      <w:rFonts w:ascii="Arial" w:hAnsi="Arial"/>
                      <w:sz w:val="20"/>
                      <w:szCs w:val="20"/>
                      <w:highlight w:val="yellow"/>
                    </w:rPr>
                  </w:pPr>
                </w:p>
              </w:tc>
            </w:tr>
            <w:tr w:rsidR="00B75FA2" w:rsidRPr="00116CE6" w14:paraId="49C9F56F" w14:textId="77777777" w:rsidTr="00E15B12">
              <w:tc>
                <w:tcPr>
                  <w:tcW w:w="6970" w:type="dxa"/>
                </w:tcPr>
                <w:p w14:paraId="3B01AA76" w14:textId="77777777" w:rsidR="00B75FA2" w:rsidRPr="00116CE6" w:rsidRDefault="00B75FA2" w:rsidP="00E15B12">
                  <w:pPr>
                    <w:rPr>
                      <w:rFonts w:ascii="Arial" w:hAnsi="Arial"/>
                      <w:sz w:val="20"/>
                      <w:szCs w:val="20"/>
                    </w:rPr>
                  </w:pPr>
                </w:p>
                <w:p w14:paraId="49F5417D" w14:textId="77777777" w:rsidR="00B75FA2" w:rsidRPr="00116CE6" w:rsidRDefault="00B75FA2" w:rsidP="00E15B12">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60DE4355" w14:textId="77777777" w:rsidR="00B75FA2" w:rsidRPr="00116CE6" w:rsidRDefault="00B75FA2" w:rsidP="00E15B12">
                  <w:pPr>
                    <w:rPr>
                      <w:rFonts w:ascii="Arial" w:hAnsi="Arial"/>
                      <w:sz w:val="20"/>
                      <w:szCs w:val="20"/>
                    </w:rPr>
                  </w:pPr>
                </w:p>
              </w:tc>
            </w:tr>
            <w:tr w:rsidR="00B75FA2" w:rsidRPr="00116CE6" w14:paraId="641513DC" w14:textId="77777777" w:rsidTr="00E15B12">
              <w:tc>
                <w:tcPr>
                  <w:tcW w:w="6970" w:type="dxa"/>
                </w:tcPr>
                <w:p w14:paraId="63D99031" w14:textId="77777777" w:rsidR="00B75FA2" w:rsidRDefault="00B75FA2" w:rsidP="00E15B12">
                  <w:pPr>
                    <w:rPr>
                      <w:rFonts w:ascii="Arial" w:hAnsi="Arial"/>
                      <w:sz w:val="20"/>
                      <w:szCs w:val="20"/>
                    </w:rPr>
                  </w:pPr>
                </w:p>
                <w:p w14:paraId="2C7DA515" w14:textId="77777777" w:rsidR="00B75FA2" w:rsidRPr="00022345" w:rsidRDefault="00B75FA2" w:rsidP="00E15B12">
                  <w:pPr>
                    <w:rPr>
                      <w:rFonts w:ascii="Arial" w:hAnsi="Arial"/>
                      <w:b/>
                      <w:sz w:val="20"/>
                      <w:szCs w:val="20"/>
                    </w:rPr>
                  </w:pPr>
                  <w:r w:rsidRPr="00022345">
                    <w:rPr>
                      <w:rFonts w:ascii="Arial" w:hAnsi="Arial"/>
                      <w:b/>
                      <w:sz w:val="20"/>
                      <w:szCs w:val="20"/>
                    </w:rPr>
                    <w:t>Final Mark</w:t>
                  </w:r>
                </w:p>
                <w:p w14:paraId="6B32E514" w14:textId="77777777" w:rsidR="00B75FA2" w:rsidRPr="00116CE6" w:rsidRDefault="00B75FA2" w:rsidP="00E15B12">
                  <w:pPr>
                    <w:rPr>
                      <w:rFonts w:ascii="Arial" w:hAnsi="Arial"/>
                      <w:sz w:val="20"/>
                      <w:szCs w:val="20"/>
                    </w:rPr>
                  </w:pPr>
                </w:p>
              </w:tc>
              <w:tc>
                <w:tcPr>
                  <w:tcW w:w="1660" w:type="dxa"/>
                </w:tcPr>
                <w:p w14:paraId="1A8B10ED" w14:textId="77777777" w:rsidR="00B75FA2" w:rsidRPr="00116CE6" w:rsidRDefault="00B75FA2" w:rsidP="00E15B12">
                  <w:pPr>
                    <w:rPr>
                      <w:rFonts w:ascii="Arial" w:hAnsi="Arial"/>
                      <w:sz w:val="20"/>
                      <w:szCs w:val="20"/>
                    </w:rPr>
                  </w:pPr>
                </w:p>
              </w:tc>
            </w:tr>
          </w:tbl>
          <w:p w14:paraId="17A7CEDE" w14:textId="77777777" w:rsidR="00B75FA2" w:rsidRDefault="00B75FA2" w:rsidP="00E15B12">
            <w:pPr>
              <w:pStyle w:val="NormalWeb"/>
              <w:spacing w:before="0" w:beforeAutospacing="0" w:after="0" w:afterAutospacing="0"/>
              <w:ind w:left="142" w:right="34"/>
              <w:rPr>
                <w:rFonts w:ascii="Arial" w:hAnsi="Arial" w:cs="Arial"/>
                <w:b/>
                <w:sz w:val="22"/>
                <w:szCs w:val="22"/>
              </w:rPr>
            </w:pPr>
          </w:p>
          <w:p w14:paraId="1BB7DC5D" w14:textId="77777777" w:rsidR="00B75FA2" w:rsidRPr="00230F35" w:rsidRDefault="00B75FA2" w:rsidP="00E15B12">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78D9AB9" w14:textId="77777777" w:rsidR="00B75FA2" w:rsidRDefault="00B75FA2" w:rsidP="00E15B12">
            <w:pPr>
              <w:pStyle w:val="NormalWeb"/>
              <w:spacing w:before="0" w:beforeAutospacing="0" w:after="0" w:afterAutospacing="0"/>
              <w:rPr>
                <w:rFonts w:ascii="Arial" w:hAnsi="Arial" w:cs="Arial"/>
                <w:b/>
                <w:sz w:val="22"/>
                <w:szCs w:val="22"/>
              </w:rPr>
            </w:pPr>
          </w:p>
          <w:p w14:paraId="0E759B3A" w14:textId="77777777" w:rsidR="00B75FA2" w:rsidRDefault="00B75FA2" w:rsidP="00E15B12">
            <w:pPr>
              <w:pStyle w:val="NormalWeb"/>
              <w:spacing w:before="0" w:beforeAutospacing="0" w:after="0" w:afterAutospacing="0"/>
              <w:rPr>
                <w:rFonts w:ascii="Arial" w:hAnsi="Arial" w:cs="Arial"/>
                <w:b/>
                <w:sz w:val="22"/>
                <w:szCs w:val="22"/>
              </w:rPr>
            </w:pPr>
          </w:p>
          <w:p w14:paraId="50D0C8D3" w14:textId="77777777" w:rsidR="00B75FA2" w:rsidRDefault="00B75FA2" w:rsidP="00E15B12">
            <w:pPr>
              <w:pStyle w:val="NormalWeb"/>
              <w:spacing w:before="0" w:beforeAutospacing="0" w:after="0" w:afterAutospacing="0"/>
              <w:rPr>
                <w:rFonts w:ascii="Arial" w:hAnsi="Arial" w:cs="Arial"/>
                <w:b/>
                <w:sz w:val="22"/>
                <w:szCs w:val="22"/>
              </w:rPr>
            </w:pPr>
          </w:p>
          <w:p w14:paraId="74B52ECD" w14:textId="77777777" w:rsidR="00B75FA2" w:rsidRDefault="00B75FA2" w:rsidP="00E15B12">
            <w:pPr>
              <w:pStyle w:val="NormalWeb"/>
              <w:spacing w:before="0" w:beforeAutospacing="0" w:after="0" w:afterAutospacing="0"/>
              <w:rPr>
                <w:rFonts w:ascii="Arial" w:hAnsi="Arial" w:cs="Arial"/>
                <w:b/>
                <w:sz w:val="22"/>
                <w:szCs w:val="22"/>
              </w:rPr>
            </w:pPr>
          </w:p>
          <w:p w14:paraId="65D15ABE" w14:textId="77777777" w:rsidR="00B75FA2" w:rsidRPr="00230F35" w:rsidRDefault="00B75FA2" w:rsidP="00E15B12">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w:t>
            </w:r>
          </w:p>
          <w:p w14:paraId="2B9316FF" w14:textId="77777777" w:rsidR="00B75FA2" w:rsidRDefault="00B75FA2" w:rsidP="00E15B12">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4E604A9" w14:textId="77777777" w:rsidR="00B75FA2" w:rsidRPr="00001C3B" w:rsidRDefault="00B75FA2" w:rsidP="00E15B12">
            <w:pPr>
              <w:pStyle w:val="NormalWeb"/>
              <w:rPr>
                <w:rFonts w:ascii="Arial" w:hAnsi="Arial" w:cs="Arial"/>
                <w:sz w:val="22"/>
                <w:szCs w:val="22"/>
              </w:rPr>
            </w:pPr>
          </w:p>
        </w:tc>
      </w:tr>
      <w:tr w:rsidR="00B75FA2" w:rsidRPr="00230F35" w14:paraId="07EB00F7" w14:textId="77777777" w:rsidTr="00E15B12">
        <w:trPr>
          <w:trHeight w:val="492"/>
        </w:trPr>
        <w:tc>
          <w:tcPr>
            <w:tcW w:w="6768" w:type="dxa"/>
            <w:gridSpan w:val="3"/>
          </w:tcPr>
          <w:p w14:paraId="0823CCFD" w14:textId="77777777" w:rsidR="00B75FA2" w:rsidRPr="00230F35" w:rsidRDefault="00B75FA2" w:rsidP="00E15B12">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607BC96B" w14:textId="77777777" w:rsidR="00B75FA2" w:rsidRPr="00230F35" w:rsidRDefault="00B75FA2" w:rsidP="00E15B12">
            <w:pPr>
              <w:pStyle w:val="NormalWeb"/>
              <w:spacing w:after="0"/>
              <w:ind w:left="142" w:right="34"/>
              <w:rPr>
                <w:rFonts w:ascii="Arial" w:hAnsi="Arial" w:cs="Arial"/>
                <w:sz w:val="22"/>
                <w:szCs w:val="22"/>
              </w:rPr>
            </w:pPr>
            <w:r w:rsidRPr="00230F35">
              <w:rPr>
                <w:rFonts w:ascii="Arial" w:hAnsi="Arial" w:cs="Arial"/>
                <w:sz w:val="22"/>
                <w:szCs w:val="22"/>
              </w:rPr>
              <w:t>Date:</w:t>
            </w:r>
          </w:p>
        </w:tc>
      </w:tr>
      <w:tr w:rsidR="00B75FA2" w:rsidRPr="002F467C" w14:paraId="46D88FC1" w14:textId="77777777" w:rsidTr="00E15B12">
        <w:tc>
          <w:tcPr>
            <w:tcW w:w="8856" w:type="dxa"/>
            <w:gridSpan w:val="5"/>
          </w:tcPr>
          <w:p w14:paraId="5D90B734" w14:textId="77777777" w:rsidR="00B75FA2" w:rsidRPr="00230F35" w:rsidRDefault="00B75FA2" w:rsidP="00E15B12">
            <w:pPr>
              <w:pStyle w:val="NormalWeb"/>
              <w:spacing w:before="0" w:beforeAutospacing="0" w:after="0" w:afterAutospacing="0"/>
              <w:ind w:right="-334"/>
              <w:rPr>
                <w:rFonts w:ascii="Arial" w:hAnsi="Arial" w:cs="Arial"/>
                <w:bCs/>
                <w:i/>
                <w:sz w:val="22"/>
                <w:szCs w:val="22"/>
              </w:rPr>
            </w:pPr>
          </w:p>
          <w:p w14:paraId="13D13DEE" w14:textId="77777777" w:rsidR="00B75FA2" w:rsidRPr="00230F35" w:rsidRDefault="00B75FA2" w:rsidP="00E15B12">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5D41867C" w14:textId="77777777" w:rsidR="00B75FA2" w:rsidRPr="00230F35" w:rsidRDefault="00B75FA2" w:rsidP="00E15B12">
            <w:pPr>
              <w:pStyle w:val="NormalWeb"/>
              <w:spacing w:before="0" w:beforeAutospacing="0" w:after="0" w:afterAutospacing="0"/>
              <w:ind w:right="-334"/>
              <w:rPr>
                <w:rFonts w:ascii="Arial" w:hAnsi="Arial" w:cs="Arial"/>
                <w:b/>
                <w:bCs/>
                <w:sz w:val="22"/>
                <w:szCs w:val="22"/>
              </w:rPr>
            </w:pPr>
          </w:p>
          <w:p w14:paraId="35D137A3" w14:textId="77777777" w:rsidR="00B75FA2" w:rsidRPr="00230F35" w:rsidRDefault="00B75FA2" w:rsidP="00E15B1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65033F8" w14:textId="77777777" w:rsidR="00B75FA2" w:rsidRPr="00230F35" w:rsidRDefault="00B75FA2" w:rsidP="00E15B12">
            <w:pPr>
              <w:pStyle w:val="NormalWeb"/>
              <w:spacing w:before="0" w:beforeAutospacing="0" w:after="0" w:afterAutospacing="0"/>
              <w:ind w:right="-334"/>
              <w:rPr>
                <w:rFonts w:ascii="Arial" w:hAnsi="Arial" w:cs="Arial"/>
                <w:bCs/>
                <w:sz w:val="22"/>
                <w:szCs w:val="22"/>
              </w:rPr>
            </w:pPr>
          </w:p>
          <w:p w14:paraId="3DE67D12" w14:textId="77777777" w:rsidR="00B75FA2" w:rsidRPr="00230F35" w:rsidRDefault="00B75FA2" w:rsidP="00E15B12">
            <w:pPr>
              <w:pStyle w:val="NormalWeb"/>
              <w:spacing w:before="0" w:beforeAutospacing="0" w:after="0" w:afterAutospacing="0"/>
              <w:ind w:right="-334"/>
              <w:rPr>
                <w:rFonts w:ascii="Arial" w:hAnsi="Arial" w:cs="Arial"/>
                <w:bCs/>
                <w:sz w:val="22"/>
                <w:szCs w:val="22"/>
              </w:rPr>
            </w:pPr>
          </w:p>
          <w:p w14:paraId="4E58FC6C" w14:textId="77777777" w:rsidR="00B75FA2" w:rsidRPr="00230F35" w:rsidRDefault="00B75FA2" w:rsidP="00E15B12">
            <w:pPr>
              <w:pStyle w:val="NormalWeb"/>
              <w:spacing w:before="0" w:beforeAutospacing="0" w:after="0" w:afterAutospacing="0"/>
              <w:ind w:right="-334"/>
              <w:rPr>
                <w:rFonts w:ascii="Arial" w:hAnsi="Arial" w:cs="Arial"/>
                <w:bCs/>
                <w:sz w:val="22"/>
                <w:szCs w:val="22"/>
              </w:rPr>
            </w:pPr>
          </w:p>
        </w:tc>
      </w:tr>
      <w:tr w:rsidR="00B75FA2" w:rsidRPr="002F467C" w14:paraId="455DBEBA" w14:textId="77777777" w:rsidTr="00E15B12">
        <w:trPr>
          <w:trHeight w:val="720"/>
        </w:trPr>
        <w:tc>
          <w:tcPr>
            <w:tcW w:w="5211" w:type="dxa"/>
            <w:gridSpan w:val="2"/>
          </w:tcPr>
          <w:p w14:paraId="7D0FB4C1" w14:textId="77777777" w:rsidR="00B75FA2" w:rsidRPr="00230F35" w:rsidRDefault="00B75FA2" w:rsidP="00E15B1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E96418E" w14:textId="77777777" w:rsidR="00B75FA2" w:rsidRPr="00230F35" w:rsidRDefault="00B75FA2" w:rsidP="00E15B1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B75FA2" w:rsidRPr="002F467C" w14:paraId="5D33344E" w14:textId="77777777" w:rsidTr="00E15B12">
        <w:trPr>
          <w:trHeight w:val="720"/>
        </w:trPr>
        <w:tc>
          <w:tcPr>
            <w:tcW w:w="8856" w:type="dxa"/>
            <w:gridSpan w:val="5"/>
          </w:tcPr>
          <w:p w14:paraId="386AACC1" w14:textId="77777777" w:rsidR="00B75FA2" w:rsidRPr="006367FD" w:rsidRDefault="00B75FA2" w:rsidP="00E15B12">
            <w:pPr>
              <w:rPr>
                <w:rFonts w:ascii="Arial" w:hAnsi="Arial" w:cs="Arial"/>
                <w:b/>
                <w:sz w:val="22"/>
                <w:szCs w:val="22"/>
              </w:rPr>
            </w:pPr>
            <w:r w:rsidRPr="006367FD">
              <w:rPr>
                <w:rFonts w:ascii="Arial" w:hAnsi="Arial" w:cs="Arial"/>
                <w:b/>
                <w:sz w:val="22"/>
                <w:szCs w:val="22"/>
              </w:rPr>
              <w:t>AGREED INTERNAL MARK (where necessary):</w:t>
            </w:r>
          </w:p>
          <w:p w14:paraId="6F723104" w14:textId="77777777" w:rsidR="00B75FA2" w:rsidRPr="006367FD" w:rsidRDefault="00B75FA2" w:rsidP="00E15B12">
            <w:pPr>
              <w:rPr>
                <w:rFonts w:ascii="Arial" w:hAnsi="Arial" w:cs="Arial"/>
                <w:b/>
                <w:sz w:val="22"/>
                <w:szCs w:val="22"/>
              </w:rPr>
            </w:pPr>
          </w:p>
          <w:p w14:paraId="0ACF5C8B" w14:textId="77777777" w:rsidR="00B75FA2" w:rsidRDefault="00B75FA2" w:rsidP="00E15B12">
            <w:pPr>
              <w:rPr>
                <w:rFonts w:ascii="Arial" w:hAnsi="Arial" w:cs="Arial"/>
                <w:b/>
                <w:sz w:val="22"/>
                <w:szCs w:val="22"/>
              </w:rPr>
            </w:pPr>
            <w:r w:rsidRPr="006367FD">
              <w:rPr>
                <w:rFonts w:ascii="Arial" w:hAnsi="Arial" w:cs="Arial"/>
                <w:b/>
                <w:sz w:val="22"/>
                <w:szCs w:val="22"/>
              </w:rPr>
              <w:t>Comment on process of arriving at agreed mark:</w:t>
            </w:r>
          </w:p>
          <w:p w14:paraId="501DFE29" w14:textId="77777777" w:rsidR="00B75FA2" w:rsidRDefault="00B75FA2" w:rsidP="00E15B12">
            <w:pPr>
              <w:rPr>
                <w:rFonts w:ascii="Arial" w:hAnsi="Arial" w:cs="Arial"/>
                <w:b/>
                <w:sz w:val="22"/>
                <w:szCs w:val="22"/>
              </w:rPr>
            </w:pPr>
          </w:p>
          <w:p w14:paraId="29AC578B" w14:textId="77777777" w:rsidR="00B75FA2" w:rsidRDefault="00B75FA2" w:rsidP="00E15B12">
            <w:pPr>
              <w:rPr>
                <w:rFonts w:ascii="Arial" w:hAnsi="Arial" w:cs="Arial"/>
                <w:b/>
                <w:sz w:val="22"/>
                <w:szCs w:val="22"/>
              </w:rPr>
            </w:pPr>
          </w:p>
          <w:p w14:paraId="53A73182" w14:textId="77777777" w:rsidR="00B75FA2" w:rsidRDefault="00B75FA2" w:rsidP="00E15B12">
            <w:pPr>
              <w:rPr>
                <w:rFonts w:ascii="Arial" w:hAnsi="Arial" w:cs="Arial"/>
                <w:b/>
                <w:sz w:val="22"/>
                <w:szCs w:val="22"/>
              </w:rPr>
            </w:pPr>
          </w:p>
          <w:p w14:paraId="5023230A" w14:textId="77777777" w:rsidR="00B75FA2" w:rsidRDefault="00B75FA2" w:rsidP="00E15B12">
            <w:pPr>
              <w:rPr>
                <w:rFonts w:ascii="Arial" w:hAnsi="Arial" w:cs="Arial"/>
                <w:b/>
                <w:sz w:val="22"/>
                <w:szCs w:val="22"/>
              </w:rPr>
            </w:pPr>
          </w:p>
          <w:p w14:paraId="6F04162A" w14:textId="77777777" w:rsidR="00B75FA2" w:rsidRDefault="00B75FA2" w:rsidP="00E15B12">
            <w:pPr>
              <w:rPr>
                <w:rFonts w:ascii="Arial" w:hAnsi="Arial" w:cs="Arial"/>
                <w:b/>
                <w:sz w:val="22"/>
                <w:szCs w:val="22"/>
              </w:rPr>
            </w:pPr>
          </w:p>
          <w:p w14:paraId="0AD339CE" w14:textId="77777777" w:rsidR="00B75FA2" w:rsidRDefault="00B75FA2" w:rsidP="00E15B12">
            <w:pPr>
              <w:rPr>
                <w:rFonts w:ascii="Arial" w:hAnsi="Arial" w:cs="Arial"/>
                <w:b/>
                <w:sz w:val="22"/>
                <w:szCs w:val="22"/>
              </w:rPr>
            </w:pPr>
          </w:p>
          <w:p w14:paraId="645D40B7" w14:textId="77777777" w:rsidR="00B75FA2" w:rsidRDefault="00B75FA2" w:rsidP="00E15B12">
            <w:pPr>
              <w:rPr>
                <w:rFonts w:ascii="Arial" w:hAnsi="Arial" w:cs="Arial"/>
                <w:b/>
                <w:sz w:val="22"/>
                <w:szCs w:val="22"/>
              </w:rPr>
            </w:pPr>
          </w:p>
          <w:p w14:paraId="6888A51D" w14:textId="77777777" w:rsidR="00B75FA2" w:rsidRPr="00B34964" w:rsidRDefault="00B75FA2" w:rsidP="00E15B12">
            <w:pPr>
              <w:rPr>
                <w:rFonts w:ascii="Arial" w:hAnsi="Arial" w:cs="Arial"/>
                <w:b/>
                <w:sz w:val="22"/>
                <w:szCs w:val="22"/>
              </w:rPr>
            </w:pPr>
          </w:p>
        </w:tc>
      </w:tr>
      <w:tr w:rsidR="00B75FA2" w:rsidRPr="002F467C" w14:paraId="22421DFF" w14:textId="77777777" w:rsidTr="00E15B12">
        <w:trPr>
          <w:trHeight w:val="720"/>
        </w:trPr>
        <w:tc>
          <w:tcPr>
            <w:tcW w:w="8856" w:type="dxa"/>
            <w:gridSpan w:val="5"/>
          </w:tcPr>
          <w:p w14:paraId="106A8E53" w14:textId="77777777" w:rsidR="00B75FA2" w:rsidRPr="00B34964" w:rsidRDefault="00B75FA2" w:rsidP="00E15B12">
            <w:pPr>
              <w:rPr>
                <w:rFonts w:ascii="Arial" w:hAnsi="Arial" w:cs="Arial"/>
                <w:b/>
                <w:sz w:val="22"/>
                <w:szCs w:val="22"/>
              </w:rPr>
            </w:pPr>
            <w:r w:rsidRPr="00B34964">
              <w:rPr>
                <w:rFonts w:ascii="Arial" w:hAnsi="Arial" w:cs="Arial"/>
                <w:b/>
                <w:sz w:val="22"/>
                <w:szCs w:val="22"/>
              </w:rPr>
              <w:t>External Examiner’s comments (if relevant)</w:t>
            </w:r>
          </w:p>
          <w:p w14:paraId="62E2AE89" w14:textId="77777777" w:rsidR="00B75FA2" w:rsidRDefault="00B75FA2" w:rsidP="00E15B12">
            <w:pPr>
              <w:pStyle w:val="NormalWeb"/>
              <w:spacing w:before="0" w:beforeAutospacing="0" w:after="0" w:afterAutospacing="0"/>
              <w:ind w:right="-334"/>
              <w:rPr>
                <w:rFonts w:ascii="Arial" w:hAnsi="Arial" w:cs="Arial"/>
                <w:bCs/>
                <w:sz w:val="22"/>
                <w:szCs w:val="22"/>
              </w:rPr>
            </w:pPr>
          </w:p>
          <w:p w14:paraId="2D4EBA4D" w14:textId="77777777" w:rsidR="00B75FA2" w:rsidRDefault="00B75FA2" w:rsidP="00E15B12">
            <w:pPr>
              <w:pStyle w:val="NormalWeb"/>
              <w:spacing w:before="0" w:beforeAutospacing="0" w:after="0" w:afterAutospacing="0"/>
              <w:ind w:right="-334"/>
              <w:rPr>
                <w:rFonts w:ascii="Arial" w:hAnsi="Arial" w:cs="Arial"/>
                <w:bCs/>
                <w:sz w:val="22"/>
                <w:szCs w:val="22"/>
              </w:rPr>
            </w:pPr>
          </w:p>
          <w:p w14:paraId="404DF177" w14:textId="77777777" w:rsidR="00B75FA2" w:rsidRDefault="00B75FA2" w:rsidP="00E15B12">
            <w:pPr>
              <w:pStyle w:val="NormalWeb"/>
              <w:spacing w:before="0" w:beforeAutospacing="0" w:after="0" w:afterAutospacing="0"/>
              <w:ind w:right="-334"/>
              <w:rPr>
                <w:rFonts w:ascii="Arial" w:hAnsi="Arial" w:cs="Arial"/>
                <w:bCs/>
                <w:sz w:val="22"/>
                <w:szCs w:val="22"/>
              </w:rPr>
            </w:pPr>
          </w:p>
          <w:p w14:paraId="093545BD" w14:textId="77777777" w:rsidR="00B75FA2" w:rsidRDefault="00B75FA2" w:rsidP="00E15B12">
            <w:pPr>
              <w:pStyle w:val="NormalWeb"/>
              <w:spacing w:before="0" w:beforeAutospacing="0" w:after="0" w:afterAutospacing="0"/>
              <w:ind w:right="-334"/>
              <w:rPr>
                <w:rFonts w:ascii="Arial" w:hAnsi="Arial" w:cs="Arial"/>
                <w:bCs/>
                <w:sz w:val="22"/>
                <w:szCs w:val="22"/>
              </w:rPr>
            </w:pPr>
          </w:p>
          <w:p w14:paraId="5BC11F87" w14:textId="77777777" w:rsidR="00B75FA2" w:rsidRPr="00230F35" w:rsidRDefault="00B75FA2" w:rsidP="00E15B12">
            <w:pPr>
              <w:pStyle w:val="NormalWeb"/>
              <w:spacing w:before="0" w:beforeAutospacing="0" w:after="0" w:afterAutospacing="0"/>
              <w:ind w:right="-334"/>
              <w:rPr>
                <w:rFonts w:ascii="Arial" w:hAnsi="Arial" w:cs="Arial"/>
                <w:bCs/>
                <w:sz w:val="22"/>
                <w:szCs w:val="22"/>
              </w:rPr>
            </w:pPr>
          </w:p>
          <w:p w14:paraId="1AE35CE8" w14:textId="77777777" w:rsidR="00B75FA2" w:rsidRPr="00230F35" w:rsidRDefault="00B75FA2" w:rsidP="00E15B12">
            <w:pPr>
              <w:pStyle w:val="NormalWeb"/>
              <w:spacing w:before="0" w:beforeAutospacing="0" w:after="0" w:afterAutospacing="0"/>
              <w:ind w:right="-334"/>
              <w:rPr>
                <w:rFonts w:ascii="Arial" w:hAnsi="Arial" w:cs="Arial"/>
                <w:bCs/>
                <w:sz w:val="22"/>
                <w:szCs w:val="22"/>
              </w:rPr>
            </w:pPr>
          </w:p>
          <w:p w14:paraId="1F6FE21C" w14:textId="77777777" w:rsidR="00B75FA2" w:rsidRPr="00230F35" w:rsidRDefault="00B75FA2" w:rsidP="00E15B12">
            <w:pPr>
              <w:pStyle w:val="NormalWeb"/>
              <w:spacing w:before="0" w:beforeAutospacing="0" w:after="0" w:afterAutospacing="0"/>
              <w:ind w:right="-334"/>
              <w:rPr>
                <w:rFonts w:ascii="Arial" w:hAnsi="Arial" w:cs="Arial"/>
                <w:bCs/>
                <w:sz w:val="22"/>
                <w:szCs w:val="22"/>
              </w:rPr>
            </w:pPr>
          </w:p>
        </w:tc>
      </w:tr>
      <w:tr w:rsidR="00B75FA2" w:rsidRPr="002F467C" w14:paraId="46BDCBF6" w14:textId="77777777" w:rsidTr="00E15B12">
        <w:trPr>
          <w:trHeight w:val="720"/>
        </w:trPr>
        <w:tc>
          <w:tcPr>
            <w:tcW w:w="5211" w:type="dxa"/>
            <w:gridSpan w:val="2"/>
          </w:tcPr>
          <w:p w14:paraId="5D858099" w14:textId="77777777" w:rsidR="00B75FA2" w:rsidRPr="00230F35" w:rsidRDefault="00B75FA2" w:rsidP="00E15B12">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65A359ED" w14:textId="77777777" w:rsidR="00B75FA2" w:rsidRPr="00230F35" w:rsidRDefault="00B75FA2" w:rsidP="00E15B12">
            <w:pPr>
              <w:rPr>
                <w:rFonts w:ascii="Arial" w:hAnsi="Arial" w:cs="Arial"/>
                <w:sz w:val="22"/>
                <w:szCs w:val="22"/>
              </w:rPr>
            </w:pPr>
            <w:r w:rsidRPr="00230F35">
              <w:rPr>
                <w:rFonts w:ascii="Arial" w:hAnsi="Arial" w:cs="Arial"/>
                <w:sz w:val="22"/>
                <w:szCs w:val="22"/>
              </w:rPr>
              <w:t>Date:</w:t>
            </w:r>
          </w:p>
        </w:tc>
      </w:tr>
    </w:tbl>
    <w:p w14:paraId="7A4687A9" w14:textId="77777777" w:rsidR="00B75FA2" w:rsidRPr="00D67BF8" w:rsidRDefault="00B75FA2" w:rsidP="00B75FA2">
      <w:pPr>
        <w:pStyle w:val="NormalWeb"/>
        <w:spacing w:before="0" w:beforeAutospacing="0" w:after="0" w:afterAutospacing="0"/>
        <w:ind w:right="-334"/>
        <w:rPr>
          <w:rFonts w:ascii="Trebuchet MS" w:hAnsi="Trebuchet MS" w:cs="Tahoma"/>
          <w:bCs/>
          <w:sz w:val="24"/>
          <w:szCs w:val="24"/>
        </w:rPr>
      </w:pPr>
    </w:p>
    <w:p w14:paraId="7ECF62CA" w14:textId="77777777" w:rsidR="00B75FA2" w:rsidRPr="00F7718C" w:rsidRDefault="00B75FA2" w:rsidP="00B75FA2">
      <w:pPr>
        <w:rPr>
          <w:b/>
          <w:bCs/>
        </w:rPr>
      </w:pPr>
      <w:r>
        <w:rPr>
          <w:b/>
          <w:sz w:val="28"/>
          <w:szCs w:val="28"/>
        </w:rPr>
        <w:br w:type="page"/>
      </w:r>
      <w:r w:rsidRPr="00F7718C">
        <w:rPr>
          <w:b/>
          <w:bCs/>
        </w:rPr>
        <w:lastRenderedPageBreak/>
        <w:t>A</w:t>
      </w:r>
      <w:r w:rsidR="004C0D75" w:rsidRPr="00F7718C">
        <w:rPr>
          <w:b/>
          <w:bCs/>
        </w:rPr>
        <w:t>nalyse the Roles of, and Relationship between, Cosmology and Divination in Ancient Egypt</w:t>
      </w:r>
    </w:p>
    <w:p w14:paraId="6A967759" w14:textId="278C268C" w:rsidR="001A4085" w:rsidRDefault="00B75FA2" w:rsidP="001A4085">
      <w:r w:rsidRPr="00F7718C">
        <w:t xml:space="preserve">Word Count: </w:t>
      </w:r>
      <w:r w:rsidR="000009BE">
        <w:t>30</w:t>
      </w:r>
      <w:r w:rsidR="004F4FAA">
        <w:t>15</w:t>
      </w:r>
    </w:p>
    <w:p w14:paraId="6154BC74" w14:textId="0ACE8B35" w:rsidR="00834CF5" w:rsidRDefault="00834CF5" w:rsidP="001A4085"/>
    <w:p w14:paraId="7AB83BF0" w14:textId="296D852C" w:rsidR="00E755AD" w:rsidRPr="001A4085" w:rsidRDefault="00E755AD" w:rsidP="001A4085">
      <w:r w:rsidRPr="00F7718C">
        <w:rPr>
          <w:b/>
        </w:rPr>
        <w:t>Introduction</w:t>
      </w:r>
    </w:p>
    <w:p w14:paraId="2E20D979" w14:textId="77777777" w:rsidR="008E0FA6" w:rsidRDefault="00E755AD" w:rsidP="002A4066">
      <w:r w:rsidRPr="00F7718C">
        <w:t>The aim of this essay is to analyse the roles of</w:t>
      </w:r>
      <w:r w:rsidR="00F7718C" w:rsidRPr="00F7718C">
        <w:t>,</w:t>
      </w:r>
      <w:r w:rsidRPr="00F7718C">
        <w:t xml:space="preserve"> and relationship between</w:t>
      </w:r>
      <w:r w:rsidR="00F7718C" w:rsidRPr="00F7718C">
        <w:t>,</w:t>
      </w:r>
      <w:r w:rsidRPr="00F7718C">
        <w:t xml:space="preserve"> cosmology and divination in Ancient Egypt.</w:t>
      </w:r>
      <w:r w:rsidR="00FB4C97">
        <w:t xml:space="preserve"> </w:t>
      </w:r>
      <w:r w:rsidR="008E0FA6" w:rsidRPr="004B5F6C">
        <w:t xml:space="preserve">In consideration of the scholarship of the contemporary age, and </w:t>
      </w:r>
      <w:r w:rsidR="008E0FA6">
        <w:t xml:space="preserve">with </w:t>
      </w:r>
      <w:r w:rsidR="008E0FA6" w:rsidRPr="004B5F6C">
        <w:t>an attempt to decipher an ancient cosmology that has had countless opinions and interpretations applied to it, key terms will be unpacked.</w:t>
      </w:r>
      <w:r w:rsidR="008E0FA6">
        <w:t xml:space="preserve"> </w:t>
      </w:r>
      <w:r w:rsidR="00C65C3C" w:rsidRPr="00F7718C">
        <w:t>Nicholas Campion pointed out</w:t>
      </w:r>
      <w:r w:rsidR="00C65C3C">
        <w:t xml:space="preserve"> that </w:t>
      </w:r>
      <w:r w:rsidR="00C65C3C" w:rsidRPr="00F7718C">
        <w:t xml:space="preserve">cosmology could be defined </w:t>
      </w:r>
      <w:r w:rsidR="008E0FA6">
        <w:t>in two ways,</w:t>
      </w:r>
      <w:r w:rsidR="00C65C3C" w:rsidRPr="00F7718C">
        <w:t xml:space="preserve"> anthropologically</w:t>
      </w:r>
      <w:r w:rsidR="00C65C3C">
        <w:t xml:space="preserve">, as </w:t>
      </w:r>
      <w:r w:rsidR="00C65C3C" w:rsidRPr="00F7718C">
        <w:t>the ways in which people relate</w:t>
      </w:r>
      <w:r w:rsidR="00C65C3C">
        <w:t xml:space="preserve"> to</w:t>
      </w:r>
      <w:r w:rsidR="004308F2">
        <w:t xml:space="preserve"> </w:t>
      </w:r>
      <w:r w:rsidR="00C65C3C" w:rsidRPr="00F7718C">
        <w:t>and study the cosmos</w:t>
      </w:r>
      <w:r w:rsidR="0026334F">
        <w:t>;</w:t>
      </w:r>
      <w:r w:rsidR="00C65C3C" w:rsidRPr="00F7718C">
        <w:t xml:space="preserve"> and scientificall</w:t>
      </w:r>
      <w:r w:rsidR="00C65C3C">
        <w:t xml:space="preserve">y, as </w:t>
      </w:r>
      <w:r w:rsidR="00C65C3C" w:rsidRPr="00F7718C">
        <w:t xml:space="preserve">a </w:t>
      </w:r>
      <w:r w:rsidR="004308F2">
        <w:t>controlled</w:t>
      </w:r>
      <w:r w:rsidR="00C65C3C" w:rsidRPr="00F7718C">
        <w:t xml:space="preserve"> study with an emphasis on as</w:t>
      </w:r>
      <w:r w:rsidR="00C65C3C">
        <w:t>tr</w:t>
      </w:r>
      <w:r w:rsidR="00C65C3C" w:rsidRPr="00F7718C">
        <w:t>onomy</w:t>
      </w:r>
      <w:r w:rsidR="004308F2">
        <w:t xml:space="preserve"> and </w:t>
      </w:r>
      <w:r w:rsidR="00C65C3C" w:rsidRPr="00F7718C">
        <w:t>the very fabric of the universe.</w:t>
      </w:r>
      <w:r w:rsidR="00C65C3C" w:rsidRPr="00F7718C">
        <w:rPr>
          <w:rStyle w:val="FootnoteReference"/>
        </w:rPr>
        <w:footnoteReference w:id="1"/>
      </w:r>
      <w:r w:rsidR="00C65C3C" w:rsidRPr="00F7718C">
        <w:t xml:space="preserve"> Cosmos comes from the Greek</w:t>
      </w:r>
      <w:r w:rsidR="0026334F">
        <w:t xml:space="preserve"> word</w:t>
      </w:r>
      <w:r w:rsidR="00C65C3C" w:rsidRPr="00F7718C">
        <w:t xml:space="preserve"> </w:t>
      </w:r>
      <w:r w:rsidR="00C65C3C" w:rsidRPr="00F7718C">
        <w:rPr>
          <w:i/>
          <w:iCs/>
        </w:rPr>
        <w:t>kosmos</w:t>
      </w:r>
      <w:r w:rsidR="00C65C3C" w:rsidRPr="00F7718C">
        <w:t>, which is an intelligible order demonstrat</w:t>
      </w:r>
      <w:r w:rsidR="004308F2">
        <w:t>ing</w:t>
      </w:r>
      <w:r w:rsidR="00C65C3C" w:rsidRPr="00F7718C">
        <w:t xml:space="preserve"> beautiful harmony. </w:t>
      </w:r>
      <w:r w:rsidR="00C65C3C">
        <w:t>The study of</w:t>
      </w:r>
      <w:r w:rsidR="00C65C3C" w:rsidRPr="00F7718C">
        <w:t xml:space="preserve"> cosmology </w:t>
      </w:r>
      <w:r w:rsidR="00C65C3C">
        <w:t>is the</w:t>
      </w:r>
      <w:r w:rsidR="00C65C3C" w:rsidRPr="00F7718C">
        <w:t xml:space="preserve"> </w:t>
      </w:r>
      <w:r w:rsidR="00C65C3C">
        <w:t xml:space="preserve">study of </w:t>
      </w:r>
      <w:r w:rsidR="00C65C3C" w:rsidRPr="00F7718C">
        <w:t>culture. Clifford Geertz defined culture as ‘a historically transmitted pattern of meanings embodied in symbols, a system of inherited conceptions expressed in symbolic form.’</w:t>
      </w:r>
      <w:r w:rsidR="00C65C3C" w:rsidRPr="00F7718C">
        <w:rPr>
          <w:rStyle w:val="FootnoteReference"/>
        </w:rPr>
        <w:footnoteReference w:id="2"/>
      </w:r>
      <w:r w:rsidR="00C65C3C">
        <w:t xml:space="preserve"> In English terms culture could have many meanings, which Terry Eagleton emphasized as </w:t>
      </w:r>
      <w:r w:rsidR="00C65C3C" w:rsidRPr="00F7718C">
        <w:t>cultivating, inhabiting, worshiping</w:t>
      </w:r>
      <w:r w:rsidR="00C65C3C">
        <w:t>,</w:t>
      </w:r>
      <w:r w:rsidR="00C65C3C" w:rsidRPr="00F7718C">
        <w:t xml:space="preserve"> and protecting</w:t>
      </w:r>
      <w:r w:rsidR="00C65C3C">
        <w:t>, ‘</w:t>
      </w:r>
      <w:r w:rsidR="00C65C3C" w:rsidRPr="00F7718C">
        <w:t>It is what comes naturally, bred in the bone rather than conceived by the brain’.</w:t>
      </w:r>
      <w:r w:rsidR="00C65C3C" w:rsidRPr="00F7718C">
        <w:rPr>
          <w:rStyle w:val="FootnoteReference"/>
        </w:rPr>
        <w:footnoteReference w:id="3"/>
      </w:r>
      <w:r w:rsidR="00C65C3C" w:rsidRPr="00F7718C">
        <w:t xml:space="preserve"> </w:t>
      </w:r>
      <w:r w:rsidR="00C65C3C">
        <w:t>C</w:t>
      </w:r>
      <w:r w:rsidR="00C65C3C" w:rsidRPr="00F7718C">
        <w:t xml:space="preserve">ulture is based on that which is instilled in </w:t>
      </w:r>
      <w:r w:rsidR="00C65C3C">
        <w:t>the developing</w:t>
      </w:r>
      <w:r w:rsidR="00C65C3C" w:rsidRPr="00F7718C">
        <w:t xml:space="preserve"> consciousness from womb</w:t>
      </w:r>
      <w:r w:rsidR="00C65C3C">
        <w:t xml:space="preserve"> life</w:t>
      </w:r>
      <w:r w:rsidR="00C65C3C" w:rsidRPr="00F7718C">
        <w:t>, to birth</w:t>
      </w:r>
      <w:r w:rsidR="00C65C3C">
        <w:t>,</w:t>
      </w:r>
      <w:r w:rsidR="00C65C3C" w:rsidRPr="00F7718C">
        <w:t xml:space="preserve"> and beyond.</w:t>
      </w:r>
      <w:r w:rsidR="00C65C3C">
        <w:t xml:space="preserve"> However, as Stephan Quirke urged his readers </w:t>
      </w:r>
      <w:r w:rsidR="002C324C">
        <w:t>within</w:t>
      </w:r>
      <w:r w:rsidR="00C65C3C">
        <w:t xml:space="preserve"> the study of Egypt, it is imperative to note where assumptions might exist when considering terms like cosmology, myth, </w:t>
      </w:r>
      <w:r w:rsidR="002C324C">
        <w:t xml:space="preserve">and </w:t>
      </w:r>
      <w:r w:rsidR="00C65C3C">
        <w:t xml:space="preserve">magic, as these definitions may become problematic </w:t>
      </w:r>
      <w:r w:rsidR="00256229">
        <w:t xml:space="preserve">through </w:t>
      </w:r>
      <w:r w:rsidR="00C65C3C">
        <w:t>translation and time.</w:t>
      </w:r>
      <w:r w:rsidR="00C65C3C">
        <w:rPr>
          <w:rStyle w:val="FootnoteReference"/>
        </w:rPr>
        <w:footnoteReference w:id="4"/>
      </w:r>
      <w:r w:rsidR="00C65C3C">
        <w:t xml:space="preserve"> </w:t>
      </w:r>
      <w:r w:rsidR="00E0495F" w:rsidRPr="00B76237">
        <w:t>For Quirke, Eurocentrism makes a</w:t>
      </w:r>
      <w:r w:rsidR="008E0FA6">
        <w:t xml:space="preserve">n arguable </w:t>
      </w:r>
      <w:r w:rsidR="00E0495F" w:rsidRPr="00B76237">
        <w:t xml:space="preserve">assumption that there is a lack of interest by non-European peoples in their own histories, </w:t>
      </w:r>
      <w:r w:rsidR="008E0FA6">
        <w:t xml:space="preserve">particularly </w:t>
      </w:r>
      <w:r w:rsidR="00E0495F" w:rsidRPr="00B76237">
        <w:t>by having naturalized European-language study in institutions of European form including both research university and museum.</w:t>
      </w:r>
      <w:r w:rsidR="00E0495F" w:rsidRPr="00B76237">
        <w:rPr>
          <w:rStyle w:val="FootnoteReference"/>
        </w:rPr>
        <w:footnoteReference w:id="5"/>
      </w:r>
      <w:r w:rsidR="00E0495F">
        <w:t xml:space="preserve"> </w:t>
      </w:r>
      <w:r w:rsidR="002C324C">
        <w:t xml:space="preserve">Many academic </w:t>
      </w:r>
      <w:r w:rsidR="00C65C3C">
        <w:t>sources</w:t>
      </w:r>
      <w:r w:rsidR="002C324C">
        <w:t xml:space="preserve"> within </w:t>
      </w:r>
      <w:r w:rsidR="00C65C3C">
        <w:t xml:space="preserve">Ancient Egypt have a Eurocentric </w:t>
      </w:r>
      <w:r w:rsidR="00A344D4">
        <w:t>bias</w:t>
      </w:r>
      <w:r w:rsidR="002C324C">
        <w:t>,</w:t>
      </w:r>
      <w:r w:rsidR="00C65C3C">
        <w:t xml:space="preserve"> as this is the origin and academic framework of the majority of the published scholars</w:t>
      </w:r>
      <w:r w:rsidR="00A344D4">
        <w:t xml:space="preserve">, </w:t>
      </w:r>
      <w:r w:rsidR="00A344D4" w:rsidRPr="003E3DAF">
        <w:t>implying th</w:t>
      </w:r>
      <w:r w:rsidR="008E0FA6">
        <w:t>at the essential</w:t>
      </w:r>
      <w:r w:rsidR="00A344D4" w:rsidRPr="003E3DAF">
        <w:t xml:space="preserve"> terms are defined from </w:t>
      </w:r>
      <w:r w:rsidR="003E3DAF">
        <w:t xml:space="preserve">this </w:t>
      </w:r>
      <w:r w:rsidR="00256229">
        <w:t>inclination</w:t>
      </w:r>
      <w:r w:rsidR="00C65C3C" w:rsidRPr="003E3DAF">
        <w:t>.</w:t>
      </w:r>
      <w:r w:rsidR="00C65C3C" w:rsidRPr="003E3DAF">
        <w:rPr>
          <w:rStyle w:val="FootnoteReference"/>
        </w:rPr>
        <w:footnoteReference w:id="6"/>
      </w:r>
      <w:r w:rsidR="00C65C3C" w:rsidRPr="003E3DAF">
        <w:t xml:space="preserve"> </w:t>
      </w:r>
      <w:r w:rsidR="008E0FA6" w:rsidRPr="00B76237">
        <w:t xml:space="preserve">As this essay explores cosmology, culture, magic, and divination within Ancient Egypt, it must be stated that the author </w:t>
      </w:r>
      <w:r w:rsidR="008E0FA6">
        <w:t xml:space="preserve">wrote with an </w:t>
      </w:r>
      <w:r w:rsidR="008E0FA6" w:rsidRPr="00B76237">
        <w:t>aware</w:t>
      </w:r>
      <w:r w:rsidR="008E0FA6">
        <w:t>ness</w:t>
      </w:r>
      <w:r w:rsidR="008E0FA6" w:rsidRPr="00B76237">
        <w:t xml:space="preserve"> of the Eurocentric sources to back the </w:t>
      </w:r>
      <w:r w:rsidR="008E0FA6">
        <w:t xml:space="preserve">academic </w:t>
      </w:r>
      <w:r w:rsidR="008E0FA6" w:rsidRPr="00B76237">
        <w:t xml:space="preserve">claims, and </w:t>
      </w:r>
      <w:r w:rsidR="008E0FA6">
        <w:t xml:space="preserve">has </w:t>
      </w:r>
      <w:r w:rsidR="008E0FA6" w:rsidRPr="00B76237">
        <w:t>assume</w:t>
      </w:r>
      <w:r w:rsidR="008E0FA6">
        <w:t>d</w:t>
      </w:r>
      <w:r w:rsidR="008E0FA6" w:rsidRPr="00B76237">
        <w:t xml:space="preserve"> th</w:t>
      </w:r>
      <w:r w:rsidR="008E0FA6">
        <w:t>at there is a</w:t>
      </w:r>
      <w:r w:rsidR="008E0FA6" w:rsidRPr="00B76237">
        <w:t xml:space="preserve"> likelihood of gaps of knowledge within this particular </w:t>
      </w:r>
      <w:r w:rsidR="008E0FA6">
        <w:t>field of study</w:t>
      </w:r>
      <w:r w:rsidR="008E0FA6" w:rsidRPr="00B76237">
        <w:t>.</w:t>
      </w:r>
    </w:p>
    <w:p w14:paraId="6CA57FAD" w14:textId="77777777" w:rsidR="008E0FA6" w:rsidRDefault="008E0FA6" w:rsidP="002A4066"/>
    <w:p w14:paraId="064239CA" w14:textId="5F1555D4" w:rsidR="002A4066" w:rsidRPr="00B76237" w:rsidRDefault="008E0FA6" w:rsidP="002A4066">
      <w:r w:rsidRPr="00B76237">
        <w:t>Ancient Egyptian cosmology was multi-layered, with a complex structure that thrived upon order, known as ma’at, personified through goddess Ma’at.</w:t>
      </w:r>
      <w:r w:rsidRPr="008E0FA6">
        <w:t xml:space="preserve"> As </w:t>
      </w:r>
      <w:r w:rsidRPr="008E0FA6">
        <w:rPr>
          <w:lang w:val="en-US"/>
        </w:rPr>
        <w:t>Françoise Dunand and Christiane Zivie-Coche</w:t>
      </w:r>
      <w:r w:rsidRPr="008E0FA6">
        <w:t xml:space="preserve"> stated in </w:t>
      </w:r>
      <w:r w:rsidRPr="008E0FA6">
        <w:rPr>
          <w:i/>
          <w:iCs/>
        </w:rPr>
        <w:t>Gods and Men in Egypt</w:t>
      </w:r>
      <w:r w:rsidRPr="008E0FA6">
        <w:t>,</w:t>
      </w:r>
      <w:r>
        <w:t xml:space="preserve"> f</w:t>
      </w:r>
      <w:r w:rsidRPr="00B76237">
        <w:t xml:space="preserve">or the Egyptians, the vast deities were tangible entities in the world that organized the cosmology into ‘highly institutionalized cults to satisfy </w:t>
      </w:r>
      <w:r w:rsidR="00132F13">
        <w:t xml:space="preserve">the </w:t>
      </w:r>
      <w:r w:rsidRPr="00B76237">
        <w:t>divine and thus make it possible to maintain the precarious equilibrium in the cosmos’.</w:t>
      </w:r>
      <w:r w:rsidRPr="00B76237">
        <w:rPr>
          <w:rStyle w:val="FootnoteReference"/>
        </w:rPr>
        <w:footnoteReference w:id="7"/>
      </w:r>
      <w:r>
        <w:t xml:space="preserve"> </w:t>
      </w:r>
      <w:r w:rsidR="00DF071C">
        <w:t xml:space="preserve">For the Egyptians, magic was known as </w:t>
      </w:r>
      <w:r w:rsidR="00DF071C" w:rsidRPr="00D32F90">
        <w:rPr>
          <w:i/>
          <w:iCs/>
        </w:rPr>
        <w:t>heka</w:t>
      </w:r>
      <w:r w:rsidR="00DF071C">
        <w:t>, a force</w:t>
      </w:r>
      <w:r w:rsidR="00A344D4">
        <w:t xml:space="preserve"> at the very heart of this cosmology,</w:t>
      </w:r>
      <w:r w:rsidR="00DF071C">
        <w:t xml:space="preserve"> utilized by </w:t>
      </w:r>
      <w:r w:rsidR="00DF071C">
        <w:lastRenderedPageBreak/>
        <w:t>the creator deity to make the world from the primeval state of chaos, to the Primeval Mound where justice, truth, and harmony could exist.</w:t>
      </w:r>
      <w:r w:rsidR="00DF071C">
        <w:rPr>
          <w:rStyle w:val="FootnoteReference"/>
        </w:rPr>
        <w:footnoteReference w:id="8"/>
      </w:r>
      <w:r w:rsidR="00DF071C">
        <w:t xml:space="preserve"> Divination was a means to communicate with the divine</w:t>
      </w:r>
      <w:r w:rsidR="002C1228">
        <w:t xml:space="preserve">, a way for one to orient their life, whether considering the past, the present, or the future. </w:t>
      </w:r>
      <w:r w:rsidR="00132F13">
        <w:t xml:space="preserve">This essay </w:t>
      </w:r>
      <w:r w:rsidR="00132F13" w:rsidRPr="00F7718C">
        <w:t xml:space="preserve">will </w:t>
      </w:r>
      <w:r w:rsidR="00132F13">
        <w:t>explore</w:t>
      </w:r>
      <w:r w:rsidR="00132F13" w:rsidRPr="00F7718C">
        <w:t xml:space="preserve"> divination </w:t>
      </w:r>
      <w:r w:rsidR="00132F13">
        <w:t>from the early dynastic period</w:t>
      </w:r>
      <w:r w:rsidR="00132F13" w:rsidRPr="00F7718C">
        <w:t xml:space="preserve"> </w:t>
      </w:r>
      <w:r w:rsidR="00132F13">
        <w:t xml:space="preserve">up </w:t>
      </w:r>
      <w:r w:rsidR="00132F13" w:rsidRPr="00F7718C">
        <w:t>to Hellenistic Egypt</w:t>
      </w:r>
      <w:r w:rsidR="00132F13">
        <w:t xml:space="preserve">. </w:t>
      </w:r>
      <w:r w:rsidR="005A5334">
        <w:rPr>
          <w:lang w:val="en-US"/>
        </w:rPr>
        <w:t>Th</w:t>
      </w:r>
      <w:r w:rsidR="00F61B83">
        <w:rPr>
          <w:lang w:val="en-US"/>
        </w:rPr>
        <w:t>e</w:t>
      </w:r>
      <w:r w:rsidR="0055741F">
        <w:rPr>
          <w:lang w:val="en-US"/>
        </w:rPr>
        <w:t xml:space="preserve"> importance and types of divination within </w:t>
      </w:r>
      <w:r w:rsidR="005A5334">
        <w:rPr>
          <w:lang w:val="en-US"/>
        </w:rPr>
        <w:t>Ancient Egyptian</w:t>
      </w:r>
      <w:r w:rsidR="0055741F">
        <w:rPr>
          <w:lang w:val="en-US"/>
        </w:rPr>
        <w:t xml:space="preserve"> culture</w:t>
      </w:r>
      <w:r w:rsidR="00F61B83">
        <w:rPr>
          <w:lang w:val="en-US"/>
        </w:rPr>
        <w:t xml:space="preserve"> will be explored</w:t>
      </w:r>
      <w:r w:rsidR="0026334F">
        <w:rPr>
          <w:lang w:val="en-US"/>
        </w:rPr>
        <w:t xml:space="preserve"> throughout this essay</w:t>
      </w:r>
      <w:r w:rsidR="00F61B83">
        <w:rPr>
          <w:lang w:val="en-US"/>
        </w:rPr>
        <w:t>,</w:t>
      </w:r>
      <w:r w:rsidR="005A5334">
        <w:rPr>
          <w:lang w:val="en-US"/>
        </w:rPr>
        <w:t xml:space="preserve"> namely </w:t>
      </w:r>
      <w:r w:rsidR="005A5334">
        <w:t>astr</w:t>
      </w:r>
      <w:r w:rsidR="00EA1FB2">
        <w:t>al magic</w:t>
      </w:r>
      <w:r w:rsidR="005A5334">
        <w:t xml:space="preserve">, meteorological omens, </w:t>
      </w:r>
      <w:r w:rsidR="00FB4C97">
        <w:t xml:space="preserve">divination bowls, oracles, </w:t>
      </w:r>
      <w:r w:rsidR="005A5334">
        <w:t>and drea</w:t>
      </w:r>
      <w:r w:rsidR="002C324C">
        <w:t>ms</w:t>
      </w:r>
      <w:r w:rsidR="00F61B83">
        <w:t>.</w:t>
      </w:r>
      <w:r w:rsidR="00C65C3C">
        <w:t xml:space="preserve"> </w:t>
      </w:r>
    </w:p>
    <w:p w14:paraId="04B69FDB" w14:textId="77777777" w:rsidR="004D6164" w:rsidRDefault="004D6164" w:rsidP="00B75FA2"/>
    <w:p w14:paraId="4D831F51" w14:textId="120BC07E" w:rsidR="00A92196" w:rsidRPr="00A92196" w:rsidRDefault="00CD313F" w:rsidP="00A92196">
      <w:pPr>
        <w:rPr>
          <w:b/>
          <w:bCs/>
          <w:lang w:val="en-US"/>
        </w:rPr>
      </w:pPr>
      <w:r>
        <w:rPr>
          <w:b/>
          <w:bCs/>
          <w:lang w:val="en-US"/>
        </w:rPr>
        <w:t xml:space="preserve">The Cosmology of </w:t>
      </w:r>
      <w:r w:rsidR="00A92196" w:rsidRPr="00A92196">
        <w:rPr>
          <w:b/>
          <w:bCs/>
          <w:lang w:val="en-US"/>
        </w:rPr>
        <w:t>Ancient Egypt</w:t>
      </w:r>
    </w:p>
    <w:p w14:paraId="171E2D27" w14:textId="7770325C" w:rsidR="00256229" w:rsidRDefault="00625F5B" w:rsidP="000215A4">
      <w:r>
        <w:t xml:space="preserve">Daryn Lehoux </w:t>
      </w:r>
      <w:r w:rsidR="002C324C">
        <w:t>declared</w:t>
      </w:r>
      <w:r>
        <w:t xml:space="preserve"> </w:t>
      </w:r>
      <w:r w:rsidR="002C324C">
        <w:t>from</w:t>
      </w:r>
      <w:r w:rsidR="00DD1FB1">
        <w:t xml:space="preserve"> </w:t>
      </w:r>
      <w:r w:rsidR="00132F13">
        <w:t xml:space="preserve">that within </w:t>
      </w:r>
      <w:r w:rsidR="00DD1FB1">
        <w:t xml:space="preserve">many ancient </w:t>
      </w:r>
      <w:r w:rsidR="002C324C">
        <w:t xml:space="preserve">cultures </w:t>
      </w:r>
      <w:r w:rsidR="00DD1FB1">
        <w:t xml:space="preserve">the gods </w:t>
      </w:r>
      <w:r w:rsidR="002C324C">
        <w:t>were</w:t>
      </w:r>
      <w:r w:rsidR="00DD1FB1">
        <w:t xml:space="preserve"> alive, </w:t>
      </w:r>
      <w:r w:rsidR="006546B7">
        <w:t xml:space="preserve">they </w:t>
      </w:r>
      <w:r w:rsidR="002C324C">
        <w:t>were</w:t>
      </w:r>
      <w:r w:rsidR="006546B7">
        <w:t xml:space="preserve"> </w:t>
      </w:r>
      <w:r w:rsidR="00DD1FB1">
        <w:t>the dramatic forces that influence</w:t>
      </w:r>
      <w:r w:rsidR="002C324C">
        <w:t>d</w:t>
      </w:r>
      <w:r w:rsidR="00DD1FB1">
        <w:t xml:space="preserve"> the physical world, and it </w:t>
      </w:r>
      <w:r w:rsidR="002C324C">
        <w:t>was</w:t>
      </w:r>
      <w:r w:rsidR="00DD1FB1">
        <w:t xml:space="preserve"> through the language of the cosmos they </w:t>
      </w:r>
      <w:r w:rsidR="00D83557">
        <w:t>broadcast</w:t>
      </w:r>
      <w:r w:rsidR="002C324C">
        <w:t>ed</w:t>
      </w:r>
      <w:r w:rsidR="00D83557">
        <w:t xml:space="preserve"> to</w:t>
      </w:r>
      <w:r w:rsidR="00DD1FB1">
        <w:t xml:space="preserve"> humanity.</w:t>
      </w:r>
      <w:r w:rsidR="00803F90">
        <w:rPr>
          <w:rStyle w:val="FootnoteReference"/>
        </w:rPr>
        <w:footnoteReference w:id="9"/>
      </w:r>
      <w:r w:rsidR="00436B38">
        <w:t xml:space="preserve"> </w:t>
      </w:r>
      <w:r w:rsidR="00C65C3C">
        <w:t>Campion defined the Egyptian religious system as a cosmothesism, suggesting that the cosmos itself was the object of worship, as each deity had a function and a place in the cosmic order, where the movements of the sun, moon, and stars were the focus of</w:t>
      </w:r>
      <w:r w:rsidR="000215A4">
        <w:t xml:space="preserve"> </w:t>
      </w:r>
      <w:r w:rsidR="00F11523">
        <w:t>ritual</w:t>
      </w:r>
      <w:r w:rsidR="00256229">
        <w:t>,</w:t>
      </w:r>
      <w:r w:rsidR="002C324C">
        <w:t xml:space="preserve"> and </w:t>
      </w:r>
      <w:r w:rsidR="00F11523">
        <w:t>the basis of the sacred Egyptian calendar</w:t>
      </w:r>
      <w:r w:rsidR="00C65C3C">
        <w:t>.</w:t>
      </w:r>
      <w:r w:rsidR="00C65C3C">
        <w:rPr>
          <w:rStyle w:val="FootnoteReference"/>
        </w:rPr>
        <w:footnoteReference w:id="10"/>
      </w:r>
      <w:r w:rsidR="00C65C3C">
        <w:t xml:space="preserve"> </w:t>
      </w:r>
      <w:r w:rsidR="00212938">
        <w:t xml:space="preserve">The </w:t>
      </w:r>
      <w:r w:rsidR="000215A4">
        <w:t>rhythm</w:t>
      </w:r>
      <w:r w:rsidR="00212938">
        <w:t xml:space="preserve"> of death and rebirth was daily, in preparation for the great transition into the afterlife as noted in </w:t>
      </w:r>
      <w:r w:rsidR="00212938" w:rsidRPr="00212938">
        <w:rPr>
          <w:i/>
          <w:iCs/>
        </w:rPr>
        <w:t>The Ancient Egyptian Pyramid Texts</w:t>
      </w:r>
      <w:r w:rsidR="00212938">
        <w:t>, which contain the oldest body of Egyptian religious writings.</w:t>
      </w:r>
      <w:r w:rsidR="00212938">
        <w:rPr>
          <w:rStyle w:val="FootnoteReference"/>
        </w:rPr>
        <w:footnoteReference w:id="11"/>
      </w:r>
      <w:r w:rsidR="00212938">
        <w:t xml:space="preserve"> The texts were inscribed in royal tombs</w:t>
      </w:r>
      <w:r w:rsidR="00132F13">
        <w:t xml:space="preserve"> and often imagined as a means for the royal to find their way through the starry heavens</w:t>
      </w:r>
      <w:r w:rsidR="00212938">
        <w:t xml:space="preserve">, yet according to James </w:t>
      </w:r>
      <w:r w:rsidR="00256229">
        <w:t xml:space="preserve">P. </w:t>
      </w:r>
      <w:r w:rsidR="00212938">
        <w:t>Allen</w:t>
      </w:r>
      <w:r w:rsidR="002C324C">
        <w:t>, they</w:t>
      </w:r>
      <w:r w:rsidR="00212938">
        <w:t xml:space="preserve"> offer evidence of not being restricted to a specific individual, as they marked the journey for each human to reunite with their soul after death.</w:t>
      </w:r>
      <w:r w:rsidR="00212938">
        <w:rPr>
          <w:rStyle w:val="FootnoteReference"/>
        </w:rPr>
        <w:footnoteReference w:id="12"/>
      </w:r>
      <w:r w:rsidR="000215A4">
        <w:t xml:space="preserve"> From a Eurocentric framework religion and magic, spell and prayer, priest and magician would be seen as separate from one another. However, in Ancient Egyptian cosmology these concepts were </w:t>
      </w:r>
      <w:r w:rsidR="002C324C">
        <w:t>interwoven</w:t>
      </w:r>
      <w:r w:rsidR="000215A4">
        <w:t xml:space="preserve"> as explored by </w:t>
      </w:r>
      <w:r w:rsidR="00132F13">
        <w:t xml:space="preserve">Robert Kriech </w:t>
      </w:r>
      <w:r w:rsidR="000215A4">
        <w:t>Ritner.</w:t>
      </w:r>
      <w:r w:rsidR="000215A4">
        <w:rPr>
          <w:rStyle w:val="FootnoteReference"/>
        </w:rPr>
        <w:footnoteReference w:id="13"/>
      </w:r>
      <w:r w:rsidR="000215A4">
        <w:t xml:space="preserve"> </w:t>
      </w:r>
      <w:r w:rsidR="00E0495F">
        <w:t>He</w:t>
      </w:r>
      <w:r w:rsidR="00E0495F" w:rsidRPr="00E0495F">
        <w:t xml:space="preserve"> argued that the terms sorcerer, ‘a man who makes potions’, astrologer, ‘a man who places hours’, enchanter, ‘a man who says words’, </w:t>
      </w:r>
      <w:r w:rsidR="00132F13">
        <w:t xml:space="preserve">and </w:t>
      </w:r>
      <w:r w:rsidR="00E0495F" w:rsidRPr="00E0495F">
        <w:t>diviner, ‘a man who asks’, carr</w:t>
      </w:r>
      <w:r w:rsidR="00132F13">
        <w:t>y</w:t>
      </w:r>
      <w:r w:rsidR="00E0495F" w:rsidRPr="00E0495F">
        <w:t xml:space="preserve"> the derogatory stigma </w:t>
      </w:r>
      <w:r w:rsidR="00132F13">
        <w:t>stil</w:t>
      </w:r>
      <w:r w:rsidR="00E0495F" w:rsidRPr="00E0495F">
        <w:t>l inherent in the modern word “magician”’.</w:t>
      </w:r>
      <w:r w:rsidR="00E0495F" w:rsidRPr="00E0495F">
        <w:rPr>
          <w:rStyle w:val="FootnoteReference"/>
        </w:rPr>
        <w:footnoteReference w:id="14"/>
      </w:r>
      <w:r w:rsidR="00E0495F" w:rsidRPr="00E0495F">
        <w:t xml:space="preserve"> </w:t>
      </w:r>
      <w:r w:rsidR="00E0495F" w:rsidRPr="00B76237">
        <w:t>When Egypt converted to Christianity, magic was debased and devalued.</w:t>
      </w:r>
      <w:r w:rsidR="00E0495F" w:rsidRPr="00B76237">
        <w:rPr>
          <w:rStyle w:val="FootnoteReference"/>
        </w:rPr>
        <w:footnoteReference w:id="15"/>
      </w:r>
      <w:r w:rsidR="00E0495F">
        <w:t xml:space="preserve"> </w:t>
      </w:r>
      <w:r w:rsidR="000215A4">
        <w:t xml:space="preserve">Reminiscent of Quirke’s academic notions, Ritner pointed to </w:t>
      </w:r>
      <w:r w:rsidR="000215A4" w:rsidRPr="00625F5B">
        <w:rPr>
          <w:i/>
          <w:iCs/>
        </w:rPr>
        <w:t>Webster’s</w:t>
      </w:r>
      <w:r w:rsidR="000215A4">
        <w:t xml:space="preserve"> </w:t>
      </w:r>
      <w:r w:rsidR="00132F13" w:rsidRPr="00132F13">
        <w:rPr>
          <w:i/>
          <w:iCs/>
        </w:rPr>
        <w:t>Dictionary’s</w:t>
      </w:r>
      <w:r w:rsidR="00132F13">
        <w:t xml:space="preserve"> definition of </w:t>
      </w:r>
      <w:r w:rsidR="000215A4">
        <w:t>magic</w:t>
      </w:r>
      <w:r w:rsidR="00132F13">
        <w:t xml:space="preserve"> </w:t>
      </w:r>
      <w:r w:rsidR="000215A4">
        <w:t>as a force conjuring supernatural powers, however for the Ancient Egyptians magic was an inherent part of nature, necessary to keep order, nothing super or beyond the ordinary world.</w:t>
      </w:r>
      <w:r w:rsidR="000215A4">
        <w:rPr>
          <w:rStyle w:val="FootnoteReference"/>
        </w:rPr>
        <w:footnoteReference w:id="16"/>
      </w:r>
      <w:r w:rsidR="000215A4">
        <w:t xml:space="preserve"> </w:t>
      </w:r>
      <w:r w:rsidR="00132F13">
        <w:t>Religion, magic, medicine, and divination were all essential facets of Egyptian cosmology where the boundaries blurred.</w:t>
      </w:r>
      <w:r w:rsidR="00132F13">
        <w:rPr>
          <w:rStyle w:val="FootnoteReference"/>
        </w:rPr>
        <w:footnoteReference w:id="17"/>
      </w:r>
      <w:r w:rsidR="00132F13">
        <w:t xml:space="preserve"> </w:t>
      </w:r>
      <w:r w:rsidR="000215A4">
        <w:t xml:space="preserve">Christian Jacq </w:t>
      </w:r>
      <w:r w:rsidR="004F468C">
        <w:t>wrote</w:t>
      </w:r>
      <w:r w:rsidR="000215A4">
        <w:t xml:space="preserve"> </w:t>
      </w:r>
      <w:r w:rsidR="004F468C">
        <w:t xml:space="preserve">that </w:t>
      </w:r>
      <w:r w:rsidR="000215A4">
        <w:t>within this culture it was not possible to separate magic and religion, and to the Egyptians, the magician was both a scholar and a priest.</w:t>
      </w:r>
      <w:r w:rsidR="000215A4">
        <w:rPr>
          <w:rStyle w:val="FootnoteReference"/>
        </w:rPr>
        <w:footnoteReference w:id="18"/>
      </w:r>
      <w:r w:rsidR="000215A4">
        <w:t xml:space="preserve"> Magic was considered to be an exact science, and in some ways</w:t>
      </w:r>
      <w:r w:rsidR="00256229">
        <w:t>,</w:t>
      </w:r>
      <w:r w:rsidR="000215A4">
        <w:t xml:space="preserve"> the magician was in direct contact with the architect of the universe, ‘Each magic act </w:t>
      </w:r>
      <w:r w:rsidR="000215A4">
        <w:lastRenderedPageBreak/>
        <w:t>is, by definition, an act of creation with its roots deep in the beginning of the world.’</w:t>
      </w:r>
      <w:r w:rsidR="000215A4">
        <w:rPr>
          <w:rStyle w:val="FootnoteReference"/>
        </w:rPr>
        <w:footnoteReference w:id="19"/>
      </w:r>
      <w:r w:rsidR="000215A4">
        <w:t xml:space="preserve"> </w:t>
      </w:r>
      <w:r w:rsidR="009B5DD4">
        <w:t>Perhaps in this cosmothesism it was that the mundane world was as supernatural as the otherworld.</w:t>
      </w:r>
    </w:p>
    <w:p w14:paraId="34CA0475" w14:textId="77777777" w:rsidR="00256229" w:rsidRDefault="00256229" w:rsidP="000215A4"/>
    <w:p w14:paraId="054E9443" w14:textId="7937ADAD" w:rsidR="000215A4" w:rsidRPr="000215A4" w:rsidRDefault="000215A4" w:rsidP="000215A4">
      <w:r w:rsidRPr="007B250A">
        <w:rPr>
          <w:i/>
          <w:iCs/>
        </w:rPr>
        <w:t>Heka</w:t>
      </w:r>
      <w:r>
        <w:t xml:space="preserve"> was both life affirming and destructive, as this force animated and permeated the cosmos, was buried within gods, humans, animals, plants, and stones.</w:t>
      </w:r>
      <w:r>
        <w:rPr>
          <w:rStyle w:val="FootnoteReference"/>
        </w:rPr>
        <w:footnoteReference w:id="20"/>
      </w:r>
      <w:r>
        <w:t xml:space="preserve"> To work with </w:t>
      </w:r>
      <w:r w:rsidRPr="00F34FBF">
        <w:rPr>
          <w:i/>
          <w:iCs/>
        </w:rPr>
        <w:t>heka</w:t>
      </w:r>
      <w:r>
        <w:t xml:space="preserve"> was to understand that every human problem had a counterpart in the divine world, therefore the magician had </w:t>
      </w:r>
      <w:r w:rsidR="00257AC8">
        <w:t>knowledge of</w:t>
      </w:r>
      <w:r>
        <w:t xml:space="preserve"> the gods and goddesses, the theology, and the mythology, because within these territories was the solution to any problem, as the magician became the cosmos by embodying the laws, harnessing the force</w:t>
      </w:r>
      <w:r w:rsidR="004F468C">
        <w:t>,</w:t>
      </w:r>
      <w:r>
        <w:t xml:space="preserve"> and directing it at will.</w:t>
      </w:r>
      <w:r>
        <w:rPr>
          <w:rStyle w:val="FootnoteReference"/>
        </w:rPr>
        <w:footnoteReference w:id="21"/>
      </w:r>
      <w:r>
        <w:t xml:space="preserve"> </w:t>
      </w:r>
      <w:r w:rsidR="004F468C">
        <w:t xml:space="preserve">The </w:t>
      </w:r>
      <w:r>
        <w:t>remains of healing statues inscribed with spells, magical reference books, hymnal and medical texts, and spells rolled up and worn around the necks as amulets</w:t>
      </w:r>
      <w:r w:rsidR="004F468C">
        <w:t xml:space="preserve"> demonstrate that magic and medicine were also intertwined.</w:t>
      </w:r>
      <w:r>
        <w:rPr>
          <w:rStyle w:val="FootnoteReference"/>
        </w:rPr>
        <w:footnoteReference w:id="22"/>
      </w:r>
      <w:r>
        <w:t xml:space="preserve"> The cosmological notions underlying the theory and practice of divination were rooted in </w:t>
      </w:r>
      <w:r w:rsidRPr="00800CFA">
        <w:rPr>
          <w:i/>
          <w:iCs/>
        </w:rPr>
        <w:t>heka</w:t>
      </w:r>
      <w:r>
        <w:t xml:space="preserve">. </w:t>
      </w:r>
      <w:r w:rsidRPr="00D32F90">
        <w:rPr>
          <w:i/>
          <w:iCs/>
        </w:rPr>
        <w:t>Heka</w:t>
      </w:r>
      <w:r>
        <w:t xml:space="preserve"> was beyond any single event, as Egyptian theology was </w:t>
      </w:r>
      <w:r w:rsidR="004F468C">
        <w:t>anchored</w:t>
      </w:r>
      <w:r>
        <w:t xml:space="preserve"> in the creation cycle being re-enacted each morning at sunrise.</w:t>
      </w:r>
      <w:r>
        <w:rPr>
          <w:rStyle w:val="FootnoteReference"/>
        </w:rPr>
        <w:footnoteReference w:id="23"/>
      </w:r>
      <w:r>
        <w:t xml:space="preserve"> Utterance </w:t>
      </w:r>
      <w:r w:rsidR="00257AC8">
        <w:t xml:space="preserve">four hundred and seventy two of </w:t>
      </w:r>
      <w:r w:rsidR="00257AC8" w:rsidRPr="00257AC8">
        <w:rPr>
          <w:i/>
          <w:iCs/>
        </w:rPr>
        <w:t xml:space="preserve">The </w:t>
      </w:r>
      <w:r w:rsidR="00257AC8">
        <w:rPr>
          <w:i/>
          <w:iCs/>
        </w:rPr>
        <w:t xml:space="preserve">Ancient Egyptian </w:t>
      </w:r>
      <w:r w:rsidR="00257AC8" w:rsidRPr="00257AC8">
        <w:rPr>
          <w:i/>
          <w:iCs/>
        </w:rPr>
        <w:t>Pyramid Texts</w:t>
      </w:r>
      <w:r>
        <w:t xml:space="preserve"> composed ‘N. is a magician; N is he who is possessed of magic’ demonstrating the connection of any individual to </w:t>
      </w:r>
      <w:r w:rsidRPr="00CE6E45">
        <w:rPr>
          <w:i/>
          <w:iCs/>
        </w:rPr>
        <w:t>heka</w:t>
      </w:r>
      <w:r>
        <w:t>.</w:t>
      </w:r>
      <w:r>
        <w:rPr>
          <w:rStyle w:val="FootnoteReference"/>
        </w:rPr>
        <w:footnoteReference w:id="24"/>
      </w:r>
      <w:r>
        <w:t xml:space="preserve"> Through the act of harnessing </w:t>
      </w:r>
      <w:r w:rsidRPr="005B2E6C">
        <w:rPr>
          <w:i/>
          <w:iCs/>
        </w:rPr>
        <w:t>heka</w:t>
      </w:r>
      <w:r>
        <w:t>, the priest, the magician, the healer, the diviner became the cosmos.</w:t>
      </w:r>
    </w:p>
    <w:p w14:paraId="75DEDC4D" w14:textId="77777777" w:rsidR="000215A4" w:rsidRDefault="000215A4" w:rsidP="003E3DAF"/>
    <w:p w14:paraId="18560F65" w14:textId="290A6ACA" w:rsidR="003B1E71" w:rsidRDefault="006E75AE" w:rsidP="00F7718C">
      <w:pPr>
        <w:rPr>
          <w:b/>
          <w:bCs/>
          <w:lang w:val="en-US"/>
        </w:rPr>
      </w:pPr>
      <w:r>
        <w:rPr>
          <w:b/>
          <w:bCs/>
          <w:lang w:val="en-US"/>
        </w:rPr>
        <w:t>Divination within</w:t>
      </w:r>
      <w:r w:rsidR="00F7718C" w:rsidRPr="00A92196">
        <w:rPr>
          <w:b/>
          <w:bCs/>
          <w:lang w:val="en-US"/>
        </w:rPr>
        <w:t xml:space="preserve"> Ancient Egypt</w:t>
      </w:r>
      <w:r w:rsidR="002C1228">
        <w:rPr>
          <w:b/>
          <w:bCs/>
          <w:lang w:val="en-US"/>
        </w:rPr>
        <w:t xml:space="preserve"> cosmology</w:t>
      </w:r>
    </w:p>
    <w:p w14:paraId="69092956" w14:textId="762C23C0" w:rsidR="00803F90" w:rsidRDefault="00F11523" w:rsidP="00803F90">
      <w:r>
        <w:t>D</w:t>
      </w:r>
      <w:r w:rsidR="005B2E6C">
        <w:t xml:space="preserve">ivination and magic </w:t>
      </w:r>
      <w:r w:rsidR="002C1228">
        <w:t>were</w:t>
      </w:r>
      <w:r w:rsidR="005B2E6C">
        <w:t xml:space="preserve"> inherently interwoven in this cosmology</w:t>
      </w:r>
      <w:r>
        <w:t xml:space="preserve"> through magic merging with oracles, lucky and unlucky calendar dates, dreams, horoscopes, and animal worship</w:t>
      </w:r>
      <w:r w:rsidR="005B2E6C">
        <w:t>.</w:t>
      </w:r>
      <w:r w:rsidR="005B2E6C">
        <w:rPr>
          <w:rStyle w:val="FootnoteReference"/>
        </w:rPr>
        <w:footnoteReference w:id="25"/>
      </w:r>
      <w:r w:rsidR="005B2E6C">
        <w:t xml:space="preserve"> </w:t>
      </w:r>
      <w:r w:rsidR="004F468C">
        <w:t>T</w:t>
      </w:r>
      <w:r w:rsidR="006630C0" w:rsidRPr="006630C0">
        <w:t xml:space="preserve">he </w:t>
      </w:r>
      <w:r w:rsidR="006630C0">
        <w:t xml:space="preserve">Ancient Egyptians utilized divination as a part of their sacred practices, yet there was not </w:t>
      </w:r>
      <w:r>
        <w:t xml:space="preserve">a specific term </w:t>
      </w:r>
      <w:r w:rsidR="006630C0">
        <w:t>within th</w:t>
      </w:r>
      <w:r w:rsidR="007D2F88">
        <w:t>e</w:t>
      </w:r>
      <w:r w:rsidR="006630C0">
        <w:t xml:space="preserve"> language</w:t>
      </w:r>
      <w:r w:rsidR="002C1228">
        <w:t xml:space="preserve"> to express this art</w:t>
      </w:r>
      <w:r w:rsidR="006630C0">
        <w:t>.</w:t>
      </w:r>
      <w:r w:rsidR="00D245C7">
        <w:t xml:space="preserve"> </w:t>
      </w:r>
      <w:r w:rsidR="00EE3289">
        <w:t xml:space="preserve">Divination was natural through dreams and celestial events, and evoked through oracles, divination bowls, and astrology. </w:t>
      </w:r>
      <w:r w:rsidR="007D2F88">
        <w:t>Bes, a god of fertility offer</w:t>
      </w:r>
      <w:r w:rsidR="004F468C">
        <w:t>ed</w:t>
      </w:r>
      <w:r w:rsidR="007D2F88">
        <w:t xml:space="preserve"> oracles and healing </w:t>
      </w:r>
      <w:r w:rsidR="004F468C">
        <w:t xml:space="preserve">to </w:t>
      </w:r>
      <w:r w:rsidR="007D2F88">
        <w:t>the sick at Abydos.</w:t>
      </w:r>
      <w:r w:rsidR="007D2F88">
        <w:rPr>
          <w:rStyle w:val="FootnoteReference"/>
        </w:rPr>
        <w:footnoteReference w:id="26"/>
      </w:r>
      <w:r w:rsidR="007D2F88">
        <w:t xml:space="preserve"> </w:t>
      </w:r>
      <w:r w:rsidR="00E92E5E">
        <w:t xml:space="preserve">This linked oracular divination to </w:t>
      </w:r>
      <w:r w:rsidR="0027184D">
        <w:t xml:space="preserve">both </w:t>
      </w:r>
      <w:r w:rsidR="00E92E5E">
        <w:t>medicine and magic.</w:t>
      </w:r>
      <w:r w:rsidR="0027184D">
        <w:t xml:space="preserve"> </w:t>
      </w:r>
      <w:r w:rsidR="00674908">
        <w:t xml:space="preserve">In </w:t>
      </w:r>
      <w:r w:rsidR="00674908" w:rsidRPr="00674908">
        <w:rPr>
          <w:i/>
          <w:iCs/>
        </w:rPr>
        <w:t>The Leyden Papyrus</w:t>
      </w:r>
      <w:r w:rsidR="00674908">
        <w:t xml:space="preserve">, a series of practices </w:t>
      </w:r>
      <w:r w:rsidR="002C1228">
        <w:t>were</w:t>
      </w:r>
      <w:r w:rsidR="00674908">
        <w:t xml:space="preserve"> inscribed that </w:t>
      </w:r>
      <w:r w:rsidR="00482224">
        <w:t>depict</w:t>
      </w:r>
      <w:r w:rsidR="00674908">
        <w:t xml:space="preserve"> imagery around making ointments, driving out evil spirits, dream preparation, and divination.</w:t>
      </w:r>
      <w:r w:rsidR="00674908">
        <w:rPr>
          <w:rStyle w:val="FootnoteReference"/>
        </w:rPr>
        <w:footnoteReference w:id="27"/>
      </w:r>
      <w:r w:rsidR="00674908">
        <w:t xml:space="preserve"> As Jacq attested, the magician would take on the identity of </w:t>
      </w:r>
      <w:r w:rsidR="002C1228">
        <w:t xml:space="preserve">the god </w:t>
      </w:r>
      <w:r w:rsidR="00674908">
        <w:t xml:space="preserve">Horus, interrogating the god </w:t>
      </w:r>
      <w:r w:rsidR="00CB0208">
        <w:t>vis-à-vis</w:t>
      </w:r>
      <w:r w:rsidR="00674908">
        <w:t xml:space="preserve"> a young medium who contain</w:t>
      </w:r>
      <w:r w:rsidR="00E92E5E">
        <w:t>ed</w:t>
      </w:r>
      <w:r w:rsidR="00674908">
        <w:t xml:space="preserve"> truth, ordering him to </w:t>
      </w:r>
      <w:r w:rsidR="00F82CC9">
        <w:t>keep his eyes open</w:t>
      </w:r>
      <w:r w:rsidR="00347DD3">
        <w:t>,</w:t>
      </w:r>
      <w:r w:rsidR="00F82CC9">
        <w:t xml:space="preserve"> to see the light at all costs, keeping any shadows at bay,</w:t>
      </w:r>
      <w:r w:rsidR="00CB0208">
        <w:t xml:space="preserve"> </w:t>
      </w:r>
      <w:r w:rsidR="00F82CC9">
        <w:t xml:space="preserve">to </w:t>
      </w:r>
      <w:r w:rsidR="00674908">
        <w:t>penetrate the world of the gods.</w:t>
      </w:r>
      <w:r w:rsidR="00674908">
        <w:rPr>
          <w:rStyle w:val="FootnoteReference"/>
        </w:rPr>
        <w:footnoteReference w:id="28"/>
      </w:r>
      <w:r w:rsidR="00674908">
        <w:t xml:space="preserve"> </w:t>
      </w:r>
      <w:r>
        <w:rPr>
          <w:i/>
          <w:iCs/>
        </w:rPr>
        <w:t>H</w:t>
      </w:r>
      <w:r w:rsidR="00892536" w:rsidRPr="0027184D">
        <w:rPr>
          <w:i/>
          <w:iCs/>
        </w:rPr>
        <w:t>eka</w:t>
      </w:r>
      <w:r w:rsidR="00892536">
        <w:t xml:space="preserve"> </w:t>
      </w:r>
      <w:r>
        <w:t xml:space="preserve">was </w:t>
      </w:r>
      <w:r w:rsidR="00892536">
        <w:t xml:space="preserve">in communion </w:t>
      </w:r>
      <w:r>
        <w:t>with</w:t>
      </w:r>
      <w:r w:rsidR="00892536">
        <w:t xml:space="preserve"> </w:t>
      </w:r>
      <w:r>
        <w:t xml:space="preserve">the magician, </w:t>
      </w:r>
      <w:r w:rsidR="00892536">
        <w:t>therefore one must know the exact spell to awaken hidden energy, which involved a knowledge and mastery of the elemental forces.</w:t>
      </w:r>
      <w:r w:rsidR="00892536">
        <w:rPr>
          <w:rStyle w:val="FootnoteReference"/>
        </w:rPr>
        <w:footnoteReference w:id="29"/>
      </w:r>
      <w:r w:rsidR="00F83A4E">
        <w:t xml:space="preserve"> </w:t>
      </w:r>
      <w:r w:rsidR="009B5DD4">
        <w:t>Divination was a ritual based in magic, often requiring a form of precision, and an experience for the world of humans to decipher the world of the gods.</w:t>
      </w:r>
      <w:r w:rsidR="009B5DD4">
        <w:t xml:space="preserve"> </w:t>
      </w:r>
      <w:r w:rsidR="0027184D">
        <w:t xml:space="preserve">There was no distinction between magician and </w:t>
      </w:r>
      <w:r w:rsidR="0027184D">
        <w:lastRenderedPageBreak/>
        <w:t xml:space="preserve">diviner. </w:t>
      </w:r>
      <w:r w:rsidR="00A344D4">
        <w:t xml:space="preserve">Divination was an essential thread of the tapestry of the Ancient Egyptian cosmology, </w:t>
      </w:r>
      <w:r w:rsidR="00A344D4" w:rsidRPr="00F11523">
        <w:t xml:space="preserve">it was an inherent part of the system of </w:t>
      </w:r>
      <w:r w:rsidR="00A344D4" w:rsidRPr="00F11523">
        <w:rPr>
          <w:i/>
          <w:iCs/>
        </w:rPr>
        <w:t>heka</w:t>
      </w:r>
      <w:r w:rsidR="00A344D4">
        <w:rPr>
          <w:i/>
          <w:iCs/>
        </w:rPr>
        <w:t xml:space="preserve">. </w:t>
      </w:r>
    </w:p>
    <w:p w14:paraId="1F83AFF2" w14:textId="77777777" w:rsidR="00803F90" w:rsidRDefault="00803F90" w:rsidP="00803F90"/>
    <w:p w14:paraId="469F0E48" w14:textId="0B998599" w:rsidR="00F7718C" w:rsidRPr="003769C6" w:rsidRDefault="00235133" w:rsidP="00F7718C">
      <w:pPr>
        <w:rPr>
          <w:b/>
          <w:bCs/>
        </w:rPr>
      </w:pPr>
      <w:r>
        <w:rPr>
          <w:b/>
          <w:bCs/>
        </w:rPr>
        <w:t>Roles</w:t>
      </w:r>
      <w:r w:rsidR="00F7718C" w:rsidRPr="003769C6">
        <w:rPr>
          <w:b/>
          <w:bCs/>
        </w:rPr>
        <w:t xml:space="preserve"> and functions </w:t>
      </w:r>
      <w:r>
        <w:rPr>
          <w:b/>
          <w:bCs/>
        </w:rPr>
        <w:t>of</w:t>
      </w:r>
      <w:r w:rsidR="00F7718C" w:rsidRPr="003769C6">
        <w:rPr>
          <w:b/>
          <w:bCs/>
        </w:rPr>
        <w:t xml:space="preserve"> divination</w:t>
      </w:r>
      <w:r>
        <w:rPr>
          <w:b/>
          <w:bCs/>
        </w:rPr>
        <w:t xml:space="preserve"> </w:t>
      </w:r>
      <w:r w:rsidR="00CB34F1">
        <w:rPr>
          <w:b/>
          <w:bCs/>
        </w:rPr>
        <w:t>with</w:t>
      </w:r>
      <w:r>
        <w:rPr>
          <w:b/>
          <w:bCs/>
        </w:rPr>
        <w:t xml:space="preserve">in </w:t>
      </w:r>
      <w:r w:rsidR="002C1228">
        <w:rPr>
          <w:b/>
          <w:bCs/>
        </w:rPr>
        <w:t xml:space="preserve">the </w:t>
      </w:r>
      <w:r>
        <w:rPr>
          <w:b/>
          <w:bCs/>
        </w:rPr>
        <w:t>Ancient Egyptian culture</w:t>
      </w:r>
    </w:p>
    <w:p w14:paraId="6E7984AA" w14:textId="5F2E2A0F" w:rsidR="00E92E5E" w:rsidRPr="009B5DD4" w:rsidRDefault="00235133" w:rsidP="00803F90">
      <w:r>
        <w:t xml:space="preserve">Divination was </w:t>
      </w:r>
      <w:r w:rsidR="00713A84">
        <w:t xml:space="preserve">seen within divinatory bowls, </w:t>
      </w:r>
      <w:r>
        <w:t>woven into the stars and sky,</w:t>
      </w:r>
      <w:r w:rsidR="00713A84">
        <w:t xml:space="preserve"> </w:t>
      </w:r>
      <w:r w:rsidR="0027184D">
        <w:t>spoken through oracles</w:t>
      </w:r>
      <w:r w:rsidR="00075658">
        <w:t>,</w:t>
      </w:r>
      <w:r w:rsidR="0027184D">
        <w:t xml:space="preserve"> and experienced in dreamtime.</w:t>
      </w:r>
      <w:r w:rsidR="002C1228">
        <w:t xml:space="preserve"> Divination was for both the royal and the common man.</w:t>
      </w:r>
      <w:r w:rsidR="0027184D">
        <w:t xml:space="preserve"> </w:t>
      </w:r>
      <w:r w:rsidR="00713A84">
        <w:t>The practice of lecanomancy was a way of divining the future through a bowl filled with water. Evidence of this practice was written on a manuscript in which it described oil poured on the water within the bowl, where the shapes and patterns formed by the floating blots were interpreted.</w:t>
      </w:r>
      <w:r w:rsidR="00713A84">
        <w:rPr>
          <w:rStyle w:val="FootnoteReference"/>
        </w:rPr>
        <w:footnoteReference w:id="30"/>
      </w:r>
      <w:r w:rsidR="00713A84">
        <w:t xml:space="preserve"> In the </w:t>
      </w:r>
      <w:r w:rsidR="00713A84" w:rsidRPr="00A41D90">
        <w:rPr>
          <w:i/>
          <w:iCs/>
        </w:rPr>
        <w:t>London-Leiden Papyrus</w:t>
      </w:r>
      <w:r w:rsidR="00713A84">
        <w:t xml:space="preserve">, a spell invoked </w:t>
      </w:r>
      <w:r w:rsidR="00075658">
        <w:t>this practice,</w:t>
      </w:r>
      <w:r w:rsidR="000009BE">
        <w:t xml:space="preserve"> </w:t>
      </w:r>
      <w:r w:rsidR="00075658">
        <w:t>where</w:t>
      </w:r>
      <w:r w:rsidR="00713A84">
        <w:t xml:space="preserve"> a magician t</w:t>
      </w:r>
      <w:r w:rsidR="00075658">
        <w:t>ook</w:t>
      </w:r>
      <w:r w:rsidR="00713A84">
        <w:t xml:space="preserve"> a bronze bowl engraved with a figure of Anubis</w:t>
      </w:r>
      <w:r w:rsidR="00075658">
        <w:t xml:space="preserve">, </w:t>
      </w:r>
      <w:r w:rsidR="000009BE">
        <w:t>utilized a child medium, burned incense, while chanting an invocation to Anubis repeatedly</w:t>
      </w:r>
      <w:r w:rsidR="00713A84">
        <w:t>.</w:t>
      </w:r>
      <w:r w:rsidR="00713A84">
        <w:rPr>
          <w:rStyle w:val="FootnoteReference"/>
        </w:rPr>
        <w:footnoteReference w:id="31"/>
      </w:r>
      <w:r w:rsidR="00713A84">
        <w:t xml:space="preserve"> </w:t>
      </w:r>
      <w:r w:rsidR="002C1228">
        <w:t xml:space="preserve">This form of divination was evoked and less common through the culture. </w:t>
      </w:r>
      <w:r w:rsidR="0027184D">
        <w:t>A</w:t>
      </w:r>
      <w:r>
        <w:t>strological handbooks</w:t>
      </w:r>
      <w:r w:rsidR="0027184D">
        <w:t xml:space="preserve"> </w:t>
      </w:r>
      <w:r w:rsidR="00A41D90">
        <w:t>depict</w:t>
      </w:r>
      <w:r w:rsidR="00713A84">
        <w:t>ed</w:t>
      </w:r>
      <w:r w:rsidR="00E21F73">
        <w:t xml:space="preserve"> </w:t>
      </w:r>
      <w:r>
        <w:t xml:space="preserve">manuals </w:t>
      </w:r>
      <w:r w:rsidR="00E21F73">
        <w:t>that assist</w:t>
      </w:r>
      <w:r w:rsidR="00840959">
        <w:t>ed</w:t>
      </w:r>
      <w:r w:rsidR="00E21F73">
        <w:t xml:space="preserve"> with the </w:t>
      </w:r>
      <w:r>
        <w:t>interpret</w:t>
      </w:r>
      <w:r w:rsidR="00E21F73">
        <w:t>ation of</w:t>
      </w:r>
      <w:r>
        <w:t xml:space="preserve"> the relative position of the celestial bodies</w:t>
      </w:r>
      <w:r w:rsidR="00713A84">
        <w:t>,</w:t>
      </w:r>
      <w:r>
        <w:t xml:space="preserve"> </w:t>
      </w:r>
      <w:r w:rsidR="00A41D90">
        <w:t>foret</w:t>
      </w:r>
      <w:r w:rsidR="00C91D69">
        <w:t>elling</w:t>
      </w:r>
      <w:r w:rsidR="00A41D90">
        <w:t xml:space="preserve"> </w:t>
      </w:r>
      <w:r>
        <w:t>the fate of entire countries and peoples</w:t>
      </w:r>
      <w:r w:rsidR="00E21F73">
        <w:t>,</w:t>
      </w:r>
      <w:r>
        <w:t xml:space="preserve"> and handbooks of individual astrology </w:t>
      </w:r>
      <w:r w:rsidR="00C91D69">
        <w:t>illuminating</w:t>
      </w:r>
      <w:r>
        <w:t xml:space="preserve"> a person’s future based on the position of the celestial bodies at their time of birth</w:t>
      </w:r>
      <w:r w:rsidR="009B5DD4">
        <w:t xml:space="preserve">, </w:t>
      </w:r>
      <w:r w:rsidR="009B5DD4" w:rsidRPr="00B76237">
        <w:t>with respect to various divisions of the sky, including the twelve zodiac signs and houses</w:t>
      </w:r>
      <w:r>
        <w:t>.</w:t>
      </w:r>
      <w:r>
        <w:rPr>
          <w:rStyle w:val="FootnoteReference"/>
        </w:rPr>
        <w:footnoteReference w:id="32"/>
      </w:r>
      <w:r w:rsidR="002C63C4">
        <w:t xml:space="preserve"> </w:t>
      </w:r>
      <w:r w:rsidR="008106B4">
        <w:t xml:space="preserve">The </w:t>
      </w:r>
      <w:r w:rsidR="008106B4" w:rsidRPr="008106B4">
        <w:rPr>
          <w:i/>
          <w:iCs/>
        </w:rPr>
        <w:t>decans</w:t>
      </w:r>
      <w:r w:rsidR="008106B4">
        <w:t xml:space="preserve">, </w:t>
      </w:r>
      <w:r w:rsidR="00CC7887">
        <w:t xml:space="preserve">with the oldest imagery found in drawings and texts on coffin lids from the </w:t>
      </w:r>
      <w:r w:rsidR="00713A84">
        <w:t>T</w:t>
      </w:r>
      <w:r w:rsidR="00CC7887">
        <w:t xml:space="preserve">enth </w:t>
      </w:r>
      <w:r w:rsidR="000914C4">
        <w:t>D</w:t>
      </w:r>
      <w:r w:rsidR="00CC7887">
        <w:t xml:space="preserve">ynasty onward, </w:t>
      </w:r>
      <w:r w:rsidR="008106B4">
        <w:t>were thirty-six constellations</w:t>
      </w:r>
      <w:r w:rsidR="00713A84">
        <w:t xml:space="preserve"> </w:t>
      </w:r>
      <w:r w:rsidR="008106B4">
        <w:t>known as ‘star clocks’, used to record the time, and they played a critical role for the nocturnal religious rituals</w:t>
      </w:r>
      <w:r w:rsidR="00713A84">
        <w:t xml:space="preserve"> to be ushered</w:t>
      </w:r>
      <w:r w:rsidR="00294671">
        <w:t xml:space="preserve"> at precise divinely aligned occasions.</w:t>
      </w:r>
      <w:r w:rsidR="008106B4">
        <w:rPr>
          <w:rStyle w:val="FootnoteReference"/>
        </w:rPr>
        <w:footnoteReference w:id="33"/>
      </w:r>
      <w:r w:rsidR="00840959">
        <w:t xml:space="preserve"> </w:t>
      </w:r>
      <w:r w:rsidR="009B5DD4">
        <w:t>There was a class of priest known as the hour-watcher or astronomer.</w:t>
      </w:r>
      <w:r w:rsidR="009B5DD4">
        <w:rPr>
          <w:rStyle w:val="FootnoteReference"/>
        </w:rPr>
        <w:footnoteReference w:id="34"/>
      </w:r>
      <w:r w:rsidR="009B5DD4">
        <w:t xml:space="preserve"> </w:t>
      </w:r>
      <w:r w:rsidR="000009BE">
        <w:t xml:space="preserve">Astral </w:t>
      </w:r>
      <w:r w:rsidR="002C63C4">
        <w:t xml:space="preserve">magic engaged </w:t>
      </w:r>
      <w:r w:rsidR="002C63C4" w:rsidRPr="002C63C4">
        <w:rPr>
          <w:i/>
          <w:iCs/>
        </w:rPr>
        <w:t>heka</w:t>
      </w:r>
      <w:r w:rsidR="002C63C4">
        <w:t>, through spoken or written word, where one would actively invoke the force the word represents, invok</w:t>
      </w:r>
      <w:r w:rsidR="00C91D69">
        <w:t>ing</w:t>
      </w:r>
      <w:r w:rsidR="002C63C4">
        <w:t xml:space="preserve"> a planetary or star deity</w:t>
      </w:r>
      <w:r w:rsidR="00840959">
        <w:t>’s</w:t>
      </w:r>
      <w:r w:rsidR="002C63C4">
        <w:t xml:space="preserve"> cosmic, elemental nature</w:t>
      </w:r>
      <w:r>
        <w:t>.</w:t>
      </w:r>
      <w:r>
        <w:rPr>
          <w:rStyle w:val="FootnoteReference"/>
        </w:rPr>
        <w:footnoteReference w:id="35"/>
      </w:r>
      <w:r w:rsidR="008106B4">
        <w:t xml:space="preserve"> Meteorological omens, including thunder were invoked through a divinatory technique called brontoscopy, as found in a Nineteenth Dynasty papyrus from Deir el-Medina.</w:t>
      </w:r>
      <w:r w:rsidR="008106B4" w:rsidRPr="008106B4">
        <w:rPr>
          <w:rStyle w:val="FootnoteReference"/>
        </w:rPr>
        <w:t xml:space="preserve"> </w:t>
      </w:r>
      <w:r w:rsidR="008106B4">
        <w:rPr>
          <w:rStyle w:val="FootnoteReference"/>
        </w:rPr>
        <w:footnoteReference w:id="36"/>
      </w:r>
      <w:r w:rsidR="00A41D90">
        <w:t xml:space="preserve"> Astronomy and astrology were </w:t>
      </w:r>
      <w:r w:rsidR="00347DD3">
        <w:t>styles</w:t>
      </w:r>
      <w:r w:rsidR="00A41D90">
        <w:t xml:space="preserve"> of divination that were deeply embedded in Egyptian cosmolog</w:t>
      </w:r>
      <w:r w:rsidR="00294671">
        <w:t>y</w:t>
      </w:r>
      <w:r w:rsidR="002C1228">
        <w:t>, literally determined through the stars</w:t>
      </w:r>
      <w:r w:rsidR="00294671">
        <w:t>.</w:t>
      </w:r>
    </w:p>
    <w:p w14:paraId="122B1637" w14:textId="77777777" w:rsidR="00256229" w:rsidRDefault="00256229" w:rsidP="009B15D1"/>
    <w:p w14:paraId="7A2BA177" w14:textId="43548DBC" w:rsidR="009B15D1" w:rsidRDefault="00FD1E09" w:rsidP="009B15D1">
      <w:r>
        <w:t xml:space="preserve">Oracular divination involved consulting a </w:t>
      </w:r>
      <w:r w:rsidR="00A06A3D">
        <w:t>deity</w:t>
      </w:r>
      <w:r>
        <w:t xml:space="preserve"> to answer a practical question through </w:t>
      </w:r>
      <w:r w:rsidR="0093387C">
        <w:t xml:space="preserve">an </w:t>
      </w:r>
      <w:r>
        <w:t>image, sculpture</w:t>
      </w:r>
      <w:r w:rsidR="0028431D">
        <w:t>,</w:t>
      </w:r>
      <w:r>
        <w:t xml:space="preserve"> or statue. </w:t>
      </w:r>
      <w:r w:rsidR="00AD1AE3">
        <w:t xml:space="preserve">Sources of oracles included: </w:t>
      </w:r>
      <w:r>
        <w:t xml:space="preserve">decrees engraved on the outer walls of temples or </w:t>
      </w:r>
      <w:r w:rsidR="00A06A3D">
        <w:t>delivered</w:t>
      </w:r>
      <w:r>
        <w:t xml:space="preserve"> on papyrus to people to </w:t>
      </w:r>
      <w:r w:rsidR="00A06A3D">
        <w:t>utilize</w:t>
      </w:r>
      <w:r>
        <w:t xml:space="preserve"> as amulets, references found in administrative or private records, petitions on papyrus which were placed before the god, and statues connected to the oracle</w:t>
      </w:r>
      <w:r w:rsidRPr="00FD1E09">
        <w:t>s.</w:t>
      </w:r>
      <w:r w:rsidRPr="00FD1E09">
        <w:rPr>
          <w:rStyle w:val="FootnoteReference"/>
        </w:rPr>
        <w:footnoteReference w:id="37"/>
      </w:r>
      <w:r w:rsidR="00B93F50">
        <w:t xml:space="preserve"> At Deir el-Medina, an ancient Egyptian village of artisans who worked in the tombs in the Valley of the Kings, </w:t>
      </w:r>
      <w:r w:rsidR="00813DF8">
        <w:t xml:space="preserve">ostraca, </w:t>
      </w:r>
      <w:r w:rsidR="00AD1AE3">
        <w:t>pieces of pottery or shards of limestone,</w:t>
      </w:r>
      <w:r w:rsidR="00B93F50">
        <w:t xml:space="preserve"> and papyri were found signifying the development of the judicial powers of oracles.</w:t>
      </w:r>
      <w:r w:rsidR="00B93F50">
        <w:rPr>
          <w:rStyle w:val="FootnoteReference"/>
        </w:rPr>
        <w:footnoteReference w:id="38"/>
      </w:r>
      <w:r w:rsidR="0032020E">
        <w:t xml:space="preserve"> </w:t>
      </w:r>
      <w:r w:rsidR="000914C4">
        <w:t xml:space="preserve">Much of </w:t>
      </w:r>
      <w:r w:rsidR="00523CFF">
        <w:t xml:space="preserve">the remaining </w:t>
      </w:r>
      <w:r w:rsidR="000914C4">
        <w:t xml:space="preserve">knowledge of daily life in </w:t>
      </w:r>
      <w:r w:rsidR="00C91D69">
        <w:t>A</w:t>
      </w:r>
      <w:r w:rsidR="000914C4">
        <w:t xml:space="preserve">ncient Egypt </w:t>
      </w:r>
      <w:r w:rsidR="002C1228">
        <w:t>remains</w:t>
      </w:r>
      <w:r w:rsidR="000914C4">
        <w:t xml:space="preserve"> based on the finds from this </w:t>
      </w:r>
      <w:r w:rsidR="000914C4">
        <w:lastRenderedPageBreak/>
        <w:t>village.</w:t>
      </w:r>
      <w:r w:rsidR="000914C4">
        <w:rPr>
          <w:rStyle w:val="FootnoteReference"/>
        </w:rPr>
        <w:footnoteReference w:id="39"/>
      </w:r>
      <w:r w:rsidR="000914C4">
        <w:t xml:space="preserve"> </w:t>
      </w:r>
      <w:r w:rsidR="0032020E">
        <w:t xml:space="preserve">Evidence </w:t>
      </w:r>
      <w:r w:rsidR="00AD1AE3">
        <w:t>described</w:t>
      </w:r>
      <w:r w:rsidR="0032020E">
        <w:t xml:space="preserve"> Queen </w:t>
      </w:r>
      <w:r w:rsidR="00B93F50">
        <w:t>Hatshepsut question</w:t>
      </w:r>
      <w:r w:rsidR="0093387C">
        <w:t>ing</w:t>
      </w:r>
      <w:r w:rsidR="00B93F50">
        <w:t xml:space="preserve"> </w:t>
      </w:r>
      <w:r w:rsidR="0032020E">
        <w:t>an</w:t>
      </w:r>
      <w:r w:rsidR="00B93F50">
        <w:t xml:space="preserve"> oracle for the best route to Punt</w:t>
      </w:r>
      <w:r w:rsidR="0032020E">
        <w:t xml:space="preserve">, and that </w:t>
      </w:r>
      <w:r w:rsidR="0093387C">
        <w:t>she heard the divine decree ‘</w:t>
      </w:r>
      <w:r w:rsidR="00B93F50">
        <w:t>at the Lord of Gods’ stairway</w:t>
      </w:r>
      <w:r w:rsidR="0093387C">
        <w:t>’</w:t>
      </w:r>
      <w:r w:rsidR="00B93F50">
        <w:t xml:space="preserve">, </w:t>
      </w:r>
      <w:r w:rsidR="0032020E">
        <w:t>which point</w:t>
      </w:r>
      <w:r w:rsidR="00523CFF">
        <w:t>ed</w:t>
      </w:r>
      <w:r w:rsidR="0032020E">
        <w:t xml:space="preserve"> to his </w:t>
      </w:r>
      <w:r w:rsidR="00B93F50">
        <w:t>ba</w:t>
      </w:r>
      <w:r w:rsidR="00AD1AE3">
        <w:t>rque</w:t>
      </w:r>
      <w:r w:rsidR="00B93F50">
        <w:t xml:space="preserve"> shrine at Karnak.</w:t>
      </w:r>
      <w:r w:rsidR="00B93F50">
        <w:rPr>
          <w:rStyle w:val="FootnoteReference"/>
        </w:rPr>
        <w:footnoteReference w:id="40"/>
      </w:r>
      <w:r w:rsidR="00F00714">
        <w:t xml:space="preserve"> </w:t>
      </w:r>
      <w:r w:rsidR="009B5DD4">
        <w:t>In</w:t>
      </w:r>
      <w:r w:rsidR="009B5DD4" w:rsidRPr="00B76237">
        <w:t xml:space="preserve"> the Opet and Valley festivals for Amun of Karnak Temple, this deity was known for having a power over the other oracular gods of the region.</w:t>
      </w:r>
      <w:r w:rsidR="009B5DD4" w:rsidRPr="00B76237">
        <w:rPr>
          <w:rStyle w:val="FootnoteReference"/>
        </w:rPr>
        <w:footnoteReference w:id="41"/>
      </w:r>
      <w:r w:rsidR="009B5DD4">
        <w:t xml:space="preserve"> </w:t>
      </w:r>
      <w:r w:rsidR="00E0495F" w:rsidRPr="00B76237">
        <w:t>To prepare the path, the precautions included the arrangement of the processional sphinx-lined avenue that connected Karnak to Luxor Temples, therefore the timing was essential, and most likely this movement began with the Opening of the Mouth ritual.</w:t>
      </w:r>
      <w:r w:rsidR="00E0495F" w:rsidRPr="00B76237">
        <w:rPr>
          <w:rStyle w:val="FootnoteReference"/>
        </w:rPr>
        <w:footnoteReference w:id="42"/>
      </w:r>
      <w:r w:rsidR="00E0495F">
        <w:t xml:space="preserve"> </w:t>
      </w:r>
      <w:r w:rsidR="0032020E">
        <w:t xml:space="preserve">The statues connected to the temples would </w:t>
      </w:r>
      <w:r w:rsidR="00AD1AE3">
        <w:t>depart the holy of holies</w:t>
      </w:r>
      <w:r w:rsidR="0032020E">
        <w:t xml:space="preserve"> for festival processions, which most likely occurred annually, </w:t>
      </w:r>
      <w:r w:rsidR="00CB03F6">
        <w:t>involving</w:t>
      </w:r>
      <w:r w:rsidR="0032020E">
        <w:t xml:space="preserve"> court officials, clergy, and the population at large to witness the god being carried in his sacred barque.</w:t>
      </w:r>
      <w:r w:rsidR="0032020E">
        <w:rPr>
          <w:rStyle w:val="FootnoteReference"/>
        </w:rPr>
        <w:footnoteReference w:id="43"/>
      </w:r>
      <w:r w:rsidR="0032020E">
        <w:t xml:space="preserve"> </w:t>
      </w:r>
      <w:r w:rsidR="009E5FCE">
        <w:t>The statues were either hidden in a tabernacle</w:t>
      </w:r>
      <w:r w:rsidR="00F64238">
        <w:t>, fastened to a portable bar</w:t>
      </w:r>
      <w:r w:rsidR="00942D56">
        <w:t>que</w:t>
      </w:r>
      <w:r w:rsidR="00F64238">
        <w:t xml:space="preserve">, mounted directly on poles, </w:t>
      </w:r>
      <w:r w:rsidR="002C1228">
        <w:t xml:space="preserve">perhaps veiled, or unveiled, </w:t>
      </w:r>
      <w:r w:rsidR="00F64238">
        <w:t>meanwhile the path had to be carefully prepared</w:t>
      </w:r>
      <w:r w:rsidR="009E5FCE">
        <w:t>,</w:t>
      </w:r>
      <w:r w:rsidR="00F64238">
        <w:t xml:space="preserve"> protected, </w:t>
      </w:r>
      <w:r w:rsidR="009E5FCE">
        <w:t xml:space="preserve">and </w:t>
      </w:r>
      <w:r w:rsidR="00F64238">
        <w:t>pure.</w:t>
      </w:r>
      <w:r w:rsidR="00F64238">
        <w:rPr>
          <w:rStyle w:val="FootnoteReference"/>
        </w:rPr>
        <w:footnoteReference w:id="44"/>
      </w:r>
      <w:r w:rsidR="00F64238">
        <w:t xml:space="preserve"> </w:t>
      </w:r>
      <w:r w:rsidR="0032020E">
        <w:t>There is particular evidence of the god from the cult centre of Osiris in Abydos</w:t>
      </w:r>
      <w:r w:rsidR="00CB34F1">
        <w:t xml:space="preserve"> processing from his temple</w:t>
      </w:r>
      <w:r w:rsidR="0032020E">
        <w:t xml:space="preserve"> to </w:t>
      </w:r>
      <w:r w:rsidR="00E51B6F">
        <w:t>a desert place called Poqer which housed</w:t>
      </w:r>
      <w:r w:rsidR="0032020E">
        <w:t xml:space="preserve"> his tomb</w:t>
      </w:r>
      <w:r w:rsidR="00E51B6F">
        <w:t>.</w:t>
      </w:r>
      <w:r w:rsidR="00593142">
        <w:rPr>
          <w:rStyle w:val="FootnoteReference"/>
        </w:rPr>
        <w:footnoteReference w:id="45"/>
      </w:r>
      <w:r w:rsidR="00A248A8">
        <w:t xml:space="preserve"> </w:t>
      </w:r>
      <w:r w:rsidR="00CB34F1">
        <w:t>Temple walls, representations on stelae, and ostraca left evidence that d</w:t>
      </w:r>
      <w:r w:rsidR="00A248A8">
        <w:t xml:space="preserve">uring a procession, the public had an opportunity to make inquiries of the divine, where questions asked </w:t>
      </w:r>
      <w:r w:rsidR="00C90FE1">
        <w:t xml:space="preserve">may have </w:t>
      </w:r>
      <w:r w:rsidR="00A248A8">
        <w:t xml:space="preserve">included </w:t>
      </w:r>
      <w:r w:rsidR="00AD1AE3">
        <w:t>‘</w:t>
      </w:r>
      <w:r w:rsidR="00A248A8">
        <w:t>how to find a lost object</w:t>
      </w:r>
      <w:r w:rsidR="00AD1AE3">
        <w:t>’</w:t>
      </w:r>
      <w:r w:rsidR="00A248A8">
        <w:t xml:space="preserve">, </w:t>
      </w:r>
      <w:r w:rsidR="00AD1AE3">
        <w:t>‘</w:t>
      </w:r>
      <w:r w:rsidR="00A248A8">
        <w:t>is it a good time to leave on a trip</w:t>
      </w:r>
      <w:r w:rsidR="00AD1AE3">
        <w:t xml:space="preserve">’, </w:t>
      </w:r>
      <w:r w:rsidR="00CB34F1">
        <w:t>or</w:t>
      </w:r>
      <w:r w:rsidR="00AD1AE3">
        <w:t xml:space="preserve"> ‘</w:t>
      </w:r>
      <w:r w:rsidR="00A248A8">
        <w:t>will this illness be cured</w:t>
      </w:r>
      <w:r w:rsidR="00AD1AE3">
        <w:t>’</w:t>
      </w:r>
      <w:r w:rsidR="00A248A8">
        <w:t>.</w:t>
      </w:r>
      <w:r w:rsidR="00593142">
        <w:rPr>
          <w:rStyle w:val="FootnoteReference"/>
        </w:rPr>
        <w:footnoteReference w:id="46"/>
      </w:r>
      <w:r w:rsidR="00A248A8">
        <w:t xml:space="preserve"> </w:t>
      </w:r>
      <w:r w:rsidR="00F64238">
        <w:t>In procession, t</w:t>
      </w:r>
      <w:r w:rsidR="00A248A8">
        <w:t xml:space="preserve">he person requesting an oracle stood before </w:t>
      </w:r>
      <w:r w:rsidR="00F64238">
        <w:t>the litter supported by the priests, and posed their question directly to the deity or th</w:t>
      </w:r>
      <w:r w:rsidR="00AD1AE3">
        <w:t>r</w:t>
      </w:r>
      <w:r w:rsidR="00F64238">
        <w:t>ough a priest, whereupon the litter moved by divine force, either backward or forward</w:t>
      </w:r>
      <w:r w:rsidR="00942D56">
        <w:t>, or</w:t>
      </w:r>
      <w:r w:rsidR="00CB34F1">
        <w:t xml:space="preserve"> offered</w:t>
      </w:r>
      <w:r w:rsidR="00942D56">
        <w:t xml:space="preserve"> a nod</w:t>
      </w:r>
      <w:r w:rsidR="00AD1AE3">
        <w:t xml:space="preserve">, </w:t>
      </w:r>
      <w:r w:rsidR="00813DF8">
        <w:t>signifying</w:t>
      </w:r>
      <w:r w:rsidR="00AD1AE3">
        <w:t xml:space="preserve"> an </w:t>
      </w:r>
      <w:r w:rsidR="00F64238">
        <w:t xml:space="preserve">answer </w:t>
      </w:r>
      <w:r w:rsidR="00AD1AE3">
        <w:t xml:space="preserve">that </w:t>
      </w:r>
      <w:r w:rsidR="00F64238">
        <w:t>was either negative or positive.</w:t>
      </w:r>
      <w:r w:rsidR="00F64238">
        <w:rPr>
          <w:rStyle w:val="FootnoteReference"/>
        </w:rPr>
        <w:footnoteReference w:id="47"/>
      </w:r>
      <w:r w:rsidR="002C1228">
        <w:t xml:space="preserve"> Oracular divination was a direct way of communing with the gods and goddesses.</w:t>
      </w:r>
    </w:p>
    <w:p w14:paraId="7BFD121C" w14:textId="36ACB93B" w:rsidR="00671B1E" w:rsidRDefault="00671B1E" w:rsidP="009B15D1"/>
    <w:p w14:paraId="0CC43BB3" w14:textId="763693CB" w:rsidR="00834CF5" w:rsidRPr="00DC555F" w:rsidRDefault="00A75410" w:rsidP="00834CF5">
      <w:pPr>
        <w:rPr>
          <w:strike/>
        </w:rPr>
      </w:pPr>
      <w:r>
        <w:t>Hor of Sebennytos, a</w:t>
      </w:r>
      <w:r w:rsidR="00201264">
        <w:t>n Egyptian priest</w:t>
      </w:r>
      <w:r>
        <w:t xml:space="preserve"> from the second century BCE  was active in </w:t>
      </w:r>
      <w:r w:rsidRPr="00E15B12">
        <w:rPr>
          <w:i/>
          <w:iCs/>
        </w:rPr>
        <w:t>oneiromanc</w:t>
      </w:r>
      <w:r>
        <w:rPr>
          <w:i/>
          <w:iCs/>
        </w:rPr>
        <w:t>y</w:t>
      </w:r>
      <w:r w:rsidR="00713A84">
        <w:rPr>
          <w:i/>
          <w:iCs/>
        </w:rPr>
        <w:t xml:space="preserve">, </w:t>
      </w:r>
      <w:r>
        <w:t>known as dream interpretation</w:t>
      </w:r>
      <w:r w:rsidR="00347DD3">
        <w:t>; he</w:t>
      </w:r>
      <w:r>
        <w:t xml:space="preserve"> </w:t>
      </w:r>
      <w:r w:rsidR="00201264">
        <w:t>stated that in the</w:t>
      </w:r>
      <w:r>
        <w:t xml:space="preserve"> liminal space of sleep, it was believed direct contact </w:t>
      </w:r>
      <w:r w:rsidR="00713A84">
        <w:t>with the divine was possible</w:t>
      </w:r>
      <w:r w:rsidR="00201264">
        <w:t>.</w:t>
      </w:r>
      <w:r w:rsidR="00201264">
        <w:rPr>
          <w:rStyle w:val="FootnoteReference"/>
        </w:rPr>
        <w:footnoteReference w:id="48"/>
      </w:r>
      <w:r w:rsidR="00201264">
        <w:t xml:space="preserve"> Evidence of dreams being a portal of communication between the gods and royalty was </w:t>
      </w:r>
      <w:r w:rsidR="00713A84">
        <w:t xml:space="preserve">also </w:t>
      </w:r>
      <w:r w:rsidR="00201264">
        <w:t>found w</w:t>
      </w:r>
      <w:r>
        <w:t>hen</w:t>
      </w:r>
      <w:r w:rsidR="00201264">
        <w:t xml:space="preserve"> Amenhotep II from </w:t>
      </w:r>
      <w:r w:rsidR="00C23F57">
        <w:t>T</w:t>
      </w:r>
      <w:r w:rsidR="00201264">
        <w:t xml:space="preserve">he </w:t>
      </w:r>
      <w:r w:rsidR="00C23F57">
        <w:t>E</w:t>
      </w:r>
      <w:r w:rsidR="00201264">
        <w:t>ighteenth</w:t>
      </w:r>
      <w:r>
        <w:t xml:space="preserve"> </w:t>
      </w:r>
      <w:r w:rsidR="00C23F57">
        <w:t>D</w:t>
      </w:r>
      <w:r w:rsidR="00201264">
        <w:t>ynasty accounted of a military campaign where the deity Amun</w:t>
      </w:r>
      <w:r w:rsidR="00713A84">
        <w:t xml:space="preserve"> appeared.</w:t>
      </w:r>
      <w:r w:rsidR="00201264">
        <w:rPr>
          <w:rStyle w:val="FootnoteReference"/>
        </w:rPr>
        <w:footnoteReference w:id="49"/>
      </w:r>
      <w:r w:rsidR="00201264">
        <w:t xml:space="preserve"> </w:t>
      </w:r>
      <w:r w:rsidR="00E15B12">
        <w:t xml:space="preserve">The Dream Stela of Thutmosis IV found between the paws of the Great Sphinx at Giza, </w:t>
      </w:r>
      <w:r w:rsidR="00713A84">
        <w:t>contains an</w:t>
      </w:r>
      <w:r w:rsidR="00E15B12">
        <w:t xml:space="preserve"> inscription from </w:t>
      </w:r>
      <w:r w:rsidR="00C23F57">
        <w:t>T</w:t>
      </w:r>
      <w:r w:rsidR="00E15B12">
        <w:t xml:space="preserve">he </w:t>
      </w:r>
      <w:r w:rsidR="00C23F57">
        <w:t>E</w:t>
      </w:r>
      <w:r w:rsidR="00E15B12">
        <w:t xml:space="preserve">ighteenth </w:t>
      </w:r>
      <w:r w:rsidR="00C23F57">
        <w:t>D</w:t>
      </w:r>
      <w:r w:rsidR="00E15B12">
        <w:t xml:space="preserve">ynasty which imparted the story of a young prince </w:t>
      </w:r>
      <w:r w:rsidR="00713A84">
        <w:t xml:space="preserve">sleeping </w:t>
      </w:r>
      <w:r w:rsidR="00E15B12">
        <w:t>by the Sphinx, witnessing the god Harmakhis-Khepri-Re-Atum, who asked the prince to clear the statue of the sands that buried it, to restore it to its true splendour, and in exchange he would be gifted the throne of Egypt.</w:t>
      </w:r>
      <w:r w:rsidR="00E15B12">
        <w:rPr>
          <w:rStyle w:val="FootnoteReference"/>
        </w:rPr>
        <w:footnoteReference w:id="50"/>
      </w:r>
      <w:r w:rsidR="00E15B12">
        <w:t xml:space="preserve"> For the Egyptians dreams were influential, as they believed they exerted a </w:t>
      </w:r>
      <w:r w:rsidR="00E15B12">
        <w:lastRenderedPageBreak/>
        <w:t>force on their lives.</w:t>
      </w:r>
      <w:r w:rsidR="00E15B12">
        <w:rPr>
          <w:rStyle w:val="FootnoteReference"/>
        </w:rPr>
        <w:footnoteReference w:id="51"/>
      </w:r>
      <w:r w:rsidR="00E15B12">
        <w:t xml:space="preserve"> </w:t>
      </w:r>
      <w:r w:rsidR="002659AE">
        <w:t xml:space="preserve">Dream divination in Ancient Egypt was ultimately an encoded cultural system </w:t>
      </w:r>
      <w:r w:rsidR="007D0645">
        <w:t>and t</w:t>
      </w:r>
      <w:r w:rsidR="002659AE">
        <w:t>he interpretation was perhaps based on wordplay, assonances, and contraries, th</w:t>
      </w:r>
      <w:r w:rsidR="00201264">
        <w:t xml:space="preserve">erefore, </w:t>
      </w:r>
      <w:r w:rsidR="002659AE">
        <w:t xml:space="preserve">the meaning may be </w:t>
      </w:r>
      <w:r w:rsidR="00347DD3">
        <w:t>lost in translation</w:t>
      </w:r>
      <w:r w:rsidR="002659AE">
        <w:t>.</w:t>
      </w:r>
      <w:r w:rsidR="002659AE">
        <w:rPr>
          <w:rStyle w:val="FootnoteReference"/>
        </w:rPr>
        <w:footnoteReference w:id="52"/>
      </w:r>
      <w:r w:rsidR="00201264">
        <w:t xml:space="preserve"> </w:t>
      </w:r>
      <w:r w:rsidR="00D24D9F">
        <w:t>D</w:t>
      </w:r>
      <w:r w:rsidR="00671B1E">
        <w:t>ream interpretation handbooks</w:t>
      </w:r>
      <w:r w:rsidR="00201264">
        <w:t xml:space="preserve"> </w:t>
      </w:r>
      <w:r w:rsidR="00D24D9F">
        <w:t xml:space="preserve">were known as </w:t>
      </w:r>
      <w:r w:rsidR="00D24D9F">
        <w:rPr>
          <w:i/>
          <w:iCs/>
        </w:rPr>
        <w:t>o</w:t>
      </w:r>
      <w:r w:rsidR="00D24D9F" w:rsidRPr="007476E4">
        <w:rPr>
          <w:i/>
          <w:iCs/>
        </w:rPr>
        <w:t>neirocritica</w:t>
      </w:r>
      <w:r w:rsidR="00671B1E">
        <w:t>.</w:t>
      </w:r>
      <w:r w:rsidR="00671B1E">
        <w:rPr>
          <w:rStyle w:val="FootnoteReference"/>
        </w:rPr>
        <w:footnoteReference w:id="53"/>
      </w:r>
      <w:r w:rsidR="00671B1E">
        <w:t xml:space="preserve"> The earliest </w:t>
      </w:r>
      <w:r w:rsidR="009F7159">
        <w:t>listing of dreams and interpre</w:t>
      </w:r>
      <w:r w:rsidR="000645AB">
        <w:t>ta</w:t>
      </w:r>
      <w:r w:rsidR="009F7159">
        <w:t>tions to date is a</w:t>
      </w:r>
      <w:r w:rsidR="00671B1E">
        <w:t xml:space="preserve"> manuscript </w:t>
      </w:r>
      <w:r w:rsidR="00671B1E" w:rsidRPr="007D0645">
        <w:rPr>
          <w:i/>
          <w:iCs/>
        </w:rPr>
        <w:t>P.</w:t>
      </w:r>
      <w:r w:rsidR="000645AB" w:rsidRPr="007D0645">
        <w:rPr>
          <w:i/>
          <w:iCs/>
        </w:rPr>
        <w:t xml:space="preserve"> </w:t>
      </w:r>
      <w:r w:rsidR="00671B1E" w:rsidRPr="007D0645">
        <w:rPr>
          <w:i/>
          <w:iCs/>
        </w:rPr>
        <w:t>Chester Beatty</w:t>
      </w:r>
      <w:r w:rsidR="00995396" w:rsidRPr="007D0645">
        <w:rPr>
          <w:i/>
          <w:iCs/>
        </w:rPr>
        <w:t xml:space="preserve"> III</w:t>
      </w:r>
      <w:r w:rsidR="00347DD3">
        <w:rPr>
          <w:i/>
          <w:iCs/>
        </w:rPr>
        <w:t>,</w:t>
      </w:r>
      <w:r w:rsidR="009F7159">
        <w:t xml:space="preserve"> which</w:t>
      </w:r>
      <w:r w:rsidR="00671B1E">
        <w:t xml:space="preserve"> originated in the village of Deir el-Medina from the thirteenth century BCE, </w:t>
      </w:r>
      <w:r w:rsidR="009F7159">
        <w:t xml:space="preserve">and </w:t>
      </w:r>
      <w:r w:rsidR="00671B1E">
        <w:t>belonged to the scribe Qenherkhepshef.</w:t>
      </w:r>
      <w:r w:rsidR="00671B1E">
        <w:rPr>
          <w:rStyle w:val="FootnoteReference"/>
        </w:rPr>
        <w:footnoteReference w:id="54"/>
      </w:r>
      <w:r w:rsidR="009F7159">
        <w:t xml:space="preserve"> This manuscript wa</w:t>
      </w:r>
      <w:r>
        <w:t>s</w:t>
      </w:r>
      <w:r w:rsidR="009F7159">
        <w:t xml:space="preserve"> known as </w:t>
      </w:r>
      <w:r w:rsidR="000645AB" w:rsidRPr="000645AB">
        <w:rPr>
          <w:i/>
          <w:iCs/>
        </w:rPr>
        <w:t>T</w:t>
      </w:r>
      <w:r w:rsidR="009F7159" w:rsidRPr="000645AB">
        <w:rPr>
          <w:i/>
          <w:iCs/>
        </w:rPr>
        <w:t>he New Kingdom Dream Book</w:t>
      </w:r>
      <w:r w:rsidR="00C23F57">
        <w:rPr>
          <w:i/>
          <w:iCs/>
        </w:rPr>
        <w:t>,</w:t>
      </w:r>
      <w:r w:rsidR="009F7159">
        <w:t xml:space="preserve"> </w:t>
      </w:r>
      <w:r>
        <w:t>which</w:t>
      </w:r>
      <w:r w:rsidR="009F7159">
        <w:t xml:space="preserve"> trace</w:t>
      </w:r>
      <w:r>
        <w:t>d</w:t>
      </w:r>
      <w:r w:rsidR="009F7159">
        <w:t xml:space="preserve"> nonroyal Egyptians and the divine </w:t>
      </w:r>
      <w:r w:rsidR="00713A84">
        <w:t>meeting</w:t>
      </w:r>
      <w:r w:rsidR="009F7159">
        <w:t xml:space="preserve"> through dreams.</w:t>
      </w:r>
      <w:r w:rsidR="009F7159">
        <w:rPr>
          <w:rStyle w:val="FootnoteReference"/>
        </w:rPr>
        <w:footnoteReference w:id="55"/>
      </w:r>
      <w:r w:rsidR="000914C4">
        <w:t xml:space="preserve"> </w:t>
      </w:r>
      <w:r w:rsidR="007D0645">
        <w:t>T</w:t>
      </w:r>
      <w:r w:rsidR="00FA2249">
        <w:t xml:space="preserve">his manuscript </w:t>
      </w:r>
      <w:r w:rsidR="000914C4">
        <w:t>contain</w:t>
      </w:r>
      <w:r w:rsidR="007D0645">
        <w:t>ed</w:t>
      </w:r>
      <w:r w:rsidR="000914C4">
        <w:t xml:space="preserve"> two hundred and twenty six dreams, offe</w:t>
      </w:r>
      <w:r w:rsidR="00FA2249">
        <w:t>r</w:t>
      </w:r>
      <w:r w:rsidR="00C23F57">
        <w:t>ing</w:t>
      </w:r>
      <w:r w:rsidR="000914C4">
        <w:t xml:space="preserve"> insights into the emotions, thoughts, and codes of the daily life of the Egyptians </w:t>
      </w:r>
      <w:r>
        <w:t>from</w:t>
      </w:r>
      <w:r w:rsidR="000914C4">
        <w:t xml:space="preserve"> this time period.</w:t>
      </w:r>
      <w:r w:rsidR="00DC555F">
        <w:t xml:space="preserve"> </w:t>
      </w:r>
      <w:r w:rsidR="00DC555F" w:rsidRPr="00DC555F">
        <w:t>The passages were organized so that in a vertical column an opening text such as, ‘If a man sees himself in a dream’, followed by dream images organized in horizontal lists, with an assessment of whether the dream was ‘good’ or ‘bad,’ followed by an interpretation.</w:t>
      </w:r>
      <w:r w:rsidR="00DC555F" w:rsidRPr="00DC555F">
        <w:rPr>
          <w:rStyle w:val="FootnoteReference"/>
        </w:rPr>
        <w:footnoteReference w:id="56"/>
      </w:r>
      <w:r w:rsidR="00DC555F">
        <w:t xml:space="preserve"> </w:t>
      </w:r>
      <w:r w:rsidR="00D4713D">
        <w:t xml:space="preserve">One person’s account of a visitation of a deity in a dream </w:t>
      </w:r>
      <w:r w:rsidR="00C23F57">
        <w:t>detailed</w:t>
      </w:r>
      <w:r w:rsidR="00D4713D">
        <w:t xml:space="preserve"> joyful, poetic imagery that described kissing the earth in all her forms, praying to her, calling upon her strength, greatness, love, and beauty, as they beheld the </w:t>
      </w:r>
      <w:r w:rsidR="00314F6F">
        <w:t>Lady of the Two Lands in a dream.</w:t>
      </w:r>
      <w:r w:rsidR="00314F6F">
        <w:rPr>
          <w:rStyle w:val="FootnoteReference"/>
        </w:rPr>
        <w:footnoteReference w:id="57"/>
      </w:r>
      <w:r w:rsidR="00FA2249">
        <w:t xml:space="preserve"> </w:t>
      </w:r>
      <w:r w:rsidR="00C63D76">
        <w:t>Those who were seeking healing or assistance with fertility</w:t>
      </w:r>
      <w:r w:rsidR="00473097">
        <w:t xml:space="preserve"> issues</w:t>
      </w:r>
      <w:r w:rsidR="00ED65EC">
        <w:t xml:space="preserve"> came to the temple built by Queen Hatshepsut at Deir el-Bhari</w:t>
      </w:r>
      <w:r w:rsidR="00473097">
        <w:t>,</w:t>
      </w:r>
      <w:r w:rsidR="00ED65EC">
        <w:t xml:space="preserve"> where part of it was converted into a sanctuary for</w:t>
      </w:r>
      <w:r w:rsidR="00C63D76">
        <w:t xml:space="preserve"> Amenhotep and</w:t>
      </w:r>
      <w:r w:rsidR="00ED65EC">
        <w:t xml:space="preserve"> </w:t>
      </w:r>
      <w:r w:rsidR="00C63D76">
        <w:t>Imhotep, who was revered as a god of medicine.</w:t>
      </w:r>
      <w:r w:rsidR="00C63D76">
        <w:rPr>
          <w:rStyle w:val="FootnoteReference"/>
        </w:rPr>
        <w:footnoteReference w:id="58"/>
      </w:r>
      <w:r w:rsidR="00C63D76">
        <w:t xml:space="preserve"> </w:t>
      </w:r>
      <w:r w:rsidR="00473097">
        <w:t xml:space="preserve">A chamber at Saqqara </w:t>
      </w:r>
      <w:r w:rsidR="00C23F57">
        <w:t xml:space="preserve">that </w:t>
      </w:r>
      <w:r w:rsidR="00473097">
        <w:t>was decorated with erotic paintings of Bes</w:t>
      </w:r>
      <w:r w:rsidR="00347DD3">
        <w:t>,</w:t>
      </w:r>
      <w:r w:rsidR="00473097">
        <w:t xml:space="preserve"> may have been a place for those seeking healing wit</w:t>
      </w:r>
      <w:r w:rsidR="006201E0">
        <w:t>h</w:t>
      </w:r>
      <w:r w:rsidR="00473097">
        <w:t xml:space="preserve"> sexuality or fertility </w:t>
      </w:r>
      <w:r w:rsidR="006201E0">
        <w:t xml:space="preserve">concerns </w:t>
      </w:r>
      <w:r w:rsidR="00473097">
        <w:t>to spend the night</w:t>
      </w:r>
      <w:r w:rsidR="006201E0">
        <w:t xml:space="preserve"> in hopes of</w:t>
      </w:r>
      <w:r w:rsidR="00473097">
        <w:t xml:space="preserve"> a visitation by Bes in dreamtime.</w:t>
      </w:r>
      <w:r w:rsidR="00473097">
        <w:rPr>
          <w:rStyle w:val="FootnoteReference"/>
        </w:rPr>
        <w:footnoteReference w:id="59"/>
      </w:r>
      <w:r w:rsidR="00473097">
        <w:t xml:space="preserve"> </w:t>
      </w:r>
      <w:r w:rsidR="00347DD3">
        <w:t>There was an account of a</w:t>
      </w:r>
      <w:r w:rsidR="00473097">
        <w:t xml:space="preserve"> magician </w:t>
      </w:r>
      <w:r w:rsidR="00347DD3">
        <w:t xml:space="preserve">who </w:t>
      </w:r>
      <w:r w:rsidR="00067F34">
        <w:t>sought</w:t>
      </w:r>
      <w:r w:rsidR="00473097">
        <w:t xml:space="preserve"> a dream oracle</w:t>
      </w:r>
      <w:r w:rsidR="00347DD3">
        <w:t>;</w:t>
      </w:r>
      <w:r w:rsidR="00473097">
        <w:t xml:space="preserve"> </w:t>
      </w:r>
      <w:r w:rsidR="00347DD3">
        <w:t>he</w:t>
      </w:r>
      <w:r w:rsidR="00473097">
        <w:t xml:space="preserve"> crafted </w:t>
      </w:r>
      <w:r w:rsidR="00347DD3">
        <w:t xml:space="preserve">ink </w:t>
      </w:r>
      <w:r w:rsidR="00473097">
        <w:t>from blood, myrrh, and the juice of various herbs</w:t>
      </w:r>
      <w:r w:rsidR="00347DD3">
        <w:t xml:space="preserve">, </w:t>
      </w:r>
      <w:r w:rsidR="00473097">
        <w:t>dr</w:t>
      </w:r>
      <w:r w:rsidR="00347DD3">
        <w:t>e</w:t>
      </w:r>
      <w:r w:rsidR="00473097">
        <w:t xml:space="preserve">w </w:t>
      </w:r>
      <w:r w:rsidR="00347DD3">
        <w:t>a</w:t>
      </w:r>
      <w:r w:rsidR="00067F34">
        <w:t xml:space="preserve"> </w:t>
      </w:r>
      <w:r w:rsidR="00473097">
        <w:t>figure of Bes on his left hand, then wrap</w:t>
      </w:r>
      <w:r w:rsidR="00347DD3">
        <w:t>ped</w:t>
      </w:r>
      <w:r w:rsidR="00473097">
        <w:t xml:space="preserve"> his hand in black cloth, </w:t>
      </w:r>
      <w:r w:rsidR="00067F34">
        <w:t>chant</w:t>
      </w:r>
      <w:r w:rsidR="00347DD3">
        <w:t>ed</w:t>
      </w:r>
      <w:r w:rsidR="00473097">
        <w:t xml:space="preserve"> a prayer at sunset, and sle</w:t>
      </w:r>
      <w:r w:rsidR="00347DD3">
        <w:t>pt</w:t>
      </w:r>
      <w:r w:rsidR="00473097">
        <w:t xml:space="preserve"> on a rush mat.</w:t>
      </w:r>
      <w:r w:rsidR="00314F6F">
        <w:rPr>
          <w:rStyle w:val="FootnoteReference"/>
        </w:rPr>
        <w:footnoteReference w:id="60"/>
      </w:r>
      <w:r w:rsidR="00201264">
        <w:t xml:space="preserve"> Dreams</w:t>
      </w:r>
      <w:r w:rsidR="00FA2249">
        <w:t xml:space="preserve"> were natural </w:t>
      </w:r>
      <w:r w:rsidR="007D0645">
        <w:t>forms of divination</w:t>
      </w:r>
      <w:r w:rsidR="00FA2249">
        <w:t xml:space="preserve">, </w:t>
      </w:r>
      <w:r w:rsidR="00201264">
        <w:t>sources of healing</w:t>
      </w:r>
      <w:r w:rsidR="00067F34">
        <w:t>,</w:t>
      </w:r>
      <w:r w:rsidR="00201264">
        <w:t xml:space="preserve"> and ways to </w:t>
      </w:r>
      <w:r w:rsidR="00FA2249">
        <w:t>understand</w:t>
      </w:r>
      <w:r w:rsidR="00201264">
        <w:t xml:space="preserve"> what steps were necessary to gain medical insight.</w:t>
      </w:r>
      <w:r w:rsidR="007D0645">
        <w:t xml:space="preserve"> Each form of divination from astral magic, to lecanomancy, oracles</w:t>
      </w:r>
      <w:r w:rsidR="00067F34">
        <w:t>,</w:t>
      </w:r>
      <w:r w:rsidR="007D0645">
        <w:t xml:space="preserve"> and dreams offered an opportunity to </w:t>
      </w:r>
      <w:r>
        <w:t>bridge with</w:t>
      </w:r>
      <w:r w:rsidR="007D0645">
        <w:t xml:space="preserve"> the divine.</w:t>
      </w:r>
    </w:p>
    <w:p w14:paraId="5FE21A58" w14:textId="77777777" w:rsidR="00075658" w:rsidRDefault="00075658" w:rsidP="00FA2249"/>
    <w:p w14:paraId="562BDDA0" w14:textId="6BE23397" w:rsidR="00075658" w:rsidRDefault="00B75FA2" w:rsidP="00FA2249">
      <w:r w:rsidRPr="00F7718C">
        <w:rPr>
          <w:b/>
        </w:rPr>
        <w:t>Conclusion</w:t>
      </w:r>
    </w:p>
    <w:p w14:paraId="531AD407" w14:textId="70DA5CAF" w:rsidR="00FA2249" w:rsidRDefault="003E3DAF" w:rsidP="00FA2249">
      <w:r>
        <w:t>T</w:t>
      </w:r>
      <w:r w:rsidR="00B75FA2" w:rsidRPr="00F7718C">
        <w:t xml:space="preserve">his essay </w:t>
      </w:r>
      <w:r>
        <w:t>explored</w:t>
      </w:r>
      <w:r w:rsidR="00FA2249">
        <w:t xml:space="preserve"> Ancient Egyptian cosmology and </w:t>
      </w:r>
      <w:r w:rsidR="00AC3312">
        <w:t>the roles of</w:t>
      </w:r>
      <w:r w:rsidR="007D0645">
        <w:t xml:space="preserve"> </w:t>
      </w:r>
      <w:r w:rsidR="00FA2249">
        <w:t>divination</w:t>
      </w:r>
      <w:r w:rsidR="00AC3312">
        <w:t xml:space="preserve"> it</w:t>
      </w:r>
      <w:r>
        <w:t xml:space="preserve"> encompassed</w:t>
      </w:r>
      <w:r w:rsidR="00FA2249">
        <w:t>.</w:t>
      </w:r>
      <w:r w:rsidR="00C47BD6">
        <w:t xml:space="preserve"> </w:t>
      </w:r>
      <w:r w:rsidR="009B5DD4" w:rsidRPr="009B5DD4">
        <w:t xml:space="preserve">The </w:t>
      </w:r>
      <w:r w:rsidR="009B5DD4">
        <w:t xml:space="preserve">Egyptian </w:t>
      </w:r>
      <w:r w:rsidR="009B5DD4" w:rsidRPr="009B5DD4">
        <w:t xml:space="preserve">cosmos was teeming with life and personality, human beings possessed a soul beyond death that </w:t>
      </w:r>
      <w:r w:rsidR="006B4229">
        <w:t>most likely</w:t>
      </w:r>
      <w:r w:rsidR="009B5DD4" w:rsidRPr="009B5DD4">
        <w:t xml:space="preserve"> </w:t>
      </w:r>
      <w:proofErr w:type="spellStart"/>
      <w:r w:rsidR="009B5DD4" w:rsidRPr="009B5DD4">
        <w:t>travel</w:t>
      </w:r>
      <w:r w:rsidR="006B4229">
        <w:t>ed</w:t>
      </w:r>
      <w:proofErr w:type="spellEnd"/>
      <w:r w:rsidR="009B5DD4" w:rsidRPr="009B5DD4">
        <w:t xml:space="preserve"> to the stars in a boat, and the planetary and starry bodies were divine, moving in a specific order that was the basis of the</w:t>
      </w:r>
      <w:r w:rsidR="009B5DD4">
        <w:t xml:space="preserve">ir </w:t>
      </w:r>
      <w:r w:rsidR="009B5DD4" w:rsidRPr="009B5DD4">
        <w:t xml:space="preserve">calendar, </w:t>
      </w:r>
      <w:r w:rsidR="009B5DD4">
        <w:t xml:space="preserve">and </w:t>
      </w:r>
      <w:r w:rsidR="009B5DD4" w:rsidRPr="009B5DD4">
        <w:t xml:space="preserve">therefore </w:t>
      </w:r>
      <w:r w:rsidR="009B5DD4">
        <w:t xml:space="preserve">marked </w:t>
      </w:r>
      <w:r w:rsidR="009B5DD4" w:rsidRPr="009B5DD4">
        <w:t>the timing of the</w:t>
      </w:r>
      <w:r w:rsidR="009B5DD4">
        <w:t>ir</w:t>
      </w:r>
      <w:r w:rsidR="009B5DD4" w:rsidRPr="009B5DD4">
        <w:t xml:space="preserve"> religious rituals.</w:t>
      </w:r>
      <w:r w:rsidR="009B5DD4" w:rsidRPr="009B5DD4">
        <w:rPr>
          <w:rStyle w:val="FootnoteReference"/>
        </w:rPr>
        <w:footnoteReference w:id="61"/>
      </w:r>
      <w:r w:rsidR="009B5DD4">
        <w:t xml:space="preserve"> </w:t>
      </w:r>
      <w:r w:rsidR="00AC3312">
        <w:t>Within the</w:t>
      </w:r>
      <w:r w:rsidR="00FA2249">
        <w:t xml:space="preserve"> cycle of death and resurrection</w:t>
      </w:r>
      <w:r w:rsidR="00C47BD6">
        <w:t xml:space="preserve"> </w:t>
      </w:r>
      <w:r w:rsidR="00AC3312">
        <w:t>m</w:t>
      </w:r>
      <w:r w:rsidR="00C47BD6">
        <w:t xml:space="preserve">agic </w:t>
      </w:r>
      <w:r w:rsidR="00AC3312">
        <w:t>was</w:t>
      </w:r>
      <w:r w:rsidR="00C47BD6">
        <w:t xml:space="preserve"> primordial, an ultimate connection to the very elements of </w:t>
      </w:r>
      <w:r>
        <w:t>all of creation</w:t>
      </w:r>
      <w:r w:rsidR="007D0645">
        <w:t>,</w:t>
      </w:r>
      <w:r w:rsidR="00390296">
        <w:t xml:space="preserve"> and</w:t>
      </w:r>
      <w:r w:rsidR="00C47BD6">
        <w:t xml:space="preserve"> the </w:t>
      </w:r>
      <w:r w:rsidR="00AC3312">
        <w:t xml:space="preserve">Ancient </w:t>
      </w:r>
      <w:r w:rsidR="00390296">
        <w:t>Egyptians</w:t>
      </w:r>
      <w:r w:rsidR="00C47BD6">
        <w:t xml:space="preserve"> engage</w:t>
      </w:r>
      <w:r w:rsidR="00AC3312">
        <w:t>d</w:t>
      </w:r>
      <w:r w:rsidR="00C47BD6">
        <w:t xml:space="preserve"> in </w:t>
      </w:r>
      <w:r w:rsidR="00AC3312">
        <w:t>this</w:t>
      </w:r>
      <w:r w:rsidR="00C47BD6">
        <w:t xml:space="preserve"> conversation </w:t>
      </w:r>
      <w:r w:rsidR="00AC3312">
        <w:t xml:space="preserve">through every </w:t>
      </w:r>
      <w:r>
        <w:t xml:space="preserve">aspect </w:t>
      </w:r>
      <w:r w:rsidR="00AC3312">
        <w:t>of their culture</w:t>
      </w:r>
      <w:r w:rsidR="00C47BD6">
        <w:t xml:space="preserve">. </w:t>
      </w:r>
      <w:r w:rsidR="00AB2831">
        <w:t>D</w:t>
      </w:r>
      <w:r w:rsidR="00C47BD6">
        <w:t xml:space="preserve">ivination played a significant part of this cosmology, as it was woven into celestial events and magic, provoked </w:t>
      </w:r>
      <w:r w:rsidR="00C47BD6">
        <w:lastRenderedPageBreak/>
        <w:t xml:space="preserve">through oracles, or </w:t>
      </w:r>
      <w:r w:rsidR="00390296">
        <w:t>intuited</w:t>
      </w:r>
      <w:r w:rsidR="00C47BD6">
        <w:t xml:space="preserve"> through dreams</w:t>
      </w:r>
      <w:r w:rsidR="00AC3312">
        <w:t xml:space="preserve">. Divination was an experience for </w:t>
      </w:r>
      <w:r w:rsidR="00D612A1">
        <w:t>all</w:t>
      </w:r>
      <w:r w:rsidR="00AC3312">
        <w:t xml:space="preserve"> of humanity, from </w:t>
      </w:r>
      <w:r w:rsidR="004F4FAA">
        <w:t xml:space="preserve">a </w:t>
      </w:r>
      <w:r w:rsidR="00AC3312">
        <w:t xml:space="preserve">pharaoh to the </w:t>
      </w:r>
      <w:r w:rsidR="000215A4">
        <w:t>artisan</w:t>
      </w:r>
      <w:r w:rsidR="00AC3312">
        <w:t xml:space="preserve"> to connect to source, to know what the gods wanted</w:t>
      </w:r>
      <w:r w:rsidR="007B2284">
        <w:t>,</w:t>
      </w:r>
      <w:r w:rsidR="00AC3312">
        <w:t xml:space="preserve"> and how to apply this cosmic wisdom.</w:t>
      </w:r>
      <w:r>
        <w:t xml:space="preserve"> </w:t>
      </w:r>
      <w:r w:rsidR="00AC3312">
        <w:t>There</w:t>
      </w:r>
      <w:r w:rsidR="0073462B">
        <w:t xml:space="preserve"> was no distinction between magician and diviner</w:t>
      </w:r>
      <w:r w:rsidR="000E42E6">
        <w:t>, as d</w:t>
      </w:r>
      <w:r w:rsidR="00C47BD6">
        <w:t>ivination was essentially a ritual based in magic</w:t>
      </w:r>
      <w:r w:rsidR="000E42E6">
        <w:t xml:space="preserve">. </w:t>
      </w:r>
      <w:r w:rsidR="000215A4">
        <w:t xml:space="preserve">Spell eighty-three of the </w:t>
      </w:r>
      <w:r w:rsidR="000215A4" w:rsidRPr="00AC3312">
        <w:rPr>
          <w:i/>
          <w:iCs/>
        </w:rPr>
        <w:t xml:space="preserve">Book of the Dead </w:t>
      </w:r>
      <w:r w:rsidR="000215A4">
        <w:t xml:space="preserve">is one of many examples that detailed </w:t>
      </w:r>
      <w:r w:rsidR="00FE6146">
        <w:t xml:space="preserve">how </w:t>
      </w:r>
      <w:r w:rsidR="000215A4">
        <w:t xml:space="preserve">the Ancient Egyptian cosmology </w:t>
      </w:r>
      <w:r w:rsidR="007B2284">
        <w:t>involved</w:t>
      </w:r>
      <w:r w:rsidR="00FE6146">
        <w:t xml:space="preserve"> how one may </w:t>
      </w:r>
      <w:r w:rsidR="000215A4">
        <w:t>embody the cosmos. From the spell for being transformed into a phoenix it was written, ‘I have flown up like the primeval ones. . .I have grown as a plant. . .I am the essence of every god. . .As for him who knows this pure spell, it means going out into the day after death and being transformed at will. . .and nothing evil shall have power over him. A matter a million times true.’</w:t>
      </w:r>
      <w:r w:rsidR="000215A4">
        <w:rPr>
          <w:rStyle w:val="FootnoteReference"/>
        </w:rPr>
        <w:footnoteReference w:id="62"/>
      </w:r>
      <w:r w:rsidR="00075658">
        <w:t xml:space="preserve"> </w:t>
      </w:r>
      <w:r w:rsidR="000E42E6" w:rsidRPr="00AB2831">
        <w:t>Through</w:t>
      </w:r>
      <w:r w:rsidR="00AB2831">
        <w:t xml:space="preserve"> a</w:t>
      </w:r>
      <w:r>
        <w:t xml:space="preserve">n embodied </w:t>
      </w:r>
      <w:r w:rsidR="00AB2831">
        <w:t>understanding of</w:t>
      </w:r>
      <w:r w:rsidR="000E42E6" w:rsidRPr="00AB2831">
        <w:t xml:space="preserve"> the intelligence of </w:t>
      </w:r>
      <w:r w:rsidR="00C47BD6" w:rsidRPr="00AB2831">
        <w:t xml:space="preserve">the cosmos </w:t>
      </w:r>
      <w:r w:rsidR="00AB2831">
        <w:t>the diviner</w:t>
      </w:r>
      <w:r w:rsidR="00C47BD6" w:rsidRPr="00AB2831">
        <w:t xml:space="preserve"> </w:t>
      </w:r>
      <w:r w:rsidR="00D83557" w:rsidRPr="00AB2831">
        <w:t>became the cosmos.</w:t>
      </w:r>
    </w:p>
    <w:p w14:paraId="393DF32B" w14:textId="114C7E7E" w:rsidR="002C324C" w:rsidRPr="00CC0556" w:rsidRDefault="002C324C">
      <w:pPr>
        <w:rPr>
          <w:strike/>
          <w:lang w:val="en-US"/>
        </w:rPr>
      </w:pPr>
    </w:p>
    <w:p w14:paraId="6E3D3712" w14:textId="77777777" w:rsidR="008E0FA6" w:rsidRDefault="008E0FA6">
      <w:pPr>
        <w:rPr>
          <w:rFonts w:ascii="Georgia" w:hAnsi="Georgia"/>
          <w:b/>
          <w:sz w:val="22"/>
          <w:szCs w:val="22"/>
        </w:rPr>
      </w:pPr>
      <w:r>
        <w:rPr>
          <w:rFonts w:ascii="Georgia" w:hAnsi="Georgia"/>
          <w:b/>
          <w:sz w:val="22"/>
          <w:szCs w:val="22"/>
        </w:rPr>
        <w:br w:type="page"/>
      </w:r>
    </w:p>
    <w:p w14:paraId="5E50E252" w14:textId="630FBFC8" w:rsidR="00B75FA2" w:rsidRDefault="00B75FA2" w:rsidP="00B75FA2">
      <w:pPr>
        <w:rPr>
          <w:rFonts w:ascii="Georgia" w:hAnsi="Georgia"/>
          <w:b/>
          <w:sz w:val="22"/>
          <w:szCs w:val="22"/>
        </w:rPr>
      </w:pPr>
      <w:r w:rsidRPr="00B565B4">
        <w:rPr>
          <w:rFonts w:ascii="Georgia" w:hAnsi="Georgia"/>
          <w:b/>
          <w:sz w:val="22"/>
          <w:szCs w:val="22"/>
        </w:rPr>
        <w:lastRenderedPageBreak/>
        <w:t>Bibliography</w:t>
      </w:r>
    </w:p>
    <w:p w14:paraId="60075E25" w14:textId="65D570A0" w:rsidR="00122AFA" w:rsidRPr="008E0FA6" w:rsidRDefault="00122AFA" w:rsidP="00B75FA2">
      <w:pPr>
        <w:rPr>
          <w:b/>
          <w:bCs/>
        </w:rPr>
      </w:pPr>
      <w:r w:rsidRPr="008E0FA6">
        <w:rPr>
          <w:b/>
          <w:bCs/>
          <w:i/>
          <w:iCs/>
        </w:rPr>
        <w:t>Primary Sources</w:t>
      </w:r>
    </w:p>
    <w:p w14:paraId="39356355" w14:textId="754B07B9" w:rsidR="006F3707" w:rsidRPr="006F3707" w:rsidRDefault="006F3707" w:rsidP="00FE37BB">
      <w:r>
        <w:rPr>
          <w:i/>
          <w:iCs/>
        </w:rPr>
        <w:t>The Ancient Egyptian Book of the Dead,</w:t>
      </w:r>
      <w:r>
        <w:t xml:space="preserve"> translated by R. O. Faulkner (New York: Macmillan Publishing Company, 1985)</w:t>
      </w:r>
    </w:p>
    <w:p w14:paraId="6DC8AAE8" w14:textId="77777777" w:rsidR="006F3707" w:rsidRDefault="006F3707" w:rsidP="00FE37BB">
      <w:pPr>
        <w:rPr>
          <w:i/>
          <w:iCs/>
        </w:rPr>
      </w:pPr>
    </w:p>
    <w:p w14:paraId="7EAA0EE8" w14:textId="5030736B" w:rsidR="00B26FA7" w:rsidRDefault="00B26FA7" w:rsidP="00FE37BB">
      <w:r w:rsidRPr="007D1CCF">
        <w:rPr>
          <w:i/>
          <w:iCs/>
        </w:rPr>
        <w:t>Ancient Egyptian Magical Texts</w:t>
      </w:r>
      <w:r w:rsidR="007D1CCF">
        <w:t>, translated by J. F. Borghouts (Leiden: E. J. Brill, 1978)</w:t>
      </w:r>
    </w:p>
    <w:p w14:paraId="68F49DDA" w14:textId="0B589156" w:rsidR="00EF1E95" w:rsidRDefault="00EF1E95" w:rsidP="00FE37BB"/>
    <w:p w14:paraId="5FCC3B40" w14:textId="2164AB5C" w:rsidR="00EF1E95" w:rsidRDefault="00EF1E95" w:rsidP="00FE37BB">
      <w:r w:rsidRPr="00EF1E95">
        <w:rPr>
          <w:i/>
          <w:iCs/>
        </w:rPr>
        <w:t>The Ancient Egyptian Pyramid Texts</w:t>
      </w:r>
      <w:r>
        <w:t>, translated by James P. Allen (Atlanta: Society of Biblical Literature, 2005)</w:t>
      </w:r>
    </w:p>
    <w:p w14:paraId="36DF1FE1" w14:textId="77777777" w:rsidR="000F504B" w:rsidRDefault="000F504B" w:rsidP="00FE37BB"/>
    <w:p w14:paraId="278251D5" w14:textId="7D426545" w:rsidR="00122AFA" w:rsidRPr="008E0FA6" w:rsidRDefault="00122AFA" w:rsidP="00B75FA2">
      <w:pPr>
        <w:rPr>
          <w:b/>
          <w:bCs/>
          <w:i/>
          <w:iCs/>
        </w:rPr>
      </w:pPr>
      <w:r w:rsidRPr="008E0FA6">
        <w:rPr>
          <w:b/>
          <w:bCs/>
          <w:i/>
          <w:iCs/>
        </w:rPr>
        <w:t>Secondary Sources</w:t>
      </w:r>
    </w:p>
    <w:p w14:paraId="57CE21E1" w14:textId="432258A9" w:rsidR="00F631AF" w:rsidRPr="00160A3B" w:rsidRDefault="00F631AF" w:rsidP="00E671C9">
      <w:pPr>
        <w:rPr>
          <w:b/>
          <w:bCs/>
        </w:rPr>
      </w:pPr>
      <w:r w:rsidRPr="0048290D">
        <w:t>Campion,</w:t>
      </w:r>
      <w:r>
        <w:t xml:space="preserve"> </w:t>
      </w:r>
      <w:r w:rsidRPr="0048290D">
        <w:t xml:space="preserve">Nicholas </w:t>
      </w:r>
      <w:r w:rsidRPr="00F631AF">
        <w:rPr>
          <w:i/>
          <w:iCs/>
        </w:rPr>
        <w:t>Astrology and Cosmology In The World’s Religions</w:t>
      </w:r>
      <w:r>
        <w:t xml:space="preserve"> (London: New York University Press, 2012)</w:t>
      </w:r>
    </w:p>
    <w:p w14:paraId="246C428F" w14:textId="77777777" w:rsidR="00F631AF" w:rsidRDefault="00F631AF" w:rsidP="00E671C9"/>
    <w:p w14:paraId="14695B52" w14:textId="54C75949" w:rsidR="00D9267E" w:rsidRPr="003635BB" w:rsidRDefault="00D9267E" w:rsidP="00E671C9">
      <w:pPr>
        <w:rPr>
          <w:lang w:val="en-US"/>
        </w:rPr>
      </w:pPr>
      <w:r w:rsidRPr="00C733A0">
        <w:t xml:space="preserve">Campion, Nicholas, </w:t>
      </w:r>
      <w:r w:rsidRPr="00C733A0">
        <w:rPr>
          <w:lang w:val="x-none"/>
        </w:rPr>
        <w:t>‘The I</w:t>
      </w:r>
      <w:r w:rsidRPr="00C733A0">
        <w:t>m</w:t>
      </w:r>
      <w:r w:rsidRPr="00C733A0">
        <w:rPr>
          <w:lang w:val="x-none"/>
        </w:rPr>
        <w:t>portance of Cosmology in Culture: Contexts and Consequences</w:t>
      </w:r>
      <w:r w:rsidRPr="00C733A0">
        <w:t>’</w:t>
      </w:r>
      <w:r w:rsidRPr="00C733A0">
        <w:rPr>
          <w:lang w:val="x-none"/>
        </w:rPr>
        <w:t xml:space="preserve">, in Abraao Jesse Capistrano de Souza (ed.), </w:t>
      </w:r>
      <w:r w:rsidRPr="003635BB">
        <w:rPr>
          <w:i/>
          <w:iCs/>
          <w:lang w:val="x-none"/>
        </w:rPr>
        <w:t>Cosmology</w:t>
      </w:r>
      <w:r w:rsidRPr="00C733A0">
        <w:rPr>
          <w:lang w:val="x-none"/>
        </w:rPr>
        <w:t xml:space="preserve"> </w:t>
      </w:r>
      <w:r w:rsidR="003635BB">
        <w:rPr>
          <w:lang w:val="en-US"/>
        </w:rPr>
        <w:t>(</w:t>
      </w:r>
      <w:r w:rsidRPr="00C733A0">
        <w:rPr>
          <w:lang w:val="x-none"/>
        </w:rPr>
        <w:t>InTech Open,</w:t>
      </w:r>
      <w:r w:rsidRPr="00C733A0">
        <w:t xml:space="preserve"> </w:t>
      </w:r>
      <w:r w:rsidRPr="00C733A0">
        <w:rPr>
          <w:lang w:val="x-none"/>
        </w:rPr>
        <w:t>2017</w:t>
      </w:r>
      <w:r w:rsidR="003635BB">
        <w:rPr>
          <w:lang w:val="en-US"/>
        </w:rPr>
        <w:t>)</w:t>
      </w:r>
    </w:p>
    <w:p w14:paraId="5EA8A6F7" w14:textId="77777777" w:rsidR="00D9267E" w:rsidRPr="00C733A0" w:rsidRDefault="00D9267E" w:rsidP="00E671C9"/>
    <w:p w14:paraId="4B2DE529" w14:textId="4EC0F842" w:rsidR="002F271E" w:rsidRDefault="002F271E" w:rsidP="002F271E">
      <w:r w:rsidRPr="00E671C9">
        <w:rPr>
          <w:lang w:val="en-US"/>
        </w:rPr>
        <w:t>Dunand, Françoise, and Christiane Zivie-Coche</w:t>
      </w:r>
      <w:r>
        <w:rPr>
          <w:lang w:val="en-US"/>
        </w:rPr>
        <w:t>,</w:t>
      </w:r>
      <w:r w:rsidRPr="00E671C9">
        <w:rPr>
          <w:lang w:val="en-US"/>
        </w:rPr>
        <w:t xml:space="preserve"> </w:t>
      </w:r>
      <w:r w:rsidRPr="002F271E">
        <w:rPr>
          <w:i/>
          <w:iCs/>
          <w:lang w:val="en-US"/>
        </w:rPr>
        <w:t>Gods and Men in Egypt: 3000 BCE to 395 CE</w:t>
      </w:r>
      <w:r w:rsidRPr="00E671C9">
        <w:rPr>
          <w:lang w:val="en-US"/>
        </w:rPr>
        <w:t xml:space="preserve"> Translated by David Lorton </w:t>
      </w:r>
      <w:r>
        <w:rPr>
          <w:lang w:val="en-US"/>
        </w:rPr>
        <w:t>(</w:t>
      </w:r>
      <w:r w:rsidRPr="00E671C9">
        <w:rPr>
          <w:lang w:val="en-US"/>
        </w:rPr>
        <w:t>Ithaca: Cornell University Press, 200</w:t>
      </w:r>
      <w:r>
        <w:rPr>
          <w:lang w:val="en-US"/>
        </w:rPr>
        <w:t>4)</w:t>
      </w:r>
    </w:p>
    <w:p w14:paraId="07E2A534" w14:textId="77777777" w:rsidR="002F271E" w:rsidRDefault="002F271E" w:rsidP="00E671C9">
      <w:pPr>
        <w:rPr>
          <w:rFonts w:eastAsiaTheme="minorEastAsia"/>
        </w:rPr>
      </w:pPr>
    </w:p>
    <w:p w14:paraId="7253EC7A" w14:textId="7C21BFA8" w:rsidR="00C733A0" w:rsidRDefault="00C733A0" w:rsidP="00E671C9">
      <w:pPr>
        <w:rPr>
          <w:rFonts w:eastAsiaTheme="minorEastAsia"/>
        </w:rPr>
      </w:pPr>
      <w:r w:rsidRPr="00C733A0">
        <w:rPr>
          <w:rFonts w:eastAsiaTheme="minorEastAsia"/>
        </w:rPr>
        <w:t xml:space="preserve">Geertz, Clifford, </w:t>
      </w:r>
      <w:r w:rsidRPr="00C733A0">
        <w:rPr>
          <w:rFonts w:eastAsiaTheme="minorEastAsia"/>
          <w:i/>
          <w:iCs/>
        </w:rPr>
        <w:t>The Interpretation of Cultures</w:t>
      </w:r>
      <w:r w:rsidRPr="00C733A0">
        <w:rPr>
          <w:rFonts w:eastAsiaTheme="minorEastAsia"/>
        </w:rPr>
        <w:t xml:space="preserve"> </w:t>
      </w:r>
      <w:r>
        <w:rPr>
          <w:rFonts w:eastAsiaTheme="minorEastAsia"/>
        </w:rPr>
        <w:t>(</w:t>
      </w:r>
      <w:r w:rsidRPr="00C733A0">
        <w:rPr>
          <w:rFonts w:eastAsiaTheme="minorEastAsia"/>
        </w:rPr>
        <w:t>New York: Basic Books, 1973</w:t>
      </w:r>
      <w:r w:rsidR="004578DE">
        <w:rPr>
          <w:rFonts w:eastAsiaTheme="minorEastAsia"/>
        </w:rPr>
        <w:t>)</w:t>
      </w:r>
    </w:p>
    <w:p w14:paraId="378158D0" w14:textId="7838FD8C" w:rsidR="00C733A0" w:rsidRDefault="00C733A0" w:rsidP="00E671C9">
      <w:pPr>
        <w:rPr>
          <w:rFonts w:eastAsiaTheme="minorEastAsia"/>
        </w:rPr>
      </w:pPr>
    </w:p>
    <w:p w14:paraId="3D63E9D5" w14:textId="35C293D5" w:rsidR="00C733A0" w:rsidRDefault="00C733A0" w:rsidP="00E671C9">
      <w:r w:rsidRPr="00F7718C">
        <w:t>Eagleton,</w:t>
      </w:r>
      <w:r>
        <w:t xml:space="preserve"> </w:t>
      </w:r>
      <w:r w:rsidRPr="00F7718C">
        <w:t>Terry</w:t>
      </w:r>
      <w:r>
        <w:t>,</w:t>
      </w:r>
      <w:r w:rsidRPr="00F7718C">
        <w:t xml:space="preserve"> </w:t>
      </w:r>
      <w:r w:rsidRPr="00F7718C">
        <w:rPr>
          <w:i/>
        </w:rPr>
        <w:t>The Idea of Culture</w:t>
      </w:r>
      <w:r w:rsidRPr="00F7718C">
        <w:t xml:space="preserve"> (Oxford:</w:t>
      </w:r>
      <w:r>
        <w:t xml:space="preserve"> </w:t>
      </w:r>
      <w:r w:rsidRPr="00F7718C">
        <w:t>Blackwell</w:t>
      </w:r>
      <w:r w:rsidR="004578DE">
        <w:t>,</w:t>
      </w:r>
      <w:r w:rsidRPr="00F7718C">
        <w:t xml:space="preserve"> 2000)</w:t>
      </w:r>
    </w:p>
    <w:p w14:paraId="57A0D806" w14:textId="508C54A4" w:rsidR="00160A3B" w:rsidRDefault="00160A3B" w:rsidP="00E671C9"/>
    <w:p w14:paraId="3297F816" w14:textId="04AE1957" w:rsidR="00160A3B" w:rsidRDefault="00160A3B" w:rsidP="00E671C9">
      <w:pPr>
        <w:rPr>
          <w:rFonts w:eastAsiaTheme="minorEastAsia"/>
        </w:rPr>
      </w:pPr>
      <w:r>
        <w:t xml:space="preserve">Jacq, Christian, </w:t>
      </w:r>
      <w:r w:rsidRPr="00160A3B">
        <w:rPr>
          <w:i/>
          <w:iCs/>
        </w:rPr>
        <w:t>Egyptian Magic</w:t>
      </w:r>
      <w:r>
        <w:t xml:space="preserve"> (Wiltshire: Aris &amp; Phillips Ltd., 1985)</w:t>
      </w:r>
    </w:p>
    <w:p w14:paraId="1FE8AC61" w14:textId="6A6EF46F" w:rsidR="00C733A0" w:rsidRPr="004639AB" w:rsidRDefault="00C733A0" w:rsidP="00E671C9">
      <w:pPr>
        <w:rPr>
          <w:rFonts w:eastAsiaTheme="minorEastAsia"/>
        </w:rPr>
      </w:pPr>
    </w:p>
    <w:p w14:paraId="19980BBA" w14:textId="787B749A" w:rsidR="00F631AF" w:rsidRPr="00F631AF" w:rsidRDefault="00F631AF" w:rsidP="00E671C9">
      <w:r w:rsidRPr="00F631AF">
        <w:t xml:space="preserve">Lehoux, Daryn ‘Tomorrow’s News Today: Astrology, Fate, and the Way Out’, </w:t>
      </w:r>
      <w:r w:rsidRPr="00F631AF">
        <w:rPr>
          <w:i/>
          <w:iCs/>
        </w:rPr>
        <w:t>Representations</w:t>
      </w:r>
      <w:r w:rsidRPr="00F631AF">
        <w:t>, Vol. 95., No. 1 (2006)</w:t>
      </w:r>
    </w:p>
    <w:p w14:paraId="0D8D977B" w14:textId="77777777" w:rsidR="00F631AF" w:rsidRDefault="00F631AF" w:rsidP="00E671C9">
      <w:pPr>
        <w:rPr>
          <w:sz w:val="20"/>
          <w:szCs w:val="20"/>
        </w:rPr>
      </w:pPr>
    </w:p>
    <w:p w14:paraId="0686AADC" w14:textId="260ED29C" w:rsidR="004639AB" w:rsidRPr="004639AB" w:rsidRDefault="004639AB" w:rsidP="00E671C9">
      <w:r w:rsidRPr="004639AB">
        <w:t xml:space="preserve">Pinch, Geraldine, </w:t>
      </w:r>
      <w:r w:rsidRPr="004639AB">
        <w:rPr>
          <w:i/>
          <w:iCs/>
        </w:rPr>
        <w:t>Magic in Ancient Egypt</w:t>
      </w:r>
      <w:r w:rsidRPr="004639AB">
        <w:t xml:space="preserve"> (London: British Museum Press, 1994)</w:t>
      </w:r>
    </w:p>
    <w:p w14:paraId="21502AE1" w14:textId="77777777" w:rsidR="004639AB" w:rsidRDefault="004639AB" w:rsidP="00E671C9">
      <w:pPr>
        <w:rPr>
          <w:sz w:val="20"/>
          <w:szCs w:val="20"/>
        </w:rPr>
      </w:pPr>
    </w:p>
    <w:p w14:paraId="0CB32CEB" w14:textId="77777777" w:rsidR="00BC6309" w:rsidRDefault="00BC6309" w:rsidP="00BC6309">
      <w:r>
        <w:t xml:space="preserve">Prada, Luigi, ‘Dreams, rising stars and falling geckos: divination in ancient Egypt', </w:t>
      </w:r>
      <w:r w:rsidRPr="000B3D26">
        <w:rPr>
          <w:i/>
          <w:iCs/>
        </w:rPr>
        <w:t>Egyptian Archaeology</w:t>
      </w:r>
      <w:r>
        <w:t>, No. 51 (Autumn 2017), 4-9</w:t>
      </w:r>
    </w:p>
    <w:p w14:paraId="2C6F6506" w14:textId="77777777" w:rsidR="00BC6309" w:rsidRDefault="00BC6309" w:rsidP="00E671C9"/>
    <w:p w14:paraId="3DA42FF9" w14:textId="0FE84CF1" w:rsidR="004578DE" w:rsidRPr="00C733A0" w:rsidRDefault="004578DE" w:rsidP="00E671C9">
      <w:pPr>
        <w:rPr>
          <w:rFonts w:eastAsiaTheme="minorEastAsia"/>
        </w:rPr>
      </w:pPr>
      <w:r>
        <w:t>Quirke, Stephen</w:t>
      </w:r>
      <w:r w:rsidR="00BC6309">
        <w:t>,</w:t>
      </w:r>
      <w:r>
        <w:t xml:space="preserve"> </w:t>
      </w:r>
      <w:r w:rsidRPr="004578DE">
        <w:rPr>
          <w:i/>
          <w:iCs/>
        </w:rPr>
        <w:t>Exploring Religion in Ancient Egypt</w:t>
      </w:r>
      <w:r w:rsidR="003635BB">
        <w:t xml:space="preserve"> </w:t>
      </w:r>
      <w:r>
        <w:t>(Oxford: Wiley Blackwell, 2015)</w:t>
      </w:r>
    </w:p>
    <w:p w14:paraId="6394055C" w14:textId="77777777" w:rsidR="00C733A0" w:rsidRDefault="00C733A0" w:rsidP="00E671C9">
      <w:pPr>
        <w:rPr>
          <w:rFonts w:eastAsiaTheme="minorEastAsia"/>
          <w:sz w:val="20"/>
          <w:szCs w:val="20"/>
        </w:rPr>
      </w:pPr>
    </w:p>
    <w:p w14:paraId="2F678445" w14:textId="77777777" w:rsidR="002F271E" w:rsidRDefault="002F271E" w:rsidP="002F271E">
      <w:r>
        <w:t xml:space="preserve">Redford, Donald B., ed., </w:t>
      </w:r>
      <w:r w:rsidRPr="00073874">
        <w:rPr>
          <w:i/>
          <w:iCs/>
        </w:rPr>
        <w:t>The Ancient Gods Speak: A Guide to Egyptian Religion</w:t>
      </w:r>
      <w:r>
        <w:t xml:space="preserve"> (Oxford: Oxford University Press, 2002)</w:t>
      </w:r>
    </w:p>
    <w:p w14:paraId="0393942D" w14:textId="77777777" w:rsidR="002F271E" w:rsidRDefault="002F271E" w:rsidP="00E671C9"/>
    <w:p w14:paraId="723B0506" w14:textId="5328E599" w:rsidR="00BC6309" w:rsidRDefault="00B637EE" w:rsidP="00E671C9">
      <w:r w:rsidRPr="0048290D">
        <w:t>Ritner,</w:t>
      </w:r>
      <w:r>
        <w:t xml:space="preserve"> </w:t>
      </w:r>
      <w:r w:rsidRPr="0048290D">
        <w:t>Robert Kriech</w:t>
      </w:r>
      <w:r>
        <w:t>,</w:t>
      </w:r>
      <w:r w:rsidRPr="0048290D">
        <w:t xml:space="preserve"> </w:t>
      </w:r>
      <w:r w:rsidRPr="00B637EE">
        <w:rPr>
          <w:i/>
          <w:iCs/>
        </w:rPr>
        <w:t>The Mechanics of Ancient Egyptian Magical Practice</w:t>
      </w:r>
      <w:r w:rsidRPr="0048290D">
        <w:t xml:space="preserve"> </w:t>
      </w:r>
      <w:r>
        <w:t>(Chicago: The University of Chicago, 1993)</w:t>
      </w:r>
    </w:p>
    <w:p w14:paraId="52516062" w14:textId="16EB82B2" w:rsidR="00626C4D" w:rsidRDefault="00626C4D" w:rsidP="00E671C9"/>
    <w:p w14:paraId="076E737E" w14:textId="1CE87789" w:rsidR="00FE37BB" w:rsidRDefault="00626C4D" w:rsidP="00FE37BB">
      <w:r>
        <w:t xml:space="preserve">Szpakowska, Kasia, ‘The Open Portal: Dreams and Divine Power in Pharaonic Egypt,’ in </w:t>
      </w:r>
      <w:r w:rsidRPr="00626C4D">
        <w:rPr>
          <w:i/>
          <w:iCs/>
        </w:rPr>
        <w:t>Prayer, Magic, and the Stars in the Ancient and Late Antique World</w:t>
      </w:r>
      <w:r w:rsidRPr="00FD59A3">
        <w:t>,</w:t>
      </w:r>
      <w:r>
        <w:t xml:space="preserve"> ed. by Scott Noegel, Joel Walker, and Brannon Wheeler, pp.</w:t>
      </w:r>
      <w:r w:rsidRPr="00626C4D">
        <w:t xml:space="preserve"> </w:t>
      </w:r>
      <w:r>
        <w:t>111-24 (University Park: The Pennsylvania State University Press, 2003)</w:t>
      </w:r>
    </w:p>
    <w:sectPr w:rsidR="00FE37BB" w:rsidSect="00D5536F">
      <w:headerReference w:type="even" r:id="rId9"/>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BA748E" w14:textId="77777777" w:rsidR="00B80925" w:rsidRDefault="00B80925" w:rsidP="00B75FA2">
      <w:r>
        <w:separator/>
      </w:r>
    </w:p>
  </w:endnote>
  <w:endnote w:type="continuationSeparator" w:id="0">
    <w:p w14:paraId="6B83777E" w14:textId="77777777" w:rsidR="00B80925" w:rsidRDefault="00B80925" w:rsidP="00B75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41D760" w14:textId="77777777" w:rsidR="00B80925" w:rsidRDefault="00B80925" w:rsidP="00B75FA2">
      <w:r>
        <w:separator/>
      </w:r>
    </w:p>
  </w:footnote>
  <w:footnote w:type="continuationSeparator" w:id="0">
    <w:p w14:paraId="1686E09B" w14:textId="77777777" w:rsidR="00B80925" w:rsidRDefault="00B80925" w:rsidP="00B75FA2">
      <w:r>
        <w:continuationSeparator/>
      </w:r>
    </w:p>
  </w:footnote>
  <w:footnote w:id="1">
    <w:p w14:paraId="0FD76916" w14:textId="641254AB" w:rsidR="00C23F57" w:rsidRPr="003E3DAF" w:rsidRDefault="00C23F57" w:rsidP="00C65C3C">
      <w:pPr>
        <w:pStyle w:val="FootnoteText"/>
        <w:rPr>
          <w:lang w:val="en-US"/>
        </w:rPr>
      </w:pPr>
      <w:r w:rsidRPr="003E3DAF">
        <w:rPr>
          <w:rStyle w:val="FootnoteReference"/>
        </w:rPr>
        <w:footnoteRef/>
      </w:r>
      <w:r w:rsidRPr="003E3DAF">
        <w:t xml:space="preserve"> Nicholas Campion, </w:t>
      </w:r>
      <w:r w:rsidRPr="003E3DAF">
        <w:rPr>
          <w:lang w:val="x-none"/>
        </w:rPr>
        <w:t>‘The I</w:t>
      </w:r>
      <w:r w:rsidRPr="003E3DAF">
        <w:t>m</w:t>
      </w:r>
      <w:r w:rsidRPr="003E3DAF">
        <w:rPr>
          <w:lang w:val="x-none"/>
        </w:rPr>
        <w:t>portance of Cosmology in Culture: Contexts and Consequences</w:t>
      </w:r>
      <w:r w:rsidRPr="003E3DAF">
        <w:t>’</w:t>
      </w:r>
      <w:r w:rsidRPr="003E3DAF">
        <w:rPr>
          <w:lang w:val="x-none"/>
        </w:rPr>
        <w:t>, in Abraao Jesse Capistrano de Souza (ed.), Cosmology, InTech Open,</w:t>
      </w:r>
      <w:r w:rsidRPr="003E3DAF">
        <w:t xml:space="preserve"> </w:t>
      </w:r>
      <w:r w:rsidRPr="003E3DAF">
        <w:rPr>
          <w:lang w:val="x-none"/>
        </w:rPr>
        <w:t>2017</w:t>
      </w:r>
      <w:r w:rsidRPr="003E3DAF">
        <w:t>, pp. 3-17.</w:t>
      </w:r>
    </w:p>
  </w:footnote>
  <w:footnote w:id="2">
    <w:p w14:paraId="55E72D02" w14:textId="393C8B92" w:rsidR="00C23F57" w:rsidRPr="003E3DAF" w:rsidRDefault="00C23F57" w:rsidP="00C65C3C">
      <w:pPr>
        <w:rPr>
          <w:sz w:val="20"/>
          <w:szCs w:val="20"/>
          <w:lang w:val="en-US"/>
        </w:rPr>
      </w:pPr>
      <w:r w:rsidRPr="003E3DAF">
        <w:rPr>
          <w:rStyle w:val="FootnoteReference"/>
          <w:sz w:val="20"/>
          <w:szCs w:val="20"/>
        </w:rPr>
        <w:footnoteRef/>
      </w:r>
      <w:r w:rsidRPr="003E3DAF">
        <w:rPr>
          <w:sz w:val="20"/>
          <w:szCs w:val="20"/>
        </w:rPr>
        <w:t xml:space="preserve"> </w:t>
      </w:r>
      <w:r w:rsidRPr="003E3DAF">
        <w:rPr>
          <w:rFonts w:eastAsiaTheme="minorEastAsia"/>
          <w:sz w:val="20"/>
          <w:szCs w:val="20"/>
        </w:rPr>
        <w:t xml:space="preserve">Clifford Geertz, </w:t>
      </w:r>
      <w:r w:rsidRPr="003E3DAF">
        <w:rPr>
          <w:rFonts w:eastAsiaTheme="minorEastAsia"/>
          <w:i/>
          <w:iCs/>
          <w:sz w:val="20"/>
          <w:szCs w:val="20"/>
        </w:rPr>
        <w:t>The Interpretation of Cultures</w:t>
      </w:r>
      <w:r w:rsidRPr="003E3DAF">
        <w:rPr>
          <w:rFonts w:eastAsiaTheme="minorEastAsia"/>
          <w:sz w:val="20"/>
          <w:szCs w:val="20"/>
        </w:rPr>
        <w:t xml:space="preserve"> (New York: Basic Books, 1973), p. 99.</w:t>
      </w:r>
    </w:p>
  </w:footnote>
  <w:footnote w:id="3">
    <w:p w14:paraId="20B69286" w14:textId="2877A4B8" w:rsidR="00C23F57" w:rsidRPr="003E3DAF" w:rsidRDefault="00C23F57" w:rsidP="00C65C3C">
      <w:pPr>
        <w:pStyle w:val="FootnoteText"/>
      </w:pPr>
      <w:r w:rsidRPr="003E3DAF">
        <w:rPr>
          <w:rStyle w:val="FootnoteReference"/>
        </w:rPr>
        <w:footnoteRef/>
      </w:r>
      <w:r w:rsidRPr="003E3DAF">
        <w:t xml:space="preserve"> Terry Eagleton, </w:t>
      </w:r>
      <w:r w:rsidRPr="003E3DAF">
        <w:rPr>
          <w:i/>
        </w:rPr>
        <w:t>The Idea of Culture</w:t>
      </w:r>
      <w:r w:rsidRPr="003E3DAF">
        <w:t xml:space="preserve"> (Oxford: Blackwell, 2000), pp.1-2, 28.</w:t>
      </w:r>
    </w:p>
  </w:footnote>
  <w:footnote w:id="4">
    <w:p w14:paraId="171FEEA2" w14:textId="10F6F6A5" w:rsidR="00C23F57" w:rsidRPr="003E3DAF" w:rsidRDefault="00C23F57" w:rsidP="00C65C3C">
      <w:pPr>
        <w:pStyle w:val="FootnoteText"/>
      </w:pPr>
      <w:r w:rsidRPr="003E3DAF">
        <w:rPr>
          <w:rStyle w:val="FootnoteReference"/>
        </w:rPr>
        <w:footnoteRef/>
      </w:r>
      <w:r w:rsidRPr="003E3DAF">
        <w:t xml:space="preserve"> Stephen Quirke, </w:t>
      </w:r>
      <w:r w:rsidRPr="003E3DAF">
        <w:rPr>
          <w:i/>
          <w:iCs/>
        </w:rPr>
        <w:t>Exploring Religion in Ancient Egypt</w:t>
      </w:r>
      <w:r w:rsidRPr="003E3DAF">
        <w:t xml:space="preserve"> (Oxford: Wiley Blackwell, 2015), pp.36-37.</w:t>
      </w:r>
    </w:p>
  </w:footnote>
  <w:footnote w:id="5">
    <w:p w14:paraId="48B5C34B" w14:textId="77777777" w:rsidR="00E0495F" w:rsidRDefault="00E0495F" w:rsidP="00E0495F">
      <w:pPr>
        <w:pStyle w:val="FootnoteText"/>
      </w:pPr>
      <w:r>
        <w:rPr>
          <w:rStyle w:val="FootnoteReference"/>
        </w:rPr>
        <w:footnoteRef/>
      </w:r>
      <w:r>
        <w:t xml:space="preserve"> Quirke, </w:t>
      </w:r>
      <w:r w:rsidRPr="006064F8">
        <w:rPr>
          <w:i/>
          <w:iCs/>
        </w:rPr>
        <w:t>Exploring Religion in Ancient Egypt</w:t>
      </w:r>
      <w:r>
        <w:t>, pp.4-5.</w:t>
      </w:r>
    </w:p>
  </w:footnote>
  <w:footnote w:id="6">
    <w:p w14:paraId="3F12690F" w14:textId="47C16E19" w:rsidR="00C23F57" w:rsidRPr="003E3DAF" w:rsidRDefault="00C23F57" w:rsidP="00C65C3C">
      <w:pPr>
        <w:pStyle w:val="FootnoteText"/>
      </w:pPr>
      <w:r w:rsidRPr="003E3DAF">
        <w:rPr>
          <w:rStyle w:val="FootnoteReference"/>
        </w:rPr>
        <w:footnoteRef/>
      </w:r>
      <w:r w:rsidRPr="003E3DAF">
        <w:t xml:space="preserve"> Quirke, </w:t>
      </w:r>
      <w:r w:rsidRPr="003E3DAF">
        <w:rPr>
          <w:i/>
          <w:iCs/>
        </w:rPr>
        <w:t>Exploring Religion in Ancient Egypt</w:t>
      </w:r>
      <w:r w:rsidRPr="003E3DAF">
        <w:t>, p. 12.</w:t>
      </w:r>
    </w:p>
  </w:footnote>
  <w:footnote w:id="7">
    <w:p w14:paraId="372A40AB" w14:textId="77777777" w:rsidR="008E0FA6" w:rsidRPr="0048290D" w:rsidRDefault="008E0FA6" w:rsidP="008E0FA6">
      <w:pPr>
        <w:pStyle w:val="FootnoteText"/>
      </w:pPr>
      <w:r w:rsidRPr="0048290D">
        <w:rPr>
          <w:rStyle w:val="FootnoteReference"/>
        </w:rPr>
        <w:footnoteRef/>
      </w:r>
      <w:r w:rsidRPr="0048290D">
        <w:t xml:space="preserve"> </w:t>
      </w:r>
      <w:r w:rsidRPr="002F271E">
        <w:rPr>
          <w:lang w:val="en-US"/>
        </w:rPr>
        <w:t>Françoise</w:t>
      </w:r>
      <w:r>
        <w:rPr>
          <w:lang w:val="en-US"/>
        </w:rPr>
        <w:t xml:space="preserve"> </w:t>
      </w:r>
      <w:r w:rsidRPr="002F271E">
        <w:rPr>
          <w:lang w:val="en-US"/>
        </w:rPr>
        <w:t xml:space="preserve">Dunand and Christiane Zivie-Coche, </w:t>
      </w:r>
      <w:r w:rsidRPr="002F271E">
        <w:rPr>
          <w:i/>
          <w:iCs/>
          <w:lang w:val="en-US"/>
        </w:rPr>
        <w:t>Gods and Men in Egypt: 3000 BCE to 395 CE</w:t>
      </w:r>
      <w:r w:rsidRPr="002F271E">
        <w:rPr>
          <w:lang w:val="en-US"/>
        </w:rPr>
        <w:t xml:space="preserve"> Translated by David Lorton (Ithaca: Cornell University Press, 2004)</w:t>
      </w:r>
      <w:r w:rsidRPr="002F271E">
        <w:t xml:space="preserve">, </w:t>
      </w:r>
      <w:r w:rsidRPr="0048290D">
        <w:t>p</w:t>
      </w:r>
      <w:r>
        <w:t>.</w:t>
      </w:r>
      <w:r w:rsidRPr="0048290D">
        <w:t xml:space="preserve"> 107</w:t>
      </w:r>
    </w:p>
  </w:footnote>
  <w:footnote w:id="8">
    <w:p w14:paraId="722824EE" w14:textId="6D60DC93" w:rsidR="00C23F57" w:rsidRPr="003E3DAF" w:rsidRDefault="00C23F57" w:rsidP="00DF071C">
      <w:pPr>
        <w:rPr>
          <w:sz w:val="20"/>
          <w:szCs w:val="20"/>
        </w:rPr>
      </w:pPr>
      <w:r w:rsidRPr="003E3DAF">
        <w:rPr>
          <w:rStyle w:val="FootnoteReference"/>
          <w:sz w:val="20"/>
          <w:szCs w:val="20"/>
        </w:rPr>
        <w:footnoteRef/>
      </w:r>
      <w:r w:rsidRPr="003E3DAF">
        <w:rPr>
          <w:sz w:val="20"/>
          <w:szCs w:val="20"/>
        </w:rPr>
        <w:t xml:space="preserve"> Geraldine Pinch, </w:t>
      </w:r>
      <w:r w:rsidRPr="003E3DAF">
        <w:rPr>
          <w:i/>
          <w:iCs/>
          <w:sz w:val="20"/>
          <w:szCs w:val="20"/>
        </w:rPr>
        <w:t>Magic in Ancient Egypt</w:t>
      </w:r>
      <w:r w:rsidRPr="003E3DAF">
        <w:rPr>
          <w:sz w:val="20"/>
          <w:szCs w:val="20"/>
        </w:rPr>
        <w:t xml:space="preserve"> (London: British Museum Press, 1994), p. 9.</w:t>
      </w:r>
    </w:p>
  </w:footnote>
  <w:footnote w:id="9">
    <w:p w14:paraId="725C4525" w14:textId="35B736BE" w:rsidR="00C23F57" w:rsidRDefault="00C23F57" w:rsidP="00803F90">
      <w:r w:rsidRPr="003E3DAF">
        <w:rPr>
          <w:rStyle w:val="FootnoteReference"/>
          <w:sz w:val="20"/>
          <w:szCs w:val="20"/>
        </w:rPr>
        <w:footnoteRef/>
      </w:r>
      <w:r w:rsidRPr="003E3DAF">
        <w:rPr>
          <w:sz w:val="20"/>
          <w:szCs w:val="20"/>
        </w:rPr>
        <w:t xml:space="preserve"> Daryn Lehoux, ‘Tomorrow’s News Today: Astrology, Fate, and the Way Out’, </w:t>
      </w:r>
      <w:r w:rsidRPr="003E3DAF">
        <w:rPr>
          <w:i/>
          <w:iCs/>
          <w:sz w:val="20"/>
          <w:szCs w:val="20"/>
        </w:rPr>
        <w:t>Representations</w:t>
      </w:r>
      <w:r w:rsidRPr="003E3DAF">
        <w:rPr>
          <w:sz w:val="20"/>
          <w:szCs w:val="20"/>
        </w:rPr>
        <w:t>, Vol. 95., No. 1 (2006), p. 109.</w:t>
      </w:r>
    </w:p>
  </w:footnote>
  <w:footnote w:id="10">
    <w:p w14:paraId="205061B5" w14:textId="3E600052" w:rsidR="00C23F57" w:rsidRDefault="00C23F57" w:rsidP="00C65C3C">
      <w:pPr>
        <w:pStyle w:val="FootnoteText"/>
      </w:pPr>
      <w:r>
        <w:rPr>
          <w:rStyle w:val="FootnoteReference"/>
        </w:rPr>
        <w:footnoteRef/>
      </w:r>
      <w:r>
        <w:t xml:space="preserve"> </w:t>
      </w:r>
      <w:r w:rsidRPr="0048290D">
        <w:t xml:space="preserve">Nicholas Campion, </w:t>
      </w:r>
      <w:r w:rsidRPr="00F631AF">
        <w:rPr>
          <w:i/>
          <w:iCs/>
        </w:rPr>
        <w:t>Astrology and Cosmology In The World’s Religions</w:t>
      </w:r>
      <w:r>
        <w:t xml:space="preserve"> (London: New York University Press, 2012)</w:t>
      </w:r>
      <w:r w:rsidRPr="0048290D">
        <w:t>, p</w:t>
      </w:r>
      <w:r>
        <w:t>p</w:t>
      </w:r>
      <w:r w:rsidRPr="0048290D">
        <w:t>. 8</w:t>
      </w:r>
      <w:r>
        <w:t xml:space="preserve">3-84. </w:t>
      </w:r>
    </w:p>
  </w:footnote>
  <w:footnote w:id="11">
    <w:p w14:paraId="676E8289" w14:textId="30B36400" w:rsidR="00C23F57" w:rsidRPr="00212938" w:rsidRDefault="00C23F57">
      <w:pPr>
        <w:pStyle w:val="FootnoteText"/>
        <w:rPr>
          <w:lang w:val="en-US"/>
        </w:rPr>
      </w:pPr>
      <w:r>
        <w:rPr>
          <w:rStyle w:val="FootnoteReference"/>
        </w:rPr>
        <w:footnoteRef/>
      </w:r>
      <w:r>
        <w:t xml:space="preserve"> </w:t>
      </w:r>
      <w:r w:rsidRPr="003442F8">
        <w:rPr>
          <w:i/>
          <w:iCs/>
        </w:rPr>
        <w:t>The Ancient Egyptian Pyramid Texts</w:t>
      </w:r>
      <w:r w:rsidRPr="003442F8">
        <w:t>, translated by James P. Allen (Atlanta: Society of Biblical Literature, 2005)</w:t>
      </w:r>
      <w:r>
        <w:t>, p. 1.</w:t>
      </w:r>
    </w:p>
  </w:footnote>
  <w:footnote w:id="12">
    <w:p w14:paraId="42BA573D" w14:textId="3CDE8FFA" w:rsidR="00C23F57" w:rsidRPr="00212938" w:rsidRDefault="00C23F57">
      <w:pPr>
        <w:pStyle w:val="FootnoteText"/>
        <w:rPr>
          <w:lang w:val="en-US"/>
        </w:rPr>
      </w:pPr>
      <w:r>
        <w:rPr>
          <w:rStyle w:val="FootnoteReference"/>
        </w:rPr>
        <w:footnoteRef/>
      </w:r>
      <w:r>
        <w:t xml:space="preserve"> </w:t>
      </w:r>
      <w:r w:rsidRPr="003442F8">
        <w:rPr>
          <w:i/>
          <w:iCs/>
        </w:rPr>
        <w:t>The Ancient Egyptian Pyramid Texts</w:t>
      </w:r>
      <w:r w:rsidRPr="003442F8">
        <w:t xml:space="preserve">, </w:t>
      </w:r>
      <w:r>
        <w:t>pp. 5-7.</w:t>
      </w:r>
    </w:p>
  </w:footnote>
  <w:footnote w:id="13">
    <w:p w14:paraId="329A7C59" w14:textId="77777777" w:rsidR="00C23F57" w:rsidRPr="0048290D" w:rsidRDefault="00C23F57" w:rsidP="000215A4">
      <w:pPr>
        <w:pStyle w:val="FootnoteText"/>
      </w:pPr>
      <w:r w:rsidRPr="0048290D">
        <w:rPr>
          <w:rStyle w:val="FootnoteReference"/>
        </w:rPr>
        <w:footnoteRef/>
      </w:r>
      <w:r w:rsidRPr="0048290D">
        <w:t xml:space="preserve"> Robert Kriech</w:t>
      </w:r>
      <w:r>
        <w:t xml:space="preserve"> </w:t>
      </w:r>
      <w:r w:rsidRPr="0048290D">
        <w:t xml:space="preserve">Ritner, </w:t>
      </w:r>
      <w:r w:rsidRPr="00B637EE">
        <w:rPr>
          <w:i/>
          <w:iCs/>
        </w:rPr>
        <w:t>The Mechanics of Ancient Egyptian Magical Practice</w:t>
      </w:r>
      <w:r>
        <w:t xml:space="preserve"> (Chicago: The University of Chicago, 1993), </w:t>
      </w:r>
      <w:r w:rsidRPr="0048290D">
        <w:t>p. 242.</w:t>
      </w:r>
    </w:p>
  </w:footnote>
  <w:footnote w:id="14">
    <w:p w14:paraId="720BA28B" w14:textId="77777777" w:rsidR="00E0495F" w:rsidRDefault="00E0495F" w:rsidP="00E0495F">
      <w:pPr>
        <w:pStyle w:val="FootnoteText"/>
      </w:pPr>
      <w:r>
        <w:rPr>
          <w:rStyle w:val="FootnoteReference"/>
        </w:rPr>
        <w:footnoteRef/>
      </w:r>
      <w:r>
        <w:t xml:space="preserve"> </w:t>
      </w:r>
      <w:r w:rsidRPr="0048290D">
        <w:t xml:space="preserve">Ritner, </w:t>
      </w:r>
      <w:r w:rsidRPr="00B637EE">
        <w:rPr>
          <w:i/>
          <w:iCs/>
        </w:rPr>
        <w:t>The Mechanics of Ancient Egyptian Magical Practice</w:t>
      </w:r>
      <w:r>
        <w:t>, p. 233.</w:t>
      </w:r>
    </w:p>
  </w:footnote>
  <w:footnote w:id="15">
    <w:p w14:paraId="4367AC9A" w14:textId="77777777" w:rsidR="00E0495F" w:rsidRDefault="00E0495F" w:rsidP="00E0495F">
      <w:pPr>
        <w:pStyle w:val="FootnoteText"/>
      </w:pPr>
      <w:r w:rsidRPr="0017761A">
        <w:rPr>
          <w:rStyle w:val="FootnoteReference"/>
        </w:rPr>
        <w:footnoteRef/>
      </w:r>
      <w:r w:rsidRPr="0017761A">
        <w:t xml:space="preserve"> </w:t>
      </w:r>
      <w:r w:rsidRPr="0048290D">
        <w:t xml:space="preserve">Ritner, </w:t>
      </w:r>
      <w:r w:rsidRPr="00B637EE">
        <w:rPr>
          <w:i/>
          <w:iCs/>
        </w:rPr>
        <w:t>The Mechanics of Ancient Egyptian Magical Practice</w:t>
      </w:r>
      <w:r w:rsidRPr="0048290D">
        <w:t>,</w:t>
      </w:r>
      <w:r w:rsidRPr="0017761A">
        <w:t xml:space="preserve"> p.</w:t>
      </w:r>
      <w:r>
        <w:t xml:space="preserve"> </w:t>
      </w:r>
      <w:r w:rsidRPr="0017761A">
        <w:t>2.</w:t>
      </w:r>
      <w:r>
        <w:t xml:space="preserve"> </w:t>
      </w:r>
    </w:p>
  </w:footnote>
  <w:footnote w:id="16">
    <w:p w14:paraId="20D694F5" w14:textId="77777777" w:rsidR="00C23F57" w:rsidRDefault="00C23F57" w:rsidP="000215A4">
      <w:pPr>
        <w:pStyle w:val="FootnoteText"/>
      </w:pPr>
      <w:r>
        <w:rPr>
          <w:rStyle w:val="FootnoteReference"/>
        </w:rPr>
        <w:footnoteRef/>
      </w:r>
      <w:r>
        <w:t xml:space="preserve"> </w:t>
      </w:r>
      <w:r w:rsidRPr="0048290D">
        <w:t xml:space="preserve">Ritner, </w:t>
      </w:r>
      <w:r w:rsidRPr="00B637EE">
        <w:rPr>
          <w:i/>
          <w:iCs/>
        </w:rPr>
        <w:t>The Mechanics of Ancient Egyptian Magical Practice</w:t>
      </w:r>
      <w:r w:rsidRPr="0048290D">
        <w:t>,</w:t>
      </w:r>
      <w:r>
        <w:t xml:space="preserve"> p. 8.</w:t>
      </w:r>
    </w:p>
  </w:footnote>
  <w:footnote w:id="17">
    <w:p w14:paraId="41434197" w14:textId="77777777" w:rsidR="00132F13" w:rsidRDefault="00132F13" w:rsidP="00132F13">
      <w:pPr>
        <w:pStyle w:val="FootnoteText"/>
      </w:pPr>
      <w:r>
        <w:rPr>
          <w:rStyle w:val="FootnoteReference"/>
        </w:rPr>
        <w:footnoteRef/>
      </w:r>
      <w:r>
        <w:t xml:space="preserve"> </w:t>
      </w:r>
      <w:r w:rsidRPr="0048290D">
        <w:t xml:space="preserve">Ritner, </w:t>
      </w:r>
      <w:r w:rsidRPr="00B637EE">
        <w:rPr>
          <w:i/>
          <w:iCs/>
        </w:rPr>
        <w:t>The Mechanics of Ancient Egyptian Magical Practice</w:t>
      </w:r>
      <w:r>
        <w:t>, p. 5.</w:t>
      </w:r>
    </w:p>
  </w:footnote>
  <w:footnote w:id="18">
    <w:p w14:paraId="631D2DE1" w14:textId="77777777" w:rsidR="00C23F57" w:rsidRDefault="00C23F57" w:rsidP="000215A4">
      <w:pPr>
        <w:pStyle w:val="FootnoteText"/>
      </w:pPr>
      <w:r>
        <w:rPr>
          <w:rStyle w:val="FootnoteReference"/>
        </w:rPr>
        <w:footnoteRef/>
      </w:r>
      <w:r>
        <w:t xml:space="preserve"> Christian Jacq, </w:t>
      </w:r>
      <w:r w:rsidRPr="00160A3B">
        <w:rPr>
          <w:i/>
          <w:iCs/>
        </w:rPr>
        <w:t>Egyptian Magic</w:t>
      </w:r>
      <w:r>
        <w:t xml:space="preserve"> (Wiltshire: Aris &amp; Phillips Ltd., 1985), pp. 3, 24.</w:t>
      </w:r>
    </w:p>
  </w:footnote>
  <w:footnote w:id="19">
    <w:p w14:paraId="7175F763" w14:textId="77777777" w:rsidR="00C23F57" w:rsidRDefault="00C23F57" w:rsidP="000215A4">
      <w:pPr>
        <w:pStyle w:val="FootnoteText"/>
      </w:pPr>
      <w:r>
        <w:rPr>
          <w:rStyle w:val="FootnoteReference"/>
        </w:rPr>
        <w:footnoteRef/>
      </w:r>
      <w:r>
        <w:t xml:space="preserve"> Jacq, </w:t>
      </w:r>
      <w:r w:rsidRPr="00160A3B">
        <w:rPr>
          <w:i/>
          <w:iCs/>
        </w:rPr>
        <w:t>Egyptian Magic</w:t>
      </w:r>
      <w:r>
        <w:rPr>
          <w:i/>
          <w:iCs/>
        </w:rPr>
        <w:t>,</w:t>
      </w:r>
      <w:r>
        <w:t xml:space="preserve"> p. 5.</w:t>
      </w:r>
    </w:p>
  </w:footnote>
  <w:footnote w:id="20">
    <w:p w14:paraId="55A08B52" w14:textId="77777777" w:rsidR="00C23F57" w:rsidRDefault="00C23F57" w:rsidP="000215A4">
      <w:pPr>
        <w:pStyle w:val="FootnoteText"/>
      </w:pPr>
      <w:r>
        <w:rPr>
          <w:rStyle w:val="FootnoteReference"/>
        </w:rPr>
        <w:footnoteRef/>
      </w:r>
      <w:r>
        <w:t xml:space="preserve"> </w:t>
      </w:r>
      <w:r w:rsidRPr="0048290D">
        <w:t xml:space="preserve">Ritner, </w:t>
      </w:r>
      <w:r w:rsidRPr="00B637EE">
        <w:rPr>
          <w:i/>
          <w:iCs/>
        </w:rPr>
        <w:t>The Mechanics of Ancient Egyptian Magical Practice</w:t>
      </w:r>
      <w:r w:rsidRPr="0048290D">
        <w:t xml:space="preserve">, </w:t>
      </w:r>
      <w:r>
        <w:t>p. 23.</w:t>
      </w:r>
    </w:p>
  </w:footnote>
  <w:footnote w:id="21">
    <w:p w14:paraId="0B0DBA75" w14:textId="77777777" w:rsidR="00C23F57" w:rsidRPr="003A071A" w:rsidRDefault="00C23F57" w:rsidP="000215A4">
      <w:pPr>
        <w:pStyle w:val="FootnoteText"/>
      </w:pPr>
      <w:r w:rsidRPr="003A071A">
        <w:rPr>
          <w:rStyle w:val="FootnoteReference"/>
        </w:rPr>
        <w:footnoteRef/>
      </w:r>
      <w:r w:rsidRPr="003A071A">
        <w:t xml:space="preserve"> Jacq, </w:t>
      </w:r>
      <w:r w:rsidRPr="003A071A">
        <w:rPr>
          <w:i/>
          <w:iCs/>
        </w:rPr>
        <w:t>Egyptian Magic</w:t>
      </w:r>
      <w:r w:rsidRPr="003A071A">
        <w:t>, p. 29.</w:t>
      </w:r>
    </w:p>
  </w:footnote>
  <w:footnote w:id="22">
    <w:p w14:paraId="28B6E309" w14:textId="77777777" w:rsidR="00C23F57" w:rsidRPr="003A071A" w:rsidRDefault="00C23F57" w:rsidP="000215A4">
      <w:pPr>
        <w:rPr>
          <w:sz w:val="20"/>
          <w:szCs w:val="20"/>
        </w:rPr>
      </w:pPr>
      <w:r w:rsidRPr="003A071A">
        <w:rPr>
          <w:rStyle w:val="FootnoteReference"/>
          <w:sz w:val="20"/>
          <w:szCs w:val="20"/>
        </w:rPr>
        <w:footnoteRef/>
      </w:r>
      <w:r w:rsidRPr="003A071A">
        <w:rPr>
          <w:sz w:val="20"/>
          <w:szCs w:val="20"/>
        </w:rPr>
        <w:t xml:space="preserve"> </w:t>
      </w:r>
      <w:r w:rsidRPr="003A071A">
        <w:rPr>
          <w:i/>
          <w:iCs/>
          <w:sz w:val="20"/>
          <w:szCs w:val="20"/>
        </w:rPr>
        <w:t>Ancient Egyptian Magical Texts</w:t>
      </w:r>
      <w:r w:rsidRPr="003A071A">
        <w:rPr>
          <w:sz w:val="20"/>
          <w:szCs w:val="20"/>
        </w:rPr>
        <w:t>, translated by J. F. Borghouts (Leiden: E. J. Brill, 1978), p. VIII.</w:t>
      </w:r>
    </w:p>
  </w:footnote>
  <w:footnote w:id="23">
    <w:p w14:paraId="0B30A385" w14:textId="77777777" w:rsidR="00C23F57" w:rsidRPr="003A071A" w:rsidRDefault="00C23F57" w:rsidP="000215A4">
      <w:pPr>
        <w:pStyle w:val="FootnoteText"/>
      </w:pPr>
      <w:r w:rsidRPr="003A071A">
        <w:rPr>
          <w:rStyle w:val="FootnoteReference"/>
        </w:rPr>
        <w:footnoteRef/>
      </w:r>
      <w:r w:rsidRPr="003A071A">
        <w:t xml:space="preserve"> Ritner, </w:t>
      </w:r>
      <w:r w:rsidRPr="003A071A">
        <w:rPr>
          <w:i/>
          <w:iCs/>
        </w:rPr>
        <w:t>The Mechanics of Ancient Egyptian Magical Practice</w:t>
      </w:r>
      <w:r w:rsidRPr="003A071A">
        <w:t>, p. 18.</w:t>
      </w:r>
    </w:p>
  </w:footnote>
  <w:footnote w:id="24">
    <w:p w14:paraId="63FDD139" w14:textId="77777777" w:rsidR="00C23F57" w:rsidRPr="003442F8" w:rsidRDefault="00C23F57" w:rsidP="000215A4">
      <w:r w:rsidRPr="003A071A">
        <w:rPr>
          <w:rStyle w:val="FootnoteReference"/>
          <w:sz w:val="20"/>
          <w:szCs w:val="20"/>
        </w:rPr>
        <w:footnoteRef/>
      </w:r>
      <w:r w:rsidRPr="003A071A">
        <w:rPr>
          <w:sz w:val="20"/>
          <w:szCs w:val="20"/>
        </w:rPr>
        <w:t xml:space="preserve"> </w:t>
      </w:r>
      <w:r w:rsidRPr="003A071A">
        <w:rPr>
          <w:i/>
          <w:iCs/>
          <w:sz w:val="20"/>
          <w:szCs w:val="20"/>
        </w:rPr>
        <w:t>The Ancient Egyptian Pyramid Texts</w:t>
      </w:r>
      <w:r w:rsidRPr="003A071A">
        <w:rPr>
          <w:sz w:val="20"/>
          <w:szCs w:val="20"/>
        </w:rPr>
        <w:t>, (note: the exact page number is not available as most of this text was read on kindle as google books only previewed sections).</w:t>
      </w:r>
    </w:p>
  </w:footnote>
  <w:footnote w:id="25">
    <w:p w14:paraId="1C41E175" w14:textId="3B4398C8" w:rsidR="00C23F57" w:rsidRDefault="00C23F57" w:rsidP="005B2E6C">
      <w:pPr>
        <w:pStyle w:val="FootnoteText"/>
      </w:pPr>
      <w:r>
        <w:rPr>
          <w:rStyle w:val="FootnoteReference"/>
        </w:rPr>
        <w:footnoteRef/>
      </w:r>
      <w:r>
        <w:t xml:space="preserve"> </w:t>
      </w:r>
      <w:r w:rsidRPr="0048290D">
        <w:t xml:space="preserve">Ritner, </w:t>
      </w:r>
      <w:r w:rsidRPr="00B637EE">
        <w:rPr>
          <w:i/>
          <w:iCs/>
        </w:rPr>
        <w:t>The Mechanics of Ancient Egyptian Magical Practice</w:t>
      </w:r>
      <w:r>
        <w:t>, p. 8.</w:t>
      </w:r>
    </w:p>
  </w:footnote>
  <w:footnote w:id="26">
    <w:p w14:paraId="4C17F6E0" w14:textId="3383BEEE" w:rsidR="00C23F57" w:rsidRDefault="00C23F57" w:rsidP="007D2F88">
      <w:pPr>
        <w:pStyle w:val="FootnoteText"/>
      </w:pPr>
      <w:r>
        <w:rPr>
          <w:rStyle w:val="FootnoteReference"/>
        </w:rPr>
        <w:footnoteRef/>
      </w:r>
      <w:r>
        <w:t xml:space="preserve"> Jacq, </w:t>
      </w:r>
      <w:r w:rsidRPr="00160A3B">
        <w:rPr>
          <w:i/>
          <w:iCs/>
        </w:rPr>
        <w:t>Egyptian Magic</w:t>
      </w:r>
      <w:r>
        <w:t>, p. 82.</w:t>
      </w:r>
    </w:p>
  </w:footnote>
  <w:footnote w:id="27">
    <w:p w14:paraId="3CC051E0" w14:textId="73D509E6" w:rsidR="00C23F57" w:rsidRDefault="00C23F57" w:rsidP="00674908">
      <w:pPr>
        <w:pStyle w:val="FootnoteText"/>
      </w:pPr>
      <w:r>
        <w:rPr>
          <w:rStyle w:val="FootnoteReference"/>
        </w:rPr>
        <w:footnoteRef/>
      </w:r>
      <w:r>
        <w:t xml:space="preserve"> Jacq, </w:t>
      </w:r>
      <w:r w:rsidRPr="00160A3B">
        <w:rPr>
          <w:i/>
          <w:iCs/>
        </w:rPr>
        <w:t>Egyptian Magic</w:t>
      </w:r>
      <w:r>
        <w:t>, p. 42.</w:t>
      </w:r>
    </w:p>
  </w:footnote>
  <w:footnote w:id="28">
    <w:p w14:paraId="0F83F37E" w14:textId="75F5C780" w:rsidR="00C23F57" w:rsidRDefault="00C23F57" w:rsidP="00674908">
      <w:pPr>
        <w:pStyle w:val="FootnoteText"/>
      </w:pPr>
      <w:r>
        <w:rPr>
          <w:rStyle w:val="FootnoteReference"/>
        </w:rPr>
        <w:footnoteRef/>
      </w:r>
      <w:r>
        <w:t xml:space="preserve"> Jacq, </w:t>
      </w:r>
      <w:r w:rsidRPr="00160A3B">
        <w:rPr>
          <w:i/>
          <w:iCs/>
        </w:rPr>
        <w:t>Egyptian Magic</w:t>
      </w:r>
      <w:r>
        <w:t>, p. 43.</w:t>
      </w:r>
    </w:p>
  </w:footnote>
  <w:footnote w:id="29">
    <w:p w14:paraId="7FBB8C2C" w14:textId="44B980EF" w:rsidR="00C23F57" w:rsidRDefault="00C23F57" w:rsidP="00892536">
      <w:pPr>
        <w:pStyle w:val="FootnoteText"/>
      </w:pPr>
      <w:r>
        <w:rPr>
          <w:rStyle w:val="FootnoteReference"/>
        </w:rPr>
        <w:footnoteRef/>
      </w:r>
      <w:r>
        <w:t xml:space="preserve"> Jacq, </w:t>
      </w:r>
      <w:r w:rsidRPr="00160A3B">
        <w:rPr>
          <w:i/>
          <w:iCs/>
        </w:rPr>
        <w:t>Egyptian Magic</w:t>
      </w:r>
      <w:r>
        <w:t>, p. 63.</w:t>
      </w:r>
    </w:p>
  </w:footnote>
  <w:footnote w:id="30">
    <w:p w14:paraId="203B137D" w14:textId="77777777" w:rsidR="00C23F57" w:rsidRDefault="00C23F57" w:rsidP="00713A84">
      <w:pPr>
        <w:pStyle w:val="FootnoteText"/>
      </w:pPr>
      <w:r>
        <w:rPr>
          <w:rStyle w:val="FootnoteReference"/>
        </w:rPr>
        <w:footnoteRef/>
      </w:r>
      <w:r>
        <w:t xml:space="preserve"> </w:t>
      </w:r>
      <w:r w:rsidRPr="00BC6309">
        <w:t>Prada, ‘Dreams, rising stars and falling geckos</w:t>
      </w:r>
      <w:r>
        <w:t>’, p. 7.</w:t>
      </w:r>
    </w:p>
  </w:footnote>
  <w:footnote w:id="31">
    <w:p w14:paraId="15675D88" w14:textId="77777777" w:rsidR="00C23F57" w:rsidRDefault="00C23F57" w:rsidP="00713A84">
      <w:pPr>
        <w:pStyle w:val="FootnoteText"/>
      </w:pPr>
      <w:r>
        <w:rPr>
          <w:rStyle w:val="FootnoteReference"/>
        </w:rPr>
        <w:footnoteRef/>
      </w:r>
      <w:r>
        <w:t xml:space="preserve"> Pinch, </w:t>
      </w:r>
      <w:r w:rsidRPr="00B91E79">
        <w:rPr>
          <w:i/>
          <w:iCs/>
        </w:rPr>
        <w:t>Magic in Ancient Egypt</w:t>
      </w:r>
      <w:r w:rsidRPr="000E22C8">
        <w:t>, p.</w:t>
      </w:r>
      <w:r>
        <w:t xml:space="preserve"> 88.</w:t>
      </w:r>
    </w:p>
  </w:footnote>
  <w:footnote w:id="32">
    <w:p w14:paraId="1AB9A66D" w14:textId="5F066C8D" w:rsidR="00C23F57" w:rsidRPr="00BC6309" w:rsidRDefault="00C23F57" w:rsidP="00BC6309">
      <w:pPr>
        <w:rPr>
          <w:sz w:val="20"/>
          <w:szCs w:val="20"/>
        </w:rPr>
      </w:pPr>
      <w:r w:rsidRPr="00BC6309">
        <w:rPr>
          <w:rStyle w:val="FootnoteReference"/>
          <w:sz w:val="20"/>
          <w:szCs w:val="20"/>
        </w:rPr>
        <w:footnoteRef/>
      </w:r>
      <w:r w:rsidRPr="00BC6309">
        <w:rPr>
          <w:sz w:val="20"/>
          <w:szCs w:val="20"/>
        </w:rPr>
        <w:t xml:space="preserve"> Luigi</w:t>
      </w:r>
      <w:r>
        <w:rPr>
          <w:sz w:val="20"/>
          <w:szCs w:val="20"/>
        </w:rPr>
        <w:t xml:space="preserve"> </w:t>
      </w:r>
      <w:r w:rsidRPr="00BC6309">
        <w:rPr>
          <w:sz w:val="20"/>
          <w:szCs w:val="20"/>
        </w:rPr>
        <w:t xml:space="preserve">Prada, ‘Dreams, rising stars and falling geckos: divination in ancient Egypt', </w:t>
      </w:r>
      <w:r w:rsidRPr="00BC6309">
        <w:rPr>
          <w:i/>
          <w:iCs/>
          <w:sz w:val="20"/>
          <w:szCs w:val="20"/>
        </w:rPr>
        <w:t>Egyptian Archaeology</w:t>
      </w:r>
      <w:r w:rsidRPr="00BC6309">
        <w:rPr>
          <w:sz w:val="20"/>
          <w:szCs w:val="20"/>
        </w:rPr>
        <w:t>, No. 51 (Autumn 2017), 4-9</w:t>
      </w:r>
      <w:r>
        <w:rPr>
          <w:sz w:val="20"/>
          <w:szCs w:val="20"/>
        </w:rPr>
        <w:t>, p. 8.</w:t>
      </w:r>
    </w:p>
  </w:footnote>
  <w:footnote w:id="33">
    <w:p w14:paraId="0A8B59C2" w14:textId="6D593B6C" w:rsidR="00C23F57" w:rsidRDefault="00C23F57" w:rsidP="008106B4">
      <w:pPr>
        <w:pStyle w:val="FootnoteText"/>
      </w:pPr>
      <w:r>
        <w:rPr>
          <w:rStyle w:val="FootnoteReference"/>
        </w:rPr>
        <w:footnoteRef/>
      </w:r>
      <w:r>
        <w:t xml:space="preserve"> </w:t>
      </w:r>
      <w:r w:rsidRPr="00F631AF">
        <w:t xml:space="preserve">Campion, </w:t>
      </w:r>
      <w:r w:rsidRPr="00F631AF">
        <w:rPr>
          <w:i/>
          <w:iCs/>
        </w:rPr>
        <w:t>Astrology and Cosmology in the World’s Religions</w:t>
      </w:r>
      <w:r w:rsidRPr="00F631AF">
        <w:t xml:space="preserve">, </w:t>
      </w:r>
      <w:r w:rsidRPr="0048290D">
        <w:t xml:space="preserve">p. </w:t>
      </w:r>
      <w:r>
        <w:t>90.</w:t>
      </w:r>
    </w:p>
  </w:footnote>
  <w:footnote w:id="34">
    <w:p w14:paraId="5493A7D6" w14:textId="77777777" w:rsidR="009B5DD4" w:rsidRDefault="009B5DD4" w:rsidP="009B5DD4">
      <w:pPr>
        <w:pStyle w:val="FootnoteText"/>
      </w:pPr>
      <w:r>
        <w:rPr>
          <w:rStyle w:val="FootnoteReference"/>
        </w:rPr>
        <w:footnoteRef/>
      </w:r>
      <w:r>
        <w:t xml:space="preserve"> </w:t>
      </w:r>
      <w:r w:rsidRPr="00F631AF">
        <w:t xml:space="preserve">Campion, </w:t>
      </w:r>
      <w:r w:rsidRPr="00F631AF">
        <w:rPr>
          <w:i/>
          <w:iCs/>
        </w:rPr>
        <w:t>Astrology and Cosmology in the World’s Religions</w:t>
      </w:r>
      <w:r w:rsidRPr="00F631AF">
        <w:t>,</w:t>
      </w:r>
      <w:r w:rsidRPr="0048290D">
        <w:t xml:space="preserve"> </w:t>
      </w:r>
      <w:r>
        <w:t>91.</w:t>
      </w:r>
    </w:p>
  </w:footnote>
  <w:footnote w:id="35">
    <w:p w14:paraId="5F326B61" w14:textId="20081B24" w:rsidR="00C23F57" w:rsidRDefault="00C23F57" w:rsidP="00235133">
      <w:pPr>
        <w:pStyle w:val="FootnoteText"/>
      </w:pPr>
      <w:r>
        <w:rPr>
          <w:rStyle w:val="FootnoteReference"/>
        </w:rPr>
        <w:footnoteRef/>
      </w:r>
      <w:r>
        <w:t xml:space="preserve"> </w:t>
      </w:r>
      <w:r w:rsidRPr="00F631AF">
        <w:t xml:space="preserve">Campion, </w:t>
      </w:r>
      <w:r w:rsidRPr="00F631AF">
        <w:rPr>
          <w:i/>
          <w:iCs/>
        </w:rPr>
        <w:t>Astrology and Cosmology in the World’s Religions</w:t>
      </w:r>
      <w:r w:rsidRPr="00F631AF">
        <w:t xml:space="preserve">, </w:t>
      </w:r>
      <w:r>
        <w:t>p</w:t>
      </w:r>
      <w:r w:rsidRPr="0048290D">
        <w:t xml:space="preserve">p. </w:t>
      </w:r>
      <w:r>
        <w:t>92-93.</w:t>
      </w:r>
    </w:p>
  </w:footnote>
  <w:footnote w:id="36">
    <w:p w14:paraId="6A65B16F" w14:textId="4AC22428" w:rsidR="00C23F57" w:rsidRDefault="00C23F57" w:rsidP="008106B4">
      <w:pPr>
        <w:pStyle w:val="FootnoteText"/>
      </w:pPr>
      <w:r>
        <w:rPr>
          <w:rStyle w:val="FootnoteReference"/>
        </w:rPr>
        <w:footnoteRef/>
      </w:r>
      <w:r>
        <w:t xml:space="preserve"> </w:t>
      </w:r>
      <w:r w:rsidRPr="00BC6309">
        <w:t>Prada, ‘Dreams, rising stars and falling geckos</w:t>
      </w:r>
      <w:r>
        <w:t>’, p. 7.</w:t>
      </w:r>
    </w:p>
  </w:footnote>
  <w:footnote w:id="37">
    <w:p w14:paraId="7A3E168D" w14:textId="369313B7" w:rsidR="00C23F57" w:rsidRPr="00073874" w:rsidRDefault="00C23F57" w:rsidP="00FD1E09">
      <w:pPr>
        <w:rPr>
          <w:sz w:val="20"/>
          <w:szCs w:val="20"/>
        </w:rPr>
      </w:pPr>
      <w:r w:rsidRPr="00073874">
        <w:rPr>
          <w:rStyle w:val="FootnoteReference"/>
          <w:sz w:val="20"/>
          <w:szCs w:val="20"/>
        </w:rPr>
        <w:footnoteRef/>
      </w:r>
      <w:r w:rsidRPr="00073874">
        <w:rPr>
          <w:sz w:val="20"/>
          <w:szCs w:val="20"/>
        </w:rPr>
        <w:t xml:space="preserve"> Donald B. Redford, ed., </w:t>
      </w:r>
      <w:r w:rsidRPr="00073874">
        <w:rPr>
          <w:i/>
          <w:iCs/>
          <w:sz w:val="20"/>
          <w:szCs w:val="20"/>
        </w:rPr>
        <w:t>The Ancient Gods Speak: A Guide to Egyptian Religion</w:t>
      </w:r>
      <w:r w:rsidRPr="00073874">
        <w:rPr>
          <w:sz w:val="20"/>
          <w:szCs w:val="20"/>
        </w:rPr>
        <w:t xml:space="preserve"> (Oxford: Oxford University Press, 2002), pp. 298-9.</w:t>
      </w:r>
    </w:p>
  </w:footnote>
  <w:footnote w:id="38">
    <w:p w14:paraId="4F5F2EAD" w14:textId="55B60819" w:rsidR="00C23F57" w:rsidRDefault="00C23F57" w:rsidP="00B93F50">
      <w:pPr>
        <w:pStyle w:val="FootnoteText"/>
      </w:pPr>
      <w:r>
        <w:rPr>
          <w:rStyle w:val="FootnoteReference"/>
        </w:rPr>
        <w:footnoteRef/>
      </w:r>
      <w:r>
        <w:t xml:space="preserve"> </w:t>
      </w:r>
      <w:r w:rsidRPr="00073874">
        <w:t xml:space="preserve">Redford, ed., </w:t>
      </w:r>
      <w:r w:rsidRPr="00073874">
        <w:rPr>
          <w:i/>
          <w:iCs/>
        </w:rPr>
        <w:t>The Ancient Gods Speak</w:t>
      </w:r>
      <w:r>
        <w:t>, p. 300.</w:t>
      </w:r>
    </w:p>
  </w:footnote>
  <w:footnote w:id="39">
    <w:p w14:paraId="0EB04CE8" w14:textId="461E2346" w:rsidR="00C23F57" w:rsidRPr="002F271E" w:rsidRDefault="00C23F57" w:rsidP="000914C4">
      <w:pPr>
        <w:pStyle w:val="FootnoteText"/>
      </w:pPr>
      <w:r w:rsidRPr="002F271E">
        <w:rPr>
          <w:rStyle w:val="FootnoteReference"/>
        </w:rPr>
        <w:footnoteRef/>
      </w:r>
      <w:r w:rsidRPr="002F271E">
        <w:t xml:space="preserve"> Kasia Szpakowska, ‘The Open Portal: Dreams and Divine Power in Pharaonic Egypt,’ in </w:t>
      </w:r>
      <w:r w:rsidRPr="002F271E">
        <w:rPr>
          <w:i/>
          <w:iCs/>
        </w:rPr>
        <w:t>Prayer, Magic, and the Stars in the Ancient and Late Antique World</w:t>
      </w:r>
      <w:r w:rsidRPr="002F271E">
        <w:t>, ed. by Scott Noegel, Joel Walker, and Brannon Wheeler, (University Park: The Pennsylvania State University Press, 2003), p. 113.</w:t>
      </w:r>
    </w:p>
  </w:footnote>
  <w:footnote w:id="40">
    <w:p w14:paraId="0E297508" w14:textId="69BB511C" w:rsidR="00C23F57" w:rsidRPr="002F271E" w:rsidRDefault="00C23F57" w:rsidP="00B93F50">
      <w:pPr>
        <w:pStyle w:val="FootnoteText"/>
      </w:pPr>
      <w:r w:rsidRPr="002F271E">
        <w:rPr>
          <w:rStyle w:val="FootnoteReference"/>
        </w:rPr>
        <w:footnoteRef/>
      </w:r>
      <w:r w:rsidRPr="002F271E">
        <w:t xml:space="preserve"> Redford, ed., </w:t>
      </w:r>
      <w:r w:rsidRPr="002F271E">
        <w:rPr>
          <w:i/>
          <w:iCs/>
        </w:rPr>
        <w:t>The Ancient Gods Speak,</w:t>
      </w:r>
      <w:r w:rsidRPr="002F271E">
        <w:t xml:space="preserve"> p. 300.</w:t>
      </w:r>
    </w:p>
  </w:footnote>
  <w:footnote w:id="41">
    <w:p w14:paraId="5163351C" w14:textId="77777777" w:rsidR="009B5DD4" w:rsidRDefault="009B5DD4" w:rsidP="009B5DD4">
      <w:pPr>
        <w:pStyle w:val="FootnoteText"/>
      </w:pPr>
      <w:r>
        <w:rPr>
          <w:rStyle w:val="FootnoteReference"/>
        </w:rPr>
        <w:footnoteRef/>
      </w:r>
      <w:r>
        <w:t xml:space="preserve"> </w:t>
      </w:r>
      <w:r w:rsidRPr="00073874">
        <w:t xml:space="preserve">Redford, ed., </w:t>
      </w:r>
      <w:r w:rsidRPr="00073874">
        <w:rPr>
          <w:i/>
          <w:iCs/>
        </w:rPr>
        <w:t>The Ancient Gods Speak</w:t>
      </w:r>
      <w:r>
        <w:t>, p. 299.</w:t>
      </w:r>
    </w:p>
  </w:footnote>
  <w:footnote w:id="42">
    <w:p w14:paraId="2B82139A" w14:textId="65459FCE" w:rsidR="00E0495F" w:rsidRDefault="00E0495F" w:rsidP="00E0495F">
      <w:pPr>
        <w:pStyle w:val="FootnoteText"/>
      </w:pPr>
      <w:r>
        <w:rPr>
          <w:rStyle w:val="FootnoteReference"/>
        </w:rPr>
        <w:footnoteRef/>
      </w:r>
      <w:r>
        <w:t xml:space="preserve"> </w:t>
      </w:r>
      <w:r w:rsidR="00610AF4" w:rsidRPr="00073874">
        <w:t xml:space="preserve">Redford, ed., </w:t>
      </w:r>
      <w:r w:rsidR="00610AF4" w:rsidRPr="00073874">
        <w:rPr>
          <w:i/>
          <w:iCs/>
        </w:rPr>
        <w:t>The Ancient Gods Speak</w:t>
      </w:r>
      <w:r w:rsidR="00610AF4">
        <w:t xml:space="preserve">, </w:t>
      </w:r>
      <w:r>
        <w:t>p. 301.</w:t>
      </w:r>
    </w:p>
  </w:footnote>
  <w:footnote w:id="43">
    <w:p w14:paraId="075AD45C" w14:textId="76151F58" w:rsidR="00C23F57" w:rsidRPr="002F271E" w:rsidRDefault="00C23F57" w:rsidP="002F271E">
      <w:pPr>
        <w:rPr>
          <w:sz w:val="20"/>
          <w:szCs w:val="20"/>
        </w:rPr>
      </w:pPr>
      <w:r w:rsidRPr="002F271E">
        <w:rPr>
          <w:rStyle w:val="FootnoteReference"/>
          <w:sz w:val="20"/>
          <w:szCs w:val="20"/>
        </w:rPr>
        <w:footnoteRef/>
      </w:r>
      <w:r w:rsidRPr="002F271E">
        <w:rPr>
          <w:sz w:val="20"/>
          <w:szCs w:val="20"/>
        </w:rPr>
        <w:t xml:space="preserve"> </w:t>
      </w:r>
      <w:r w:rsidRPr="002F271E">
        <w:rPr>
          <w:sz w:val="20"/>
          <w:szCs w:val="20"/>
          <w:lang w:val="en-US"/>
        </w:rPr>
        <w:t>Dunand</w:t>
      </w:r>
      <w:r w:rsidR="009E1B15">
        <w:rPr>
          <w:sz w:val="20"/>
          <w:szCs w:val="20"/>
          <w:lang w:val="en-US"/>
        </w:rPr>
        <w:t xml:space="preserve"> and</w:t>
      </w:r>
      <w:r w:rsidRPr="002F271E">
        <w:rPr>
          <w:sz w:val="20"/>
          <w:szCs w:val="20"/>
          <w:lang w:val="en-US"/>
        </w:rPr>
        <w:t xml:space="preserve"> Zivie-Coche, </w:t>
      </w:r>
      <w:r w:rsidRPr="009E1B15">
        <w:rPr>
          <w:i/>
          <w:iCs/>
          <w:sz w:val="20"/>
          <w:szCs w:val="20"/>
          <w:lang w:val="en-US"/>
        </w:rPr>
        <w:t>Gods and Men in</w:t>
      </w:r>
      <w:r w:rsidR="009E1B15" w:rsidRPr="009E1B15">
        <w:rPr>
          <w:i/>
          <w:iCs/>
          <w:sz w:val="20"/>
          <w:szCs w:val="20"/>
          <w:lang w:val="en-US"/>
        </w:rPr>
        <w:t xml:space="preserve"> Egypt</w:t>
      </w:r>
      <w:r w:rsidR="009E1B15">
        <w:rPr>
          <w:sz w:val="20"/>
          <w:szCs w:val="20"/>
          <w:lang w:val="en-US"/>
        </w:rPr>
        <w:t>,</w:t>
      </w:r>
      <w:r w:rsidRPr="002F271E">
        <w:rPr>
          <w:sz w:val="20"/>
          <w:szCs w:val="20"/>
        </w:rPr>
        <w:t xml:space="preserve"> p. 116.</w:t>
      </w:r>
      <w:r>
        <w:t xml:space="preserve"> </w:t>
      </w:r>
    </w:p>
  </w:footnote>
  <w:footnote w:id="44">
    <w:p w14:paraId="2D5CEF8C" w14:textId="36E32E62" w:rsidR="00C23F57" w:rsidRDefault="00C23F57" w:rsidP="00F64238">
      <w:pPr>
        <w:pStyle w:val="FootnoteText"/>
      </w:pPr>
      <w:r>
        <w:rPr>
          <w:rStyle w:val="FootnoteReference"/>
        </w:rPr>
        <w:footnoteRef/>
      </w:r>
      <w:r>
        <w:t xml:space="preserve"> </w:t>
      </w:r>
      <w:r w:rsidRPr="00073874">
        <w:t xml:space="preserve">Redford, ed., </w:t>
      </w:r>
      <w:r w:rsidRPr="00073874">
        <w:rPr>
          <w:i/>
          <w:iCs/>
        </w:rPr>
        <w:t>The Ancient Gods Speak</w:t>
      </w:r>
      <w:r>
        <w:t>, p. 300.</w:t>
      </w:r>
    </w:p>
  </w:footnote>
  <w:footnote w:id="45">
    <w:p w14:paraId="3C6142BA" w14:textId="346122B5" w:rsidR="00C23F57" w:rsidRDefault="00C23F57" w:rsidP="00593142">
      <w:pPr>
        <w:pStyle w:val="FootnoteText"/>
      </w:pPr>
      <w:r>
        <w:rPr>
          <w:rStyle w:val="FootnoteReference"/>
        </w:rPr>
        <w:footnoteRef/>
      </w:r>
      <w:r>
        <w:t xml:space="preserve"> </w:t>
      </w:r>
      <w:r w:rsidRPr="002F271E">
        <w:rPr>
          <w:lang w:val="en-US"/>
        </w:rPr>
        <w:t xml:space="preserve">Dunand, Françoise, and Christiane Zivie-Coche, </w:t>
      </w:r>
      <w:r w:rsidRPr="002F271E">
        <w:rPr>
          <w:i/>
          <w:iCs/>
          <w:lang w:val="en-US"/>
        </w:rPr>
        <w:t>Gods and Men in Egypt</w:t>
      </w:r>
      <w:r>
        <w:rPr>
          <w:i/>
          <w:iCs/>
          <w:lang w:val="en-US"/>
        </w:rPr>
        <w:t>,</w:t>
      </w:r>
      <w:r w:rsidRPr="0048290D">
        <w:t xml:space="preserve"> p</w:t>
      </w:r>
      <w:r>
        <w:t xml:space="preserve">. 116. </w:t>
      </w:r>
    </w:p>
  </w:footnote>
  <w:footnote w:id="46">
    <w:p w14:paraId="79CAA56C" w14:textId="192E203A" w:rsidR="00C23F57" w:rsidRDefault="00C23F57" w:rsidP="00593142">
      <w:pPr>
        <w:pStyle w:val="FootnoteText"/>
      </w:pPr>
      <w:r>
        <w:rPr>
          <w:rStyle w:val="FootnoteReference"/>
        </w:rPr>
        <w:footnoteRef/>
      </w:r>
      <w:r>
        <w:t xml:space="preserve"> </w:t>
      </w:r>
      <w:r w:rsidRPr="002F271E">
        <w:rPr>
          <w:lang w:val="en-US"/>
        </w:rPr>
        <w:t xml:space="preserve">Dunand, Françoise, and Christiane Zivie-Coche, </w:t>
      </w:r>
      <w:r w:rsidRPr="002F271E">
        <w:rPr>
          <w:i/>
          <w:iCs/>
          <w:lang w:val="en-US"/>
        </w:rPr>
        <w:t>Gods and Men in Egypt</w:t>
      </w:r>
      <w:r w:rsidRPr="0048290D">
        <w:t>, p</w:t>
      </w:r>
      <w:r>
        <w:t>. 119-120.</w:t>
      </w:r>
    </w:p>
  </w:footnote>
  <w:footnote w:id="47">
    <w:p w14:paraId="63F11D67" w14:textId="5DF0DE3C" w:rsidR="00C23F57" w:rsidRDefault="00C23F57" w:rsidP="00F64238">
      <w:pPr>
        <w:pStyle w:val="FootnoteText"/>
      </w:pPr>
      <w:r>
        <w:rPr>
          <w:rStyle w:val="FootnoteReference"/>
        </w:rPr>
        <w:footnoteRef/>
      </w:r>
      <w:r>
        <w:t xml:space="preserve"> </w:t>
      </w:r>
      <w:r w:rsidRPr="002F271E">
        <w:rPr>
          <w:lang w:val="en-US"/>
        </w:rPr>
        <w:t xml:space="preserve">Dunand, Françoise, and Christiane Zivie-Coche, </w:t>
      </w:r>
      <w:r w:rsidRPr="002F271E">
        <w:rPr>
          <w:i/>
          <w:iCs/>
          <w:lang w:val="en-US"/>
        </w:rPr>
        <w:t>Gods and Men in Egypt</w:t>
      </w:r>
      <w:r w:rsidRPr="0048290D">
        <w:t>, p</w:t>
      </w:r>
      <w:r>
        <w:t xml:space="preserve">. 120 and </w:t>
      </w:r>
      <w:r w:rsidRPr="00073874">
        <w:t xml:space="preserve">Redford, ed., </w:t>
      </w:r>
      <w:r w:rsidRPr="00073874">
        <w:rPr>
          <w:i/>
          <w:iCs/>
        </w:rPr>
        <w:t>The Ancient Gods Speak</w:t>
      </w:r>
      <w:r>
        <w:t>, p. 301.</w:t>
      </w:r>
    </w:p>
  </w:footnote>
  <w:footnote w:id="48">
    <w:p w14:paraId="557483DE" w14:textId="4DB06A13" w:rsidR="00C23F57" w:rsidRPr="00F631AF" w:rsidRDefault="00C23F57" w:rsidP="00201264">
      <w:pPr>
        <w:rPr>
          <w:b/>
          <w:bCs/>
          <w:sz w:val="20"/>
          <w:szCs w:val="20"/>
        </w:rPr>
      </w:pPr>
      <w:r w:rsidRPr="00F631AF">
        <w:rPr>
          <w:rStyle w:val="FootnoteReference"/>
          <w:sz w:val="20"/>
          <w:szCs w:val="20"/>
        </w:rPr>
        <w:footnoteRef/>
      </w:r>
      <w:r w:rsidRPr="00F631AF">
        <w:rPr>
          <w:sz w:val="20"/>
          <w:szCs w:val="20"/>
        </w:rPr>
        <w:t xml:space="preserve"> Prada, ‘Dreams, rising stars and falling geckos’, p. 4.</w:t>
      </w:r>
    </w:p>
  </w:footnote>
  <w:footnote w:id="49">
    <w:p w14:paraId="71F3CBAA" w14:textId="588A62CD" w:rsidR="00C23F57" w:rsidRDefault="00C23F57" w:rsidP="00201264">
      <w:pPr>
        <w:pStyle w:val="FootnoteText"/>
      </w:pPr>
      <w:r>
        <w:rPr>
          <w:rStyle w:val="FootnoteReference"/>
        </w:rPr>
        <w:footnoteRef/>
      </w:r>
      <w:r>
        <w:t xml:space="preserve"> Szpakowska, ‘The Open Portal: Dreams and Divine Power in Pharaonic Egypt,’</w:t>
      </w:r>
      <w:r w:rsidRPr="00FD59A3">
        <w:t xml:space="preserve"> p.</w:t>
      </w:r>
      <w:r>
        <w:t xml:space="preserve"> 112.</w:t>
      </w:r>
    </w:p>
  </w:footnote>
  <w:footnote w:id="50">
    <w:p w14:paraId="0C8635C4" w14:textId="434CCE99" w:rsidR="00C23F57" w:rsidRPr="00F631AF" w:rsidRDefault="00C23F57" w:rsidP="00E15B12">
      <w:pPr>
        <w:rPr>
          <w:b/>
          <w:bCs/>
          <w:sz w:val="20"/>
          <w:szCs w:val="20"/>
        </w:rPr>
      </w:pPr>
      <w:r w:rsidRPr="00F631AF">
        <w:rPr>
          <w:rStyle w:val="FootnoteReference"/>
          <w:sz w:val="20"/>
          <w:szCs w:val="20"/>
        </w:rPr>
        <w:footnoteRef/>
      </w:r>
      <w:r w:rsidRPr="00F631AF">
        <w:rPr>
          <w:sz w:val="20"/>
          <w:szCs w:val="20"/>
        </w:rPr>
        <w:t xml:space="preserve"> Prada, ‘Dreams, rising stars and falling geckos’, p. 4.</w:t>
      </w:r>
    </w:p>
  </w:footnote>
  <w:footnote w:id="51">
    <w:p w14:paraId="05BFF312" w14:textId="78B51218" w:rsidR="00C23F57" w:rsidRDefault="00C23F57" w:rsidP="00E15B12">
      <w:pPr>
        <w:pStyle w:val="FootnoteText"/>
      </w:pPr>
      <w:r>
        <w:rPr>
          <w:rStyle w:val="FootnoteReference"/>
        </w:rPr>
        <w:footnoteRef/>
      </w:r>
      <w:r>
        <w:t xml:space="preserve"> </w:t>
      </w:r>
      <w:r w:rsidRPr="002F271E">
        <w:rPr>
          <w:lang w:val="en-US"/>
        </w:rPr>
        <w:t xml:space="preserve">Dunand, Françoise, and Christiane Zivie-Coche, </w:t>
      </w:r>
      <w:r w:rsidRPr="002F271E">
        <w:rPr>
          <w:i/>
          <w:iCs/>
          <w:lang w:val="en-US"/>
        </w:rPr>
        <w:t>Gods and Men in Egypt</w:t>
      </w:r>
      <w:r w:rsidRPr="0048290D">
        <w:t>, p</w:t>
      </w:r>
      <w:r>
        <w:t>. 133.</w:t>
      </w:r>
    </w:p>
  </w:footnote>
  <w:footnote w:id="52">
    <w:p w14:paraId="1BD1AD83" w14:textId="4AD4B71E" w:rsidR="00C23F57" w:rsidRDefault="00C23F57" w:rsidP="002659AE">
      <w:pPr>
        <w:pStyle w:val="FootnoteText"/>
      </w:pPr>
      <w:r>
        <w:rPr>
          <w:rStyle w:val="FootnoteReference"/>
        </w:rPr>
        <w:footnoteRef/>
      </w:r>
      <w:r>
        <w:t xml:space="preserve"> </w:t>
      </w:r>
      <w:r w:rsidRPr="002F271E">
        <w:rPr>
          <w:lang w:val="en-US"/>
        </w:rPr>
        <w:t xml:space="preserve">Dunand, Françoise, and Christiane Zivie-Coche, </w:t>
      </w:r>
      <w:r w:rsidRPr="002F271E">
        <w:rPr>
          <w:i/>
          <w:iCs/>
          <w:lang w:val="en-US"/>
        </w:rPr>
        <w:t>Gods and Men in Egypt</w:t>
      </w:r>
      <w:r w:rsidRPr="0048290D">
        <w:t>, p</w:t>
      </w:r>
      <w:r>
        <w:t>. 134.</w:t>
      </w:r>
    </w:p>
  </w:footnote>
  <w:footnote w:id="53">
    <w:p w14:paraId="622D38BA" w14:textId="023B3EBB" w:rsidR="00C23F57" w:rsidRDefault="00C23F57" w:rsidP="00671B1E">
      <w:pPr>
        <w:pStyle w:val="FootnoteText"/>
      </w:pPr>
      <w:r>
        <w:rPr>
          <w:rStyle w:val="FootnoteReference"/>
        </w:rPr>
        <w:footnoteRef/>
      </w:r>
      <w:r>
        <w:t xml:space="preserve"> </w:t>
      </w:r>
      <w:r w:rsidRPr="00BC6309">
        <w:t>Prada, ‘Dreams, rising stars and falling geckos</w:t>
      </w:r>
      <w:r>
        <w:t>’, p. 5.</w:t>
      </w:r>
    </w:p>
  </w:footnote>
  <w:footnote w:id="54">
    <w:p w14:paraId="1F13B2B4" w14:textId="454B1DF0" w:rsidR="00C23F57" w:rsidRDefault="00C23F57" w:rsidP="00671B1E">
      <w:pPr>
        <w:pStyle w:val="FootnoteText"/>
      </w:pPr>
      <w:r>
        <w:rPr>
          <w:rStyle w:val="FootnoteReference"/>
        </w:rPr>
        <w:footnoteRef/>
      </w:r>
      <w:r>
        <w:t xml:space="preserve"> </w:t>
      </w:r>
      <w:r w:rsidRPr="00BC6309">
        <w:t>Prada, ‘Dreams, rising stars and falling geckos</w:t>
      </w:r>
      <w:r>
        <w:t>’, p. 5.</w:t>
      </w:r>
    </w:p>
  </w:footnote>
  <w:footnote w:id="55">
    <w:p w14:paraId="0DE805CD" w14:textId="5F485370" w:rsidR="00C23F57" w:rsidRDefault="00C23F57" w:rsidP="009F7159">
      <w:pPr>
        <w:pStyle w:val="FootnoteText"/>
      </w:pPr>
      <w:r>
        <w:rPr>
          <w:rStyle w:val="FootnoteReference"/>
        </w:rPr>
        <w:footnoteRef/>
      </w:r>
      <w:r>
        <w:t xml:space="preserve"> Szpakowska, ‘The Open Portal: Dreams and Divine Power in Pharaonic Egypt,’ </w:t>
      </w:r>
      <w:r w:rsidRPr="00FD59A3">
        <w:t>p.</w:t>
      </w:r>
      <w:r>
        <w:t xml:space="preserve"> 113.</w:t>
      </w:r>
    </w:p>
  </w:footnote>
  <w:footnote w:id="56">
    <w:p w14:paraId="69BAFCFD" w14:textId="77777777" w:rsidR="00DC555F" w:rsidRDefault="00DC555F" w:rsidP="00DC555F">
      <w:pPr>
        <w:pStyle w:val="FootnoteText"/>
      </w:pPr>
      <w:r>
        <w:rPr>
          <w:rStyle w:val="FootnoteReference"/>
        </w:rPr>
        <w:footnoteRef/>
      </w:r>
      <w:r>
        <w:t xml:space="preserve"> Szpakowska, ‘The Open Portal: Dreams and Divine Power in Pharaonic Egypt,’</w:t>
      </w:r>
      <w:r w:rsidRPr="00FD59A3">
        <w:t xml:space="preserve"> p.</w:t>
      </w:r>
      <w:r>
        <w:t xml:space="preserve"> 113.</w:t>
      </w:r>
    </w:p>
  </w:footnote>
  <w:footnote w:id="57">
    <w:p w14:paraId="51D9E739" w14:textId="44016D4E" w:rsidR="00C23F57" w:rsidRDefault="00C23F57" w:rsidP="00314F6F">
      <w:pPr>
        <w:pStyle w:val="FootnoteText"/>
      </w:pPr>
      <w:r>
        <w:rPr>
          <w:rStyle w:val="FootnoteReference"/>
        </w:rPr>
        <w:footnoteRef/>
      </w:r>
      <w:r>
        <w:t xml:space="preserve"> Szpakowska, ‘The Open Portal: Dreams and Divine Power in Pharaonic Egypt,’</w:t>
      </w:r>
      <w:r w:rsidRPr="00FD59A3">
        <w:t xml:space="preserve"> p.</w:t>
      </w:r>
      <w:r>
        <w:t xml:space="preserve"> 117.</w:t>
      </w:r>
    </w:p>
  </w:footnote>
  <w:footnote w:id="58">
    <w:p w14:paraId="77B1FB1E" w14:textId="45A8CAD7" w:rsidR="00C23F57" w:rsidRDefault="00C23F57" w:rsidP="00C63D76">
      <w:pPr>
        <w:pStyle w:val="FootnoteText"/>
      </w:pPr>
      <w:r>
        <w:rPr>
          <w:rStyle w:val="FootnoteReference"/>
        </w:rPr>
        <w:footnoteRef/>
      </w:r>
      <w:r>
        <w:t xml:space="preserve"> Pinch, </w:t>
      </w:r>
      <w:r w:rsidRPr="00B91E79">
        <w:rPr>
          <w:i/>
          <w:iCs/>
        </w:rPr>
        <w:t>Magic in Ancient Egypt</w:t>
      </w:r>
      <w:r w:rsidRPr="000E22C8">
        <w:t>, p.</w:t>
      </w:r>
      <w:r>
        <w:t xml:space="preserve"> 137.</w:t>
      </w:r>
    </w:p>
  </w:footnote>
  <w:footnote w:id="59">
    <w:p w14:paraId="596AC58A" w14:textId="30C470D2" w:rsidR="00C23F57" w:rsidRDefault="00C23F57" w:rsidP="00473097">
      <w:pPr>
        <w:pStyle w:val="FootnoteText"/>
      </w:pPr>
      <w:r>
        <w:rPr>
          <w:rStyle w:val="FootnoteReference"/>
        </w:rPr>
        <w:footnoteRef/>
      </w:r>
      <w:r>
        <w:t xml:space="preserve"> Pinch, </w:t>
      </w:r>
      <w:r w:rsidRPr="00B91E79">
        <w:rPr>
          <w:i/>
          <w:iCs/>
        </w:rPr>
        <w:t>Magic in Ancient Egypt</w:t>
      </w:r>
      <w:r w:rsidRPr="000E22C8">
        <w:t>, p.</w:t>
      </w:r>
      <w:r>
        <w:t xml:space="preserve"> 164.</w:t>
      </w:r>
    </w:p>
  </w:footnote>
  <w:footnote w:id="60">
    <w:p w14:paraId="3FF95ED4" w14:textId="6ABFF1A6" w:rsidR="00C23F57" w:rsidRDefault="00C23F57" w:rsidP="00314F6F">
      <w:pPr>
        <w:pStyle w:val="FootnoteText"/>
      </w:pPr>
      <w:r>
        <w:rPr>
          <w:rStyle w:val="FootnoteReference"/>
        </w:rPr>
        <w:footnoteRef/>
      </w:r>
      <w:r>
        <w:t xml:space="preserve"> Pinch, </w:t>
      </w:r>
      <w:r w:rsidRPr="00B91E79">
        <w:rPr>
          <w:i/>
          <w:iCs/>
        </w:rPr>
        <w:t>Magic in Ancient Egypt</w:t>
      </w:r>
      <w:r w:rsidRPr="000E22C8">
        <w:t>, p.</w:t>
      </w:r>
      <w:r>
        <w:t xml:space="preserve"> 164.</w:t>
      </w:r>
    </w:p>
  </w:footnote>
  <w:footnote w:id="61">
    <w:p w14:paraId="2C8A0A32" w14:textId="77777777" w:rsidR="009B5DD4" w:rsidRDefault="009B5DD4" w:rsidP="009B5DD4">
      <w:pPr>
        <w:pStyle w:val="FootnoteText"/>
      </w:pPr>
      <w:r>
        <w:rPr>
          <w:rStyle w:val="FootnoteReference"/>
        </w:rPr>
        <w:footnoteRef/>
      </w:r>
      <w:r>
        <w:t xml:space="preserve"> </w:t>
      </w:r>
      <w:r w:rsidRPr="0048290D">
        <w:t xml:space="preserve">Campion, </w:t>
      </w:r>
      <w:r w:rsidRPr="00F631AF">
        <w:rPr>
          <w:i/>
          <w:iCs/>
        </w:rPr>
        <w:t>Astrology and Cosmology in the World’s Religions</w:t>
      </w:r>
      <w:r w:rsidRPr="0048290D">
        <w:t>, p. 8</w:t>
      </w:r>
      <w:r>
        <w:t>4.</w:t>
      </w:r>
    </w:p>
  </w:footnote>
  <w:footnote w:id="62">
    <w:p w14:paraId="755BAE29" w14:textId="5A742EAE" w:rsidR="00C23F57" w:rsidRPr="003E3DAF" w:rsidRDefault="00C23F57" w:rsidP="000215A4">
      <w:pPr>
        <w:rPr>
          <w:sz w:val="20"/>
          <w:szCs w:val="20"/>
        </w:rPr>
      </w:pPr>
      <w:r w:rsidRPr="00AC3312">
        <w:rPr>
          <w:rStyle w:val="FootnoteReference"/>
          <w:sz w:val="20"/>
          <w:szCs w:val="20"/>
        </w:rPr>
        <w:footnoteRef/>
      </w:r>
      <w:r w:rsidRPr="00AC3312">
        <w:rPr>
          <w:sz w:val="20"/>
          <w:szCs w:val="20"/>
        </w:rPr>
        <w:t xml:space="preserve"> </w:t>
      </w:r>
      <w:r w:rsidRPr="00AC3312">
        <w:rPr>
          <w:i/>
          <w:iCs/>
          <w:sz w:val="20"/>
          <w:szCs w:val="20"/>
        </w:rPr>
        <w:t>The Ancient Egyptian Book of the Dead,</w:t>
      </w:r>
      <w:r w:rsidRPr="00AC3312">
        <w:rPr>
          <w:sz w:val="20"/>
          <w:szCs w:val="20"/>
        </w:rPr>
        <w:t xml:space="preserve"> translated by R. O. Faulkner (New York: Macmillan Publishing Company, 1985), pp. 80-81.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84079253"/>
      <w:docPartObj>
        <w:docPartGallery w:val="Page Numbers (Top of Page)"/>
        <w:docPartUnique/>
      </w:docPartObj>
    </w:sdtPr>
    <w:sdtEndPr>
      <w:rPr>
        <w:rStyle w:val="PageNumber"/>
      </w:rPr>
    </w:sdtEndPr>
    <w:sdtContent>
      <w:p w14:paraId="139238D3" w14:textId="2AC20007" w:rsidR="00C23F57" w:rsidRDefault="00C23F57" w:rsidP="00E15B1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B82D72" w14:textId="77777777" w:rsidR="00C23F57" w:rsidRDefault="00C23F57" w:rsidP="00D5536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05104049"/>
      <w:docPartObj>
        <w:docPartGallery w:val="Page Numbers (Top of Page)"/>
        <w:docPartUnique/>
      </w:docPartObj>
    </w:sdtPr>
    <w:sdtEndPr>
      <w:rPr>
        <w:rStyle w:val="PageNumber"/>
      </w:rPr>
    </w:sdtEndPr>
    <w:sdtContent>
      <w:p w14:paraId="0875EED6" w14:textId="4E0ECDFB" w:rsidR="00C23F57" w:rsidRDefault="00C23F57" w:rsidP="00E15B1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sdt>
    <w:sdtPr>
      <w:rPr>
        <w:caps/>
        <w:color w:val="44546A" w:themeColor="text2"/>
        <w:sz w:val="20"/>
        <w:szCs w:val="20"/>
      </w:rPr>
      <w:alias w:val="Author"/>
      <w:tag w:val=""/>
      <w:id w:val="-1701008461"/>
      <w:dataBinding w:prefixMappings="xmlns:ns0='http://purl.org/dc/elements/1.1/' xmlns:ns1='http://schemas.openxmlformats.org/package/2006/metadata/core-properties' " w:xpath="/ns1:coreProperties[1]/ns0:creator[1]" w:storeItemID="{6C3C8BC8-F283-45AE-878A-BAB7291924A1}"/>
      <w:text/>
    </w:sdtPr>
    <w:sdtEndPr/>
    <w:sdtContent>
      <w:p w14:paraId="262CCF06" w14:textId="77777777" w:rsidR="00C23F57" w:rsidRDefault="00C23F57" w:rsidP="00D5536F">
        <w:pPr>
          <w:pStyle w:val="Header"/>
          <w:ind w:right="360"/>
          <w:jc w:val="right"/>
          <w:rPr>
            <w:caps/>
            <w:color w:val="44546A" w:themeColor="text2"/>
            <w:sz w:val="20"/>
            <w:szCs w:val="20"/>
          </w:rPr>
        </w:pPr>
        <w:r>
          <w:rPr>
            <w:caps/>
            <w:color w:val="44546A" w:themeColor="text2"/>
            <w:sz w:val="20"/>
            <w:szCs w:val="20"/>
          </w:rPr>
          <w:t>Danielle Goldstein (1710933)</w:t>
        </w:r>
      </w:p>
    </w:sdtContent>
  </w:sdt>
  <w:p w14:paraId="3291FCC6" w14:textId="77777777" w:rsidR="00C23F57" w:rsidRDefault="00C23F57" w:rsidP="00D5536F">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8F48A6"/>
    <w:multiLevelType w:val="hybridMultilevel"/>
    <w:tmpl w:val="8528BB74"/>
    <w:lvl w:ilvl="0" w:tplc="F25EC1F6">
      <w:start w:val="1"/>
      <w:numFmt w:val="bullet"/>
      <w:lvlText w:val="•"/>
      <w:lvlJc w:val="left"/>
      <w:pPr>
        <w:tabs>
          <w:tab w:val="num" w:pos="720"/>
        </w:tabs>
        <w:ind w:left="720" w:hanging="360"/>
      </w:pPr>
      <w:rPr>
        <w:rFonts w:ascii="Arial" w:hAnsi="Arial" w:hint="default"/>
      </w:rPr>
    </w:lvl>
    <w:lvl w:ilvl="1" w:tplc="90244A0C" w:tentative="1">
      <w:start w:val="1"/>
      <w:numFmt w:val="bullet"/>
      <w:lvlText w:val="•"/>
      <w:lvlJc w:val="left"/>
      <w:pPr>
        <w:tabs>
          <w:tab w:val="num" w:pos="1440"/>
        </w:tabs>
        <w:ind w:left="1440" w:hanging="360"/>
      </w:pPr>
      <w:rPr>
        <w:rFonts w:ascii="Arial" w:hAnsi="Arial" w:hint="default"/>
      </w:rPr>
    </w:lvl>
    <w:lvl w:ilvl="2" w:tplc="3FC25F34" w:tentative="1">
      <w:start w:val="1"/>
      <w:numFmt w:val="bullet"/>
      <w:lvlText w:val="•"/>
      <w:lvlJc w:val="left"/>
      <w:pPr>
        <w:tabs>
          <w:tab w:val="num" w:pos="2160"/>
        </w:tabs>
        <w:ind w:left="2160" w:hanging="360"/>
      </w:pPr>
      <w:rPr>
        <w:rFonts w:ascii="Arial" w:hAnsi="Arial" w:hint="default"/>
      </w:rPr>
    </w:lvl>
    <w:lvl w:ilvl="3" w:tplc="A810F468" w:tentative="1">
      <w:start w:val="1"/>
      <w:numFmt w:val="bullet"/>
      <w:lvlText w:val="•"/>
      <w:lvlJc w:val="left"/>
      <w:pPr>
        <w:tabs>
          <w:tab w:val="num" w:pos="2880"/>
        </w:tabs>
        <w:ind w:left="2880" w:hanging="360"/>
      </w:pPr>
      <w:rPr>
        <w:rFonts w:ascii="Arial" w:hAnsi="Arial" w:hint="default"/>
      </w:rPr>
    </w:lvl>
    <w:lvl w:ilvl="4" w:tplc="ED0EC77C" w:tentative="1">
      <w:start w:val="1"/>
      <w:numFmt w:val="bullet"/>
      <w:lvlText w:val="•"/>
      <w:lvlJc w:val="left"/>
      <w:pPr>
        <w:tabs>
          <w:tab w:val="num" w:pos="3600"/>
        </w:tabs>
        <w:ind w:left="3600" w:hanging="360"/>
      </w:pPr>
      <w:rPr>
        <w:rFonts w:ascii="Arial" w:hAnsi="Arial" w:hint="default"/>
      </w:rPr>
    </w:lvl>
    <w:lvl w:ilvl="5" w:tplc="686A32D2" w:tentative="1">
      <w:start w:val="1"/>
      <w:numFmt w:val="bullet"/>
      <w:lvlText w:val="•"/>
      <w:lvlJc w:val="left"/>
      <w:pPr>
        <w:tabs>
          <w:tab w:val="num" w:pos="4320"/>
        </w:tabs>
        <w:ind w:left="4320" w:hanging="360"/>
      </w:pPr>
      <w:rPr>
        <w:rFonts w:ascii="Arial" w:hAnsi="Arial" w:hint="default"/>
      </w:rPr>
    </w:lvl>
    <w:lvl w:ilvl="6" w:tplc="0144D0D0" w:tentative="1">
      <w:start w:val="1"/>
      <w:numFmt w:val="bullet"/>
      <w:lvlText w:val="•"/>
      <w:lvlJc w:val="left"/>
      <w:pPr>
        <w:tabs>
          <w:tab w:val="num" w:pos="5040"/>
        </w:tabs>
        <w:ind w:left="5040" w:hanging="360"/>
      </w:pPr>
      <w:rPr>
        <w:rFonts w:ascii="Arial" w:hAnsi="Arial" w:hint="default"/>
      </w:rPr>
    </w:lvl>
    <w:lvl w:ilvl="7" w:tplc="4ADC45A8" w:tentative="1">
      <w:start w:val="1"/>
      <w:numFmt w:val="bullet"/>
      <w:lvlText w:val="•"/>
      <w:lvlJc w:val="left"/>
      <w:pPr>
        <w:tabs>
          <w:tab w:val="num" w:pos="5760"/>
        </w:tabs>
        <w:ind w:left="5760" w:hanging="360"/>
      </w:pPr>
      <w:rPr>
        <w:rFonts w:ascii="Arial" w:hAnsi="Arial" w:hint="default"/>
      </w:rPr>
    </w:lvl>
    <w:lvl w:ilvl="8" w:tplc="AEA2F350"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activeWritingStyle w:appName="MSWord" w:lang="en-US" w:vendorID="64" w:dllVersion="4096" w:nlCheck="1" w:checkStyle="0"/>
  <w:activeWritingStyle w:appName="MSWord" w:lang="en-GB" w:vendorID="64" w:dllVersion="4096"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FA2"/>
    <w:rsid w:val="000009BE"/>
    <w:rsid w:val="000215A4"/>
    <w:rsid w:val="00037877"/>
    <w:rsid w:val="000645AB"/>
    <w:rsid w:val="00065C46"/>
    <w:rsid w:val="00067F34"/>
    <w:rsid w:val="00073874"/>
    <w:rsid w:val="00075658"/>
    <w:rsid w:val="000777B9"/>
    <w:rsid w:val="000914C4"/>
    <w:rsid w:val="000B3D26"/>
    <w:rsid w:val="000E42E6"/>
    <w:rsid w:val="000F504B"/>
    <w:rsid w:val="001203A3"/>
    <w:rsid w:val="00122AFA"/>
    <w:rsid w:val="00132F13"/>
    <w:rsid w:val="001342F0"/>
    <w:rsid w:val="0015586D"/>
    <w:rsid w:val="00160A3B"/>
    <w:rsid w:val="001933F3"/>
    <w:rsid w:val="001A4085"/>
    <w:rsid w:val="00201264"/>
    <w:rsid w:val="00212938"/>
    <w:rsid w:val="0022479E"/>
    <w:rsid w:val="00235133"/>
    <w:rsid w:val="00256229"/>
    <w:rsid w:val="00257AC8"/>
    <w:rsid w:val="0026334F"/>
    <w:rsid w:val="002659AE"/>
    <w:rsid w:val="0027184D"/>
    <w:rsid w:val="0028431D"/>
    <w:rsid w:val="00284D8C"/>
    <w:rsid w:val="00294671"/>
    <w:rsid w:val="002A4066"/>
    <w:rsid w:val="002B68F3"/>
    <w:rsid w:val="002C1228"/>
    <w:rsid w:val="002C1F02"/>
    <w:rsid w:val="002C324C"/>
    <w:rsid w:val="002C38C1"/>
    <w:rsid w:val="002C63C4"/>
    <w:rsid w:val="002D7C27"/>
    <w:rsid w:val="002E3158"/>
    <w:rsid w:val="002F271E"/>
    <w:rsid w:val="00314F6F"/>
    <w:rsid w:val="0032020E"/>
    <w:rsid w:val="0033673C"/>
    <w:rsid w:val="003442F8"/>
    <w:rsid w:val="00346C76"/>
    <w:rsid w:val="00347DD3"/>
    <w:rsid w:val="00357F01"/>
    <w:rsid w:val="0036243F"/>
    <w:rsid w:val="003635BB"/>
    <w:rsid w:val="003769C6"/>
    <w:rsid w:val="00390296"/>
    <w:rsid w:val="003A071A"/>
    <w:rsid w:val="003B1E71"/>
    <w:rsid w:val="003C46DB"/>
    <w:rsid w:val="003E3DAF"/>
    <w:rsid w:val="003E7A6B"/>
    <w:rsid w:val="0040484C"/>
    <w:rsid w:val="004308F2"/>
    <w:rsid w:val="00436B38"/>
    <w:rsid w:val="004578DE"/>
    <w:rsid w:val="0046216E"/>
    <w:rsid w:val="004639AB"/>
    <w:rsid w:val="00473097"/>
    <w:rsid w:val="00482224"/>
    <w:rsid w:val="00485E75"/>
    <w:rsid w:val="00493491"/>
    <w:rsid w:val="004C0D75"/>
    <w:rsid w:val="004D6164"/>
    <w:rsid w:val="004E39F1"/>
    <w:rsid w:val="004F468C"/>
    <w:rsid w:val="004F4FAA"/>
    <w:rsid w:val="004F5A37"/>
    <w:rsid w:val="00511DEF"/>
    <w:rsid w:val="00517C17"/>
    <w:rsid w:val="00523CFF"/>
    <w:rsid w:val="0055741F"/>
    <w:rsid w:val="00576D5D"/>
    <w:rsid w:val="00586798"/>
    <w:rsid w:val="00593142"/>
    <w:rsid w:val="005A5334"/>
    <w:rsid w:val="005B2280"/>
    <w:rsid w:val="005B2E6C"/>
    <w:rsid w:val="005B7D4E"/>
    <w:rsid w:val="005C2323"/>
    <w:rsid w:val="005E4430"/>
    <w:rsid w:val="006064F8"/>
    <w:rsid w:val="00610380"/>
    <w:rsid w:val="00610AF4"/>
    <w:rsid w:val="006201E0"/>
    <w:rsid w:val="006235DF"/>
    <w:rsid w:val="00625F5B"/>
    <w:rsid w:val="00626C4D"/>
    <w:rsid w:val="00627EEE"/>
    <w:rsid w:val="00645621"/>
    <w:rsid w:val="006546B7"/>
    <w:rsid w:val="006630C0"/>
    <w:rsid w:val="006661A6"/>
    <w:rsid w:val="0066747B"/>
    <w:rsid w:val="00671B1E"/>
    <w:rsid w:val="00674908"/>
    <w:rsid w:val="00682C17"/>
    <w:rsid w:val="006B4229"/>
    <w:rsid w:val="006E75AE"/>
    <w:rsid w:val="006F3707"/>
    <w:rsid w:val="006F46DD"/>
    <w:rsid w:val="00713A84"/>
    <w:rsid w:val="00726D6C"/>
    <w:rsid w:val="0073462B"/>
    <w:rsid w:val="007355D1"/>
    <w:rsid w:val="00766229"/>
    <w:rsid w:val="00776AC5"/>
    <w:rsid w:val="007B2284"/>
    <w:rsid w:val="007B250A"/>
    <w:rsid w:val="007D0645"/>
    <w:rsid w:val="007D1CCF"/>
    <w:rsid w:val="007D2F88"/>
    <w:rsid w:val="008001B7"/>
    <w:rsid w:val="00800CFA"/>
    <w:rsid w:val="00803F90"/>
    <w:rsid w:val="008106B4"/>
    <w:rsid w:val="00810850"/>
    <w:rsid w:val="00813DF8"/>
    <w:rsid w:val="00827FE8"/>
    <w:rsid w:val="00834CF5"/>
    <w:rsid w:val="00840959"/>
    <w:rsid w:val="008527B2"/>
    <w:rsid w:val="00853361"/>
    <w:rsid w:val="00880063"/>
    <w:rsid w:val="00892536"/>
    <w:rsid w:val="008C3EA4"/>
    <w:rsid w:val="008C4145"/>
    <w:rsid w:val="008E0FA6"/>
    <w:rsid w:val="008E3E8E"/>
    <w:rsid w:val="008F6747"/>
    <w:rsid w:val="00902F57"/>
    <w:rsid w:val="0093387C"/>
    <w:rsid w:val="0094189B"/>
    <w:rsid w:val="00942D56"/>
    <w:rsid w:val="00957BAD"/>
    <w:rsid w:val="00961855"/>
    <w:rsid w:val="00977B17"/>
    <w:rsid w:val="00995396"/>
    <w:rsid w:val="009B15D1"/>
    <w:rsid w:val="009B5DD4"/>
    <w:rsid w:val="009E1B15"/>
    <w:rsid w:val="009E5FCE"/>
    <w:rsid w:val="009E60C3"/>
    <w:rsid w:val="009F0CCE"/>
    <w:rsid w:val="009F7159"/>
    <w:rsid w:val="00A06A3D"/>
    <w:rsid w:val="00A248A8"/>
    <w:rsid w:val="00A307FC"/>
    <w:rsid w:val="00A344D4"/>
    <w:rsid w:val="00A41D90"/>
    <w:rsid w:val="00A41E2B"/>
    <w:rsid w:val="00A75410"/>
    <w:rsid w:val="00A92196"/>
    <w:rsid w:val="00AB2831"/>
    <w:rsid w:val="00AC1E01"/>
    <w:rsid w:val="00AC2786"/>
    <w:rsid w:val="00AC3312"/>
    <w:rsid w:val="00AD1AE3"/>
    <w:rsid w:val="00B24C58"/>
    <w:rsid w:val="00B26FA7"/>
    <w:rsid w:val="00B5170A"/>
    <w:rsid w:val="00B637EE"/>
    <w:rsid w:val="00B72583"/>
    <w:rsid w:val="00B75FA2"/>
    <w:rsid w:val="00B80925"/>
    <w:rsid w:val="00B91E79"/>
    <w:rsid w:val="00B93F50"/>
    <w:rsid w:val="00BB2A9E"/>
    <w:rsid w:val="00BC6309"/>
    <w:rsid w:val="00BD52F9"/>
    <w:rsid w:val="00BF63FB"/>
    <w:rsid w:val="00C23F57"/>
    <w:rsid w:val="00C47BD6"/>
    <w:rsid w:val="00C63D76"/>
    <w:rsid w:val="00C65C3C"/>
    <w:rsid w:val="00C733A0"/>
    <w:rsid w:val="00C90FE1"/>
    <w:rsid w:val="00C91D69"/>
    <w:rsid w:val="00C925DF"/>
    <w:rsid w:val="00CB0208"/>
    <w:rsid w:val="00CB03F6"/>
    <w:rsid w:val="00CB34F1"/>
    <w:rsid w:val="00CC0556"/>
    <w:rsid w:val="00CC0F81"/>
    <w:rsid w:val="00CC7887"/>
    <w:rsid w:val="00CD313F"/>
    <w:rsid w:val="00CD333C"/>
    <w:rsid w:val="00CD64A9"/>
    <w:rsid w:val="00CE1DF9"/>
    <w:rsid w:val="00CE6E45"/>
    <w:rsid w:val="00D245C7"/>
    <w:rsid w:val="00D24D9F"/>
    <w:rsid w:val="00D24E3F"/>
    <w:rsid w:val="00D32F90"/>
    <w:rsid w:val="00D4713D"/>
    <w:rsid w:val="00D5536F"/>
    <w:rsid w:val="00D612A1"/>
    <w:rsid w:val="00D64B41"/>
    <w:rsid w:val="00D65455"/>
    <w:rsid w:val="00D83557"/>
    <w:rsid w:val="00D9267E"/>
    <w:rsid w:val="00D92CD2"/>
    <w:rsid w:val="00D968DF"/>
    <w:rsid w:val="00DC555F"/>
    <w:rsid w:val="00DC77C9"/>
    <w:rsid w:val="00DD1701"/>
    <w:rsid w:val="00DD1FB1"/>
    <w:rsid w:val="00DF071C"/>
    <w:rsid w:val="00E0495F"/>
    <w:rsid w:val="00E05CC5"/>
    <w:rsid w:val="00E15B12"/>
    <w:rsid w:val="00E21F73"/>
    <w:rsid w:val="00E40476"/>
    <w:rsid w:val="00E51B6F"/>
    <w:rsid w:val="00E612EC"/>
    <w:rsid w:val="00E671C9"/>
    <w:rsid w:val="00E70FEA"/>
    <w:rsid w:val="00E755AD"/>
    <w:rsid w:val="00E8205E"/>
    <w:rsid w:val="00E82E01"/>
    <w:rsid w:val="00E92E5E"/>
    <w:rsid w:val="00EA1FB2"/>
    <w:rsid w:val="00ED65EC"/>
    <w:rsid w:val="00EE3289"/>
    <w:rsid w:val="00EF1E95"/>
    <w:rsid w:val="00F00714"/>
    <w:rsid w:val="00F11523"/>
    <w:rsid w:val="00F11961"/>
    <w:rsid w:val="00F34FBF"/>
    <w:rsid w:val="00F61B83"/>
    <w:rsid w:val="00F631AF"/>
    <w:rsid w:val="00F64238"/>
    <w:rsid w:val="00F72615"/>
    <w:rsid w:val="00F7718C"/>
    <w:rsid w:val="00F82CC9"/>
    <w:rsid w:val="00F83A4E"/>
    <w:rsid w:val="00F96C1B"/>
    <w:rsid w:val="00FA2249"/>
    <w:rsid w:val="00FA68C6"/>
    <w:rsid w:val="00FB4C97"/>
    <w:rsid w:val="00FD1E09"/>
    <w:rsid w:val="00FE37BB"/>
    <w:rsid w:val="00FE61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078588DF"/>
  <w14:defaultImageDpi w14:val="32767"/>
  <w15:chartTrackingRefBased/>
  <w15:docId w15:val="{913DACCC-D9D2-2C4C-A49C-AB8E7DD74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FE37BB"/>
    <w:rPr>
      <w:rFonts w:ascii="Times New Roman" w:eastAsia="Times New Roman" w:hAnsi="Times New Roman" w:cs="Times New Roman"/>
      <w:lang w:val="en-GB"/>
    </w:rPr>
  </w:style>
  <w:style w:type="paragraph" w:styleId="Heading3">
    <w:name w:val="heading 3"/>
    <w:basedOn w:val="Normal"/>
    <w:link w:val="Heading3Char"/>
    <w:qFormat/>
    <w:rsid w:val="00B75FA2"/>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75FA2"/>
    <w:rPr>
      <w:rFonts w:ascii="Tahoma" w:eastAsia="SimSun" w:hAnsi="Tahoma" w:cs="Tahoma"/>
      <w:b/>
      <w:bCs/>
      <w:sz w:val="20"/>
      <w:szCs w:val="20"/>
      <w:lang w:val="en-GB" w:eastAsia="zh-CN"/>
    </w:rPr>
  </w:style>
  <w:style w:type="paragraph" w:styleId="NormalWeb">
    <w:name w:val="Normal (Web)"/>
    <w:basedOn w:val="Normal"/>
    <w:uiPriority w:val="99"/>
    <w:rsid w:val="00B75FA2"/>
    <w:pPr>
      <w:spacing w:before="100" w:beforeAutospacing="1" w:after="100" w:afterAutospacing="1"/>
    </w:pPr>
    <w:rPr>
      <w:rFonts w:ascii="Georgia" w:eastAsia="SimSun" w:hAnsi="Georgia"/>
      <w:color w:val="000000"/>
      <w:sz w:val="21"/>
      <w:szCs w:val="21"/>
      <w:lang w:eastAsia="zh-CN"/>
    </w:rPr>
  </w:style>
  <w:style w:type="character" w:styleId="Hyperlink">
    <w:name w:val="Hyperlink"/>
    <w:basedOn w:val="DefaultParagraphFont"/>
    <w:uiPriority w:val="99"/>
    <w:unhideWhenUsed/>
    <w:rsid w:val="00B75FA2"/>
    <w:rPr>
      <w:color w:val="0000FF"/>
      <w:u w:val="single"/>
    </w:rPr>
  </w:style>
  <w:style w:type="paragraph" w:styleId="FootnoteText">
    <w:name w:val="footnote text"/>
    <w:aliases w:val="Footnote Text Char Char Char Char Char Char Char Char,Footnote Text Char Char Char,Footnote Text Char Char Char Char Char Char Char,Footnote Text Char Char,Footnote Text Char Char Char Char Char Char,Footnote Text Char Char Char Char Char"/>
    <w:basedOn w:val="Normal"/>
    <w:link w:val="FootnoteTextChar"/>
    <w:uiPriority w:val="99"/>
    <w:unhideWhenUsed/>
    <w:rsid w:val="00B75FA2"/>
    <w:rPr>
      <w:rFonts w:eastAsia="SimSun"/>
      <w:sz w:val="20"/>
      <w:szCs w:val="20"/>
      <w:lang w:eastAsia="zh-CN"/>
    </w:rPr>
  </w:style>
  <w:style w:type="character" w:customStyle="1" w:styleId="FootnoteTextChar">
    <w:name w:val="Footnote Text Char"/>
    <w:aliases w:val="Footnote Text Char Char Char Char Char Char Char Char Char,Footnote Text Char Char Char Char,Footnote Text Char Char Char Char Char Char Char Char1,Footnote Text Char Char Char1,Footnote Text Char Char Char Char Char Char Char1"/>
    <w:basedOn w:val="DefaultParagraphFont"/>
    <w:link w:val="FootnoteText"/>
    <w:uiPriority w:val="99"/>
    <w:rsid w:val="00B75FA2"/>
    <w:rPr>
      <w:rFonts w:ascii="Times New Roman" w:eastAsia="SimSun" w:hAnsi="Times New Roman" w:cs="Times New Roman"/>
      <w:sz w:val="20"/>
      <w:szCs w:val="20"/>
      <w:lang w:val="en-GB" w:eastAsia="zh-CN"/>
    </w:rPr>
  </w:style>
  <w:style w:type="character" w:styleId="FootnoteReference">
    <w:name w:val="footnote reference"/>
    <w:basedOn w:val="DefaultParagraphFont"/>
    <w:uiPriority w:val="99"/>
    <w:semiHidden/>
    <w:unhideWhenUsed/>
    <w:rsid w:val="00B75FA2"/>
    <w:rPr>
      <w:vertAlign w:val="superscript"/>
    </w:rPr>
  </w:style>
  <w:style w:type="paragraph" w:styleId="BalloonText">
    <w:name w:val="Balloon Text"/>
    <w:basedOn w:val="Normal"/>
    <w:link w:val="BalloonTextChar"/>
    <w:uiPriority w:val="99"/>
    <w:semiHidden/>
    <w:unhideWhenUsed/>
    <w:rsid w:val="006235DF"/>
    <w:rPr>
      <w:sz w:val="18"/>
      <w:szCs w:val="18"/>
    </w:rPr>
  </w:style>
  <w:style w:type="character" w:customStyle="1" w:styleId="BalloonTextChar">
    <w:name w:val="Balloon Text Char"/>
    <w:basedOn w:val="DefaultParagraphFont"/>
    <w:link w:val="BalloonText"/>
    <w:uiPriority w:val="99"/>
    <w:semiHidden/>
    <w:rsid w:val="006235DF"/>
    <w:rPr>
      <w:rFonts w:ascii="Times New Roman" w:eastAsia="Times New Roman" w:hAnsi="Times New Roman" w:cs="Times New Roman"/>
      <w:sz w:val="18"/>
      <w:szCs w:val="18"/>
    </w:rPr>
  </w:style>
  <w:style w:type="paragraph" w:styleId="Header">
    <w:name w:val="header"/>
    <w:basedOn w:val="Normal"/>
    <w:link w:val="HeaderChar"/>
    <w:uiPriority w:val="99"/>
    <w:unhideWhenUsed/>
    <w:rsid w:val="00D5536F"/>
    <w:pPr>
      <w:tabs>
        <w:tab w:val="center" w:pos="4680"/>
        <w:tab w:val="right" w:pos="9360"/>
      </w:tabs>
    </w:pPr>
  </w:style>
  <w:style w:type="character" w:customStyle="1" w:styleId="HeaderChar">
    <w:name w:val="Header Char"/>
    <w:basedOn w:val="DefaultParagraphFont"/>
    <w:link w:val="Header"/>
    <w:uiPriority w:val="99"/>
    <w:rsid w:val="00D5536F"/>
    <w:rPr>
      <w:rFonts w:ascii="Times New Roman" w:eastAsia="Times New Roman" w:hAnsi="Times New Roman" w:cs="Times New Roman"/>
      <w:lang w:val="en-GB"/>
    </w:rPr>
  </w:style>
  <w:style w:type="paragraph" w:styleId="Footer">
    <w:name w:val="footer"/>
    <w:basedOn w:val="Normal"/>
    <w:link w:val="FooterChar"/>
    <w:uiPriority w:val="99"/>
    <w:unhideWhenUsed/>
    <w:rsid w:val="00D5536F"/>
    <w:pPr>
      <w:tabs>
        <w:tab w:val="center" w:pos="4680"/>
        <w:tab w:val="right" w:pos="9360"/>
      </w:tabs>
    </w:pPr>
  </w:style>
  <w:style w:type="character" w:customStyle="1" w:styleId="FooterChar">
    <w:name w:val="Footer Char"/>
    <w:basedOn w:val="DefaultParagraphFont"/>
    <w:link w:val="Footer"/>
    <w:uiPriority w:val="99"/>
    <w:rsid w:val="00D5536F"/>
    <w:rPr>
      <w:rFonts w:ascii="Times New Roman" w:eastAsia="Times New Roman" w:hAnsi="Times New Roman" w:cs="Times New Roman"/>
      <w:lang w:val="en-GB"/>
    </w:rPr>
  </w:style>
  <w:style w:type="character" w:styleId="PageNumber">
    <w:name w:val="page number"/>
    <w:basedOn w:val="DefaultParagraphFont"/>
    <w:uiPriority w:val="99"/>
    <w:semiHidden/>
    <w:unhideWhenUsed/>
    <w:rsid w:val="00D553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1684155">
      <w:bodyDiv w:val="1"/>
      <w:marLeft w:val="0"/>
      <w:marRight w:val="0"/>
      <w:marTop w:val="0"/>
      <w:marBottom w:val="0"/>
      <w:divBdr>
        <w:top w:val="none" w:sz="0" w:space="0" w:color="auto"/>
        <w:left w:val="none" w:sz="0" w:space="0" w:color="auto"/>
        <w:bottom w:val="none" w:sz="0" w:space="0" w:color="auto"/>
        <w:right w:val="none" w:sz="0" w:space="0" w:color="auto"/>
      </w:divBdr>
    </w:div>
    <w:div w:id="649602937">
      <w:bodyDiv w:val="1"/>
      <w:marLeft w:val="0"/>
      <w:marRight w:val="0"/>
      <w:marTop w:val="0"/>
      <w:marBottom w:val="0"/>
      <w:divBdr>
        <w:top w:val="none" w:sz="0" w:space="0" w:color="auto"/>
        <w:left w:val="none" w:sz="0" w:space="0" w:color="auto"/>
        <w:bottom w:val="none" w:sz="0" w:space="0" w:color="auto"/>
        <w:right w:val="none" w:sz="0" w:space="0" w:color="auto"/>
      </w:divBdr>
    </w:div>
    <w:div w:id="671034645">
      <w:bodyDiv w:val="1"/>
      <w:marLeft w:val="0"/>
      <w:marRight w:val="0"/>
      <w:marTop w:val="0"/>
      <w:marBottom w:val="0"/>
      <w:divBdr>
        <w:top w:val="none" w:sz="0" w:space="0" w:color="auto"/>
        <w:left w:val="none" w:sz="0" w:space="0" w:color="auto"/>
        <w:bottom w:val="none" w:sz="0" w:space="0" w:color="auto"/>
        <w:right w:val="none" w:sz="0" w:space="0" w:color="auto"/>
      </w:divBdr>
    </w:div>
    <w:div w:id="755250906">
      <w:bodyDiv w:val="1"/>
      <w:marLeft w:val="0"/>
      <w:marRight w:val="0"/>
      <w:marTop w:val="0"/>
      <w:marBottom w:val="0"/>
      <w:divBdr>
        <w:top w:val="none" w:sz="0" w:space="0" w:color="auto"/>
        <w:left w:val="none" w:sz="0" w:space="0" w:color="auto"/>
        <w:bottom w:val="none" w:sz="0" w:space="0" w:color="auto"/>
        <w:right w:val="none" w:sz="0" w:space="0" w:color="auto"/>
      </w:divBdr>
    </w:div>
    <w:div w:id="758218023">
      <w:bodyDiv w:val="1"/>
      <w:marLeft w:val="0"/>
      <w:marRight w:val="0"/>
      <w:marTop w:val="0"/>
      <w:marBottom w:val="0"/>
      <w:divBdr>
        <w:top w:val="none" w:sz="0" w:space="0" w:color="auto"/>
        <w:left w:val="none" w:sz="0" w:space="0" w:color="auto"/>
        <w:bottom w:val="none" w:sz="0" w:space="0" w:color="auto"/>
        <w:right w:val="none" w:sz="0" w:space="0" w:color="auto"/>
      </w:divBdr>
    </w:div>
    <w:div w:id="830027440">
      <w:bodyDiv w:val="1"/>
      <w:marLeft w:val="0"/>
      <w:marRight w:val="0"/>
      <w:marTop w:val="0"/>
      <w:marBottom w:val="0"/>
      <w:divBdr>
        <w:top w:val="none" w:sz="0" w:space="0" w:color="auto"/>
        <w:left w:val="none" w:sz="0" w:space="0" w:color="auto"/>
        <w:bottom w:val="none" w:sz="0" w:space="0" w:color="auto"/>
        <w:right w:val="none" w:sz="0" w:space="0" w:color="auto"/>
      </w:divBdr>
    </w:div>
    <w:div w:id="1121920456">
      <w:bodyDiv w:val="1"/>
      <w:marLeft w:val="0"/>
      <w:marRight w:val="0"/>
      <w:marTop w:val="0"/>
      <w:marBottom w:val="0"/>
      <w:divBdr>
        <w:top w:val="none" w:sz="0" w:space="0" w:color="auto"/>
        <w:left w:val="none" w:sz="0" w:space="0" w:color="auto"/>
        <w:bottom w:val="none" w:sz="0" w:space="0" w:color="auto"/>
        <w:right w:val="none" w:sz="0" w:space="0" w:color="auto"/>
      </w:divBdr>
    </w:div>
    <w:div w:id="1503624983">
      <w:bodyDiv w:val="1"/>
      <w:marLeft w:val="0"/>
      <w:marRight w:val="0"/>
      <w:marTop w:val="0"/>
      <w:marBottom w:val="0"/>
      <w:divBdr>
        <w:top w:val="none" w:sz="0" w:space="0" w:color="auto"/>
        <w:left w:val="none" w:sz="0" w:space="0" w:color="auto"/>
        <w:bottom w:val="none" w:sz="0" w:space="0" w:color="auto"/>
        <w:right w:val="none" w:sz="0" w:space="0" w:color="auto"/>
      </w:divBdr>
    </w:div>
    <w:div w:id="1782652237">
      <w:bodyDiv w:val="1"/>
      <w:marLeft w:val="0"/>
      <w:marRight w:val="0"/>
      <w:marTop w:val="0"/>
      <w:marBottom w:val="0"/>
      <w:divBdr>
        <w:top w:val="none" w:sz="0" w:space="0" w:color="auto"/>
        <w:left w:val="none" w:sz="0" w:space="0" w:color="auto"/>
        <w:bottom w:val="none" w:sz="0" w:space="0" w:color="auto"/>
        <w:right w:val="none" w:sz="0" w:space="0" w:color="auto"/>
      </w:divBdr>
    </w:div>
    <w:div w:id="187179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F2A68F0-4417-5441-9E45-73728B8A0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1080</TotalTime>
  <Pages>11</Pages>
  <Words>3335</Words>
  <Characters>19011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Goldstein (1710933)</dc:creator>
  <cp:keywords/>
  <dc:description/>
  <cp:lastModifiedBy>Danielle Goldstein (1710933)</cp:lastModifiedBy>
  <cp:revision>191</cp:revision>
  <dcterms:created xsi:type="dcterms:W3CDTF">2020-06-21T19:27:00Z</dcterms:created>
  <dcterms:modified xsi:type="dcterms:W3CDTF">2020-07-06T22:56:00Z</dcterms:modified>
</cp:coreProperties>
</file>