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51614" w14:textId="77777777" w:rsidR="004277EF" w:rsidRPr="00416395" w:rsidRDefault="00000000">
      <w:r w:rsidRPr="00416395">
        <w:t xml:space="preserve">   </w:t>
      </w:r>
    </w:p>
    <w:p w14:paraId="13ACDCA7" w14:textId="77777777" w:rsidR="004277EF" w:rsidRPr="00416395" w:rsidRDefault="004277EF">
      <w:pPr>
        <w:rPr>
          <w:rFonts w:ascii="Arial" w:hAnsi="Arial" w:cs="Arial"/>
          <w:sz w:val="44"/>
          <w:szCs w:val="44"/>
        </w:rPr>
      </w:pPr>
    </w:p>
    <w:p w14:paraId="6999AEE8" w14:textId="77777777" w:rsidR="004277EF" w:rsidRDefault="00000000">
      <w:pPr>
        <w:jc w:val="center"/>
        <w:rPr>
          <w:rFonts w:ascii="Arial" w:hAnsi="Arial" w:cs="Arial"/>
          <w:b/>
          <w:bCs/>
          <w:sz w:val="44"/>
          <w:szCs w:val="44"/>
        </w:rPr>
      </w:pPr>
      <w:r>
        <w:rPr>
          <w:rFonts w:ascii="Arial" w:hAnsi="Arial" w:cs="Arial"/>
          <w:b/>
          <w:bCs/>
          <w:sz w:val="44"/>
          <w:szCs w:val="44"/>
        </w:rPr>
        <w:t>Introduction to Health and Social Care</w:t>
      </w:r>
    </w:p>
    <w:p w14:paraId="47D7FBFB" w14:textId="77777777" w:rsidR="004277EF" w:rsidRDefault="00000000">
      <w:pPr>
        <w:jc w:val="center"/>
        <w:rPr>
          <w:rFonts w:ascii="Arial" w:hAnsi="Arial" w:cs="Arial"/>
          <w:b/>
          <w:bCs/>
          <w:sz w:val="44"/>
          <w:szCs w:val="44"/>
        </w:rPr>
      </w:pPr>
      <w:r>
        <w:rPr>
          <w:rFonts w:ascii="Arial" w:hAnsi="Arial" w:cs="Arial"/>
          <w:b/>
          <w:bCs/>
          <w:sz w:val="44"/>
          <w:szCs w:val="44"/>
        </w:rPr>
        <w:t>LCHS4003</w:t>
      </w:r>
    </w:p>
    <w:p w14:paraId="43EAB622" w14:textId="77777777" w:rsidR="004277EF" w:rsidRDefault="004277EF">
      <w:pPr>
        <w:rPr>
          <w:rFonts w:ascii="Arial" w:hAnsi="Arial" w:cs="Arial"/>
          <w:sz w:val="44"/>
          <w:szCs w:val="44"/>
        </w:rPr>
      </w:pPr>
    </w:p>
    <w:p w14:paraId="1E5A0A0D" w14:textId="77777777" w:rsidR="004277EF" w:rsidRDefault="004277EF"/>
    <w:p w14:paraId="7F404413" w14:textId="77777777" w:rsidR="004277EF" w:rsidRDefault="004277EF"/>
    <w:p w14:paraId="5F80854F" w14:textId="77777777" w:rsidR="004277EF" w:rsidRDefault="004277EF"/>
    <w:p w14:paraId="60872401" w14:textId="77777777" w:rsidR="004277EF" w:rsidRDefault="004277EF"/>
    <w:p w14:paraId="3B7D2151" w14:textId="77777777" w:rsidR="004277EF" w:rsidRDefault="004277EF"/>
    <w:p w14:paraId="4A73E9EE" w14:textId="77777777" w:rsidR="004277EF" w:rsidRDefault="004277EF"/>
    <w:p w14:paraId="5BE23091" w14:textId="77777777" w:rsidR="004277EF" w:rsidRDefault="004277EF"/>
    <w:p w14:paraId="0F6E141A" w14:textId="77777777" w:rsidR="004277EF" w:rsidRDefault="004277EF"/>
    <w:p w14:paraId="0D05F2BB" w14:textId="77777777" w:rsidR="004277EF" w:rsidRDefault="00000000">
      <w:pPr>
        <w:rPr>
          <w:rFonts w:ascii="Arial" w:hAnsi="Arial" w:cs="Arial"/>
          <w:sz w:val="28"/>
          <w:szCs w:val="28"/>
        </w:rPr>
      </w:pPr>
      <w:r>
        <w:rPr>
          <w:rFonts w:ascii="Arial" w:hAnsi="Arial" w:cs="Arial"/>
          <w:sz w:val="28"/>
          <w:szCs w:val="28"/>
        </w:rPr>
        <w:t xml:space="preserve">               My Role as a Future Health and Social Care Practitioner</w:t>
      </w:r>
    </w:p>
    <w:p w14:paraId="383D95C6" w14:textId="77777777" w:rsidR="004277EF" w:rsidRDefault="004277EF">
      <w:pPr>
        <w:rPr>
          <w:rFonts w:ascii="Arial" w:hAnsi="Arial" w:cs="Arial"/>
          <w:sz w:val="28"/>
          <w:szCs w:val="28"/>
        </w:rPr>
      </w:pPr>
    </w:p>
    <w:p w14:paraId="2DA79C5B" w14:textId="77777777" w:rsidR="004277EF" w:rsidRDefault="004277EF">
      <w:pPr>
        <w:rPr>
          <w:rFonts w:ascii="Arial" w:hAnsi="Arial" w:cs="Arial"/>
          <w:sz w:val="28"/>
          <w:szCs w:val="28"/>
        </w:rPr>
      </w:pPr>
    </w:p>
    <w:p w14:paraId="12261738" w14:textId="77777777" w:rsidR="004277EF" w:rsidRDefault="004277EF">
      <w:pPr>
        <w:rPr>
          <w:rFonts w:ascii="Arial" w:hAnsi="Arial" w:cs="Arial"/>
          <w:sz w:val="28"/>
          <w:szCs w:val="28"/>
        </w:rPr>
      </w:pPr>
    </w:p>
    <w:p w14:paraId="5A556FBF" w14:textId="77777777" w:rsidR="004277EF" w:rsidRDefault="004277EF">
      <w:pPr>
        <w:rPr>
          <w:rFonts w:ascii="Arial" w:hAnsi="Arial" w:cs="Arial"/>
          <w:sz w:val="28"/>
          <w:szCs w:val="28"/>
        </w:rPr>
      </w:pPr>
    </w:p>
    <w:p w14:paraId="1AACD944" w14:textId="77777777" w:rsidR="004277EF" w:rsidRDefault="004277EF">
      <w:pPr>
        <w:rPr>
          <w:rFonts w:ascii="Arial" w:hAnsi="Arial" w:cs="Arial"/>
          <w:sz w:val="28"/>
          <w:szCs w:val="28"/>
        </w:rPr>
      </w:pPr>
    </w:p>
    <w:p w14:paraId="7417C83D" w14:textId="77777777" w:rsidR="004277EF" w:rsidRDefault="004277EF">
      <w:pPr>
        <w:rPr>
          <w:rFonts w:ascii="Arial" w:hAnsi="Arial" w:cs="Arial"/>
          <w:b/>
          <w:bCs/>
          <w:sz w:val="24"/>
          <w:szCs w:val="24"/>
        </w:rPr>
      </w:pPr>
    </w:p>
    <w:p w14:paraId="4F69B163" w14:textId="77777777" w:rsidR="004277EF" w:rsidRDefault="00000000">
      <w:pPr>
        <w:rPr>
          <w:rFonts w:ascii="Arial" w:hAnsi="Arial" w:cs="Arial"/>
          <w:b/>
          <w:bCs/>
          <w:sz w:val="24"/>
          <w:szCs w:val="24"/>
        </w:rPr>
      </w:pPr>
      <w:r>
        <w:rPr>
          <w:rFonts w:ascii="Arial" w:hAnsi="Arial" w:cs="Arial"/>
          <w:b/>
          <w:bCs/>
          <w:sz w:val="24"/>
          <w:szCs w:val="24"/>
        </w:rPr>
        <w:t xml:space="preserve">Name: Rayssa Silva </w:t>
      </w:r>
    </w:p>
    <w:p w14:paraId="24C70C17" w14:textId="77777777" w:rsidR="004277EF" w:rsidRDefault="00000000">
      <w:pPr>
        <w:rPr>
          <w:rFonts w:ascii="Arial" w:hAnsi="Arial" w:cs="Arial"/>
          <w:b/>
          <w:bCs/>
          <w:sz w:val="24"/>
          <w:szCs w:val="24"/>
        </w:rPr>
      </w:pPr>
      <w:r>
        <w:rPr>
          <w:rFonts w:ascii="Arial" w:hAnsi="Arial" w:cs="Arial"/>
          <w:b/>
          <w:bCs/>
          <w:sz w:val="24"/>
          <w:szCs w:val="24"/>
        </w:rPr>
        <w:t>ID.: 2417813</w:t>
      </w:r>
    </w:p>
    <w:p w14:paraId="0327A221" w14:textId="77777777" w:rsidR="004277EF" w:rsidRDefault="00000000">
      <w:pPr>
        <w:rPr>
          <w:rFonts w:ascii="Arial" w:hAnsi="Arial" w:cs="Arial"/>
          <w:b/>
          <w:bCs/>
          <w:sz w:val="24"/>
          <w:szCs w:val="24"/>
        </w:rPr>
      </w:pPr>
      <w:r>
        <w:rPr>
          <w:rFonts w:ascii="Arial" w:hAnsi="Arial" w:cs="Arial"/>
          <w:b/>
          <w:bCs/>
          <w:sz w:val="24"/>
          <w:szCs w:val="24"/>
        </w:rPr>
        <w:t>Lecture: Muhammad Aliyu</w:t>
      </w:r>
    </w:p>
    <w:p w14:paraId="22838250" w14:textId="77777777" w:rsidR="004277EF" w:rsidRDefault="004277EF"/>
    <w:p w14:paraId="2A2B04FE" w14:textId="77777777" w:rsidR="004277EF" w:rsidRDefault="004277EF"/>
    <w:p w14:paraId="4F6B4B28" w14:textId="77777777" w:rsidR="004277EF" w:rsidRDefault="004277EF"/>
    <w:p w14:paraId="622F10ED" w14:textId="77777777" w:rsidR="004277EF" w:rsidRDefault="004277EF"/>
    <w:p w14:paraId="42A9344E" w14:textId="77777777" w:rsidR="004277EF" w:rsidRDefault="004277EF"/>
    <w:sdt>
      <w:sdtPr>
        <w:rPr>
          <w:rFonts w:ascii="Calibri" w:eastAsia="Calibri" w:hAnsi="Calibri" w:cs="Times New Roman"/>
          <w:color w:val="auto"/>
          <w:kern w:val="3"/>
          <w:sz w:val="22"/>
          <w:szCs w:val="22"/>
          <w:lang w:eastAsia="en-US"/>
        </w:rPr>
        <w:id w:val="976719711"/>
        <w:docPartObj>
          <w:docPartGallery w:val="Table of Contents"/>
          <w:docPartUnique/>
        </w:docPartObj>
      </w:sdtPr>
      <w:sdtEndPr>
        <w:rPr>
          <w:rFonts w:ascii="Arial" w:hAnsi="Arial" w:cs="Arial"/>
          <w:b/>
          <w:bCs/>
        </w:rPr>
      </w:sdtEndPr>
      <w:sdtContent>
        <w:p w14:paraId="5B1FEAFE" w14:textId="77777777" w:rsidR="003D42A4" w:rsidRDefault="003D42A4">
          <w:pPr>
            <w:pStyle w:val="CabealhodoSumrio"/>
            <w:rPr>
              <w:rFonts w:ascii="Calibri" w:eastAsia="Calibri" w:hAnsi="Calibri" w:cs="Times New Roman"/>
              <w:color w:val="auto"/>
              <w:kern w:val="3"/>
              <w:sz w:val="22"/>
              <w:szCs w:val="22"/>
              <w:lang w:eastAsia="en-US"/>
            </w:rPr>
          </w:pPr>
        </w:p>
        <w:p w14:paraId="3C3410AF" w14:textId="77777777" w:rsidR="003D42A4" w:rsidRDefault="003D42A4">
          <w:pPr>
            <w:pStyle w:val="CabealhodoSumrio"/>
          </w:pPr>
        </w:p>
        <w:p w14:paraId="75198FC9" w14:textId="7286E60A" w:rsidR="00416395" w:rsidRDefault="00416395">
          <w:pPr>
            <w:pStyle w:val="CabealhodoSumrio"/>
            <w:rPr>
              <w:rFonts w:ascii="Arial" w:hAnsi="Arial" w:cs="Arial"/>
              <w:b/>
              <w:bCs/>
              <w:color w:val="000000" w:themeColor="text1"/>
              <w:sz w:val="22"/>
              <w:szCs w:val="22"/>
            </w:rPr>
          </w:pPr>
          <w:r w:rsidRPr="00A869C9">
            <w:rPr>
              <w:rFonts w:ascii="Arial" w:hAnsi="Arial" w:cs="Arial"/>
              <w:b/>
              <w:bCs/>
              <w:color w:val="000000" w:themeColor="text1"/>
              <w:sz w:val="22"/>
              <w:szCs w:val="22"/>
            </w:rPr>
            <w:t>Contents</w:t>
          </w:r>
        </w:p>
        <w:p w14:paraId="571B99F8" w14:textId="77777777" w:rsidR="00A869C9" w:rsidRPr="00A869C9" w:rsidRDefault="00A869C9" w:rsidP="00A869C9">
          <w:pPr>
            <w:rPr>
              <w:lang w:eastAsia="en-GB"/>
            </w:rPr>
          </w:pPr>
        </w:p>
        <w:p w14:paraId="568BD56A" w14:textId="60FC6436" w:rsidR="00416395" w:rsidRPr="00A869C9" w:rsidRDefault="00416395">
          <w:pPr>
            <w:pStyle w:val="Sumrio1"/>
            <w:tabs>
              <w:tab w:val="left" w:pos="480"/>
              <w:tab w:val="right" w:leader="dot" w:pos="9016"/>
            </w:tabs>
            <w:rPr>
              <w:rFonts w:ascii="Arial" w:hAnsi="Arial" w:cs="Arial"/>
              <w:noProof/>
            </w:rPr>
          </w:pPr>
          <w:r w:rsidRPr="00A869C9">
            <w:rPr>
              <w:rFonts w:ascii="Arial" w:hAnsi="Arial" w:cs="Arial"/>
            </w:rPr>
            <w:fldChar w:fldCharType="begin"/>
          </w:r>
          <w:r w:rsidRPr="00A869C9">
            <w:rPr>
              <w:rFonts w:ascii="Arial" w:hAnsi="Arial" w:cs="Arial"/>
            </w:rPr>
            <w:instrText xml:space="preserve"> TOC \o "1-3" \h \z \u </w:instrText>
          </w:r>
          <w:r w:rsidRPr="00A869C9">
            <w:rPr>
              <w:rFonts w:ascii="Arial" w:hAnsi="Arial" w:cs="Arial"/>
            </w:rPr>
            <w:fldChar w:fldCharType="separate"/>
          </w:r>
          <w:hyperlink w:anchor="_Toc215255019" w:history="1">
            <w:r w:rsidRPr="00A869C9">
              <w:rPr>
                <w:rStyle w:val="Hyperlink"/>
                <w:rFonts w:ascii="Arial" w:hAnsi="Arial" w:cs="Arial"/>
                <w:noProof/>
              </w:rPr>
              <w:t>1.</w:t>
            </w:r>
            <w:r w:rsidRPr="00A869C9">
              <w:rPr>
                <w:rFonts w:ascii="Arial" w:hAnsi="Arial" w:cs="Arial"/>
                <w:noProof/>
              </w:rPr>
              <w:tab/>
            </w:r>
            <w:r w:rsidRPr="00A869C9">
              <w:rPr>
                <w:rStyle w:val="Hyperlink"/>
                <w:rFonts w:ascii="Arial" w:hAnsi="Arial" w:cs="Arial"/>
                <w:noProof/>
              </w:rPr>
              <w:t>Introduction</w:t>
            </w:r>
            <w:r w:rsidRPr="00A869C9">
              <w:rPr>
                <w:rFonts w:ascii="Arial" w:hAnsi="Arial" w:cs="Arial"/>
                <w:noProof/>
                <w:webHidden/>
              </w:rPr>
              <w:tab/>
            </w:r>
            <w:r w:rsidRPr="00A869C9">
              <w:rPr>
                <w:rFonts w:ascii="Arial" w:hAnsi="Arial" w:cs="Arial"/>
                <w:noProof/>
                <w:webHidden/>
              </w:rPr>
              <w:fldChar w:fldCharType="begin"/>
            </w:r>
            <w:r w:rsidRPr="00A869C9">
              <w:rPr>
                <w:rFonts w:ascii="Arial" w:hAnsi="Arial" w:cs="Arial"/>
                <w:noProof/>
                <w:webHidden/>
              </w:rPr>
              <w:instrText xml:space="preserve"> PAGEREF _Toc215255019 \h </w:instrText>
            </w:r>
            <w:r w:rsidRPr="00A869C9">
              <w:rPr>
                <w:rFonts w:ascii="Arial" w:hAnsi="Arial" w:cs="Arial"/>
                <w:noProof/>
                <w:webHidden/>
              </w:rPr>
            </w:r>
            <w:r w:rsidRPr="00A869C9">
              <w:rPr>
                <w:rFonts w:ascii="Arial" w:hAnsi="Arial" w:cs="Arial"/>
                <w:noProof/>
                <w:webHidden/>
              </w:rPr>
              <w:fldChar w:fldCharType="separate"/>
            </w:r>
            <w:r w:rsidRPr="00A869C9">
              <w:rPr>
                <w:rFonts w:ascii="Arial" w:hAnsi="Arial" w:cs="Arial"/>
                <w:noProof/>
                <w:webHidden/>
              </w:rPr>
              <w:t>3</w:t>
            </w:r>
            <w:r w:rsidRPr="00A869C9">
              <w:rPr>
                <w:rFonts w:ascii="Arial" w:hAnsi="Arial" w:cs="Arial"/>
                <w:noProof/>
                <w:webHidden/>
              </w:rPr>
              <w:fldChar w:fldCharType="end"/>
            </w:r>
          </w:hyperlink>
        </w:p>
        <w:p w14:paraId="4D872776" w14:textId="4DFFC1DA" w:rsidR="00416395" w:rsidRPr="00A869C9" w:rsidRDefault="00416395">
          <w:pPr>
            <w:pStyle w:val="Sumrio1"/>
            <w:tabs>
              <w:tab w:val="left" w:pos="480"/>
              <w:tab w:val="right" w:leader="dot" w:pos="9016"/>
            </w:tabs>
            <w:rPr>
              <w:rFonts w:ascii="Arial" w:hAnsi="Arial" w:cs="Arial"/>
              <w:noProof/>
            </w:rPr>
          </w:pPr>
          <w:hyperlink w:anchor="_Toc215255020" w:history="1">
            <w:r w:rsidRPr="00A869C9">
              <w:rPr>
                <w:rStyle w:val="Hyperlink"/>
                <w:rFonts w:ascii="Arial" w:hAnsi="Arial" w:cs="Arial"/>
                <w:noProof/>
              </w:rPr>
              <w:t>2.</w:t>
            </w:r>
            <w:r w:rsidRPr="00A869C9">
              <w:rPr>
                <w:rFonts w:ascii="Arial" w:hAnsi="Arial" w:cs="Arial"/>
                <w:noProof/>
              </w:rPr>
              <w:tab/>
            </w:r>
            <w:r w:rsidRPr="00A869C9">
              <w:rPr>
                <w:rStyle w:val="Hyperlink"/>
                <w:rFonts w:ascii="Arial" w:hAnsi="Arial" w:cs="Arial"/>
                <w:noProof/>
              </w:rPr>
              <w:t>The Equality Act</w:t>
            </w:r>
            <w:r w:rsidRPr="00A869C9">
              <w:rPr>
                <w:rFonts w:ascii="Arial" w:hAnsi="Arial" w:cs="Arial"/>
                <w:noProof/>
                <w:webHidden/>
              </w:rPr>
              <w:tab/>
            </w:r>
            <w:r w:rsidR="00A24285">
              <w:rPr>
                <w:rFonts w:ascii="Arial" w:hAnsi="Arial" w:cs="Arial"/>
                <w:noProof/>
                <w:webHidden/>
              </w:rPr>
              <w:t>3</w:t>
            </w:r>
          </w:hyperlink>
        </w:p>
        <w:p w14:paraId="5501BF8B" w14:textId="48F79815" w:rsidR="00416395" w:rsidRPr="00A869C9" w:rsidRDefault="00416395">
          <w:pPr>
            <w:pStyle w:val="Sumrio1"/>
            <w:tabs>
              <w:tab w:val="left" w:pos="480"/>
              <w:tab w:val="right" w:leader="dot" w:pos="9016"/>
            </w:tabs>
            <w:rPr>
              <w:rFonts w:ascii="Arial" w:hAnsi="Arial" w:cs="Arial"/>
              <w:noProof/>
            </w:rPr>
          </w:pPr>
          <w:hyperlink w:anchor="_Toc215255021" w:history="1">
            <w:r w:rsidRPr="00A869C9">
              <w:rPr>
                <w:rStyle w:val="Hyperlink"/>
                <w:rFonts w:ascii="Arial" w:hAnsi="Arial" w:cs="Arial"/>
                <w:noProof/>
              </w:rPr>
              <w:t>3.</w:t>
            </w:r>
            <w:r w:rsidRPr="00A869C9">
              <w:rPr>
                <w:rFonts w:ascii="Arial" w:hAnsi="Arial" w:cs="Arial"/>
                <w:noProof/>
              </w:rPr>
              <w:tab/>
            </w:r>
            <w:r w:rsidRPr="00A869C9">
              <w:rPr>
                <w:rStyle w:val="Hyperlink"/>
                <w:rFonts w:ascii="Arial" w:hAnsi="Arial" w:cs="Arial"/>
                <w:noProof/>
              </w:rPr>
              <w:t>Performing Good Administrative Skills in Record Keeping</w:t>
            </w:r>
            <w:r w:rsidRPr="00A869C9">
              <w:rPr>
                <w:rFonts w:ascii="Arial" w:hAnsi="Arial" w:cs="Arial"/>
                <w:noProof/>
                <w:webHidden/>
              </w:rPr>
              <w:tab/>
            </w:r>
            <w:r w:rsidR="00A24285">
              <w:rPr>
                <w:rFonts w:ascii="Arial" w:hAnsi="Arial" w:cs="Arial"/>
                <w:noProof/>
                <w:webHidden/>
              </w:rPr>
              <w:t>4</w:t>
            </w:r>
          </w:hyperlink>
        </w:p>
        <w:p w14:paraId="3F1E23FE" w14:textId="65E28FC8" w:rsidR="00416395" w:rsidRPr="00A869C9" w:rsidRDefault="00416395">
          <w:pPr>
            <w:pStyle w:val="Sumrio1"/>
            <w:tabs>
              <w:tab w:val="left" w:pos="480"/>
              <w:tab w:val="right" w:leader="dot" w:pos="9016"/>
            </w:tabs>
            <w:rPr>
              <w:rFonts w:ascii="Arial" w:hAnsi="Arial" w:cs="Arial"/>
              <w:noProof/>
            </w:rPr>
          </w:pPr>
          <w:hyperlink w:anchor="_Toc215255022" w:history="1">
            <w:r w:rsidRPr="00A869C9">
              <w:rPr>
                <w:rStyle w:val="Hyperlink"/>
                <w:rFonts w:ascii="Arial" w:hAnsi="Arial" w:cs="Arial"/>
                <w:noProof/>
              </w:rPr>
              <w:t>4.</w:t>
            </w:r>
            <w:r w:rsidRPr="00A869C9">
              <w:rPr>
                <w:rFonts w:ascii="Arial" w:hAnsi="Arial" w:cs="Arial"/>
                <w:noProof/>
              </w:rPr>
              <w:tab/>
            </w:r>
            <w:r w:rsidRPr="00A869C9">
              <w:rPr>
                <w:rStyle w:val="Hyperlink"/>
                <w:rFonts w:ascii="Arial" w:hAnsi="Arial" w:cs="Arial"/>
                <w:noProof/>
              </w:rPr>
              <w:t>Reflecting on Continuing Professional Development (CPD)</w:t>
            </w:r>
            <w:r w:rsidRPr="00A869C9">
              <w:rPr>
                <w:rFonts w:ascii="Arial" w:hAnsi="Arial" w:cs="Arial"/>
                <w:noProof/>
                <w:webHidden/>
              </w:rPr>
              <w:tab/>
            </w:r>
            <w:r w:rsidR="00734677">
              <w:rPr>
                <w:rFonts w:ascii="Arial" w:hAnsi="Arial" w:cs="Arial"/>
                <w:noProof/>
                <w:webHidden/>
              </w:rPr>
              <w:t>5</w:t>
            </w:r>
          </w:hyperlink>
        </w:p>
        <w:p w14:paraId="0257A1B7" w14:textId="7BB2EF55" w:rsidR="00416395" w:rsidRPr="00A869C9" w:rsidRDefault="00416395">
          <w:pPr>
            <w:pStyle w:val="Sumrio1"/>
            <w:tabs>
              <w:tab w:val="left" w:pos="480"/>
              <w:tab w:val="right" w:leader="dot" w:pos="9016"/>
            </w:tabs>
            <w:rPr>
              <w:rFonts w:ascii="Arial" w:hAnsi="Arial" w:cs="Arial"/>
              <w:noProof/>
            </w:rPr>
          </w:pPr>
          <w:hyperlink w:anchor="_Toc215255023" w:history="1">
            <w:r w:rsidRPr="00A869C9">
              <w:rPr>
                <w:rStyle w:val="Hyperlink"/>
                <w:rFonts w:ascii="Arial" w:hAnsi="Arial" w:cs="Arial"/>
                <w:noProof/>
              </w:rPr>
              <w:t>5.</w:t>
            </w:r>
            <w:r w:rsidRPr="00A869C9">
              <w:rPr>
                <w:rFonts w:ascii="Arial" w:hAnsi="Arial" w:cs="Arial"/>
                <w:noProof/>
              </w:rPr>
              <w:tab/>
            </w:r>
            <w:r w:rsidRPr="00A869C9">
              <w:rPr>
                <w:rStyle w:val="Hyperlink"/>
                <w:rFonts w:ascii="Arial" w:hAnsi="Arial" w:cs="Arial"/>
                <w:noProof/>
              </w:rPr>
              <w:t>Conclusion</w:t>
            </w:r>
            <w:r w:rsidRPr="00A869C9">
              <w:rPr>
                <w:rFonts w:ascii="Arial" w:hAnsi="Arial" w:cs="Arial"/>
                <w:noProof/>
                <w:webHidden/>
              </w:rPr>
              <w:tab/>
            </w:r>
            <w:r w:rsidR="00324525">
              <w:rPr>
                <w:rFonts w:ascii="Arial" w:hAnsi="Arial" w:cs="Arial"/>
                <w:noProof/>
                <w:webHidden/>
              </w:rPr>
              <w:t>5</w:t>
            </w:r>
          </w:hyperlink>
        </w:p>
        <w:p w14:paraId="76E3A62B" w14:textId="339FF1FF" w:rsidR="00416395" w:rsidRPr="00A869C9" w:rsidRDefault="00416395">
          <w:pPr>
            <w:pStyle w:val="Sumrio1"/>
            <w:tabs>
              <w:tab w:val="left" w:pos="480"/>
              <w:tab w:val="right" w:leader="dot" w:pos="9016"/>
            </w:tabs>
            <w:rPr>
              <w:rFonts w:ascii="Arial" w:hAnsi="Arial" w:cs="Arial"/>
              <w:noProof/>
            </w:rPr>
          </w:pPr>
          <w:hyperlink w:anchor="_Toc215255024" w:history="1">
            <w:r w:rsidRPr="00A869C9">
              <w:rPr>
                <w:rStyle w:val="Hyperlink"/>
                <w:rFonts w:ascii="Arial" w:hAnsi="Arial" w:cs="Arial"/>
                <w:noProof/>
              </w:rPr>
              <w:t>6.</w:t>
            </w:r>
            <w:r w:rsidRPr="00A869C9">
              <w:rPr>
                <w:rFonts w:ascii="Arial" w:hAnsi="Arial" w:cs="Arial"/>
                <w:noProof/>
              </w:rPr>
              <w:tab/>
            </w:r>
            <w:r w:rsidRPr="00A869C9">
              <w:rPr>
                <w:rStyle w:val="Hyperlink"/>
                <w:rFonts w:ascii="Arial" w:hAnsi="Arial" w:cs="Arial"/>
                <w:noProof/>
              </w:rPr>
              <w:t>References</w:t>
            </w:r>
            <w:r w:rsidRPr="00A869C9">
              <w:rPr>
                <w:rFonts w:ascii="Arial" w:hAnsi="Arial" w:cs="Arial"/>
                <w:noProof/>
                <w:webHidden/>
              </w:rPr>
              <w:tab/>
            </w:r>
            <w:r w:rsidR="00324525">
              <w:rPr>
                <w:rFonts w:ascii="Arial" w:hAnsi="Arial" w:cs="Arial"/>
                <w:noProof/>
                <w:webHidden/>
              </w:rPr>
              <w:t>6</w:t>
            </w:r>
          </w:hyperlink>
        </w:p>
        <w:p w14:paraId="70AE17B0" w14:textId="6AE903AF" w:rsidR="00416395" w:rsidRPr="00A869C9" w:rsidRDefault="00416395">
          <w:pPr>
            <w:rPr>
              <w:rFonts w:ascii="Arial" w:hAnsi="Arial" w:cs="Arial"/>
            </w:rPr>
          </w:pPr>
          <w:r w:rsidRPr="00A869C9">
            <w:rPr>
              <w:rFonts w:ascii="Arial" w:hAnsi="Arial" w:cs="Arial"/>
              <w:b/>
              <w:bCs/>
            </w:rPr>
            <w:fldChar w:fldCharType="end"/>
          </w:r>
        </w:p>
      </w:sdtContent>
    </w:sdt>
    <w:p w14:paraId="704876DD" w14:textId="77777777" w:rsidR="004277EF" w:rsidRPr="00A869C9" w:rsidRDefault="004277EF">
      <w:pPr>
        <w:rPr>
          <w:rFonts w:ascii="Arial" w:hAnsi="Arial" w:cs="Arial"/>
        </w:rPr>
      </w:pPr>
    </w:p>
    <w:p w14:paraId="78A4B89B" w14:textId="77777777" w:rsidR="004277EF" w:rsidRPr="00A869C9" w:rsidRDefault="004277EF">
      <w:pPr>
        <w:rPr>
          <w:rFonts w:ascii="Arial" w:hAnsi="Arial" w:cs="Arial"/>
        </w:rPr>
      </w:pPr>
    </w:p>
    <w:p w14:paraId="624B0A44" w14:textId="77777777" w:rsidR="004277EF" w:rsidRPr="00A869C9" w:rsidRDefault="004277EF">
      <w:pPr>
        <w:rPr>
          <w:rFonts w:ascii="Arial" w:hAnsi="Arial" w:cs="Arial"/>
        </w:rPr>
      </w:pPr>
    </w:p>
    <w:p w14:paraId="73D5CB8F" w14:textId="77777777" w:rsidR="004277EF" w:rsidRPr="00A869C9" w:rsidRDefault="004277EF">
      <w:pPr>
        <w:rPr>
          <w:rFonts w:ascii="Arial" w:hAnsi="Arial" w:cs="Arial"/>
        </w:rPr>
      </w:pPr>
    </w:p>
    <w:p w14:paraId="6BEF2CA0" w14:textId="77777777" w:rsidR="004277EF" w:rsidRPr="00A869C9" w:rsidRDefault="004277EF">
      <w:pPr>
        <w:rPr>
          <w:rFonts w:ascii="Arial" w:hAnsi="Arial" w:cs="Arial"/>
        </w:rPr>
      </w:pPr>
    </w:p>
    <w:p w14:paraId="518FE3BF" w14:textId="77777777" w:rsidR="004277EF" w:rsidRPr="00A869C9" w:rsidRDefault="004277EF">
      <w:pPr>
        <w:rPr>
          <w:rFonts w:ascii="Arial" w:hAnsi="Arial" w:cs="Arial"/>
        </w:rPr>
      </w:pPr>
    </w:p>
    <w:p w14:paraId="1820E657" w14:textId="77777777" w:rsidR="004277EF" w:rsidRPr="00A869C9" w:rsidRDefault="004277EF">
      <w:pPr>
        <w:rPr>
          <w:rFonts w:ascii="Arial" w:hAnsi="Arial" w:cs="Arial"/>
        </w:rPr>
      </w:pPr>
    </w:p>
    <w:p w14:paraId="413143D0" w14:textId="77777777" w:rsidR="004277EF" w:rsidRPr="00A869C9" w:rsidRDefault="004277EF">
      <w:pPr>
        <w:rPr>
          <w:rFonts w:ascii="Arial" w:hAnsi="Arial" w:cs="Arial"/>
        </w:rPr>
      </w:pPr>
    </w:p>
    <w:p w14:paraId="1A0362D9" w14:textId="77777777" w:rsidR="004277EF" w:rsidRPr="00A869C9" w:rsidRDefault="004277EF">
      <w:pPr>
        <w:rPr>
          <w:rFonts w:ascii="Arial" w:hAnsi="Arial" w:cs="Arial"/>
        </w:rPr>
      </w:pPr>
    </w:p>
    <w:p w14:paraId="0EF3E1F9" w14:textId="77777777" w:rsidR="004277EF" w:rsidRPr="00A869C9" w:rsidRDefault="004277EF">
      <w:pPr>
        <w:rPr>
          <w:rFonts w:ascii="Arial" w:hAnsi="Arial" w:cs="Arial"/>
        </w:rPr>
      </w:pPr>
    </w:p>
    <w:p w14:paraId="3D30B758" w14:textId="77777777" w:rsidR="004277EF" w:rsidRPr="00A869C9" w:rsidRDefault="004277EF">
      <w:pPr>
        <w:rPr>
          <w:rFonts w:ascii="Arial" w:hAnsi="Arial" w:cs="Arial"/>
        </w:rPr>
      </w:pPr>
    </w:p>
    <w:p w14:paraId="10F6730E" w14:textId="77777777" w:rsidR="004277EF" w:rsidRPr="00A869C9" w:rsidRDefault="004277EF">
      <w:pPr>
        <w:rPr>
          <w:rFonts w:ascii="Arial" w:hAnsi="Arial" w:cs="Arial"/>
        </w:rPr>
      </w:pPr>
    </w:p>
    <w:p w14:paraId="59A88985" w14:textId="77777777" w:rsidR="004277EF" w:rsidRPr="00A869C9" w:rsidRDefault="004277EF">
      <w:pPr>
        <w:rPr>
          <w:rFonts w:ascii="Arial" w:hAnsi="Arial" w:cs="Arial"/>
        </w:rPr>
      </w:pPr>
    </w:p>
    <w:p w14:paraId="31B09E51" w14:textId="77777777" w:rsidR="004277EF" w:rsidRPr="00A869C9" w:rsidRDefault="004277EF">
      <w:pPr>
        <w:rPr>
          <w:rFonts w:ascii="Arial" w:hAnsi="Arial" w:cs="Arial"/>
        </w:rPr>
      </w:pPr>
    </w:p>
    <w:p w14:paraId="5FB64B96" w14:textId="77777777" w:rsidR="004277EF" w:rsidRPr="00A869C9" w:rsidRDefault="004277EF">
      <w:pPr>
        <w:rPr>
          <w:rFonts w:ascii="Arial" w:hAnsi="Arial" w:cs="Arial"/>
        </w:rPr>
      </w:pPr>
    </w:p>
    <w:p w14:paraId="6F7EA23D" w14:textId="77777777" w:rsidR="004277EF" w:rsidRPr="00A869C9" w:rsidRDefault="004277EF">
      <w:pPr>
        <w:rPr>
          <w:rFonts w:ascii="Arial" w:hAnsi="Arial" w:cs="Arial"/>
        </w:rPr>
      </w:pPr>
    </w:p>
    <w:p w14:paraId="6822FBD0" w14:textId="77777777" w:rsidR="004277EF" w:rsidRPr="00A869C9" w:rsidRDefault="004277EF">
      <w:pPr>
        <w:rPr>
          <w:rFonts w:ascii="Arial" w:hAnsi="Arial" w:cs="Arial"/>
        </w:rPr>
      </w:pPr>
    </w:p>
    <w:p w14:paraId="21234BEE" w14:textId="77777777" w:rsidR="004277EF" w:rsidRPr="00A869C9" w:rsidRDefault="004277EF">
      <w:pPr>
        <w:rPr>
          <w:rFonts w:ascii="Arial" w:hAnsi="Arial" w:cs="Arial"/>
        </w:rPr>
      </w:pPr>
    </w:p>
    <w:p w14:paraId="6224BC7B" w14:textId="77777777" w:rsidR="004277EF" w:rsidRPr="00A869C9" w:rsidRDefault="004277EF">
      <w:pPr>
        <w:rPr>
          <w:rFonts w:ascii="Arial" w:hAnsi="Arial" w:cs="Arial"/>
        </w:rPr>
      </w:pPr>
    </w:p>
    <w:p w14:paraId="365F9E6A" w14:textId="77777777" w:rsidR="004277EF" w:rsidRPr="00A869C9" w:rsidRDefault="004277EF">
      <w:pPr>
        <w:rPr>
          <w:rFonts w:ascii="Arial" w:hAnsi="Arial" w:cs="Arial"/>
        </w:rPr>
      </w:pPr>
    </w:p>
    <w:p w14:paraId="0D4D1949" w14:textId="77777777" w:rsidR="004277EF" w:rsidRPr="00A869C9" w:rsidRDefault="004277EF">
      <w:pPr>
        <w:rPr>
          <w:rFonts w:ascii="Arial" w:hAnsi="Arial" w:cs="Arial"/>
        </w:rPr>
      </w:pPr>
    </w:p>
    <w:p w14:paraId="16FF3722" w14:textId="77777777" w:rsidR="00ED4447" w:rsidRDefault="00ED4447">
      <w:pPr>
        <w:rPr>
          <w:rFonts w:ascii="Arial" w:hAnsi="Arial" w:cs="Arial"/>
          <w:b/>
          <w:bCs/>
        </w:rPr>
      </w:pPr>
    </w:p>
    <w:p w14:paraId="54372CF3" w14:textId="77777777" w:rsidR="00324525" w:rsidRDefault="00324525">
      <w:pPr>
        <w:rPr>
          <w:rFonts w:ascii="Arial" w:hAnsi="Arial" w:cs="Arial"/>
          <w:b/>
          <w:bCs/>
        </w:rPr>
      </w:pPr>
    </w:p>
    <w:p w14:paraId="5D5043E0" w14:textId="5CC2A87F" w:rsidR="00ED4447" w:rsidRDefault="00ED4447" w:rsidP="00324525">
      <w:pPr>
        <w:pStyle w:val="Ttulo1"/>
        <w:rPr>
          <w:rFonts w:ascii="Arial" w:hAnsi="Arial" w:cs="Arial"/>
          <w:b/>
          <w:bCs/>
          <w:color w:val="000000" w:themeColor="text1"/>
          <w:sz w:val="22"/>
          <w:szCs w:val="22"/>
        </w:rPr>
      </w:pPr>
      <w:r w:rsidRPr="00A869C9">
        <w:rPr>
          <w:rFonts w:ascii="Arial" w:hAnsi="Arial" w:cs="Arial"/>
          <w:b/>
          <w:bCs/>
          <w:color w:val="000000" w:themeColor="text1"/>
          <w:sz w:val="22"/>
          <w:szCs w:val="22"/>
        </w:rPr>
        <w:t>Introduction</w:t>
      </w:r>
    </w:p>
    <w:p w14:paraId="755612D7" w14:textId="77145143" w:rsidR="00ED4447" w:rsidRDefault="00ED4447">
      <w:pPr>
        <w:rPr>
          <w:rFonts w:ascii="Arial" w:hAnsi="Arial" w:cs="Arial"/>
        </w:rPr>
      </w:pPr>
      <w:r w:rsidRPr="00ED4447">
        <w:rPr>
          <w:rFonts w:ascii="Arial" w:hAnsi="Arial" w:cs="Arial"/>
        </w:rPr>
        <w:t xml:space="preserve">As a future health and social care worker, it's </w:t>
      </w:r>
      <w:r w:rsidR="000F76C3">
        <w:rPr>
          <w:rFonts w:ascii="Arial" w:hAnsi="Arial" w:cs="Arial"/>
        </w:rPr>
        <w:t>essential to understand that effective communication, accurate record-keeping, and collaboration with others are all crucial components of delivering</w:t>
      </w:r>
      <w:r w:rsidRPr="00ED4447">
        <w:rPr>
          <w:rFonts w:ascii="Arial" w:hAnsi="Arial" w:cs="Arial"/>
        </w:rPr>
        <w:t xml:space="preserve"> safe, ethical, and person-centred care.</w:t>
      </w:r>
      <w:r w:rsidR="000F76C3">
        <w:rPr>
          <w:rFonts w:ascii="Arial" w:hAnsi="Arial" w:cs="Arial"/>
        </w:rPr>
        <w:t xml:space="preserve"> </w:t>
      </w:r>
      <w:r w:rsidRPr="00ED4447">
        <w:rPr>
          <w:rFonts w:ascii="Arial" w:hAnsi="Arial" w:cs="Arial"/>
        </w:rPr>
        <w:t xml:space="preserve">These </w:t>
      </w:r>
      <w:r w:rsidR="000F76C3">
        <w:rPr>
          <w:rFonts w:ascii="Arial" w:hAnsi="Arial" w:cs="Arial"/>
        </w:rPr>
        <w:t>factors are all interconnected and have a direct impact on the outcomes for service users, the responsibilities</w:t>
      </w:r>
      <w:r w:rsidRPr="00ED4447">
        <w:rPr>
          <w:rFonts w:ascii="Arial" w:hAnsi="Arial" w:cs="Arial"/>
        </w:rPr>
        <w:t xml:space="preserve"> of professionals, and the quality of care provided in health and social care settings.</w:t>
      </w:r>
      <w:r w:rsidR="000F76C3">
        <w:rPr>
          <w:rFonts w:ascii="Arial" w:hAnsi="Arial" w:cs="Arial"/>
        </w:rPr>
        <w:t xml:space="preserve"> </w:t>
      </w:r>
      <w:r w:rsidRPr="00ED4447">
        <w:rPr>
          <w:rFonts w:ascii="Arial" w:hAnsi="Arial" w:cs="Arial"/>
        </w:rPr>
        <w:t xml:space="preserve">Research indicates that poor communication and lack of coordination among professionals can compromise patient safety and hinder continuity of care (Payne et al., 2002; </w:t>
      </w:r>
      <w:proofErr w:type="spellStart"/>
      <w:r w:rsidRPr="00ED4447">
        <w:rPr>
          <w:rFonts w:ascii="Arial" w:hAnsi="Arial" w:cs="Arial"/>
        </w:rPr>
        <w:t>Rabol</w:t>
      </w:r>
      <w:proofErr w:type="spellEnd"/>
      <w:r w:rsidRPr="00ED4447">
        <w:rPr>
          <w:rFonts w:ascii="Arial" w:hAnsi="Arial" w:cs="Arial"/>
        </w:rPr>
        <w:t xml:space="preserve"> et al., 2011).</w:t>
      </w:r>
    </w:p>
    <w:p w14:paraId="4BB4418E" w14:textId="38CC639E" w:rsidR="000F76C3" w:rsidRDefault="000F76C3">
      <w:pPr>
        <w:rPr>
          <w:rFonts w:ascii="Arial" w:hAnsi="Arial" w:cs="Arial"/>
        </w:rPr>
      </w:pPr>
      <w:r w:rsidRPr="000F76C3">
        <w:rPr>
          <w:rFonts w:ascii="Arial" w:hAnsi="Arial" w:cs="Arial"/>
        </w:rPr>
        <w:t xml:space="preserve">In the UK, the Equality Act 2010 and the Data Protection Act 2018 </w:t>
      </w:r>
      <w:r>
        <w:rPr>
          <w:rFonts w:ascii="Arial" w:hAnsi="Arial" w:cs="Arial"/>
        </w:rPr>
        <w:t>establish</w:t>
      </w:r>
      <w:r w:rsidRPr="000F76C3">
        <w:rPr>
          <w:rFonts w:ascii="Arial" w:hAnsi="Arial" w:cs="Arial"/>
        </w:rPr>
        <w:t xml:space="preserve"> a legal framework that directs professional practice and safeguards the rights of service users.  Moreover, effective collaboration among professionals, service users, and their families is essential for providing integrated care that addresses complex and varied needs.</w:t>
      </w:r>
      <w:r w:rsidR="001653DE">
        <w:rPr>
          <w:rFonts w:ascii="Arial" w:hAnsi="Arial" w:cs="Arial"/>
        </w:rPr>
        <w:t xml:space="preserve"> </w:t>
      </w:r>
      <w:r w:rsidR="001653DE" w:rsidRPr="001653DE">
        <w:rPr>
          <w:rFonts w:ascii="Arial" w:hAnsi="Arial" w:cs="Arial"/>
        </w:rPr>
        <w:t>This essay will examine the implementation of the principles of the Equality Act 2010 in engagements with service users and their families, supported by an established communication model.   It will subsequently analyse the importance of administrative competencies and record-keeping in compliance with the Data Protection Act 2018.   Ultimately, it will evaluate my continuous professional development (CPD) needs to operate effectively in a collaborative partnership within a multi-disciplinary health and social care</w:t>
      </w:r>
      <w:r w:rsidR="001653DE">
        <w:rPr>
          <w:rFonts w:ascii="Arial" w:hAnsi="Arial" w:cs="Arial"/>
        </w:rPr>
        <w:t xml:space="preserve"> </w:t>
      </w:r>
      <w:r w:rsidR="001653DE" w:rsidRPr="001653DE">
        <w:rPr>
          <w:rFonts w:ascii="Arial" w:hAnsi="Arial" w:cs="Arial"/>
        </w:rPr>
        <w:t>team.</w:t>
      </w:r>
    </w:p>
    <w:p w14:paraId="3A440662" w14:textId="147B89B2" w:rsidR="001653DE" w:rsidRPr="000353F2" w:rsidRDefault="000353F2">
      <w:pPr>
        <w:rPr>
          <w:rFonts w:ascii="Arial" w:hAnsi="Arial" w:cs="Arial"/>
          <w:b/>
          <w:bCs/>
        </w:rPr>
      </w:pPr>
      <w:r w:rsidRPr="000353F2">
        <w:rPr>
          <w:rFonts w:ascii="Arial" w:hAnsi="Arial" w:cs="Arial"/>
          <w:b/>
          <w:bCs/>
        </w:rPr>
        <w:t>Communication and the Equality Act 2010</w:t>
      </w:r>
    </w:p>
    <w:p w14:paraId="7A7C2A34" w14:textId="0A3C3661" w:rsidR="00B60CBA" w:rsidRDefault="000353F2">
      <w:pPr>
        <w:rPr>
          <w:rFonts w:ascii="Arial" w:hAnsi="Arial" w:cs="Arial"/>
        </w:rPr>
      </w:pPr>
      <w:r w:rsidRPr="000353F2">
        <w:rPr>
          <w:rFonts w:ascii="Arial" w:hAnsi="Arial" w:cs="Arial"/>
        </w:rPr>
        <w:t>The Equality Act 2010 is pivotal in advancing equity, dignity, and inclusivity in health and social care services.  It safeguards individuals against discrimination based on nine protected characteristics, including age, disability, race, sex, religion or belief, and pregnancy or maternity (UK Government, 2010).  As a practitioner, I bear a legal and ethical obligation to guarantee that communication is inclusive, accessible, and tailored to the specific needs of service users and their families.</w:t>
      </w:r>
    </w:p>
    <w:p w14:paraId="35B4D2A7" w14:textId="547C9C9F" w:rsidR="00B60CBA" w:rsidRDefault="00B60CBA">
      <w:pPr>
        <w:rPr>
          <w:rFonts w:ascii="Arial" w:hAnsi="Arial" w:cs="Arial"/>
        </w:rPr>
      </w:pPr>
      <w:r w:rsidRPr="00B60CBA">
        <w:rPr>
          <w:rFonts w:ascii="Arial" w:hAnsi="Arial" w:cs="Arial"/>
        </w:rPr>
        <w:t>Effective communication is essential to ensure that service users understand information related to their care, express their preferences, and participate actively in the decision-making process.</w:t>
      </w:r>
      <w:r>
        <w:rPr>
          <w:rFonts w:ascii="Arial" w:hAnsi="Arial" w:cs="Arial"/>
        </w:rPr>
        <w:t xml:space="preserve"> </w:t>
      </w:r>
      <w:r w:rsidRPr="00B60CBA">
        <w:rPr>
          <w:rFonts w:ascii="Arial" w:hAnsi="Arial" w:cs="Arial"/>
        </w:rPr>
        <w:t>Empirical research has shown that communication failures, particularly in interactions with elderly individuals or those with complex needs, can lead to misunderstandings and jeopardise the safety of care delivery (Payne et al., 2002). To ensure adherence to the Equality Act 2010, I would adapt my verbal and nonverbal communication approaches.</w:t>
      </w:r>
      <w:r>
        <w:rPr>
          <w:rFonts w:ascii="Arial" w:hAnsi="Arial" w:cs="Arial"/>
        </w:rPr>
        <w:t xml:space="preserve"> T</w:t>
      </w:r>
      <w:r w:rsidRPr="00B60CBA">
        <w:rPr>
          <w:rFonts w:ascii="Arial" w:hAnsi="Arial" w:cs="Arial"/>
        </w:rPr>
        <w:t xml:space="preserve">his would involve </w:t>
      </w:r>
      <w:r>
        <w:rPr>
          <w:rFonts w:ascii="Arial" w:hAnsi="Arial" w:cs="Arial"/>
        </w:rPr>
        <w:t>using unambiguous language, avoiding technical terminology, actively verifying comprehension, and providing</w:t>
      </w:r>
      <w:r w:rsidRPr="00B60CBA">
        <w:rPr>
          <w:rFonts w:ascii="Arial" w:hAnsi="Arial" w:cs="Arial"/>
        </w:rPr>
        <w:t xml:space="preserve"> supplementary assistance, including interpreters or visual aids, as necessary (UK Government, 2010).</w:t>
      </w:r>
    </w:p>
    <w:p w14:paraId="6CEDEBD8" w14:textId="2A033E26" w:rsidR="00B60CBA" w:rsidRDefault="00B60CBA">
      <w:pPr>
        <w:rPr>
          <w:rFonts w:ascii="Arial" w:hAnsi="Arial" w:cs="Arial"/>
        </w:rPr>
      </w:pPr>
      <w:r w:rsidRPr="00B60CBA">
        <w:rPr>
          <w:rFonts w:ascii="Arial" w:hAnsi="Arial" w:cs="Arial"/>
        </w:rPr>
        <w:t>Migrants and individuals from diverse cultural and linguistic backgrounds may face additional barriers in accessing health and social care services.  Jayaweera (2010) highlights that inadequate language assistance can negatively affect healthcare access and understanding of health information among migrant populations in the UK.  To address this issue, I would adopt culturally sensitive communication strategies by recognising cultural differences, respecting individual beliefs, and utilising appropriate communication methods.  This comprehensive approach not only fulfils legal requirements but also promotes person-centred care and advances equality in practice.</w:t>
      </w:r>
    </w:p>
    <w:p w14:paraId="23FBC58A" w14:textId="561EFD7E" w:rsidR="00B60CBA" w:rsidRDefault="00B60CBA">
      <w:pPr>
        <w:rPr>
          <w:rFonts w:ascii="Arial" w:hAnsi="Arial" w:cs="Arial"/>
        </w:rPr>
      </w:pPr>
      <w:r w:rsidRPr="00B60CBA">
        <w:rPr>
          <w:rFonts w:ascii="Arial" w:hAnsi="Arial" w:cs="Arial"/>
        </w:rPr>
        <w:t>To further strengthen communication, recognised communication models can be applied in professional practice.</w:t>
      </w:r>
      <w:r w:rsidRPr="00B60CBA">
        <w:t xml:space="preserve"> </w:t>
      </w:r>
      <w:r w:rsidRPr="00B60CBA">
        <w:rPr>
          <w:rFonts w:ascii="Arial" w:hAnsi="Arial" w:cs="Arial"/>
        </w:rPr>
        <w:t>Berlo’s SMCR model (1960), which extends the seminal work of Shannon and Weaver (1949), emphasises the critical roles of the sender, message, channel, and receiver in influencing the interpretation of information.</w:t>
      </w:r>
      <w:r>
        <w:rPr>
          <w:rFonts w:ascii="Arial" w:hAnsi="Arial" w:cs="Arial"/>
        </w:rPr>
        <w:t xml:space="preserve"> </w:t>
      </w:r>
      <w:r w:rsidRPr="00B60CBA">
        <w:rPr>
          <w:rFonts w:ascii="Arial" w:hAnsi="Arial" w:cs="Arial"/>
        </w:rPr>
        <w:t xml:space="preserve">Turaga (2016) posits that </w:t>
      </w:r>
      <w:r w:rsidRPr="00B60CBA">
        <w:rPr>
          <w:rFonts w:ascii="Arial" w:hAnsi="Arial" w:cs="Arial"/>
        </w:rPr>
        <w:lastRenderedPageBreak/>
        <w:t>communication models serve to facilitate professionals in systematically organising information and identifying potential impediments within the communication process.</w:t>
      </w:r>
      <w:r w:rsidR="004A6A80" w:rsidRPr="004A6A80">
        <w:t xml:space="preserve"> </w:t>
      </w:r>
      <w:r w:rsidR="004A6A80" w:rsidRPr="004A6A80">
        <w:rPr>
          <w:rFonts w:ascii="Arial" w:hAnsi="Arial" w:cs="Arial"/>
        </w:rPr>
        <w:t>Employing</w:t>
      </w:r>
      <w:r w:rsidR="004A6A80" w:rsidRPr="004A6A80">
        <w:rPr>
          <w:rFonts w:ascii="Arial" w:hAnsi="Arial" w:cs="Arial"/>
        </w:rPr>
        <w:t xml:space="preserve"> this framework, I would evaluate factors including message clarity, the suitability of the communication channel, and the specific attributes of the service recipient, thereby ensuring that communication fosters comprehension, participation, and collaboration.</w:t>
      </w:r>
      <w:r w:rsidR="004A6A80">
        <w:rPr>
          <w:rFonts w:ascii="Arial" w:hAnsi="Arial" w:cs="Arial"/>
        </w:rPr>
        <w:t xml:space="preserve"> </w:t>
      </w:r>
    </w:p>
    <w:p w14:paraId="6FAD1422" w14:textId="04305ED8" w:rsidR="004A6A80" w:rsidRDefault="004A6A80">
      <w:pPr>
        <w:rPr>
          <w:rFonts w:ascii="Arial" w:hAnsi="Arial" w:cs="Arial"/>
        </w:rPr>
      </w:pPr>
      <w:r w:rsidRPr="004A6A80">
        <w:rPr>
          <w:rFonts w:ascii="Arial" w:hAnsi="Arial" w:cs="Arial"/>
        </w:rPr>
        <w:t>Successful collaboration hinges on effective communication. Effective and respectful communication among professionals, service users, and their families promotes collaborative decision-making and coordinated care delivery. In the lack of efficacious communication, collaborative initiatives tend to become fragmented, thereby increasing the probability of errors, duplication, and a decrease in the quality of care (Payne et al., 2002).</w:t>
      </w:r>
    </w:p>
    <w:p w14:paraId="68CAF395" w14:textId="00273AB8" w:rsidR="004A6A80" w:rsidRDefault="004A6A80" w:rsidP="004A6A80">
      <w:pPr>
        <w:rPr>
          <w:rFonts w:ascii="Arial" w:hAnsi="Arial" w:cs="Arial"/>
          <w:b/>
          <w:bCs/>
        </w:rPr>
      </w:pPr>
      <w:r w:rsidRPr="004A6A80">
        <w:rPr>
          <w:rFonts w:ascii="Arial" w:hAnsi="Arial" w:cs="Arial"/>
          <w:b/>
          <w:bCs/>
        </w:rPr>
        <w:t>Performing Good Administrative Skills in Record Keeping</w:t>
      </w:r>
    </w:p>
    <w:p w14:paraId="6FDF95FE" w14:textId="6C43CF4F" w:rsidR="004A6A80" w:rsidRDefault="004A6A80" w:rsidP="004A6A80">
      <w:pPr>
        <w:rPr>
          <w:rFonts w:ascii="Arial" w:hAnsi="Arial" w:cs="Arial"/>
        </w:rPr>
      </w:pPr>
      <w:r w:rsidRPr="004A6A80">
        <w:rPr>
          <w:rFonts w:ascii="Arial" w:hAnsi="Arial" w:cs="Arial"/>
        </w:rPr>
        <w:t>Precise and secure documentation is a crucial component of professional practice in health and social care. The Data Protection Act 2018 establishes a legal framework for the lawful, equitable, and transparent management of personal data, safeguarding individuals' information and ensuring its appropriate use (UK Government, 2018). As a practitioner, I would be accountable for upholding precise, accurate, and confidential records in accordance with this legislation.</w:t>
      </w:r>
    </w:p>
    <w:p w14:paraId="42617493" w14:textId="0960347A" w:rsidR="00813318" w:rsidRDefault="00813318" w:rsidP="004A6A80">
      <w:pPr>
        <w:rPr>
          <w:rFonts w:ascii="Arial" w:hAnsi="Arial" w:cs="Arial"/>
        </w:rPr>
      </w:pPr>
      <w:r w:rsidRPr="00813318">
        <w:rPr>
          <w:rFonts w:ascii="Arial" w:hAnsi="Arial" w:cs="Arial"/>
        </w:rPr>
        <w:t>The Act is based on fundamental principles, including data accuracy, purpose restriction, data minimisation, confidentiality, and accountability (UK Government, 2018). These principles establish the guidelines for the collection, storage, dissemination, and disposal of information within professional practice. Accurate documentation supports the continuity of care by enabling professionals to retrieve up-to-date information, make well-informed decisions, and communicate effectively with other members of the multidisciplinary team.</w:t>
      </w:r>
    </w:p>
    <w:p w14:paraId="1CEC6BD6" w14:textId="5E430F32" w:rsidR="00885933" w:rsidRDefault="00885933" w:rsidP="004A6A80">
      <w:pPr>
        <w:rPr>
          <w:rFonts w:ascii="Arial" w:hAnsi="Arial" w:cs="Arial"/>
        </w:rPr>
      </w:pPr>
      <w:r w:rsidRPr="00885933">
        <w:rPr>
          <w:rFonts w:ascii="Arial" w:hAnsi="Arial" w:cs="Arial"/>
        </w:rPr>
        <w:t>The preservation of professional and ethical documentation is intrinsically connected to the cultivation of trust. The Social Care Institute for Excellence (SCIE, 2021) underscores that effective information management is essential for safeguarding, accountability, and transparency. Through the meticulous maintenance of accurate, prompt, and securely stored records, practitioners exhibit a deep respect for the privacy and rights of service users. McCulloch (2019) asserts that professionalism in health and social care encompasses adherence to explicitly defined behavioural standards, the protection of confidentiality, and the fulfilment of administrative responsibilities.</w:t>
      </w:r>
    </w:p>
    <w:p w14:paraId="2D8DE7C7" w14:textId="145E28F0" w:rsidR="00885933" w:rsidRDefault="00885933" w:rsidP="004A6A80">
      <w:pPr>
        <w:rPr>
          <w:rFonts w:ascii="Arial" w:hAnsi="Arial" w:cs="Arial"/>
        </w:rPr>
      </w:pPr>
      <w:r w:rsidRPr="00885933">
        <w:rPr>
          <w:rFonts w:ascii="Arial" w:hAnsi="Arial" w:cs="Arial"/>
        </w:rPr>
        <w:t>Record keeping is essential in collaborative partnerships, as it facilitates the exchange of information among health and social care professionals to enhance integrated care. Inadequate or deficient records may result in miscommunication, treatment delays, and heightened risk to service users. By upholding rigorous administrative standards, I would facilitate effective collaboration, ensuring that all professionals engaged in a service user’s care have access to precise and pertinent information. This facilitates secure decision-making, synchronised interventions, and enhanced results for service users.</w:t>
      </w:r>
      <w:r>
        <w:rPr>
          <w:rFonts w:ascii="Arial" w:hAnsi="Arial" w:cs="Arial"/>
        </w:rPr>
        <w:t xml:space="preserve"> </w:t>
      </w:r>
    </w:p>
    <w:p w14:paraId="528495DC" w14:textId="07C1C1FD" w:rsidR="00885933" w:rsidRDefault="00885933" w:rsidP="004A6A80">
      <w:pPr>
        <w:rPr>
          <w:rFonts w:ascii="Arial" w:hAnsi="Arial" w:cs="Arial"/>
          <w:b/>
          <w:bCs/>
        </w:rPr>
      </w:pPr>
      <w:r w:rsidRPr="00885933">
        <w:rPr>
          <w:rFonts w:ascii="Arial" w:hAnsi="Arial" w:cs="Arial"/>
          <w:b/>
          <w:bCs/>
        </w:rPr>
        <w:t>Reflecting on Continuing Professional Development (CPD) and Partnership Working</w:t>
      </w:r>
    </w:p>
    <w:p w14:paraId="2AEC6A4F" w14:textId="24F185D9" w:rsidR="003F5CDB" w:rsidRDefault="003F5CDB" w:rsidP="003F5CDB">
      <w:pPr>
        <w:rPr>
          <w:rFonts w:ascii="Arial" w:hAnsi="Arial" w:cs="Arial"/>
        </w:rPr>
      </w:pPr>
      <w:r w:rsidRPr="003F5CDB">
        <w:rPr>
          <w:rFonts w:ascii="Arial" w:hAnsi="Arial" w:cs="Arial"/>
        </w:rPr>
        <w:t xml:space="preserve">Continuing Professional Development (CPD) is </w:t>
      </w:r>
      <w:r w:rsidR="008A139A" w:rsidRPr="003F5CDB">
        <w:rPr>
          <w:rFonts w:ascii="Arial" w:hAnsi="Arial" w:cs="Arial"/>
        </w:rPr>
        <w:t>vital</w:t>
      </w:r>
      <w:r w:rsidRPr="003F5CDB">
        <w:rPr>
          <w:rFonts w:ascii="Arial" w:hAnsi="Arial" w:cs="Arial"/>
        </w:rPr>
        <w:t xml:space="preserve"> for keeping skills up to date, improving them, and making it easier for health and social care workers to work together. Continuing Professional Development helps professionals look at their work, figure out what they need to learn, and keep up with the changing needs of the industry. McCulloch (2019) asserts that professionalism necessitates continuous learning, proficient communication, and a definitive comprehension of roles and responsibilities within a team.</w:t>
      </w:r>
    </w:p>
    <w:p w14:paraId="52BE023D" w14:textId="50B5E235" w:rsidR="003F5CDB" w:rsidRDefault="003F5CDB" w:rsidP="003F5CDB">
      <w:pPr>
        <w:rPr>
          <w:rFonts w:ascii="Arial" w:hAnsi="Arial" w:cs="Arial"/>
        </w:rPr>
      </w:pPr>
      <w:r w:rsidRPr="003F5CDB">
        <w:rPr>
          <w:rFonts w:ascii="Arial" w:hAnsi="Arial" w:cs="Arial"/>
        </w:rPr>
        <w:t xml:space="preserve">A central objective of my Continuing Professional Development will be to improve the competencies required for effective collaboration within a multi-disciplinary team. Health and </w:t>
      </w:r>
      <w:r w:rsidRPr="003F5CDB">
        <w:rPr>
          <w:rFonts w:ascii="Arial" w:hAnsi="Arial" w:cs="Arial"/>
        </w:rPr>
        <w:lastRenderedPageBreak/>
        <w:t>social care services rely on the collaborative efforts of professionals, including nurses, social workers, occupational therapists, and support staff. Effective collaboration requires shared goals, mutual respect, clear communication, and coordinated decision-making. Without these elements, care may become fragmented, reducing its effectiveness and safety.</w:t>
      </w:r>
    </w:p>
    <w:p w14:paraId="4A91309A" w14:textId="31DC0433" w:rsidR="003F5CDB" w:rsidRDefault="003F5CDB" w:rsidP="003F5CDB">
      <w:pPr>
        <w:rPr>
          <w:rFonts w:ascii="Arial" w:hAnsi="Arial" w:cs="Arial"/>
        </w:rPr>
      </w:pPr>
      <w:r w:rsidRPr="003F5CDB">
        <w:rPr>
          <w:rFonts w:ascii="Arial" w:hAnsi="Arial" w:cs="Arial"/>
        </w:rPr>
        <w:t xml:space="preserve">Reflective practice represents an essential component of Continuing Professional Development (CPD). The Social Care Institute for Excellence (SCIE, 2021) underscores that supervision, reflective practice, and the analysis of practice reviews strengthen decision-making processes and contribute to the enhancement of care outcomes. Through engaged reflective practice, I </w:t>
      </w:r>
      <w:r>
        <w:rPr>
          <w:rFonts w:ascii="Arial" w:hAnsi="Arial" w:cs="Arial"/>
        </w:rPr>
        <w:t>can</w:t>
      </w:r>
      <w:r w:rsidRPr="003F5CDB">
        <w:rPr>
          <w:rFonts w:ascii="Arial" w:hAnsi="Arial" w:cs="Arial"/>
        </w:rPr>
        <w:t xml:space="preserve"> evaluate my communication competencies, identify areas requiring advancement, and enhance my ability to contribute effectively to collaborative deliberations and care planning.</w:t>
      </w:r>
    </w:p>
    <w:p w14:paraId="26B54C7F" w14:textId="6730F8B8" w:rsidR="00A57FE6" w:rsidRPr="008A139A" w:rsidRDefault="008A139A" w:rsidP="008A139A">
      <w:pPr>
        <w:rPr>
          <w:rFonts w:ascii="Arial" w:hAnsi="Arial" w:cs="Arial"/>
        </w:rPr>
      </w:pPr>
      <w:r w:rsidRPr="008A139A">
        <w:rPr>
          <w:rFonts w:ascii="Arial" w:hAnsi="Arial" w:cs="Arial"/>
        </w:rPr>
        <w:t>Improving my cultural competence is a top priority for my ongoing professional development. Working with people from different backgrounds requires you to be open, sensitive, and flexible in how you talk to them. Jayaweera (2010) says that communicating in a way that is culturally appropriate makes services easier to get to and users more involved. By taking part in training and reflective learning, I would be better able to work with people from different cultural backgrounds, which would help me provide care that is inclusive and centred on the person.</w:t>
      </w:r>
    </w:p>
    <w:p w14:paraId="41CFD203" w14:textId="7EA58A90" w:rsidR="008A139A" w:rsidRDefault="008A139A" w:rsidP="003F5CDB">
      <w:pPr>
        <w:rPr>
          <w:rFonts w:ascii="Arial" w:hAnsi="Arial" w:cs="Arial"/>
          <w:b/>
          <w:bCs/>
        </w:rPr>
      </w:pPr>
      <w:r w:rsidRPr="008A139A">
        <w:rPr>
          <w:rFonts w:ascii="Arial" w:hAnsi="Arial" w:cs="Arial"/>
          <w:b/>
          <w:bCs/>
        </w:rPr>
        <w:t>Conclusion</w:t>
      </w:r>
    </w:p>
    <w:p w14:paraId="361C10C6" w14:textId="266F8054" w:rsidR="008A139A" w:rsidRDefault="008A139A" w:rsidP="003F5CDB">
      <w:pPr>
        <w:rPr>
          <w:rFonts w:ascii="Arial" w:hAnsi="Arial" w:cs="Arial"/>
        </w:rPr>
      </w:pPr>
      <w:r w:rsidRPr="008A139A">
        <w:rPr>
          <w:rFonts w:ascii="Arial" w:hAnsi="Arial" w:cs="Arial"/>
        </w:rPr>
        <w:t>In conclusion, effective practice within the health and social care sectors necessitates strong communication skills, meticulous record-keeping practices, and substantial collaborative endeavours. The Equality Act 2010 provides a legal framework that promotes inclusive and non-discriminatory communication, ensuring that service users are able to understand information, express their needs, and participate in decisions concerning their care (UK Government, 2010). The application of communication models, such as Berlo’s SMCR model, improves clarity, understanding, and collaboration within professional practice (Turaga, 2016).</w:t>
      </w:r>
    </w:p>
    <w:p w14:paraId="3940FE27" w14:textId="77777777" w:rsidR="008A139A" w:rsidRDefault="008A139A" w:rsidP="008A139A">
      <w:pPr>
        <w:rPr>
          <w:rFonts w:ascii="Arial" w:hAnsi="Arial" w:cs="Arial"/>
        </w:rPr>
      </w:pPr>
      <w:r w:rsidRPr="008A139A">
        <w:rPr>
          <w:rFonts w:ascii="Arial" w:hAnsi="Arial" w:cs="Arial"/>
        </w:rPr>
        <w:t>Precise administrative procedures and meticulous record-keeping, in accordance with the Data Protection Act 2018, are crucial for the protection of personal data, the preservation of trust, and the facilitation of continuous care (UK Government, 2018). Exemplary standards of record-keeping facilitate efficient information exchange among professionals, thereby reinforcing collaborative efforts and mitigating risks to service users (SCIE, 2021).</w:t>
      </w:r>
    </w:p>
    <w:p w14:paraId="78CBA4F5" w14:textId="185DA4DB" w:rsidR="00A24285" w:rsidRDefault="00A57FE6" w:rsidP="00A57FE6">
      <w:pPr>
        <w:rPr>
          <w:rFonts w:ascii="Arial" w:hAnsi="Arial" w:cs="Arial"/>
        </w:rPr>
      </w:pPr>
      <w:r w:rsidRPr="00A57FE6">
        <w:rPr>
          <w:rFonts w:ascii="Arial" w:hAnsi="Arial" w:cs="Arial"/>
        </w:rPr>
        <w:t>Finally, continuous professional development (CPD) helps professionals move up in their careers, encourages them to think about their work, and helps them learn the skills they need to work well with others in multidisciplinary teams. Practitioners are better able to work with coworkers, service users, and families when they focus on good communication, cultural awareness, and reflective practice. This leads to safe, ethical, and person-centred care</w:t>
      </w:r>
      <w:r>
        <w:rPr>
          <w:rFonts w:ascii="Arial" w:hAnsi="Arial" w:cs="Arial"/>
        </w:rPr>
        <w:t>.</w:t>
      </w:r>
    </w:p>
    <w:p w14:paraId="5B87C499" w14:textId="77777777" w:rsidR="00A57FE6" w:rsidRDefault="00A57FE6" w:rsidP="00A57FE6">
      <w:pPr>
        <w:rPr>
          <w:rFonts w:ascii="Arial" w:hAnsi="Arial" w:cs="Arial"/>
        </w:rPr>
      </w:pPr>
    </w:p>
    <w:p w14:paraId="1B1E797B" w14:textId="77777777" w:rsidR="00A57FE6" w:rsidRDefault="00A57FE6" w:rsidP="00A57FE6">
      <w:pPr>
        <w:rPr>
          <w:rFonts w:ascii="Arial" w:hAnsi="Arial" w:cs="Arial"/>
        </w:rPr>
      </w:pPr>
    </w:p>
    <w:p w14:paraId="2A1DCF8E" w14:textId="77777777" w:rsidR="00A57FE6" w:rsidRDefault="00A57FE6" w:rsidP="00A57FE6">
      <w:pPr>
        <w:rPr>
          <w:rFonts w:ascii="Arial" w:hAnsi="Arial" w:cs="Arial"/>
        </w:rPr>
      </w:pPr>
    </w:p>
    <w:p w14:paraId="30F9EE94" w14:textId="77777777" w:rsidR="00A57FE6" w:rsidRDefault="00A57FE6" w:rsidP="00A57FE6">
      <w:pPr>
        <w:rPr>
          <w:rFonts w:ascii="Arial" w:hAnsi="Arial" w:cs="Arial"/>
        </w:rPr>
      </w:pPr>
    </w:p>
    <w:p w14:paraId="640B3378" w14:textId="77777777" w:rsidR="00A57FE6" w:rsidRDefault="00A57FE6" w:rsidP="00A57FE6">
      <w:pPr>
        <w:rPr>
          <w:rFonts w:ascii="Arial" w:hAnsi="Arial" w:cs="Arial"/>
        </w:rPr>
      </w:pPr>
    </w:p>
    <w:p w14:paraId="48C21D1A" w14:textId="77777777" w:rsidR="00A57FE6" w:rsidRDefault="00A57FE6" w:rsidP="00A57FE6">
      <w:pPr>
        <w:rPr>
          <w:rFonts w:ascii="Arial" w:hAnsi="Arial" w:cs="Arial"/>
        </w:rPr>
      </w:pPr>
    </w:p>
    <w:p w14:paraId="7A49F72A" w14:textId="77777777" w:rsidR="00324525" w:rsidRPr="00A57FE6" w:rsidRDefault="00324525" w:rsidP="00A57FE6">
      <w:pPr>
        <w:rPr>
          <w:rFonts w:ascii="Arial" w:hAnsi="Arial" w:cs="Arial"/>
        </w:rPr>
      </w:pPr>
    </w:p>
    <w:p w14:paraId="760ED0B4" w14:textId="6636EEF7" w:rsidR="00DB1B40" w:rsidRPr="00A57FE6" w:rsidRDefault="00A57FE6" w:rsidP="00416395">
      <w:pPr>
        <w:spacing w:line="360" w:lineRule="auto"/>
        <w:jc w:val="both"/>
        <w:rPr>
          <w:rStyle w:val="Fontepargpadro1"/>
          <w:rFonts w:ascii="Arial" w:hAnsi="Arial" w:cs="Arial"/>
          <w:b/>
          <w:bCs/>
        </w:rPr>
      </w:pPr>
      <w:r w:rsidRPr="00A57FE6">
        <w:rPr>
          <w:rStyle w:val="Fontepargpadro1"/>
          <w:rFonts w:ascii="Arial" w:hAnsi="Arial" w:cs="Arial"/>
          <w:b/>
          <w:bCs/>
        </w:rPr>
        <w:t>References:</w:t>
      </w:r>
    </w:p>
    <w:p w14:paraId="7AE6D316" w14:textId="6F9C0B2B" w:rsidR="00A57FE6" w:rsidRPr="00A57FE6" w:rsidRDefault="00A57FE6" w:rsidP="00A57FE6">
      <w:pPr>
        <w:spacing w:line="360" w:lineRule="auto"/>
        <w:jc w:val="both"/>
        <w:rPr>
          <w:rFonts w:ascii="Arial" w:hAnsi="Arial" w:cs="Arial"/>
        </w:rPr>
      </w:pPr>
      <w:r w:rsidRPr="00A57FE6">
        <w:rPr>
          <w:rFonts w:ascii="Arial" w:hAnsi="Arial" w:cs="Arial"/>
        </w:rPr>
        <w:t>Jayaweera, H. (2010)</w:t>
      </w:r>
      <w:r>
        <w:rPr>
          <w:rFonts w:ascii="Arial" w:hAnsi="Arial" w:cs="Arial"/>
        </w:rPr>
        <w:t>.</w:t>
      </w:r>
      <w:r w:rsidRPr="00A57FE6">
        <w:rPr>
          <w:rFonts w:ascii="Arial" w:hAnsi="Arial" w:cs="Arial"/>
        </w:rPr>
        <w:t xml:space="preserve"> </w:t>
      </w:r>
      <w:r w:rsidRPr="00A57FE6">
        <w:rPr>
          <w:rFonts w:ascii="Arial" w:hAnsi="Arial" w:cs="Arial"/>
          <w:i/>
          <w:iCs/>
        </w:rPr>
        <w:t>Health and access to health care of migrants in the UK</w:t>
      </w:r>
      <w:r w:rsidRPr="00A57FE6">
        <w:rPr>
          <w:rFonts w:ascii="Arial" w:hAnsi="Arial" w:cs="Arial"/>
        </w:rPr>
        <w:t>. London: Race Equality Foundation. Available at:</w:t>
      </w:r>
    </w:p>
    <w:p w14:paraId="30F73ABD" w14:textId="50656582" w:rsidR="00A57FE6" w:rsidRPr="00A57FE6" w:rsidRDefault="00A57FE6" w:rsidP="00A57FE6">
      <w:pPr>
        <w:spacing w:line="360" w:lineRule="auto"/>
        <w:jc w:val="both"/>
        <w:rPr>
          <w:rFonts w:ascii="Arial" w:hAnsi="Arial" w:cs="Arial"/>
        </w:rPr>
      </w:pPr>
      <w:hyperlink r:id="rId8" w:tgtFrame="_blank" w:history="1">
        <w:r w:rsidRPr="00A57FE6">
          <w:rPr>
            <w:rStyle w:val="Hyperlink"/>
            <w:rFonts w:ascii="Arial" w:hAnsi="Arial" w:cs="Arial"/>
          </w:rPr>
          <w:t>https://www.academia.edu/download/3389937/Health_and_access_to_health_care_for_migrants.pdf</w:t>
        </w:r>
      </w:hyperlink>
      <w:r w:rsidRPr="00A57FE6">
        <w:rPr>
          <w:rFonts w:ascii="Arial" w:hAnsi="Arial" w:cs="Arial"/>
        </w:rPr>
        <w:t> (Accessed: 22 November 2025).</w:t>
      </w:r>
    </w:p>
    <w:p w14:paraId="17952A0C" w14:textId="5CF413DA" w:rsidR="00A57FE6" w:rsidRPr="00A57FE6" w:rsidRDefault="00A57FE6" w:rsidP="00A57FE6">
      <w:pPr>
        <w:spacing w:line="360" w:lineRule="auto"/>
        <w:jc w:val="both"/>
        <w:rPr>
          <w:rFonts w:ascii="Arial" w:hAnsi="Arial" w:cs="Arial"/>
        </w:rPr>
      </w:pPr>
      <w:r w:rsidRPr="00A57FE6">
        <w:rPr>
          <w:rFonts w:ascii="Arial" w:hAnsi="Arial" w:cs="Arial"/>
        </w:rPr>
        <w:t>McCulloch, T. (2019)</w:t>
      </w:r>
      <w:r>
        <w:rPr>
          <w:rFonts w:ascii="Arial" w:hAnsi="Arial" w:cs="Arial"/>
        </w:rPr>
        <w:t>.</w:t>
      </w:r>
      <w:r w:rsidRPr="00A57FE6">
        <w:rPr>
          <w:rFonts w:ascii="Arial" w:hAnsi="Arial" w:cs="Arial"/>
        </w:rPr>
        <w:t xml:space="preserve"> </w:t>
      </w:r>
      <w:r w:rsidRPr="00A57FE6">
        <w:rPr>
          <w:rFonts w:ascii="Arial" w:hAnsi="Arial" w:cs="Arial"/>
          <w:i/>
          <w:iCs/>
        </w:rPr>
        <w:t xml:space="preserve">Professionalism in Health and Social Care. </w:t>
      </w:r>
      <w:r w:rsidRPr="00A57FE6">
        <w:rPr>
          <w:rFonts w:ascii="Arial" w:hAnsi="Arial" w:cs="Arial"/>
        </w:rPr>
        <w:t>London: Routledge.</w:t>
      </w:r>
    </w:p>
    <w:p w14:paraId="1190333A" w14:textId="77777777" w:rsidR="00A57FE6" w:rsidRPr="00A57FE6" w:rsidRDefault="00A57FE6" w:rsidP="00A57FE6">
      <w:pPr>
        <w:spacing w:line="360" w:lineRule="auto"/>
        <w:jc w:val="both"/>
        <w:rPr>
          <w:rFonts w:ascii="Arial" w:hAnsi="Arial" w:cs="Arial"/>
        </w:rPr>
      </w:pPr>
      <w:r w:rsidRPr="00A57FE6">
        <w:rPr>
          <w:rFonts w:ascii="Arial" w:hAnsi="Arial" w:cs="Arial"/>
        </w:rPr>
        <w:t>Payne, S., Kerr, C., Hawker, S. and Hardey, M. (2002) ‘T</w:t>
      </w:r>
      <w:r w:rsidRPr="00A57FE6">
        <w:rPr>
          <w:rFonts w:ascii="Arial" w:hAnsi="Arial" w:cs="Arial"/>
          <w:i/>
          <w:iCs/>
        </w:rPr>
        <w:t>he communication of information about older people between health and social care practitioners’, Age and Ageing</w:t>
      </w:r>
      <w:r w:rsidRPr="00A57FE6">
        <w:rPr>
          <w:rFonts w:ascii="Arial" w:hAnsi="Arial" w:cs="Arial"/>
        </w:rPr>
        <w:t>, 31(2), pp. 107–117. Available at:</w:t>
      </w:r>
    </w:p>
    <w:p w14:paraId="6BCC2976" w14:textId="1AAA740E" w:rsidR="00A57FE6" w:rsidRPr="00A57FE6" w:rsidRDefault="00A57FE6" w:rsidP="00A57FE6">
      <w:pPr>
        <w:spacing w:line="360" w:lineRule="auto"/>
        <w:jc w:val="both"/>
        <w:rPr>
          <w:rFonts w:ascii="Arial" w:hAnsi="Arial" w:cs="Arial"/>
        </w:rPr>
      </w:pPr>
      <w:hyperlink r:id="rId9" w:tgtFrame="_blank" w:history="1">
        <w:r w:rsidRPr="00A57FE6">
          <w:rPr>
            <w:rStyle w:val="Hyperlink"/>
            <w:rFonts w:ascii="Arial" w:hAnsi="Arial" w:cs="Arial"/>
          </w:rPr>
          <w:t>https://academic.oup.com/ageing/article-abstract/31/2/107/13366</w:t>
        </w:r>
      </w:hyperlink>
      <w:r w:rsidRPr="00A57FE6">
        <w:rPr>
          <w:rFonts w:ascii="Arial" w:hAnsi="Arial" w:cs="Arial"/>
        </w:rPr>
        <w:t> (Accessed: 22 November 2025).</w:t>
      </w:r>
    </w:p>
    <w:p w14:paraId="125F780D" w14:textId="77777777" w:rsidR="00A57FE6" w:rsidRPr="00A57FE6" w:rsidRDefault="00A57FE6" w:rsidP="00A57FE6">
      <w:pPr>
        <w:spacing w:line="360" w:lineRule="auto"/>
        <w:jc w:val="both"/>
        <w:rPr>
          <w:rFonts w:ascii="Arial" w:hAnsi="Arial" w:cs="Arial"/>
        </w:rPr>
      </w:pPr>
      <w:r w:rsidRPr="00A57FE6">
        <w:rPr>
          <w:rFonts w:ascii="Arial" w:hAnsi="Arial" w:cs="Arial"/>
        </w:rPr>
        <w:t xml:space="preserve">Social Care Institute for Excellence (SCIE) (2021) </w:t>
      </w:r>
      <w:r w:rsidRPr="00A57FE6">
        <w:rPr>
          <w:rFonts w:ascii="Arial" w:hAnsi="Arial" w:cs="Arial"/>
          <w:i/>
          <w:iCs/>
        </w:rPr>
        <w:t>Safeguarding Adults Review: Learning from Case Reviews.</w:t>
      </w:r>
      <w:r w:rsidRPr="00A57FE6">
        <w:rPr>
          <w:rFonts w:ascii="Arial" w:hAnsi="Arial" w:cs="Arial"/>
        </w:rPr>
        <w:t xml:space="preserve"> Available at:</w:t>
      </w:r>
    </w:p>
    <w:p w14:paraId="0BC345C6" w14:textId="1832F91B" w:rsidR="00A57FE6" w:rsidRPr="00A57FE6" w:rsidRDefault="00A57FE6" w:rsidP="00A57FE6">
      <w:pPr>
        <w:spacing w:line="360" w:lineRule="auto"/>
        <w:jc w:val="both"/>
        <w:rPr>
          <w:rFonts w:ascii="Arial" w:hAnsi="Arial" w:cs="Arial"/>
        </w:rPr>
      </w:pPr>
      <w:hyperlink r:id="rId10" w:tgtFrame="_blank" w:history="1">
        <w:r w:rsidRPr="00A57FE6">
          <w:rPr>
            <w:rStyle w:val="Hyperlink"/>
            <w:rFonts w:ascii="Arial" w:hAnsi="Arial" w:cs="Arial"/>
          </w:rPr>
          <w:t>https://www.scie.org.uk/safeguarding/adults/reviews</w:t>
        </w:r>
      </w:hyperlink>
      <w:r w:rsidRPr="00A57FE6">
        <w:rPr>
          <w:rFonts w:ascii="Arial" w:hAnsi="Arial" w:cs="Arial"/>
        </w:rPr>
        <w:t> (Accessed: 03 February 2025).</w:t>
      </w:r>
    </w:p>
    <w:p w14:paraId="5D586E02" w14:textId="77777777" w:rsidR="00A57FE6" w:rsidRPr="00A57FE6" w:rsidRDefault="00A57FE6" w:rsidP="00A57FE6">
      <w:pPr>
        <w:spacing w:line="360" w:lineRule="auto"/>
        <w:jc w:val="both"/>
        <w:rPr>
          <w:rFonts w:ascii="Arial" w:hAnsi="Arial" w:cs="Arial"/>
        </w:rPr>
      </w:pPr>
      <w:r w:rsidRPr="00A57FE6">
        <w:rPr>
          <w:rFonts w:ascii="Arial" w:hAnsi="Arial" w:cs="Arial"/>
        </w:rPr>
        <w:t xml:space="preserve">Turaga, R. (2016) </w:t>
      </w:r>
      <w:r w:rsidRPr="00A57FE6">
        <w:rPr>
          <w:rFonts w:ascii="Arial" w:hAnsi="Arial" w:cs="Arial"/>
          <w:i/>
          <w:iCs/>
        </w:rPr>
        <w:t>‘Organizational models of effective communication’, IUP Journal of Soft Skills</w:t>
      </w:r>
      <w:r w:rsidRPr="00A57FE6">
        <w:rPr>
          <w:rFonts w:ascii="Arial" w:hAnsi="Arial" w:cs="Arial"/>
        </w:rPr>
        <w:t>, 10(2), pp. 56–65. Available at:</w:t>
      </w:r>
    </w:p>
    <w:p w14:paraId="080C5A08" w14:textId="768B473D" w:rsidR="00A57FE6" w:rsidRPr="00A57FE6" w:rsidRDefault="00A57FE6" w:rsidP="00A57FE6">
      <w:pPr>
        <w:spacing w:line="360" w:lineRule="auto"/>
        <w:jc w:val="both"/>
        <w:rPr>
          <w:rFonts w:ascii="Arial" w:hAnsi="Arial" w:cs="Arial"/>
        </w:rPr>
      </w:pPr>
      <w:hyperlink r:id="rId11" w:tgtFrame="_blank" w:history="1">
        <w:r w:rsidRPr="00A57FE6">
          <w:rPr>
            <w:rStyle w:val="Hyperlink"/>
            <w:rFonts w:ascii="Arial" w:hAnsi="Arial" w:cs="Arial"/>
          </w:rPr>
          <w:t>https://search.proquest.com/openview/ed313b07289781e12289704e7980ba40/1?pq-origsite=gscholar&amp;cbl=2029989</w:t>
        </w:r>
      </w:hyperlink>
      <w:r w:rsidRPr="00A57FE6">
        <w:rPr>
          <w:rFonts w:ascii="Arial" w:hAnsi="Arial" w:cs="Arial"/>
        </w:rPr>
        <w:t> (Accessed: 22 November 2025).</w:t>
      </w:r>
    </w:p>
    <w:p w14:paraId="5CE6A724" w14:textId="77777777" w:rsidR="00A57FE6" w:rsidRPr="00A57FE6" w:rsidRDefault="00A57FE6" w:rsidP="00A57FE6">
      <w:pPr>
        <w:spacing w:line="360" w:lineRule="auto"/>
        <w:jc w:val="both"/>
        <w:rPr>
          <w:rFonts w:ascii="Arial" w:hAnsi="Arial" w:cs="Arial"/>
        </w:rPr>
      </w:pPr>
      <w:r w:rsidRPr="00A57FE6">
        <w:rPr>
          <w:rFonts w:ascii="Arial" w:hAnsi="Arial" w:cs="Arial"/>
        </w:rPr>
        <w:t xml:space="preserve">UK Government (2010) </w:t>
      </w:r>
      <w:r w:rsidRPr="00A57FE6">
        <w:rPr>
          <w:rFonts w:ascii="Arial" w:hAnsi="Arial" w:cs="Arial"/>
          <w:i/>
          <w:iCs/>
        </w:rPr>
        <w:t>Equality Act 2010: guidance</w:t>
      </w:r>
      <w:r w:rsidRPr="00A57FE6">
        <w:rPr>
          <w:rFonts w:ascii="Arial" w:hAnsi="Arial" w:cs="Arial"/>
        </w:rPr>
        <w:t>. Available at:</w:t>
      </w:r>
    </w:p>
    <w:p w14:paraId="7CB00847" w14:textId="5838E579" w:rsidR="00A57FE6" w:rsidRPr="00A57FE6" w:rsidRDefault="00A57FE6" w:rsidP="00A57FE6">
      <w:pPr>
        <w:spacing w:line="360" w:lineRule="auto"/>
        <w:jc w:val="both"/>
        <w:rPr>
          <w:rFonts w:ascii="Arial" w:hAnsi="Arial" w:cs="Arial"/>
        </w:rPr>
      </w:pPr>
      <w:hyperlink r:id="rId12" w:tgtFrame="_blank" w:history="1">
        <w:r w:rsidRPr="00A57FE6">
          <w:rPr>
            <w:rStyle w:val="Hyperlink"/>
            <w:rFonts w:ascii="Arial" w:hAnsi="Arial" w:cs="Arial"/>
          </w:rPr>
          <w:t>https://www.gov.uk/guidance/equality-act-2010-guidance</w:t>
        </w:r>
      </w:hyperlink>
      <w:r w:rsidRPr="00A57FE6">
        <w:rPr>
          <w:rFonts w:ascii="Arial" w:hAnsi="Arial" w:cs="Arial"/>
        </w:rPr>
        <w:t> (Accessed: 22 November 2025).</w:t>
      </w:r>
    </w:p>
    <w:p w14:paraId="083A7D77" w14:textId="77777777" w:rsidR="00A57FE6" w:rsidRPr="00A57FE6" w:rsidRDefault="00A57FE6" w:rsidP="00A57FE6">
      <w:pPr>
        <w:spacing w:line="360" w:lineRule="auto"/>
        <w:jc w:val="both"/>
        <w:rPr>
          <w:rFonts w:ascii="Arial" w:hAnsi="Arial" w:cs="Arial"/>
        </w:rPr>
      </w:pPr>
      <w:r w:rsidRPr="00A57FE6">
        <w:rPr>
          <w:rFonts w:ascii="Arial" w:hAnsi="Arial" w:cs="Arial"/>
        </w:rPr>
        <w:t xml:space="preserve">UK Government (2018) </w:t>
      </w:r>
      <w:r w:rsidRPr="00A57FE6">
        <w:rPr>
          <w:rFonts w:ascii="Arial" w:hAnsi="Arial" w:cs="Arial"/>
          <w:i/>
          <w:iCs/>
        </w:rPr>
        <w:t>Data Protection Act 2018: Overview</w:t>
      </w:r>
      <w:r w:rsidRPr="00A57FE6">
        <w:rPr>
          <w:rFonts w:ascii="Arial" w:hAnsi="Arial" w:cs="Arial"/>
        </w:rPr>
        <w:t>. Available at:</w:t>
      </w:r>
    </w:p>
    <w:p w14:paraId="46EBE079" w14:textId="77777777" w:rsidR="00A57FE6" w:rsidRPr="00A57FE6" w:rsidRDefault="00A57FE6" w:rsidP="00A57FE6">
      <w:pPr>
        <w:spacing w:line="360" w:lineRule="auto"/>
        <w:jc w:val="both"/>
        <w:rPr>
          <w:rFonts w:ascii="Arial" w:hAnsi="Arial" w:cs="Arial"/>
        </w:rPr>
      </w:pPr>
      <w:hyperlink r:id="rId13" w:tgtFrame="_blank" w:history="1">
        <w:r w:rsidRPr="00A57FE6">
          <w:rPr>
            <w:rStyle w:val="Hyperlink"/>
            <w:rFonts w:ascii="Arial" w:hAnsi="Arial" w:cs="Arial"/>
          </w:rPr>
          <w:t>https://www.gov.uk/data-protection</w:t>
        </w:r>
      </w:hyperlink>
      <w:r w:rsidRPr="00A57FE6">
        <w:rPr>
          <w:rFonts w:ascii="Arial" w:hAnsi="Arial" w:cs="Arial"/>
        </w:rPr>
        <w:t> (Accessed: 22 November 2025).</w:t>
      </w:r>
    </w:p>
    <w:p w14:paraId="39E171C1" w14:textId="35505876" w:rsidR="00DB1B40" w:rsidRPr="00A57FE6" w:rsidRDefault="00DB1B40" w:rsidP="00DB1B40">
      <w:pPr>
        <w:spacing w:line="360" w:lineRule="auto"/>
        <w:jc w:val="both"/>
        <w:rPr>
          <w:rFonts w:ascii="Arial" w:hAnsi="Arial" w:cs="Arial"/>
        </w:rPr>
      </w:pPr>
    </w:p>
    <w:sectPr w:rsidR="00DB1B40" w:rsidRPr="00A57FE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40164" w14:textId="77777777" w:rsidR="002E13C9" w:rsidRDefault="002E13C9">
      <w:pPr>
        <w:spacing w:after="0" w:line="240" w:lineRule="auto"/>
      </w:pPr>
      <w:r>
        <w:separator/>
      </w:r>
    </w:p>
  </w:endnote>
  <w:endnote w:type="continuationSeparator" w:id="0">
    <w:p w14:paraId="01FF225A" w14:textId="77777777" w:rsidR="002E13C9" w:rsidRDefault="002E1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D3190" w14:textId="77777777" w:rsidR="002E13C9" w:rsidRDefault="002E13C9">
      <w:pPr>
        <w:spacing w:after="0" w:line="240" w:lineRule="auto"/>
      </w:pPr>
      <w:r>
        <w:rPr>
          <w:color w:val="000000"/>
        </w:rPr>
        <w:separator/>
      </w:r>
    </w:p>
  </w:footnote>
  <w:footnote w:type="continuationSeparator" w:id="0">
    <w:p w14:paraId="680E139C" w14:textId="77777777" w:rsidR="002E13C9" w:rsidRDefault="002E13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8A45C7"/>
    <w:multiLevelType w:val="multilevel"/>
    <w:tmpl w:val="4DA2C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A14E66"/>
    <w:multiLevelType w:val="hybridMultilevel"/>
    <w:tmpl w:val="A46EC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2229421">
    <w:abstractNumId w:val="0"/>
  </w:num>
  <w:num w:numId="2" w16cid:durableId="1493057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7EF"/>
    <w:rsid w:val="00006CD5"/>
    <w:rsid w:val="000353F2"/>
    <w:rsid w:val="00091AC0"/>
    <w:rsid w:val="000A5400"/>
    <w:rsid w:val="000F57E1"/>
    <w:rsid w:val="000F76C3"/>
    <w:rsid w:val="001653DE"/>
    <w:rsid w:val="0028614B"/>
    <w:rsid w:val="002E13C9"/>
    <w:rsid w:val="0030414D"/>
    <w:rsid w:val="00324525"/>
    <w:rsid w:val="003314F5"/>
    <w:rsid w:val="003D42A4"/>
    <w:rsid w:val="003F5CDB"/>
    <w:rsid w:val="00416395"/>
    <w:rsid w:val="004277EF"/>
    <w:rsid w:val="004A6A80"/>
    <w:rsid w:val="004E1800"/>
    <w:rsid w:val="006C7515"/>
    <w:rsid w:val="00734677"/>
    <w:rsid w:val="00813318"/>
    <w:rsid w:val="00885933"/>
    <w:rsid w:val="008A139A"/>
    <w:rsid w:val="00973F18"/>
    <w:rsid w:val="009D6EA5"/>
    <w:rsid w:val="00A24285"/>
    <w:rsid w:val="00A5601D"/>
    <w:rsid w:val="00A57FE6"/>
    <w:rsid w:val="00A869C9"/>
    <w:rsid w:val="00B60CBA"/>
    <w:rsid w:val="00BF27FB"/>
    <w:rsid w:val="00C83B36"/>
    <w:rsid w:val="00D43D5D"/>
    <w:rsid w:val="00DB1B40"/>
    <w:rsid w:val="00ED4447"/>
    <w:rsid w:val="00EF6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0D17B"/>
  <w15:docId w15:val="{360E5774-11DA-4B0B-B6BD-ECBD08BF4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link w:val="Ttulo1Char1"/>
    <w:uiPriority w:val="9"/>
    <w:qFormat/>
    <w:rsid w:val="00416395"/>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pPr>
      <w:keepNext/>
      <w:keepLines/>
      <w:spacing w:before="360" w:after="80"/>
      <w:outlineLvl w:val="0"/>
    </w:pPr>
    <w:rPr>
      <w:rFonts w:ascii="Calibri Light" w:eastAsia="Times New Roman" w:hAnsi="Calibri Light"/>
      <w:color w:val="2F5496"/>
      <w:sz w:val="40"/>
      <w:szCs w:val="40"/>
    </w:rPr>
  </w:style>
  <w:style w:type="paragraph" w:customStyle="1" w:styleId="Ttulo21">
    <w:name w:val="Título 21"/>
    <w:basedOn w:val="Normal"/>
    <w:next w:val="Normal"/>
    <w:pPr>
      <w:keepNext/>
      <w:keepLines/>
      <w:spacing w:before="160" w:after="80"/>
      <w:outlineLvl w:val="1"/>
    </w:pPr>
    <w:rPr>
      <w:rFonts w:ascii="Calibri Light" w:eastAsia="Times New Roman" w:hAnsi="Calibri Light"/>
      <w:color w:val="2F5496"/>
      <w:sz w:val="32"/>
      <w:szCs w:val="32"/>
    </w:rPr>
  </w:style>
  <w:style w:type="paragraph" w:customStyle="1" w:styleId="Ttulo31">
    <w:name w:val="Título 31"/>
    <w:basedOn w:val="Normal"/>
    <w:next w:val="Normal"/>
    <w:pPr>
      <w:keepNext/>
      <w:keepLines/>
      <w:spacing w:before="160" w:after="80"/>
      <w:outlineLvl w:val="2"/>
    </w:pPr>
    <w:rPr>
      <w:rFonts w:eastAsia="Times New Roman"/>
      <w:color w:val="2F5496"/>
      <w:sz w:val="28"/>
      <w:szCs w:val="28"/>
    </w:rPr>
  </w:style>
  <w:style w:type="paragraph" w:customStyle="1" w:styleId="Ttulo41">
    <w:name w:val="Título 41"/>
    <w:basedOn w:val="Normal"/>
    <w:next w:val="Normal"/>
    <w:pPr>
      <w:keepNext/>
      <w:keepLines/>
      <w:spacing w:before="80" w:after="40"/>
      <w:outlineLvl w:val="3"/>
    </w:pPr>
    <w:rPr>
      <w:rFonts w:eastAsia="Times New Roman"/>
      <w:i/>
      <w:iCs/>
      <w:color w:val="2F5496"/>
    </w:rPr>
  </w:style>
  <w:style w:type="paragraph" w:customStyle="1" w:styleId="Ttulo51">
    <w:name w:val="Título 51"/>
    <w:basedOn w:val="Normal"/>
    <w:next w:val="Normal"/>
    <w:pPr>
      <w:keepNext/>
      <w:keepLines/>
      <w:spacing w:before="80" w:after="40"/>
      <w:outlineLvl w:val="4"/>
    </w:pPr>
    <w:rPr>
      <w:rFonts w:eastAsia="Times New Roman"/>
      <w:color w:val="2F5496"/>
    </w:rPr>
  </w:style>
  <w:style w:type="paragraph" w:customStyle="1" w:styleId="Ttulo61">
    <w:name w:val="Título 61"/>
    <w:basedOn w:val="Normal"/>
    <w:next w:val="Normal"/>
    <w:pPr>
      <w:keepNext/>
      <w:keepLines/>
      <w:spacing w:before="40" w:after="0"/>
      <w:outlineLvl w:val="5"/>
    </w:pPr>
    <w:rPr>
      <w:rFonts w:eastAsia="Times New Roman"/>
      <w:i/>
      <w:iCs/>
      <w:color w:val="595959"/>
    </w:rPr>
  </w:style>
  <w:style w:type="paragraph" w:customStyle="1" w:styleId="Ttulo71">
    <w:name w:val="Título 71"/>
    <w:basedOn w:val="Normal"/>
    <w:next w:val="Normal"/>
    <w:pPr>
      <w:keepNext/>
      <w:keepLines/>
      <w:spacing w:before="40" w:after="0"/>
      <w:outlineLvl w:val="6"/>
    </w:pPr>
    <w:rPr>
      <w:rFonts w:eastAsia="Times New Roman"/>
      <w:color w:val="595959"/>
    </w:rPr>
  </w:style>
  <w:style w:type="paragraph" w:customStyle="1" w:styleId="Ttulo81">
    <w:name w:val="Título 81"/>
    <w:basedOn w:val="Normal"/>
    <w:next w:val="Normal"/>
    <w:pPr>
      <w:keepNext/>
      <w:keepLines/>
      <w:spacing w:after="0"/>
      <w:outlineLvl w:val="7"/>
    </w:pPr>
    <w:rPr>
      <w:rFonts w:eastAsia="Times New Roman"/>
      <w:i/>
      <w:iCs/>
      <w:color w:val="272727"/>
    </w:rPr>
  </w:style>
  <w:style w:type="paragraph" w:customStyle="1" w:styleId="Ttulo91">
    <w:name w:val="Título 91"/>
    <w:basedOn w:val="Normal"/>
    <w:next w:val="Normal"/>
    <w:pPr>
      <w:keepNext/>
      <w:keepLines/>
      <w:spacing w:after="0"/>
      <w:outlineLvl w:val="8"/>
    </w:pPr>
    <w:rPr>
      <w:rFonts w:eastAsia="Times New Roman"/>
      <w:color w:val="272727"/>
    </w:rPr>
  </w:style>
  <w:style w:type="character" w:customStyle="1" w:styleId="Fontepargpadro1">
    <w:name w:val="Fonte parág. padrão1"/>
  </w:style>
  <w:style w:type="character" w:customStyle="1" w:styleId="Ttulo1Char">
    <w:name w:val="Título 1 Char"/>
    <w:basedOn w:val="Fontepargpadro1"/>
    <w:rPr>
      <w:rFonts w:ascii="Calibri Light" w:eastAsia="Times New Roman" w:hAnsi="Calibri Light" w:cs="Times New Roman"/>
      <w:color w:val="2F5496"/>
      <w:sz w:val="40"/>
      <w:szCs w:val="40"/>
    </w:rPr>
  </w:style>
  <w:style w:type="character" w:customStyle="1" w:styleId="Ttulo2Char">
    <w:name w:val="Título 2 Char"/>
    <w:basedOn w:val="Fontepargpadro1"/>
    <w:rPr>
      <w:rFonts w:ascii="Calibri Light" w:eastAsia="Times New Roman" w:hAnsi="Calibri Light" w:cs="Times New Roman"/>
      <w:color w:val="2F5496"/>
      <w:sz w:val="32"/>
      <w:szCs w:val="32"/>
    </w:rPr>
  </w:style>
  <w:style w:type="character" w:customStyle="1" w:styleId="Ttulo3Char">
    <w:name w:val="Título 3 Char"/>
    <w:basedOn w:val="Fontepargpadro1"/>
    <w:rPr>
      <w:rFonts w:eastAsia="Times New Roman" w:cs="Times New Roman"/>
      <w:color w:val="2F5496"/>
      <w:sz w:val="28"/>
      <w:szCs w:val="28"/>
    </w:rPr>
  </w:style>
  <w:style w:type="character" w:customStyle="1" w:styleId="Ttulo4Char">
    <w:name w:val="Título 4 Char"/>
    <w:basedOn w:val="Fontepargpadro1"/>
    <w:rPr>
      <w:rFonts w:eastAsia="Times New Roman" w:cs="Times New Roman"/>
      <w:i/>
      <w:iCs/>
      <w:color w:val="2F5496"/>
    </w:rPr>
  </w:style>
  <w:style w:type="character" w:customStyle="1" w:styleId="Ttulo5Char">
    <w:name w:val="Título 5 Char"/>
    <w:basedOn w:val="Fontepargpadro1"/>
    <w:rPr>
      <w:rFonts w:eastAsia="Times New Roman" w:cs="Times New Roman"/>
      <w:color w:val="2F5496"/>
    </w:rPr>
  </w:style>
  <w:style w:type="character" w:customStyle="1" w:styleId="Ttulo6Char">
    <w:name w:val="Título 6 Char"/>
    <w:basedOn w:val="Fontepargpadro1"/>
    <w:rPr>
      <w:rFonts w:eastAsia="Times New Roman" w:cs="Times New Roman"/>
      <w:i/>
      <w:iCs/>
      <w:color w:val="595959"/>
    </w:rPr>
  </w:style>
  <w:style w:type="character" w:customStyle="1" w:styleId="Ttulo7Char">
    <w:name w:val="Título 7 Char"/>
    <w:basedOn w:val="Fontepargpadro1"/>
    <w:rPr>
      <w:rFonts w:eastAsia="Times New Roman" w:cs="Times New Roman"/>
      <w:color w:val="595959"/>
    </w:rPr>
  </w:style>
  <w:style w:type="character" w:customStyle="1" w:styleId="Ttulo8Char">
    <w:name w:val="Título 8 Char"/>
    <w:basedOn w:val="Fontepargpadro1"/>
    <w:rPr>
      <w:rFonts w:eastAsia="Times New Roman" w:cs="Times New Roman"/>
      <w:i/>
      <w:iCs/>
      <w:color w:val="272727"/>
    </w:rPr>
  </w:style>
  <w:style w:type="character" w:customStyle="1" w:styleId="Ttulo9Char">
    <w:name w:val="Título 9 Char"/>
    <w:basedOn w:val="Fontepargpadro1"/>
    <w:rPr>
      <w:rFonts w:eastAsia="Times New Roman" w:cs="Times New Roman"/>
      <w:color w:val="272727"/>
    </w:rPr>
  </w:style>
  <w:style w:type="paragraph" w:customStyle="1" w:styleId="Ttulo10">
    <w:name w:val="Título1"/>
    <w:basedOn w:val="Normal"/>
    <w:next w:val="Normal"/>
    <w:pPr>
      <w:spacing w:after="80" w:line="240" w:lineRule="auto"/>
    </w:pPr>
    <w:rPr>
      <w:rFonts w:ascii="Calibri Light" w:eastAsia="Times New Roman" w:hAnsi="Calibri Light"/>
      <w:spacing w:val="-10"/>
      <w:sz w:val="56"/>
      <w:szCs w:val="56"/>
    </w:rPr>
  </w:style>
  <w:style w:type="character" w:customStyle="1" w:styleId="TtuloChar">
    <w:name w:val="Título Char"/>
    <w:basedOn w:val="Fontepargpadro1"/>
    <w:rPr>
      <w:rFonts w:ascii="Calibri Light" w:eastAsia="Times New Roman" w:hAnsi="Calibri Light" w:cs="Times New Roman"/>
      <w:spacing w:val="-10"/>
      <w:kern w:val="3"/>
      <w:sz w:val="56"/>
      <w:szCs w:val="56"/>
    </w:rPr>
  </w:style>
  <w:style w:type="paragraph" w:customStyle="1" w:styleId="Subttulo1">
    <w:name w:val="Subtítulo1"/>
    <w:basedOn w:val="Normal"/>
    <w:next w:val="Normal"/>
    <w:rPr>
      <w:rFonts w:eastAsia="Times New Roman"/>
      <w:color w:val="595959"/>
      <w:spacing w:val="15"/>
      <w:sz w:val="28"/>
      <w:szCs w:val="28"/>
    </w:rPr>
  </w:style>
  <w:style w:type="character" w:customStyle="1" w:styleId="SubttuloChar">
    <w:name w:val="Subtítulo Char"/>
    <w:basedOn w:val="Fontepargpadro1"/>
    <w:rPr>
      <w:rFonts w:eastAsia="Times New Roman" w:cs="Times New Roman"/>
      <w:color w:val="595959"/>
      <w:spacing w:val="15"/>
      <w:sz w:val="28"/>
      <w:szCs w:val="28"/>
    </w:rPr>
  </w:style>
  <w:style w:type="paragraph" w:customStyle="1" w:styleId="Citao1">
    <w:name w:val="Citação1"/>
    <w:basedOn w:val="Normal"/>
    <w:next w:val="Normal"/>
    <w:pPr>
      <w:spacing w:before="160"/>
      <w:jc w:val="center"/>
    </w:pPr>
    <w:rPr>
      <w:i/>
      <w:iCs/>
      <w:color w:val="404040"/>
    </w:rPr>
  </w:style>
  <w:style w:type="character" w:customStyle="1" w:styleId="CitaoChar">
    <w:name w:val="Citação Char"/>
    <w:basedOn w:val="Fontepargpadro1"/>
    <w:rPr>
      <w:i/>
      <w:iCs/>
      <w:color w:val="404040"/>
    </w:rPr>
  </w:style>
  <w:style w:type="paragraph" w:customStyle="1" w:styleId="PargrafodaLista1">
    <w:name w:val="Parágrafo da Lista1"/>
    <w:basedOn w:val="Normal"/>
    <w:pPr>
      <w:ind w:left="720"/>
    </w:pPr>
  </w:style>
  <w:style w:type="character" w:customStyle="1" w:styleId="nfaseIntensa1">
    <w:name w:val="Ênfase Intensa1"/>
    <w:basedOn w:val="Fontepargpadro1"/>
    <w:rPr>
      <w:i/>
      <w:iCs/>
      <w:color w:val="2F5496"/>
    </w:rPr>
  </w:style>
  <w:style w:type="paragraph" w:customStyle="1" w:styleId="CitaoIntensa1">
    <w:name w:val="Citação Intensa1"/>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CitaoIntensaChar">
    <w:name w:val="Citação Intensa Char"/>
    <w:basedOn w:val="Fontepargpadro1"/>
    <w:rPr>
      <w:i/>
      <w:iCs/>
      <w:color w:val="2F5496"/>
    </w:rPr>
  </w:style>
  <w:style w:type="character" w:customStyle="1" w:styleId="RefernciaIntensa1">
    <w:name w:val="Referência Intensa1"/>
    <w:basedOn w:val="Fontepargpadro1"/>
    <w:rPr>
      <w:b/>
      <w:bCs/>
      <w:smallCaps/>
      <w:color w:val="2F5496"/>
      <w:spacing w:val="5"/>
    </w:rPr>
  </w:style>
  <w:style w:type="character" w:styleId="Hyperlink">
    <w:name w:val="Hyperlink"/>
    <w:basedOn w:val="Fontepargpadro1"/>
    <w:uiPriority w:val="99"/>
    <w:rPr>
      <w:color w:val="0563C1"/>
      <w:u w:val="single"/>
    </w:rPr>
  </w:style>
  <w:style w:type="paragraph" w:customStyle="1" w:styleId="Textodenotaderodap1">
    <w:name w:val="Texto de nota de rodapé1"/>
    <w:basedOn w:val="Normal"/>
    <w:pPr>
      <w:spacing w:after="0" w:line="240" w:lineRule="auto"/>
    </w:pPr>
    <w:rPr>
      <w:sz w:val="20"/>
      <w:szCs w:val="20"/>
    </w:rPr>
  </w:style>
  <w:style w:type="character" w:customStyle="1" w:styleId="TextodenotaderodapChar">
    <w:name w:val="Texto de nota de rodapé Char"/>
    <w:basedOn w:val="Fontepargpadro1"/>
    <w:rPr>
      <w:rFonts w:ascii="Calibri" w:eastAsia="Calibri" w:hAnsi="Calibri" w:cs="Times New Roman"/>
      <w:kern w:val="3"/>
      <w:sz w:val="20"/>
      <w:szCs w:val="20"/>
    </w:rPr>
  </w:style>
  <w:style w:type="character" w:customStyle="1" w:styleId="Refdenotaderodap1">
    <w:name w:val="Ref. de nota de rodapé1"/>
    <w:basedOn w:val="Fontepargpadro1"/>
    <w:rPr>
      <w:position w:val="0"/>
      <w:vertAlign w:val="superscript"/>
    </w:rPr>
  </w:style>
  <w:style w:type="character" w:customStyle="1" w:styleId="MenoPendente1">
    <w:name w:val="Menção Pendente1"/>
    <w:basedOn w:val="Fontepargpadro1"/>
    <w:rPr>
      <w:color w:val="605E5C"/>
      <w:shd w:val="clear" w:color="auto" w:fill="E1DFDD"/>
    </w:rPr>
  </w:style>
  <w:style w:type="character" w:customStyle="1" w:styleId="Ttulo1Char1">
    <w:name w:val="Título 1 Char1"/>
    <w:basedOn w:val="Fontepargpadro"/>
    <w:link w:val="Ttulo1"/>
    <w:uiPriority w:val="9"/>
    <w:rsid w:val="00416395"/>
    <w:rPr>
      <w:rFonts w:asciiTheme="majorHAnsi" w:eastAsiaTheme="majorEastAsia" w:hAnsiTheme="majorHAnsi" w:cstheme="majorBidi"/>
      <w:color w:val="0F4761" w:themeColor="accent1" w:themeShade="BF"/>
      <w:sz w:val="32"/>
      <w:szCs w:val="32"/>
    </w:rPr>
  </w:style>
  <w:style w:type="paragraph" w:styleId="CabealhodoSumrio">
    <w:name w:val="TOC Heading"/>
    <w:basedOn w:val="Ttulo1"/>
    <w:next w:val="Normal"/>
    <w:uiPriority w:val="39"/>
    <w:unhideWhenUsed/>
    <w:qFormat/>
    <w:rsid w:val="00416395"/>
    <w:pPr>
      <w:suppressAutoHyphens w:val="0"/>
      <w:autoSpaceDN/>
      <w:spacing w:line="259" w:lineRule="auto"/>
      <w:textAlignment w:val="auto"/>
      <w:outlineLvl w:val="9"/>
    </w:pPr>
    <w:rPr>
      <w:kern w:val="0"/>
      <w:lang w:eastAsia="en-GB"/>
    </w:rPr>
  </w:style>
  <w:style w:type="paragraph" w:styleId="Sumrio1">
    <w:name w:val="toc 1"/>
    <w:basedOn w:val="Normal"/>
    <w:next w:val="Normal"/>
    <w:autoRedefine/>
    <w:uiPriority w:val="39"/>
    <w:unhideWhenUsed/>
    <w:rsid w:val="00416395"/>
    <w:pPr>
      <w:spacing w:after="100"/>
    </w:pPr>
  </w:style>
  <w:style w:type="character" w:styleId="MenoPendente">
    <w:name w:val="Unresolved Mention"/>
    <w:basedOn w:val="Fontepargpadro"/>
    <w:uiPriority w:val="99"/>
    <w:semiHidden/>
    <w:unhideWhenUsed/>
    <w:rsid w:val="00A560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cademia.edu/download/3389937/Health_and_access_to_health_care_for_migrants.pdf" TargetMode="External"/><Relationship Id="rId13" Type="http://schemas.openxmlformats.org/officeDocument/2006/relationships/hyperlink" Target="https://www.gov.uk/data-protec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uidance/equality-act-2010-guidan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openview/ed313b07289781e12289704e7980ba40/1?pq-origsite=gscholar&amp;cbl=202998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cie.org.uk/safeguarding/adults/reviews" TargetMode="External"/><Relationship Id="rId4" Type="http://schemas.openxmlformats.org/officeDocument/2006/relationships/settings" Target="settings.xml"/><Relationship Id="rId9" Type="http://schemas.openxmlformats.org/officeDocument/2006/relationships/hyperlink" Target="https://academic.oup.com/ageing/article-abstract/31/2/107/1336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17C44-6E33-4968-9F1B-8C8DF9611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8474</TotalTime>
  <Pages>6</Pages>
  <Words>2019</Words>
  <Characters>11512</Characters>
  <Application>Microsoft Office Word</Application>
  <DocSecurity>0</DocSecurity>
  <Lines>95</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familia familia</dc:creator>
  <dc:description/>
  <cp:lastModifiedBy>familia familia</cp:lastModifiedBy>
  <cp:revision>3</cp:revision>
  <dcterms:created xsi:type="dcterms:W3CDTF">2025-12-05T13:42:00Z</dcterms:created>
  <dcterms:modified xsi:type="dcterms:W3CDTF">2025-12-19T12:54:00Z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90b32787-7184-4b75-8682-ba456964003e</vt:lpwstr>
  </property>
</Properties>
</file>