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sz w:val="22"/>
          <w:szCs w:val="22"/>
        </w:rPr>
      </w:pPr>
      <w:r w:rsidDel="00000000" w:rsidR="00000000" w:rsidRPr="00000000">
        <w:rPr>
          <w:rtl w:val="0"/>
        </w:rPr>
      </w:r>
    </w:p>
    <w:p w:rsidR="00000000" w:rsidDel="00000000" w:rsidP="00000000" w:rsidRDefault="00000000" w:rsidRPr="00000000" w14:paraId="00000003">
      <w:pPr>
        <w:spacing w:line="360" w:lineRule="auto"/>
        <w:rPr>
          <w:sz w:val="22"/>
          <w:szCs w:val="22"/>
        </w:rPr>
      </w:pPr>
      <w:r w:rsidDel="00000000" w:rsidR="00000000" w:rsidRPr="00000000">
        <w:rPr>
          <w:rtl w:val="0"/>
        </w:rPr>
      </w:r>
    </w:p>
    <w:p w:rsidR="00000000" w:rsidDel="00000000" w:rsidP="00000000" w:rsidRDefault="00000000" w:rsidRPr="00000000" w14:paraId="00000004">
      <w:pPr>
        <w:spacing w:line="360" w:lineRule="auto"/>
        <w:rPr>
          <w:sz w:val="22"/>
          <w:szCs w:val="22"/>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Introduction to Health and Social Care </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LCHS4003_LON</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Muhammad Zubair Hamayo      </w:t>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2514993</w:t>
      </w:r>
    </w:p>
    <w:p w:rsidR="00000000" w:rsidDel="00000000" w:rsidP="00000000" w:rsidRDefault="00000000" w:rsidRPr="00000000" w14:paraId="0000000C">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D">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E">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Lecturer’s name</w:t>
      </w:r>
      <w:r w:rsidDel="00000000" w:rsidR="00000000" w:rsidRPr="00000000">
        <w:rPr>
          <w:rFonts w:ascii="Arial" w:cs="Arial" w:eastAsia="Arial" w:hAnsi="Arial"/>
          <w:sz w:val="28"/>
          <w:szCs w:val="28"/>
          <w:rtl w:val="0"/>
        </w:rPr>
        <w:t xml:space="preserve">:           Dr. Jolly Nwankwo</w:t>
      </w:r>
    </w:p>
    <w:p w:rsidR="00000000" w:rsidDel="00000000" w:rsidP="00000000" w:rsidRDefault="00000000" w:rsidRPr="00000000" w14:paraId="0000000F">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0">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1">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2">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3">
      <w:pPr>
        <w:spacing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r w:rsidDel="00000000" w:rsidR="00000000" w:rsidRPr="00000000">
        <w:rPr>
          <w:rtl w:val="0"/>
        </w:rPr>
        <w:t xml:space="preserve">Table of contents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360" w:lineRule="auto"/>
        <w:rPr>
          <w:sz w:val="28"/>
          <w:szCs w:val="28"/>
        </w:rPr>
      </w:pPr>
      <w:r w:rsidDel="00000000" w:rsidR="00000000" w:rsidRPr="00000000">
        <w:rPr>
          <w:sz w:val="28"/>
          <w:szCs w:val="28"/>
          <w:rtl w:val="0"/>
        </w:rPr>
        <w:t xml:space="preserve"> 1.</w:t>
      </w:r>
      <w:r w:rsidDel="00000000" w:rsidR="00000000" w:rsidRPr="00000000">
        <w:rPr>
          <w:sz w:val="28"/>
          <w:szCs w:val="28"/>
          <w:rtl w:val="0"/>
        </w:rPr>
        <w:t xml:space="preserve">  Introduction                                                          ……………….        3                   </w:t>
      </w:r>
    </w:p>
    <w:p w:rsidR="00000000" w:rsidDel="00000000" w:rsidP="00000000" w:rsidRDefault="00000000" w:rsidRPr="00000000" w14:paraId="00000017">
      <w:pPr>
        <w:spacing w:line="360" w:lineRule="auto"/>
        <w:rPr>
          <w:rFonts w:ascii="Arial" w:cs="Arial" w:eastAsia="Arial" w:hAnsi="Arial"/>
          <w:sz w:val="28"/>
          <w:szCs w:val="28"/>
        </w:rPr>
      </w:pPr>
      <w:r w:rsidDel="00000000" w:rsidR="00000000" w:rsidRPr="00000000">
        <w:rPr>
          <w:sz w:val="28"/>
          <w:szCs w:val="28"/>
          <w:rtl w:val="0"/>
        </w:rPr>
        <w:t xml:space="preserve"> </w:t>
      </w:r>
      <w:r w:rsidDel="00000000" w:rsidR="00000000" w:rsidRPr="00000000">
        <w:rPr>
          <w:rFonts w:ascii="Arial" w:cs="Arial" w:eastAsia="Arial" w:hAnsi="Arial"/>
          <w:sz w:val="28"/>
          <w:szCs w:val="28"/>
          <w:rtl w:val="0"/>
        </w:rPr>
        <w:t xml:space="preserve">2. Importance of effective communication        ………………..       3</w:t>
      </w:r>
    </w:p>
    <w:p w:rsidR="00000000" w:rsidDel="00000000" w:rsidP="00000000" w:rsidRDefault="00000000" w:rsidRPr="00000000" w14:paraId="00000018">
      <w:pPr>
        <w:pStyle w:val="Heading1"/>
        <w:rPr>
          <w:b w:val="0"/>
          <w:bCs w:val="0"/>
          <w:sz w:val="28"/>
          <w:szCs w:val="28"/>
        </w:rPr>
      </w:pPr>
      <w:bookmarkStart w:colFirst="0" w:colLast="0" w:name="_90no9qlpb82v" w:id="0"/>
      <w:bookmarkEnd w:id="0"/>
      <w:r w:rsidDel="00000000" w:rsidR="00000000" w:rsidRPr="00000000">
        <w:rPr>
          <w:b w:val="0"/>
          <w:bCs w:val="0"/>
          <w:sz w:val="28"/>
          <w:szCs w:val="28"/>
          <w:rtl w:val="0"/>
        </w:rPr>
        <w:t xml:space="preserve"> 3. Importance of good administrative skills       ……………….       4   </w:t>
      </w:r>
    </w:p>
    <w:p w:rsidR="00000000" w:rsidDel="00000000" w:rsidP="00000000" w:rsidRDefault="00000000" w:rsidRPr="00000000" w14:paraId="00000019">
      <w:pPr>
        <w:pStyle w:val="Heading1"/>
        <w:rPr>
          <w:b w:val="0"/>
          <w:bCs w:val="0"/>
          <w:sz w:val="28"/>
          <w:szCs w:val="28"/>
        </w:rPr>
      </w:pPr>
      <w:bookmarkStart w:colFirst="0" w:colLast="0" w:name="_89jkiapua9dt" w:id="1"/>
      <w:bookmarkEnd w:id="1"/>
      <w:r w:rsidDel="00000000" w:rsidR="00000000" w:rsidRPr="00000000">
        <w:rPr>
          <w:b w:val="0"/>
          <w:bCs w:val="0"/>
          <w:sz w:val="28"/>
          <w:szCs w:val="28"/>
          <w:rtl w:val="0"/>
        </w:rPr>
        <w:t xml:space="preserve"> 4. Importance of working collaboratively           ……………….       5</w:t>
      </w:r>
    </w:p>
    <w:p w:rsidR="00000000" w:rsidDel="00000000" w:rsidP="00000000" w:rsidRDefault="00000000" w:rsidRPr="00000000" w14:paraId="0000001A">
      <w:pPr>
        <w:pStyle w:val="Heading1"/>
        <w:rPr>
          <w:b w:val="0"/>
          <w:bCs w:val="0"/>
        </w:rPr>
      </w:pPr>
      <w:bookmarkStart w:colFirst="0" w:colLast="0" w:name="_d2crilnm9y7e" w:id="2"/>
      <w:bookmarkEnd w:id="2"/>
      <w:r w:rsidDel="00000000" w:rsidR="00000000" w:rsidRPr="00000000">
        <w:rPr>
          <w:b w:val="0"/>
          <w:bCs w:val="0"/>
          <w:rtl w:val="0"/>
        </w:rPr>
        <w:t xml:space="preserve"> 5. Conclusion                                          ……………..      6</w:t>
      </w:r>
    </w:p>
    <w:p w:rsidR="00000000" w:rsidDel="00000000" w:rsidP="00000000" w:rsidRDefault="00000000" w:rsidRPr="00000000" w14:paraId="0000001B">
      <w:pPr>
        <w:pStyle w:val="Heading1"/>
        <w:rPr>
          <w:b w:val="0"/>
          <w:bCs w:val="0"/>
          <w:sz w:val="28"/>
          <w:szCs w:val="28"/>
        </w:rPr>
      </w:pPr>
      <w:bookmarkStart w:colFirst="0" w:colLast="0" w:name="_8fv69u6g0ta2" w:id="3"/>
      <w:bookmarkEnd w:id="3"/>
      <w:r w:rsidDel="00000000" w:rsidR="00000000" w:rsidRPr="00000000">
        <w:rPr>
          <w:b w:val="0"/>
          <w:bCs w:val="0"/>
          <w:sz w:val="28"/>
          <w:szCs w:val="28"/>
          <w:rtl w:val="0"/>
        </w:rPr>
        <w:t xml:space="preserve">  6. References                                                  ……………….        7</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spacing w:line="360" w:lineRule="auto"/>
        <w:rPr>
          <w:sz w:val="28"/>
          <w:szCs w:val="28"/>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1F">
      <w:pPr>
        <w:spacing w:line="360" w:lineRule="auto"/>
        <w:rPr>
          <w:sz w:val="22"/>
          <w:szCs w:val="22"/>
        </w:rPr>
      </w:pPr>
      <w:r w:rsidDel="00000000" w:rsidR="00000000" w:rsidRPr="00000000">
        <w:rPr>
          <w:rtl w:val="0"/>
        </w:rPr>
      </w:r>
    </w:p>
    <w:p w:rsidR="00000000" w:rsidDel="00000000" w:rsidP="00000000" w:rsidRDefault="00000000" w:rsidRPr="00000000" w14:paraId="00000020">
      <w:pPr>
        <w:spacing w:line="360" w:lineRule="auto"/>
        <w:rPr>
          <w:sz w:val="22"/>
          <w:szCs w:val="22"/>
        </w:rPr>
      </w:pPr>
      <w:r w:rsidDel="00000000" w:rsidR="00000000" w:rsidRPr="00000000">
        <w:rPr>
          <w:rtl w:val="0"/>
        </w:rPr>
      </w:r>
    </w:p>
    <w:p w:rsidR="00000000" w:rsidDel="00000000" w:rsidP="00000000" w:rsidRDefault="00000000" w:rsidRPr="00000000" w14:paraId="00000021">
      <w:pPr>
        <w:spacing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r w:rsidDel="00000000" w:rsidR="00000000" w:rsidRPr="00000000">
        <w:rPr>
          <w:rtl w:val="0"/>
        </w:rPr>
        <w:t xml:space="preserve">1. Introduction</w:t>
      </w:r>
    </w:p>
    <w:p w:rsidR="00000000" w:rsidDel="00000000" w:rsidP="00000000" w:rsidRDefault="00000000" w:rsidRPr="00000000" w14:paraId="00000023">
      <w:pPr>
        <w:pStyle w:val="Heading1"/>
        <w:jc w:val="both"/>
        <w:rPr>
          <w:sz w:val="22"/>
          <w:szCs w:val="22"/>
        </w:rPr>
      </w:pPr>
      <w:r w:rsidDel="00000000" w:rsidR="00000000" w:rsidRPr="00000000">
        <w:rPr>
          <w:rFonts w:ascii="Arial" w:cs="Arial" w:eastAsia="Arial" w:hAnsi="Arial"/>
          <w:b w:val="0"/>
          <w:bCs w:val="0"/>
          <w:sz w:val="22"/>
          <w:szCs w:val="22"/>
          <w:rtl w:val="0"/>
        </w:rPr>
        <w:t xml:space="preserve">This report examines the treatment of Mr. Ahmed, a 68-year-old man suffering from a stroke and getting domiciliary care after being released from the hospital. In addition to his wife's assistance, he receives care from a number of specialists, including a general practitioner (GP), district nurse, speech and language therapist, and domiciliary care workers. In addition to a recent missed care visit that caused medicine to be delayed, Mr. Ahmed's situation poses a number of difficulties, such as communication problems brought on by language barriers and stroke-related impairments. These elements emphasise how crucial good communication, solid administrative abilities, and teamwork are to providing safe, person-centred care. Using pertinent laws like the Data Protection Act of 2018 and the Equality Act of 2010, as well as theoretical frameworks like Berlo's (1960) communication model and important health and social care policy frameworks, this paper will thoroughly examine these three issues</w:t>
      </w:r>
      <w:r w:rsidDel="00000000" w:rsidR="00000000" w:rsidRPr="00000000">
        <w:rPr>
          <w:rtl w:val="0"/>
        </w:rPr>
      </w:r>
    </w:p>
    <w:p w:rsidR="00000000" w:rsidDel="00000000" w:rsidP="00000000" w:rsidRDefault="00000000" w:rsidRPr="00000000" w14:paraId="00000024">
      <w:pPr>
        <w:pStyle w:val="Heading1"/>
        <w:rPr/>
      </w:pPr>
      <w:r w:rsidDel="00000000" w:rsidR="00000000" w:rsidRPr="00000000">
        <w:rPr>
          <w:rtl w:val="0"/>
        </w:rPr>
        <w:t xml:space="preserve">2. Importance of effective communication</w:t>
      </w: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fields of health and social care, effective communication is crucial because it fosters patient involvement, safe practices, and favourable health outcomes. Since Bengali is Mr. Ahmed's primary language and his stroke may have impacted his speech and comprehension, communication is especially crucial. These elements raise the possibility of miscommunication, misunderstanding, and less participation in his own care. A helpful framework for analysing communication processes is the Berlo (1960) Model of Communication. Source, Message, Channel, and Receiver (SMCR) are the four parts of the model. Healthcare providers serve as the "source" in Mr. Ahmed's care, providing information on treatment and care, while Mr. Ahmed serves as the "receiver." A number of variables, including communication abilities, knowledge, attitudes, and cultural background, affect how effective this procedure is. Mr. Ahmed may receive and interpret communications differently due to his weak English skills and potential cognitive impairment.</w:t>
      </w:r>
    </w:p>
    <w:p w:rsidR="00000000" w:rsidDel="00000000" w:rsidP="00000000" w:rsidRDefault="00000000" w:rsidRPr="00000000" w14:paraId="0000002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"message" needs to be designed for Mr. Ahmed in order to enhance communication. This entails speaking simply, staying away from medical jargon, and dividing information into digestible parts. Additionally, the "channel" of communication needs to be chosen wisely. In this situation, visual aids, nonverbal communication, and Bengali-translated literature can improve comprehension. Since depending just on family members could result in errors and jeopardise confidentiality, using qualified interpreters is seen as best practice (NHS England, 2019).A key factor in guaranteeing efficient communication is the Equality Act of 2010. It shields people from prejudice on the basis of traits like race and disability (UK Government, 2010). To guarantee equal access to care, Mr. Ahmed's linguistic difficulties and stroke-related disabilities call for appropriate accommodations.This means offering interpreting services and modifying communication techniques to match his requirements.</w:t>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It's also critical to communicate with family members. Professionals must make sure that Mr. Ahmed continues to be at the center of decision-making, even while his wife is crucial in facilitating communication. Before disclosing personal information, consent must be acquired, and attempts should be taken to include him directly in conversations regarding his care. Empathy and attentive listening are also crucial. Professionals should give Mr. Ahmed enough time to answer, refrain from interjecting, and pay attention to any nonverbal clues that might point to discomfort or uncertainty. Communication and trust are further improved by honouring cultural peculiarities, such as dietary requirements or personal hygiene routines.</w:t>
      </w:r>
    </w:p>
    <w:p w:rsidR="00000000" w:rsidDel="00000000" w:rsidP="00000000" w:rsidRDefault="00000000" w:rsidRPr="00000000" w14:paraId="0000002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Respect, dignity, and active listening are key components of person-centred communication. Healthcare workers should be patient, empathetic, and sensitive to cultural differences. They can foster trust and promote Mr. Ahmed's involvement in his care by doing this.In conclusion, cultural sensitivity, flexibility, and respect to legal frameworks are necessary for effective communication in Mr. Ahmed's situation. In order to provide safe and inclusive care, the Berlo model assists in identifying obstacles and enhancing communication techniques.To avoid mistakes and guarantee responsibility in Mr. Ahmed's care, accurate record keeping, adherence to data protection regulations, and effective organisational mechanisms are crucial.</w:t>
      </w:r>
    </w:p>
    <w:p w:rsidR="00000000" w:rsidDel="00000000" w:rsidP="00000000" w:rsidRDefault="00000000" w:rsidRPr="00000000" w14:paraId="00000029">
      <w:pPr>
        <w:pStyle w:val="Heading1"/>
        <w:rPr/>
      </w:pPr>
      <w:r w:rsidDel="00000000" w:rsidR="00000000" w:rsidRPr="00000000">
        <w:rPr>
          <w:rtl w:val="0"/>
        </w:rPr>
        <w:t xml:space="preserve">3. Importance of good administrative skills </w:t>
      </w:r>
    </w:p>
    <w:p w:rsidR="00000000" w:rsidDel="00000000" w:rsidP="00000000" w:rsidRDefault="00000000" w:rsidRPr="00000000" w14:paraId="0000002A">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provide safe, effective, and responsible healthcare practice, administrative abilities are essential. The missing domiciliary care visit that caused Mr. Ahmed's medication to be delayed serves as a reminder of the dangers of ineffective administrative procedures. Preventing such occurrences requires clear communication methods, reliable documentation, and efficient organization. An essential component of administrative practice is record keeping. Records must be precise, understandable, timely, and comprehensive, according to the Nursing and Midwifery Council (NMC, 2018). Records pertaining to Mr. Ahmed's care should contain information about visits, medication administration, correspondence with family members, and advice from medical specialists. Precise documentation guarantees continuity of care and empowers the interdisciplinary team to make well-informed decisions. </w:t>
      </w:r>
    </w:p>
    <w:p w:rsidR="00000000" w:rsidDel="00000000" w:rsidP="00000000" w:rsidRDefault="00000000" w:rsidRPr="00000000" w14:paraId="0000002B">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legal basis for managing personal data is provided by the Data Protection Act of 2018. Lawfulness, justice, flexibility, data minimisation, accuracy, storage limits, and security are among the fundamental principles it specifies (ICO, 2018). In actuality, this means that Mr. Ahmed's medical and personal data must be safely kept and shared only with those who are permitted to be involved in his care. Paper records should be stored in safe places, and electronic data should be password-protected.  A key component of data protection is confidentiality. Professionals must get permission before disclosing sensitive material, even though Mr. Ahmed's wife is involved in his care. This guarantees adherence to ethical norms and respect for Mr. Ahmed's autonomy (Beauchamp and Childress, 2019).</w:t>
      </w:r>
    </w:p>
    <w:p w:rsidR="00000000" w:rsidDel="00000000" w:rsidP="00000000" w:rsidRDefault="00000000" w:rsidRPr="00000000" w14:paraId="0000002C">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Care Act of 2014 and other pertinent laws place a strong emphasis on accountability and safeguarding. The missed care visit can be regarded as a safeguarding issue that needs to be looked into. In order to determine the error's origin and put corrective measures in place, accurate documentation is crucial. Time management, organization, and the use of digital technology are further administrative abilities. Care organisations need to make sure that duties are communicated clearly and that staff schedules are efficiently managed. Systems for electronic care planning can increase productivity and decrease errors.Effective care service scheduling and coordination are more examples of administrative skills. The absence of the visit points to a problem with the care agency's scheduling or communication processes. Such mistakes can be avoided with the aid of reliable solutions like electronic rostering and alarm systems. To guarantee adherence to organisational principles and standards, regular audits and supervision are crucial.</w:t>
      </w:r>
    </w:p>
    <w:p w:rsidR="00000000" w:rsidDel="00000000" w:rsidP="00000000" w:rsidRDefault="00000000" w:rsidRPr="00000000" w14:paraId="0000002D">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crucial administrative task is incident reporting. To stop it from happening again, the missing visit needs to be officially recorded and examined. This is consistent with a culture that prioritises patient safety and ongoing progress (Reason, 2000). In conclusion, effective administrative procedures are necessary to guarantee high-quality, safe, and legal care. In Mr. Ahmed's case, they promote efficient communication, accountability, and continuity of care.</w:t>
      </w:r>
    </w:p>
    <w:p w:rsidR="00000000" w:rsidDel="00000000" w:rsidP="00000000" w:rsidRDefault="00000000" w:rsidRPr="00000000" w14:paraId="0000002E">
      <w:pPr>
        <w:pStyle w:val="Heading1"/>
        <w:rPr/>
      </w:pPr>
      <w:r w:rsidDel="00000000" w:rsidR="00000000" w:rsidRPr="00000000">
        <w:rPr>
          <w:rtl w:val="0"/>
        </w:rPr>
        <w:t xml:space="preserve">4. Importance of working collaboratively</w:t>
      </w:r>
    </w:p>
    <w:p w:rsidR="00000000" w:rsidDel="00000000" w:rsidP="00000000" w:rsidRDefault="00000000" w:rsidRPr="00000000" w14:paraId="0000002F">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provide coordinated and comprehensive care for those with complex needs like Mr. Ahmed, collaborative working is crucial. A general practitioner, a district nurse, a speech-language pathologist, and domiciliary care workers are among the various professionals involved in his care. Each professional will contribute their knowledge to a shared care plan if there is effective collaboration. Multidisciplinary team (MDT) work is one way to promote cooperation. Professionals can monitor progress and share information through regular meetings and shared care plans. Continuity of care is supported by efficient communication mechanisms including scheduled handovers and shared electronic records (Reeves et al., 2017).</w:t>
      </w:r>
    </w:p>
    <w:p w:rsidR="00000000" w:rsidDel="00000000" w:rsidP="00000000" w:rsidRDefault="00000000" w:rsidRPr="00000000" w14:paraId="00000030">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key component of collaborative practice should be person-centred care. This means honouring Mr. Ahmed's and his wife's choices and involving them in decision-making. Assigning a care coordinator helps guarantee accountability and enhance organization. However, communication breakdowns, ambiguous positions, and divergent professional viewpoints are obstacles in multi-agency collaboration. Poor coordination between the care agency and other specialists may be the reason for the missed care visit. Clearly defined roles, strong leadership, and respect for one another are necessary to overcome these obstacles. Interprofessional training, which improves comprehension of various jobs, and the use of structured communication tools like SBAR are strategies to increase collaboration. Regular feedback systems and conflict resolution techniques can also enhance teamwork.To sum up, teamwork improves the standard and security of care. Professionals may guarantee that Mr. Ahmed receives integrated and person-centred care by enhancing coordination and communication.In order to promote teamwork, leadership is essential. For Mr. Ahmed and his family, a designated care coordinator or key worker can guarantee continuity and serve as a primary point of contact.</w:t>
      </w:r>
    </w:p>
    <w:p w:rsidR="00000000" w:rsidDel="00000000" w:rsidP="00000000" w:rsidRDefault="00000000" w:rsidRPr="00000000" w14:paraId="00000031">
      <w:pPr>
        <w:pStyle w:val="Heading1"/>
        <w:rPr/>
      </w:pPr>
      <w:r w:rsidDel="00000000" w:rsidR="00000000" w:rsidRPr="00000000">
        <w:rPr>
          <w:rtl w:val="0"/>
        </w:rPr>
        <w:t xml:space="preserve">5. Conclusion </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summary, Mr. Ahmed's case emphasises the value of strong administrative abilities, good communication, and teamwork in the health and social care sectors. With the use of frameworks like the Berlo model and laws like the Equality Act 2010, communication must be modified to satisfy his language and cognitive demands. As evidenced by the missing care visit, administrative competence is crucial to ensuring safety and accountability, especially in record keeping and data protection. Additionally, a coordinated approach to care is made possible by the cooperation of diverse personnel, which improves Mr. Ahmed's results. Adherence to legal frameworks, continuous training, and productive teamwork are necessary to address issues including communication hurdles and system breakdowns. When combined, these components guarantee excellent, person-centred care that upholds each person's rights , dignity and</w:t>
      </w:r>
      <w:r w:rsidDel="00000000" w:rsidR="00000000" w:rsidRPr="00000000">
        <w:rPr>
          <w:rFonts w:ascii="Arial" w:cs="Arial" w:eastAsia="Arial" w:hAnsi="Arial"/>
          <w:sz w:val="22"/>
          <w:szCs w:val="22"/>
          <w:rtl w:val="0"/>
        </w:rPr>
        <w:t xml:space="preserve"> improve care quality, reduces risks, and improve outcomes for people like Mr. Ahmed by bolstering these crucial areas. Maintaining high standards of professional practice requires constant introspection and development.</w:t>
      </w:r>
      <w:r w:rsidDel="00000000" w:rsidR="00000000" w:rsidRPr="00000000">
        <w:rPr>
          <w:rtl w:val="0"/>
        </w:rPr>
      </w:r>
    </w:p>
    <w:p w:rsidR="00000000" w:rsidDel="00000000" w:rsidP="00000000" w:rsidRDefault="00000000" w:rsidRPr="00000000" w14:paraId="00000033">
      <w:pPr>
        <w:tabs>
          <w:tab w:val="left" w:leader="none" w:pos="654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35">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36">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37">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r w:rsidDel="00000000" w:rsidR="00000000" w:rsidRPr="00000000">
        <w:rPr>
          <w:rtl w:val="0"/>
        </w:rPr>
        <w:t xml:space="preserve">References</w:t>
      </w:r>
    </w:p>
    <w:p w:rsidR="00000000" w:rsidDel="00000000" w:rsidP="00000000" w:rsidRDefault="00000000" w:rsidRPr="00000000" w14:paraId="0000003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Beauchamp, T.L. and Childress, J.F. (2019) </w:t>
      </w:r>
      <w:r w:rsidDel="00000000" w:rsidR="00000000" w:rsidRPr="00000000">
        <w:rPr>
          <w:rFonts w:ascii="Arial" w:cs="Arial" w:eastAsia="Arial" w:hAnsi="Arial"/>
          <w:i w:val="1"/>
          <w:iCs w:val="1"/>
          <w:sz w:val="22"/>
          <w:szCs w:val="22"/>
          <w:rtl w:val="0"/>
        </w:rPr>
        <w:t xml:space="preserve">Principles of Biomedical Ethics</w:t>
      </w:r>
      <w:r w:rsidDel="00000000" w:rsidR="00000000" w:rsidRPr="00000000">
        <w:rPr>
          <w:rFonts w:ascii="Arial" w:cs="Arial" w:eastAsia="Arial" w:hAnsi="Arial"/>
          <w:sz w:val="22"/>
          <w:szCs w:val="22"/>
          <w:rtl w:val="0"/>
        </w:rPr>
        <w:t xml:space="preserve">. 8th edn. Oxford: Oxford University Press.</w:t>
      </w:r>
    </w:p>
    <w:p w:rsidR="00000000" w:rsidDel="00000000" w:rsidP="00000000" w:rsidRDefault="00000000" w:rsidRPr="00000000" w14:paraId="0000003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Berlo, D.K. (1960) </w:t>
      </w:r>
      <w:r w:rsidDel="00000000" w:rsidR="00000000" w:rsidRPr="00000000">
        <w:rPr>
          <w:rFonts w:ascii="Arial" w:cs="Arial" w:eastAsia="Arial" w:hAnsi="Arial"/>
          <w:i w:val="1"/>
          <w:iCs w:val="1"/>
          <w:sz w:val="22"/>
          <w:szCs w:val="22"/>
          <w:rtl w:val="0"/>
        </w:rPr>
        <w:t xml:space="preserve">The Process of Communication</w:t>
      </w:r>
      <w:r w:rsidDel="00000000" w:rsidR="00000000" w:rsidRPr="00000000">
        <w:rPr>
          <w:rFonts w:ascii="Arial" w:cs="Arial" w:eastAsia="Arial" w:hAnsi="Arial"/>
          <w:sz w:val="22"/>
          <w:szCs w:val="22"/>
          <w:rtl w:val="0"/>
        </w:rPr>
        <w:t xml:space="preserve">. New York: Holt, Rinehart and Winston.</w:t>
      </w:r>
    </w:p>
    <w:p w:rsidR="00000000" w:rsidDel="00000000" w:rsidP="00000000" w:rsidRDefault="00000000" w:rsidRPr="00000000" w14:paraId="0000003B">
      <w:pPr>
        <w:spacing w:after="240" w:before="240" w:lineRule="auto"/>
        <w:rPr>
          <w:rFonts w:ascii="Arial" w:cs="Arial" w:eastAsia="Arial" w:hAnsi="Arial"/>
          <w:color w:val="1155cc"/>
          <w:sz w:val="22"/>
          <w:szCs w:val="22"/>
          <w:u w:val="single"/>
        </w:rPr>
      </w:pPr>
      <w:r w:rsidDel="00000000" w:rsidR="00000000" w:rsidRPr="00000000">
        <w:rPr>
          <w:rFonts w:ascii="Arial" w:cs="Arial" w:eastAsia="Arial" w:hAnsi="Arial"/>
          <w:sz w:val="22"/>
          <w:szCs w:val="22"/>
          <w:rtl w:val="0"/>
        </w:rPr>
        <w:t xml:space="preserve">Information Commissioner’s Office (ICO) (2018) </w:t>
      </w:r>
      <w:r w:rsidDel="00000000" w:rsidR="00000000" w:rsidRPr="00000000">
        <w:rPr>
          <w:rFonts w:ascii="Arial" w:cs="Arial" w:eastAsia="Arial" w:hAnsi="Arial"/>
          <w:i w:val="1"/>
          <w:iCs w:val="1"/>
          <w:sz w:val="22"/>
          <w:szCs w:val="22"/>
          <w:rtl w:val="0"/>
        </w:rPr>
        <w:t xml:space="preserve">Guide to the Data Protection Act 2018</w:t>
      </w:r>
      <w:r w:rsidDel="00000000" w:rsidR="00000000" w:rsidRPr="00000000">
        <w:rPr>
          <w:rFonts w:ascii="Arial" w:cs="Arial" w:eastAsia="Arial" w:hAnsi="Arial"/>
          <w:sz w:val="22"/>
          <w:szCs w:val="22"/>
          <w:rtl w:val="0"/>
        </w:rPr>
        <w:t xml:space="preserve">. Available at:</w:t>
      </w:r>
      <w:hyperlink r:id="rId7">
        <w:r w:rsidDel="00000000" w:rsidR="00000000" w:rsidRPr="00000000">
          <w:rPr>
            <w:rFonts w:ascii="Arial" w:cs="Arial" w:eastAsia="Arial" w:hAnsi="Arial"/>
            <w:sz w:val="22"/>
            <w:szCs w:val="22"/>
            <w:rtl w:val="0"/>
          </w:rPr>
          <w:t xml:space="preserve"> </w:t>
        </w:r>
      </w:hyperlink>
      <w:hyperlink r:id="rId8">
        <w:r w:rsidDel="00000000" w:rsidR="00000000" w:rsidRPr="00000000">
          <w:rPr>
            <w:rFonts w:ascii="Arial" w:cs="Arial" w:eastAsia="Arial" w:hAnsi="Arial"/>
            <w:color w:val="1155cc"/>
            <w:sz w:val="22"/>
            <w:szCs w:val="22"/>
            <w:u w:val="single"/>
            <w:rtl w:val="0"/>
          </w:rPr>
          <w:t xml:space="preserve">https://www.ico.org.uk</w:t>
        </w:r>
      </w:hyperlink>
      <w:r w:rsidDel="00000000" w:rsidR="00000000" w:rsidRPr="00000000">
        <w:rPr>
          <w:rtl w:val="0"/>
        </w:rPr>
      </w:r>
    </w:p>
    <w:p w:rsidR="00000000" w:rsidDel="00000000" w:rsidP="00000000" w:rsidRDefault="00000000" w:rsidRPr="00000000" w14:paraId="0000003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(2019) </w:t>
      </w:r>
      <w:r w:rsidDel="00000000" w:rsidR="00000000" w:rsidRPr="00000000">
        <w:rPr>
          <w:rFonts w:ascii="Arial" w:cs="Arial" w:eastAsia="Arial" w:hAnsi="Arial"/>
          <w:i w:val="1"/>
          <w:iCs w:val="1"/>
          <w:sz w:val="22"/>
          <w:szCs w:val="22"/>
          <w:rtl w:val="0"/>
        </w:rPr>
        <w:t xml:space="preserve">Accessible Information Standard</w:t>
      </w:r>
      <w:r w:rsidDel="00000000" w:rsidR="00000000" w:rsidRPr="00000000">
        <w:rPr>
          <w:rFonts w:ascii="Arial" w:cs="Arial" w:eastAsia="Arial" w:hAnsi="Arial"/>
          <w:sz w:val="22"/>
          <w:szCs w:val="22"/>
          <w:rtl w:val="0"/>
        </w:rPr>
        <w:t xml:space="preserve">. London: NHS England.</w:t>
      </w:r>
    </w:p>
    <w:p w:rsidR="00000000" w:rsidDel="00000000" w:rsidP="00000000" w:rsidRDefault="00000000" w:rsidRPr="00000000" w14:paraId="0000003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Nursing and Midwifery Council (NMC) (2018) </w:t>
      </w:r>
      <w:r w:rsidDel="00000000" w:rsidR="00000000" w:rsidRPr="00000000">
        <w:rPr>
          <w:rFonts w:ascii="Arial" w:cs="Arial" w:eastAsia="Arial" w:hAnsi="Arial"/>
          <w:i w:val="1"/>
          <w:iCs w:val="1"/>
          <w:sz w:val="22"/>
          <w:szCs w:val="22"/>
          <w:rtl w:val="0"/>
        </w:rPr>
        <w:t xml:space="preserve">The Code: Professional Standards of Practice and Behaviour for Nurses and Midwives</w:t>
      </w:r>
      <w:r w:rsidDel="00000000" w:rsidR="00000000" w:rsidRPr="00000000">
        <w:rPr>
          <w:rFonts w:ascii="Arial" w:cs="Arial" w:eastAsia="Arial" w:hAnsi="Arial"/>
          <w:sz w:val="22"/>
          <w:szCs w:val="22"/>
          <w:rtl w:val="0"/>
        </w:rPr>
        <w:t xml:space="preserve">. London: NMC.</w:t>
      </w:r>
    </w:p>
    <w:p w:rsidR="00000000" w:rsidDel="00000000" w:rsidP="00000000" w:rsidRDefault="00000000" w:rsidRPr="00000000" w14:paraId="0000003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Reason, J. (2000) ‘Human error: models and management’, </w:t>
      </w:r>
      <w:r w:rsidDel="00000000" w:rsidR="00000000" w:rsidRPr="00000000">
        <w:rPr>
          <w:rFonts w:ascii="Arial" w:cs="Arial" w:eastAsia="Arial" w:hAnsi="Arial"/>
          <w:i w:val="1"/>
          <w:iCs w:val="1"/>
          <w:sz w:val="22"/>
          <w:szCs w:val="22"/>
          <w:rtl w:val="0"/>
        </w:rPr>
        <w:t xml:space="preserve">BMJ</w:t>
      </w:r>
      <w:r w:rsidDel="00000000" w:rsidR="00000000" w:rsidRPr="00000000">
        <w:rPr>
          <w:rFonts w:ascii="Arial" w:cs="Arial" w:eastAsia="Arial" w:hAnsi="Arial"/>
          <w:sz w:val="22"/>
          <w:szCs w:val="22"/>
          <w:rtl w:val="0"/>
        </w:rPr>
        <w:t xml:space="preserve">, 320(7237), pp. 768–770.</w:t>
      </w:r>
    </w:p>
    <w:p w:rsidR="00000000" w:rsidDel="00000000" w:rsidP="00000000" w:rsidRDefault="00000000" w:rsidRPr="00000000" w14:paraId="0000003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Reeves, S., Lewin, S., Espin, S. and Zwarenstein, M. (2017) </w:t>
      </w:r>
      <w:r w:rsidDel="00000000" w:rsidR="00000000" w:rsidRPr="00000000">
        <w:rPr>
          <w:rFonts w:ascii="Arial" w:cs="Arial" w:eastAsia="Arial" w:hAnsi="Arial"/>
          <w:i w:val="1"/>
          <w:iCs w:val="1"/>
          <w:sz w:val="22"/>
          <w:szCs w:val="22"/>
          <w:rtl w:val="0"/>
        </w:rPr>
        <w:t xml:space="preserve">Interprofessional Teamwork for Health and Social Care</w:t>
      </w:r>
      <w:r w:rsidDel="00000000" w:rsidR="00000000" w:rsidRPr="00000000">
        <w:rPr>
          <w:rFonts w:ascii="Arial" w:cs="Arial" w:eastAsia="Arial" w:hAnsi="Arial"/>
          <w:sz w:val="22"/>
          <w:szCs w:val="22"/>
          <w:rtl w:val="0"/>
        </w:rPr>
        <w:t xml:space="preserve">. 2nd edn. Oxford: Wiley-Blackwell.</w:t>
      </w:r>
    </w:p>
    <w:p w:rsidR="00000000" w:rsidDel="00000000" w:rsidP="00000000" w:rsidRDefault="00000000" w:rsidRPr="00000000" w14:paraId="0000004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Royal College of Physicians (2016) </w:t>
      </w:r>
      <w:r w:rsidDel="00000000" w:rsidR="00000000" w:rsidRPr="00000000">
        <w:rPr>
          <w:rFonts w:ascii="Arial" w:cs="Arial" w:eastAsia="Arial" w:hAnsi="Arial"/>
          <w:i w:val="1"/>
          <w:iCs w:val="1"/>
          <w:sz w:val="22"/>
          <w:szCs w:val="22"/>
          <w:rtl w:val="0"/>
        </w:rPr>
        <w:t xml:space="preserve">National Clinical Guideline for Stroke</w:t>
      </w:r>
      <w:r w:rsidDel="00000000" w:rsidR="00000000" w:rsidRPr="00000000">
        <w:rPr>
          <w:rFonts w:ascii="Arial" w:cs="Arial" w:eastAsia="Arial" w:hAnsi="Arial"/>
          <w:sz w:val="22"/>
          <w:szCs w:val="22"/>
          <w:rtl w:val="0"/>
        </w:rPr>
        <w:t xml:space="preserve">. London: RCP.</w:t>
      </w:r>
    </w:p>
    <w:p w:rsidR="00000000" w:rsidDel="00000000" w:rsidP="00000000" w:rsidRDefault="00000000" w:rsidRPr="00000000" w14:paraId="0000004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Government (2010) </w:t>
      </w:r>
      <w:r w:rsidDel="00000000" w:rsidR="00000000" w:rsidRPr="00000000">
        <w:rPr>
          <w:rFonts w:ascii="Arial" w:cs="Arial" w:eastAsia="Arial" w:hAnsi="Arial"/>
          <w:i w:val="1"/>
          <w:iCs w:val="1"/>
          <w:sz w:val="22"/>
          <w:szCs w:val="22"/>
          <w:rtl w:val="0"/>
        </w:rPr>
        <w:t xml:space="preserve">Equality Act 2010</w:t>
      </w:r>
      <w:r w:rsidDel="00000000" w:rsidR="00000000" w:rsidRPr="00000000">
        <w:rPr>
          <w:rFonts w:ascii="Arial" w:cs="Arial" w:eastAsia="Arial" w:hAnsi="Arial"/>
          <w:sz w:val="22"/>
          <w:szCs w:val="22"/>
          <w:rtl w:val="0"/>
        </w:rPr>
        <w:t xml:space="preserve">. London: The Stationery Office.</w:t>
      </w:r>
    </w:p>
    <w:p w:rsidR="00000000" w:rsidDel="00000000" w:rsidP="00000000" w:rsidRDefault="00000000" w:rsidRPr="00000000" w14:paraId="0000004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 Act 2014. London: The Stationery Office.</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tabs>
          <w:tab w:val="left" w:leader="none" w:pos="6540"/>
        </w:tabs>
        <w:spacing w:line="360" w:lineRule="auto"/>
        <w:rPr>
          <w:sz w:val="22"/>
          <w:szCs w:val="22"/>
        </w:rPr>
      </w:pPr>
      <w:r w:rsidDel="00000000" w:rsidR="00000000" w:rsidRPr="00000000">
        <w:rPr>
          <w:rtl w:val="0"/>
        </w:rPr>
      </w:r>
    </w:p>
    <w:sectPr>
      <w:footerReference r:id="rId9"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i w:val="1"/>
      <w:iCs w:val="1"/>
      <w:color w:val="2f5496"/>
      <w:sz w:val="26"/>
      <w:szCs w:val="26"/>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ico.org.uk" TargetMode="External"/><Relationship Id="rId8" Type="http://schemas.openxmlformats.org/officeDocument/2006/relationships/hyperlink" Target="https://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