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1D529" w14:textId="77777777" w:rsidR="005E0C73" w:rsidRPr="00B12A3C" w:rsidRDefault="005E0C73" w:rsidP="00302A96">
      <w:pPr>
        <w:spacing w:after="0" w:line="360" w:lineRule="auto"/>
        <w:contextualSpacing/>
        <w:jc w:val="center"/>
      </w:pPr>
    </w:p>
    <w:p w14:paraId="097B2B96" w14:textId="77777777" w:rsidR="005E0C73" w:rsidRPr="00B12A3C" w:rsidRDefault="005E0C73" w:rsidP="00302A96">
      <w:pPr>
        <w:spacing w:after="0" w:line="360" w:lineRule="auto"/>
        <w:contextualSpacing/>
        <w:jc w:val="center"/>
      </w:pPr>
    </w:p>
    <w:p w14:paraId="5543DAFB" w14:textId="77777777" w:rsidR="005E0C73" w:rsidRPr="00B12A3C" w:rsidRDefault="005E0C73" w:rsidP="00302A96">
      <w:pPr>
        <w:spacing w:after="0" w:line="360" w:lineRule="auto"/>
        <w:contextualSpacing/>
        <w:jc w:val="center"/>
      </w:pPr>
    </w:p>
    <w:p w14:paraId="27349F95" w14:textId="77777777" w:rsidR="005E0C73" w:rsidRPr="00B12A3C" w:rsidRDefault="005E0C73" w:rsidP="00302A96">
      <w:pPr>
        <w:spacing w:after="0" w:line="360" w:lineRule="auto"/>
        <w:contextualSpacing/>
        <w:jc w:val="center"/>
      </w:pPr>
    </w:p>
    <w:p w14:paraId="28DAED26" w14:textId="77777777" w:rsidR="005E0C73" w:rsidRPr="00B12A3C" w:rsidRDefault="005E0C73" w:rsidP="00302A96">
      <w:pPr>
        <w:spacing w:after="0" w:line="360" w:lineRule="auto"/>
        <w:contextualSpacing/>
        <w:jc w:val="center"/>
      </w:pPr>
    </w:p>
    <w:p w14:paraId="71C8925C" w14:textId="77777777" w:rsidR="005E0C73" w:rsidRPr="00B12A3C" w:rsidRDefault="005E0C73" w:rsidP="00302A96">
      <w:pPr>
        <w:spacing w:after="0" w:line="360" w:lineRule="auto"/>
        <w:contextualSpacing/>
        <w:jc w:val="center"/>
      </w:pPr>
    </w:p>
    <w:p w14:paraId="07EDC02D" w14:textId="77777777" w:rsidR="0087493C" w:rsidRPr="00013329" w:rsidRDefault="00E619C7" w:rsidP="00302A96">
      <w:pPr>
        <w:spacing w:after="0" w:line="360" w:lineRule="auto"/>
        <w:contextualSpacing/>
        <w:jc w:val="center"/>
        <w:rPr>
          <w:b/>
          <w:bCs/>
        </w:rPr>
      </w:pPr>
      <w:r w:rsidRPr="00013329">
        <w:rPr>
          <w:b/>
          <w:bCs/>
        </w:rPr>
        <w:t>SWOT</w:t>
      </w:r>
      <w:r w:rsidR="00B12A3C" w:rsidRPr="00013329">
        <w:rPr>
          <w:b/>
          <w:bCs/>
        </w:rPr>
        <w:t xml:space="preserve"> Analysis on Harvard Referencing Skill</w:t>
      </w:r>
      <w:r w:rsidR="0087493C" w:rsidRPr="00013329">
        <w:rPr>
          <w:b/>
          <w:bCs/>
        </w:rPr>
        <w:t>s</w:t>
      </w:r>
    </w:p>
    <w:p w14:paraId="3574C903" w14:textId="77777777" w:rsidR="00412C52" w:rsidRPr="00013329" w:rsidRDefault="0087493C" w:rsidP="00302A96">
      <w:pPr>
        <w:spacing w:after="0" w:line="360" w:lineRule="auto"/>
        <w:contextualSpacing/>
        <w:jc w:val="center"/>
        <w:rPr>
          <w:b/>
          <w:bCs/>
        </w:rPr>
      </w:pPr>
      <w:r w:rsidRPr="00013329">
        <w:rPr>
          <w:b/>
          <w:bCs/>
        </w:rPr>
        <w:t>Student name</w:t>
      </w:r>
      <w:r w:rsidR="002E0ABD" w:rsidRPr="00013329">
        <w:rPr>
          <w:b/>
          <w:bCs/>
        </w:rPr>
        <w:t>: Denisa Rebova</w:t>
      </w:r>
    </w:p>
    <w:p w14:paraId="55486500" w14:textId="77777777" w:rsidR="005E40CB" w:rsidRPr="00013329" w:rsidRDefault="00412C52" w:rsidP="00302A96">
      <w:pPr>
        <w:spacing w:after="0" w:line="360" w:lineRule="auto"/>
        <w:contextualSpacing/>
        <w:jc w:val="center"/>
        <w:rPr>
          <w:b/>
          <w:bCs/>
        </w:rPr>
      </w:pPr>
      <w:r w:rsidRPr="00013329">
        <w:rPr>
          <w:b/>
          <w:bCs/>
        </w:rPr>
        <w:t>Student ID number:</w:t>
      </w:r>
      <w:r w:rsidR="002E2FDE" w:rsidRPr="00013329">
        <w:rPr>
          <w:b/>
          <w:bCs/>
        </w:rPr>
        <w:t xml:space="preserve"> 2327048</w:t>
      </w:r>
    </w:p>
    <w:p w14:paraId="48ABA5BC" w14:textId="2A38FCAC" w:rsidR="005E0C73" w:rsidRPr="0087493C" w:rsidRDefault="00133922" w:rsidP="00302A96">
      <w:pPr>
        <w:spacing w:after="0" w:line="360" w:lineRule="auto"/>
        <w:contextualSpacing/>
        <w:jc w:val="center"/>
        <w:rPr>
          <w:b/>
          <w:bCs/>
        </w:rPr>
      </w:pPr>
      <w:r w:rsidRPr="00013329">
        <w:rPr>
          <w:b/>
          <w:bCs/>
        </w:rPr>
        <w:t xml:space="preserve">Module: </w:t>
      </w:r>
      <w:r w:rsidR="007146EF" w:rsidRPr="00013329">
        <w:rPr>
          <w:b/>
          <w:bCs/>
        </w:rPr>
        <w:t xml:space="preserve">Personal, Academic and Professional Development </w:t>
      </w:r>
      <w:r w:rsidR="007146EF" w:rsidRPr="00013329">
        <w:rPr>
          <w:b/>
          <w:bCs/>
        </w:rPr>
        <w:t>(</w:t>
      </w:r>
      <w:r w:rsidR="00013329" w:rsidRPr="00013329">
        <w:rPr>
          <w:b/>
          <w:bCs/>
        </w:rPr>
        <w:t>BMNS4015</w:t>
      </w:r>
      <w:r w:rsidR="00013329" w:rsidRPr="00013329">
        <w:rPr>
          <w:b/>
          <w:bCs/>
        </w:rPr>
        <w:t>)</w:t>
      </w:r>
      <w:r w:rsidR="005E0C73" w:rsidRPr="00B12A3C">
        <w:br w:type="page"/>
      </w:r>
    </w:p>
    <w:p w14:paraId="7C0203DF" w14:textId="77777777" w:rsidR="00B12A3C" w:rsidRPr="00605008" w:rsidRDefault="00E619C7" w:rsidP="00302A96">
      <w:pPr>
        <w:spacing w:after="0" w:line="360" w:lineRule="auto"/>
        <w:contextualSpacing/>
        <w:jc w:val="center"/>
        <w:rPr>
          <w:b/>
          <w:bCs/>
        </w:rPr>
      </w:pPr>
      <w:r w:rsidRPr="00605008">
        <w:rPr>
          <w:b/>
          <w:bCs/>
        </w:rPr>
        <w:lastRenderedPageBreak/>
        <w:t>SWOT</w:t>
      </w:r>
      <w:r w:rsidR="00983C16" w:rsidRPr="00605008">
        <w:rPr>
          <w:b/>
          <w:bCs/>
        </w:rPr>
        <w:t xml:space="preserve"> Analysis o</w:t>
      </w:r>
      <w:r w:rsidR="00B12A3C" w:rsidRPr="00605008">
        <w:rPr>
          <w:b/>
          <w:bCs/>
        </w:rPr>
        <w:t>n Harvard Referencing Skills</w:t>
      </w:r>
    </w:p>
    <w:p w14:paraId="25575798" w14:textId="46E50177" w:rsidR="00D14632" w:rsidRPr="00D14632" w:rsidRDefault="00D14632" w:rsidP="00302A96">
      <w:pPr>
        <w:pStyle w:val="NormalWeb"/>
        <w:spacing w:before="0" w:beforeAutospacing="0" w:after="0" w:afterAutospacing="0" w:line="360" w:lineRule="auto"/>
        <w:ind w:firstLine="720"/>
        <w:contextualSpacing/>
      </w:pPr>
      <w:r w:rsidRPr="00D14632">
        <w:t>A SWOT analysis is an essential tool of planning, which is used to</w:t>
      </w:r>
      <w:r w:rsidR="007A3926">
        <w:t xml:space="preserve"> systematically </w:t>
      </w:r>
      <w:r w:rsidRPr="00D14632">
        <w:t>identify internal strengths and weaknesses as well as external opportunities and threats with res</w:t>
      </w:r>
      <w:r w:rsidR="007A3926">
        <w:t>pect to a certain goal</w:t>
      </w:r>
      <w:r w:rsidRPr="00D14632">
        <w:t>. In a university setting, such a self-assessment process enables a student to reflect critically on personal skills and weaknesses. This SWOT analysis will focus on addressing how the student applied the Harvard referencing skills, which were also developed and used during the PAPD module. Proper use of referencing is vital for academic success in higher education. It promotes academic honesty by giving credit to authors and researchers whose work is used as a study’s foundation. More so, this is a vital skill in upcoming health and social care practice in that professionals must locate evidence-based research, critically assess it, and effectively refer to such research to aid clinical decision-making and/or professional accountability.</w:t>
      </w:r>
    </w:p>
    <w:p w14:paraId="22C833F8" w14:textId="77777777" w:rsidR="00D14632" w:rsidRPr="00605008" w:rsidRDefault="00D14632" w:rsidP="00302A96">
      <w:pPr>
        <w:pStyle w:val="NormalWeb"/>
        <w:spacing w:before="0" w:beforeAutospacing="0" w:after="0" w:afterAutospacing="0" w:line="360" w:lineRule="auto"/>
        <w:contextualSpacing/>
        <w:jc w:val="center"/>
        <w:rPr>
          <w:b/>
        </w:rPr>
      </w:pPr>
      <w:r w:rsidRPr="00605008">
        <w:rPr>
          <w:b/>
        </w:rPr>
        <w:t>Strengths in Harvard Referencing</w:t>
      </w:r>
    </w:p>
    <w:p w14:paraId="757E6B16" w14:textId="49730FE0" w:rsidR="00D14632" w:rsidRPr="00D14632" w:rsidRDefault="00D14632" w:rsidP="00302A96">
      <w:pPr>
        <w:pStyle w:val="NormalWeb"/>
        <w:spacing w:before="0" w:beforeAutospacing="0" w:after="0" w:afterAutospacing="0" w:line="360" w:lineRule="auto"/>
        <w:ind w:firstLine="720"/>
        <w:contextualSpacing/>
      </w:pPr>
      <w:r w:rsidRPr="00D14632">
        <w:t>One of the main personal strengths the student has shown in the use of the Harvard Referencing system is the ability to pay close attention to detail to create the necessary reference list. Divecha, Tullu, and Karande (2023) state that this underlying competency will guarantee that all the required bibliographic aspects are recorded and are well formatted in a logical way to reflect on the overall professionalism of academic texts. The student successfully used online institutional materials and reference guides to properly arrange the elements related to the author, the year, the title, and the source of information, even with complicated types of sources</w:t>
      </w:r>
      <w:r w:rsidR="007A3926">
        <w:t xml:space="preserve"> such</w:t>
      </w:r>
      <w:r w:rsidRPr="00D14632">
        <w:t xml:space="preserve"> as governmental documents and journal articles.</w:t>
      </w:r>
    </w:p>
    <w:p w14:paraId="0DDF1B77" w14:textId="1ABBACE1" w:rsidR="00D14632" w:rsidRPr="00D14632" w:rsidRDefault="007A3926" w:rsidP="00302A96">
      <w:pPr>
        <w:pStyle w:val="NormalWeb"/>
        <w:spacing w:before="0" w:beforeAutospacing="0" w:after="0" w:afterAutospacing="0" w:line="360" w:lineRule="auto"/>
        <w:ind w:firstLine="720"/>
        <w:contextualSpacing/>
      </w:pPr>
      <w:r>
        <w:t xml:space="preserve">When using the PAPD module, </w:t>
      </w:r>
      <w:r w:rsidR="00D14632" w:rsidRPr="00D14632">
        <w:t xml:space="preserve">the student was successful in completing the Module 1 Bibliography Exercise, </w:t>
      </w:r>
      <w:r>
        <w:t>where</w:t>
      </w:r>
      <w:r w:rsidR="00D14632" w:rsidRPr="00D14632">
        <w:t xml:space="preserve"> the student formatted citations correctly when dealing with different sources and, therefore, received a perfect score. This competence </w:t>
      </w:r>
      <w:r>
        <w:t>shows</w:t>
      </w:r>
      <w:r w:rsidR="00D14632" w:rsidRPr="00D14632">
        <w:t xml:space="preserve"> that the student is systematic and meticulous in taking up academic tasks, which, according to Muzata and Banja (2020), is one of the essential elements of effective self-regulated learning (SRL). By being self-regulated, as Nejati (2024) claims, students are confident in their approach to learning, practise diligence, and are defined by their systematic application of learning strategy and keeping track of their performance.</w:t>
      </w:r>
    </w:p>
    <w:p w14:paraId="432D4A12" w14:textId="722D365F" w:rsidR="00D14632" w:rsidRPr="00D14632" w:rsidRDefault="007A3926" w:rsidP="00302A96">
      <w:pPr>
        <w:pStyle w:val="NormalWeb"/>
        <w:spacing w:before="0" w:beforeAutospacing="0" w:after="0" w:afterAutospacing="0" w:line="360" w:lineRule="auto"/>
        <w:ind w:firstLine="720"/>
        <w:contextualSpacing/>
      </w:pPr>
      <w:r>
        <w:t xml:space="preserve">Another strength was that the student made sure </w:t>
      </w:r>
      <w:r w:rsidR="00D14632" w:rsidRPr="00D14632">
        <w:t xml:space="preserve">that in-text citations and the reference list are consistent. This cross-checking practice </w:t>
      </w:r>
      <w:r w:rsidR="009E2624">
        <w:t>helps</w:t>
      </w:r>
      <w:r>
        <w:t xml:space="preserve"> the reader</w:t>
      </w:r>
      <w:r w:rsidR="00D14632" w:rsidRPr="00D14632">
        <w:t xml:space="preserve"> to find the original source of any </w:t>
      </w:r>
      <w:r w:rsidR="00D14632" w:rsidRPr="00D14632">
        <w:lastRenderedPageBreak/>
        <w:t>idea or claim presented easily. Such a belief in checking and correctness is crucial because, according to Aveyard (2023), referencing is the recognition of information sources; not referencing correctly, or at all, is one of the most frequent factors that make students suffer punishment due to poor academic conduct. Through continuous use of proper citation styles, the student exhibits a good level of academic honesty, which is a vital responsibility in future practice that requires professional competence.</w:t>
      </w:r>
    </w:p>
    <w:p w14:paraId="3B7F63F7" w14:textId="77777777" w:rsidR="00D14632" w:rsidRPr="00605008" w:rsidRDefault="00D14632" w:rsidP="00302A96">
      <w:pPr>
        <w:pStyle w:val="NormalWeb"/>
        <w:spacing w:before="0" w:beforeAutospacing="0" w:after="0" w:afterAutospacing="0" w:line="360" w:lineRule="auto"/>
        <w:contextualSpacing/>
        <w:jc w:val="center"/>
        <w:rPr>
          <w:b/>
        </w:rPr>
      </w:pPr>
      <w:r w:rsidRPr="00605008">
        <w:rPr>
          <w:b/>
        </w:rPr>
        <w:t>Weaknesses (W) in Harvard Referencing</w:t>
      </w:r>
    </w:p>
    <w:p w14:paraId="212AC2E3" w14:textId="750C9D4E" w:rsidR="00D14632" w:rsidRPr="00D14632" w:rsidRDefault="00D14632" w:rsidP="00302A96">
      <w:pPr>
        <w:pStyle w:val="NormalWeb"/>
        <w:spacing w:before="0" w:beforeAutospacing="0" w:after="0" w:afterAutospacing="0" w:line="360" w:lineRule="auto"/>
        <w:ind w:firstLine="720"/>
        <w:contextualSpacing/>
      </w:pPr>
      <w:r w:rsidRPr="00D14632">
        <w:t>One of the weaknesses that the student has identified is the inconsistency in applying the rules that govern in-text citation of the source with more than one author. Alth</w:t>
      </w:r>
      <w:r w:rsidR="009B0387">
        <w:t>ough the student frequently used single</w:t>
      </w:r>
      <w:r w:rsidRPr="00D14632">
        <w:t xml:space="preserve"> and two-author reference types, the use of "et al." to refer to three or more authors is often ignored, which leads to excessive and disruptive in-text citations (Abbadia, 2023). As an example, during a recent reflective activity in the PAPD unit, the student incorrectly made </w:t>
      </w:r>
      <w:r w:rsidR="00C42214" w:rsidRPr="00D14632">
        <w:t>five</w:t>
      </w:r>
      <w:r w:rsidRPr="00D14632">
        <w:t xml:space="preserve"> separate references to a public health journal article (instead of condensing the reference to just the lead author and then et al., and the year).</w:t>
      </w:r>
    </w:p>
    <w:p w14:paraId="0083553C" w14:textId="77777777" w:rsidR="00D14632" w:rsidRPr="00D14632" w:rsidRDefault="00D14632" w:rsidP="00302A96">
      <w:pPr>
        <w:pStyle w:val="NormalWeb"/>
        <w:spacing w:before="0" w:beforeAutospacing="0" w:after="0" w:afterAutospacing="0" w:line="360" w:lineRule="auto"/>
        <w:ind w:firstLine="720"/>
        <w:contextualSpacing/>
      </w:pPr>
      <w:r w:rsidRPr="00D14632">
        <w:t>This particular challenge is aggravated by the fact that there is a difference between paraphrased and direct quotation citations, since students occasionally do not provide the page or paragraph number of paraphrased content. According to Pears and Shields (2025), precision is the main goal of referencing, and when it is omitted, even in paraphrased ideas, it may cause confusion about the point of the initial argument in a large text. A haphazard approach to referencing will be regarded as sloppy and will be a blow to the quality of the work in general.</w:t>
      </w:r>
    </w:p>
    <w:p w14:paraId="49699F4F" w14:textId="4BF1373B" w:rsidR="00D14632" w:rsidRPr="00D14632" w:rsidRDefault="00D14632" w:rsidP="00302A96">
      <w:pPr>
        <w:pStyle w:val="NormalWeb"/>
        <w:spacing w:before="0" w:beforeAutospacing="0" w:after="0" w:afterAutospacing="0" w:line="360" w:lineRule="auto"/>
        <w:ind w:firstLine="720"/>
        <w:contextualSpacing/>
      </w:pPr>
      <w:r w:rsidRPr="00D14632">
        <w:t xml:space="preserve">The root cause of this weakness is usually time management and haste towards the end of </w:t>
      </w:r>
      <w:r w:rsidR="009E2624" w:rsidRPr="00D14632">
        <w:t>writing and</w:t>
      </w:r>
      <w:r w:rsidRPr="00D14632">
        <w:t xml:space="preserve"> has resulted in excessive use of memory rather than the official style guide. This is one of the pitfalls of inexperienced researchers, as Blachnio et al. (2021) remark, stating that students are inclined to forget about the peculiarities of citation styles when they are under time pressure. Moreover, there is cognitive overload caused by the sheer amount of new information and concepts in Level 4 study in some cases, which affects the capacity to perform detail-oriented tasks, such as referencing accuracy. This observation is backed by Surbakti et al.'s (2024) study on the cognitive load theory, which proposes that when the demands on the working memory are overwhelming, then the acquisition and recall of complex procedural skills, including the accurate formatting of citations, will be impaired.</w:t>
      </w:r>
    </w:p>
    <w:p w14:paraId="74118299" w14:textId="77777777" w:rsidR="00D14632" w:rsidRPr="00605008" w:rsidRDefault="00D14632" w:rsidP="00302A96">
      <w:pPr>
        <w:pStyle w:val="NormalWeb"/>
        <w:spacing w:before="0" w:beforeAutospacing="0" w:after="0" w:afterAutospacing="0" w:line="360" w:lineRule="auto"/>
        <w:contextualSpacing/>
        <w:jc w:val="center"/>
        <w:rPr>
          <w:b/>
        </w:rPr>
      </w:pPr>
      <w:r w:rsidRPr="00605008">
        <w:rPr>
          <w:b/>
        </w:rPr>
        <w:t>Opportunities (O) for Referencing Improvement</w:t>
      </w:r>
    </w:p>
    <w:p w14:paraId="5ECC1846" w14:textId="77777777" w:rsidR="00D14632" w:rsidRPr="00D14632" w:rsidRDefault="00D14632" w:rsidP="00302A96">
      <w:pPr>
        <w:pStyle w:val="NormalWeb"/>
        <w:spacing w:before="0" w:beforeAutospacing="0" w:after="0" w:afterAutospacing="0" w:line="360" w:lineRule="auto"/>
        <w:ind w:firstLine="720"/>
        <w:contextualSpacing/>
      </w:pPr>
      <w:r w:rsidRPr="00D14632">
        <w:lastRenderedPageBreak/>
        <w:t>To be able to overcome the mentioned weaknesses of using in-text citation and to be able to guarantee the precision of referencing, the student can count on a variety of formal opportunities to be developed. One of the main opportunities is the use of the academic skills workshops of the university library and study support services. According to Dawe et al. (2021), such workshops commonly offer specific, practical training on particular rules of citation, e.g., how to handle multiple authors and the difference between the rules of paraphrasing and direct quotation in various referencing styles.</w:t>
      </w:r>
    </w:p>
    <w:p w14:paraId="56CC1676" w14:textId="77777777" w:rsidR="00D14632" w:rsidRPr="00D14632" w:rsidRDefault="00D14632" w:rsidP="00302A96">
      <w:pPr>
        <w:pStyle w:val="NormalWeb"/>
        <w:spacing w:before="0" w:beforeAutospacing="0" w:after="0" w:afterAutospacing="0" w:line="360" w:lineRule="auto"/>
        <w:ind w:firstLine="720"/>
        <w:contextualSpacing/>
      </w:pPr>
      <w:r w:rsidRPr="00D14632">
        <w:t>The regular use of reference software such as Mendeley or Zotero is also a major opportunity that can be exploited by the student. Although the student now tries to apply it to formatting citations on his or her own, these tools can provide both in-text citation and reference list generation as well (Rangaswamy and Babu, 2021). This automation helps to overcome the inability of humans to resist errors, especially with deadlines, giving the student more mental energy to work on the informative part of the assignment instead of the mechanics of formatting. Wadasinghe (2025) states that citation management software can save many errors in referencing and can make the academic writing process of all students much more efficient.</w:t>
      </w:r>
    </w:p>
    <w:p w14:paraId="6E868F52" w14:textId="28E3034A" w:rsidR="00D14632" w:rsidRPr="00D14632" w:rsidRDefault="00D14632" w:rsidP="00302A96">
      <w:pPr>
        <w:pStyle w:val="NormalWeb"/>
        <w:spacing w:before="0" w:beforeAutospacing="0" w:after="0" w:afterAutospacing="0" w:line="360" w:lineRule="auto"/>
        <w:ind w:firstLine="720"/>
        <w:contextualSpacing/>
      </w:pPr>
      <w:r w:rsidRPr="00D14632">
        <w:t xml:space="preserve">Another crucial opportunity is the proactive involvement of the module feedback and academic tutors. The student, instead of considering feedback as a final mark, can select written comments about referencing errors in the PAPD module as a particular action-oriented approach that will guide improvement. Requesting the lecturer to have a one-on-one session will help the student to have clarity on the specificities of multiple-author citation and get individual tips on how to apply the selected style. Jwa (2024) </w:t>
      </w:r>
      <w:r w:rsidR="00605008" w:rsidRPr="00D14632">
        <w:t>emphasizes</w:t>
      </w:r>
      <w:r w:rsidRPr="00D14632">
        <w:t xml:space="preserve"> that feedback dialogue will increase the awareness among the students regarding the learning deficits and convert the weaknesses into self-regulated learning objectives.</w:t>
      </w:r>
    </w:p>
    <w:p w14:paraId="3B35308E" w14:textId="77777777" w:rsidR="00D14632" w:rsidRPr="00605008" w:rsidRDefault="00D14632" w:rsidP="00302A96">
      <w:pPr>
        <w:pStyle w:val="NormalWeb"/>
        <w:spacing w:before="0" w:beforeAutospacing="0" w:after="0" w:afterAutospacing="0" w:line="360" w:lineRule="auto"/>
        <w:contextualSpacing/>
        <w:jc w:val="center"/>
        <w:rPr>
          <w:b/>
        </w:rPr>
      </w:pPr>
      <w:r w:rsidRPr="00605008">
        <w:rPr>
          <w:b/>
        </w:rPr>
        <w:t>Threats (T) to Referencing Proficiency</w:t>
      </w:r>
    </w:p>
    <w:p w14:paraId="0294837E" w14:textId="6CB6388C" w:rsidR="00D14632" w:rsidRPr="00D14632" w:rsidRDefault="00D14632" w:rsidP="00302A96">
      <w:pPr>
        <w:pStyle w:val="NormalWeb"/>
        <w:spacing w:before="0" w:beforeAutospacing="0" w:after="0" w:afterAutospacing="0" w:line="360" w:lineRule="auto"/>
        <w:ind w:firstLine="720"/>
        <w:contextualSpacing/>
      </w:pPr>
      <w:r w:rsidRPr="00D14632">
        <w:t xml:space="preserve">One of the major internal threats that can hinder the effective implementation of Harvard Reference skills is the difficulty of balancing priorities and overwhelming workloads in other Level 4 modules. Although the student is competent when fully concentrating, the requirements of the Cert HE Healthcare Practice </w:t>
      </w:r>
      <w:r w:rsidR="00605008" w:rsidRPr="00D14632">
        <w:t>program</w:t>
      </w:r>
      <w:r w:rsidRPr="00D14632">
        <w:t xml:space="preserve">, which involves balancing between theoretical studies and early placement preparation, may cause time management difficulties to become an outside force that can be demonstrated as an internal threat to precision (Hashemiparast, Negarandeh, and Theofanidis 2020). This menace directly affects academic achievement by </w:t>
      </w:r>
      <w:r w:rsidRPr="00D14632">
        <w:lastRenderedPageBreak/>
        <w:t>raising the chances of facing academic penalties. Argyriou, Benamar, and Nikolajeva (2022) posit that the anxiety level and time constraints are the factors that tend to result in mechanical errors in writing, and so, referencing, which becomes tedious and time-consuming.</w:t>
      </w:r>
    </w:p>
    <w:p w14:paraId="16852C54" w14:textId="77777777" w:rsidR="00D14632" w:rsidRPr="00D14632" w:rsidRDefault="00D14632" w:rsidP="00302A96">
      <w:pPr>
        <w:pStyle w:val="NormalWeb"/>
        <w:spacing w:before="0" w:beforeAutospacing="0" w:after="0" w:afterAutospacing="0" w:line="360" w:lineRule="auto"/>
        <w:ind w:firstLine="720"/>
        <w:contextualSpacing/>
      </w:pPr>
      <w:r w:rsidRPr="00D14632">
        <w:t>The second external threat is the fast-changing environment of academic publishing and online sourcing. The system used by the student to format citations manually implies that they are very vulnerable to any errors that may occur whenever they are citing non-standard sources, which include podcasts, industry reports, specialised reports, or dynamic web content—sources that are becoming more relevant in the modern health and social care practice. Without the style guide of the university being updated instantly to address all new formats, the student can end up with guesswork, which is a significant threat. According to Ahsan, Akbar, and Kam (2021), the absence of readability in the source attribution provisions, especially for grey literature, presents a condition where unintentional acts of academic dishonesty are more probable and thus imposes a risk to the student's academic integrity.</w:t>
      </w:r>
    </w:p>
    <w:p w14:paraId="0E0244CC" w14:textId="77777777" w:rsidR="00D14632" w:rsidRPr="00B029F8" w:rsidRDefault="00D14632" w:rsidP="00302A96">
      <w:pPr>
        <w:pStyle w:val="NormalWeb"/>
        <w:spacing w:before="0" w:beforeAutospacing="0" w:after="0" w:afterAutospacing="0" w:line="360" w:lineRule="auto"/>
        <w:contextualSpacing/>
        <w:jc w:val="center"/>
        <w:rPr>
          <w:b/>
        </w:rPr>
      </w:pPr>
      <w:r w:rsidRPr="00B029F8">
        <w:rPr>
          <w:b/>
        </w:rPr>
        <w:t>Conclusion</w:t>
      </w:r>
    </w:p>
    <w:p w14:paraId="1DCF574B" w14:textId="41443535" w:rsidR="00B12A3C" w:rsidRPr="00B12A3C" w:rsidRDefault="00D14632" w:rsidP="00302A96">
      <w:pPr>
        <w:pStyle w:val="NormalWeb"/>
        <w:spacing w:before="0" w:beforeAutospacing="0" w:after="0" w:afterAutospacing="0" w:line="360" w:lineRule="auto"/>
        <w:ind w:firstLine="720"/>
        <w:contextualSpacing/>
      </w:pPr>
      <w:r w:rsidRPr="00D14632">
        <w:t>SWOT analysis is a very important planning tool that is applied to identify the internal strengths and weaknesses and external opportunities and threats in a given location in an organised manner. The analysis will be done on how the student applied Harvard Referencing skills acquired in the Personal, Academic, and Professional Development (PAPD) module. Effective referencing is one of the most important elements of academic achievement and future professional responsibility as a health and social care practitioner, as it leads to evidence-based decision-making.</w:t>
      </w:r>
    </w:p>
    <w:p w14:paraId="36549158" w14:textId="77777777" w:rsidR="00536466" w:rsidRPr="00B12A3C" w:rsidRDefault="00536466" w:rsidP="00302A96">
      <w:pPr>
        <w:spacing w:after="0" w:line="360" w:lineRule="auto"/>
        <w:contextualSpacing/>
      </w:pPr>
      <w:r w:rsidRPr="00B12A3C">
        <w:br w:type="page"/>
      </w:r>
    </w:p>
    <w:p w14:paraId="6558A02D" w14:textId="77777777" w:rsidR="00B12A3C" w:rsidRPr="00B029F8" w:rsidRDefault="00536466" w:rsidP="00302A96">
      <w:pPr>
        <w:spacing w:after="0" w:line="360" w:lineRule="auto"/>
        <w:contextualSpacing/>
        <w:jc w:val="center"/>
        <w:rPr>
          <w:b/>
          <w:bCs/>
        </w:rPr>
      </w:pPr>
      <w:r w:rsidRPr="00B029F8">
        <w:rPr>
          <w:b/>
          <w:bCs/>
        </w:rPr>
        <w:lastRenderedPageBreak/>
        <w:t>Reference</w:t>
      </w:r>
      <w:r w:rsidR="00B12A3C" w:rsidRPr="00B029F8">
        <w:rPr>
          <w:b/>
          <w:bCs/>
        </w:rPr>
        <w:t>s</w:t>
      </w:r>
      <w:r w:rsidRPr="00B029F8">
        <w:rPr>
          <w:b/>
          <w:bCs/>
        </w:rPr>
        <w:t xml:space="preserve"> List</w:t>
      </w:r>
    </w:p>
    <w:p w14:paraId="0E3E49CD" w14:textId="77777777" w:rsidR="00DE35C8" w:rsidRDefault="00DE35C8" w:rsidP="00302A96">
      <w:pPr>
        <w:pStyle w:val="NormalWeb"/>
        <w:spacing w:before="0" w:beforeAutospacing="0" w:after="0" w:afterAutospacing="0" w:line="360" w:lineRule="auto"/>
        <w:ind w:left="720" w:hanging="720"/>
        <w:contextualSpacing/>
      </w:pPr>
      <w:r>
        <w:t xml:space="preserve">Abbadia, J., 2023 'How to use et al. effectively in your research paper,' </w:t>
      </w:r>
      <w:r>
        <w:rPr>
          <w:rStyle w:val="Emphasis"/>
        </w:rPr>
        <w:t>Mind the Graph Blog</w:t>
      </w:r>
      <w:r>
        <w:t xml:space="preserve">, 21 September. </w:t>
      </w:r>
      <w:hyperlink r:id="rId7" w:tgtFrame="_blank" w:history="1">
        <w:r>
          <w:rPr>
            <w:rStyle w:val="Hyperlink"/>
          </w:rPr>
          <w:t>https://mindthegraph.com/blog/how-to-use-et-al/</w:t>
        </w:r>
      </w:hyperlink>
    </w:p>
    <w:p w14:paraId="06A1F034" w14:textId="77777777" w:rsidR="00DE35C8" w:rsidRDefault="00DE35C8" w:rsidP="00302A96">
      <w:pPr>
        <w:pStyle w:val="NormalWeb"/>
        <w:spacing w:before="0" w:beforeAutospacing="0" w:after="0" w:afterAutospacing="0" w:line="360" w:lineRule="auto"/>
        <w:ind w:left="720" w:hanging="720"/>
        <w:contextualSpacing/>
      </w:pPr>
      <w:r>
        <w:t xml:space="preserve">Ahsan, K., Akbar, S., and Kam, B., 2021. 'Contract cheating in higher education: a systematic literature review and future research agenda,' </w:t>
      </w:r>
      <w:r>
        <w:rPr>
          <w:rStyle w:val="Emphasis"/>
        </w:rPr>
        <w:t>Assessment &amp; Evaluation in Higher Education</w:t>
      </w:r>
      <w:r>
        <w:t xml:space="preserve">, 47(4), pp. 523–539. </w:t>
      </w:r>
      <w:hyperlink r:id="rId8" w:tgtFrame="_blank" w:history="1">
        <w:r>
          <w:rPr>
            <w:rStyle w:val="Hyperlink"/>
          </w:rPr>
          <w:t>https://doi.org/10.1080/02602938.2021.1931660</w:t>
        </w:r>
      </w:hyperlink>
      <w:r>
        <w:t>.</w:t>
      </w:r>
    </w:p>
    <w:p w14:paraId="0D88AD3F" w14:textId="77777777" w:rsidR="00DE35C8" w:rsidRDefault="00DE35C8" w:rsidP="00302A96">
      <w:pPr>
        <w:pStyle w:val="NormalWeb"/>
        <w:spacing w:before="0" w:beforeAutospacing="0" w:after="0" w:afterAutospacing="0" w:line="360" w:lineRule="auto"/>
        <w:ind w:left="720" w:hanging="720"/>
        <w:contextualSpacing/>
      </w:pPr>
      <w:r>
        <w:t xml:space="preserve">Argyriou, P., Benamar, K., and Nikolajeva, M., 2022. 'What to blend? Exploring the relationship between student engagement and academic achievement via a blended learning approach,' </w:t>
      </w:r>
      <w:r>
        <w:rPr>
          <w:rStyle w:val="Emphasis"/>
        </w:rPr>
        <w:t>Psychology Learning &amp; Teaching</w:t>
      </w:r>
      <w:r>
        <w:t xml:space="preserve">, 21(2), pp. 126–137. </w:t>
      </w:r>
      <w:hyperlink r:id="rId9" w:tgtFrame="_blank" w:history="1">
        <w:r>
          <w:rPr>
            <w:rStyle w:val="Hyperlink"/>
          </w:rPr>
          <w:t>https://doi.org/10.1177/14757257221091512</w:t>
        </w:r>
      </w:hyperlink>
    </w:p>
    <w:p w14:paraId="4F6AFFC2" w14:textId="77777777" w:rsidR="00DE35C8" w:rsidRDefault="00DE35C8" w:rsidP="00302A96">
      <w:pPr>
        <w:pStyle w:val="NormalWeb"/>
        <w:spacing w:before="0" w:beforeAutospacing="0" w:after="0" w:afterAutospacing="0" w:line="360" w:lineRule="auto"/>
        <w:ind w:left="720" w:hanging="720"/>
        <w:contextualSpacing/>
      </w:pPr>
      <w:r>
        <w:t>Aveyard, H., 2023. Ebook: Doing a Literature Review in Health and Social Care: A Practical Guide 5e.</w:t>
      </w:r>
    </w:p>
    <w:p w14:paraId="56E2A651" w14:textId="77777777" w:rsidR="00DE35C8" w:rsidRDefault="00DE35C8" w:rsidP="00302A96">
      <w:pPr>
        <w:pStyle w:val="NormalWeb"/>
        <w:spacing w:before="0" w:beforeAutospacing="0" w:after="0" w:afterAutospacing="0" w:line="360" w:lineRule="auto"/>
        <w:ind w:left="720" w:hanging="720"/>
        <w:contextualSpacing/>
      </w:pPr>
      <w:r>
        <w:t xml:space="preserve">Błachnio, A., Cudo, A., Kot, P., Torój, M., Oppong Asante, K., Enea, V., Ben-Ezra, M., Caci, B., Dominguez-Lara, S.A., Kugbey, N., and Malik, S., 2022. Cultural and psychological variables predicting academic dishonesty: a cross-sectional study in nine countries.  </w:t>
      </w:r>
      <w:r>
        <w:rPr>
          <w:rStyle w:val="Emphasis"/>
        </w:rPr>
        <w:t>Ethics &amp; Behavior</w:t>
      </w:r>
      <w:r>
        <w:t>, </w:t>
      </w:r>
      <w:r>
        <w:rPr>
          <w:rStyle w:val="Emphasis"/>
        </w:rPr>
        <w:t>32</w:t>
      </w:r>
      <w:r>
        <w:t xml:space="preserve">(1), pp.44-89. </w:t>
      </w:r>
      <w:hyperlink r:id="rId10" w:tgtFrame="_blank" w:history="1">
        <w:r>
          <w:rPr>
            <w:rStyle w:val="Hyperlink"/>
          </w:rPr>
          <w:t>https://doi.org/10.1080/10508422.2021.1910826</w:t>
        </w:r>
      </w:hyperlink>
    </w:p>
    <w:p w14:paraId="50136065" w14:textId="77777777" w:rsidR="00DE35C8" w:rsidRDefault="00DE35C8" w:rsidP="00302A96">
      <w:pPr>
        <w:pStyle w:val="NormalWeb"/>
        <w:spacing w:before="0" w:beforeAutospacing="0" w:after="0" w:afterAutospacing="0" w:line="360" w:lineRule="auto"/>
        <w:ind w:left="720" w:hanging="720"/>
        <w:contextualSpacing/>
      </w:pPr>
      <w:r>
        <w:t xml:space="preserve">Dawe, Lydia, Jackie Stevens, Bob Hoffman, and Morgann Quilty. 2021. “Citation and Referencing Support at an Academic Library: Exploring Student and Faculty Perspectives on Authority and Effectiveness.” </w:t>
      </w:r>
      <w:r>
        <w:rPr>
          <w:rStyle w:val="Emphasis"/>
        </w:rPr>
        <w:t>Dawe | College &amp; Research Libraries</w:t>
      </w:r>
      <w:r>
        <w:t>. Retrieved from https://crl.acrl.org/index.php/crl/article/view/25198/33070.</w:t>
      </w:r>
    </w:p>
    <w:p w14:paraId="1265DCE8" w14:textId="77777777" w:rsidR="00DE35C8" w:rsidRDefault="00DE35C8" w:rsidP="00302A96">
      <w:pPr>
        <w:pStyle w:val="NormalWeb"/>
        <w:spacing w:before="0" w:beforeAutospacing="0" w:after="0" w:afterAutospacing="0" w:line="360" w:lineRule="auto"/>
        <w:ind w:left="720" w:hanging="720"/>
        <w:contextualSpacing/>
      </w:pPr>
      <w:r>
        <w:t xml:space="preserve">Divecha, C., Tullu, and Karande, S., 2023. 'The art of referencing: Well begun is half done!' </w:t>
      </w:r>
      <w:r>
        <w:rPr>
          <w:rStyle w:val="Emphasis"/>
        </w:rPr>
        <w:t>Journal of Postgraduate Medicine</w:t>
      </w:r>
      <w:r>
        <w:t xml:space="preserve">, 69(1), pp. 1–6. </w:t>
      </w:r>
      <w:hyperlink r:id="rId11" w:tgtFrame="_blank" w:history="1">
        <w:r>
          <w:rPr>
            <w:rStyle w:val="Hyperlink"/>
          </w:rPr>
          <w:t>https://doi.org/10.4103/jpgm.jpgm_908_22</w:t>
        </w:r>
      </w:hyperlink>
      <w:r>
        <w:t>.</w:t>
      </w:r>
    </w:p>
    <w:p w14:paraId="68D87E6E" w14:textId="77777777" w:rsidR="00DE35C8" w:rsidRDefault="00DE35C8" w:rsidP="00302A96">
      <w:pPr>
        <w:pStyle w:val="NormalWeb"/>
        <w:spacing w:before="0" w:beforeAutospacing="0" w:after="0" w:afterAutospacing="0" w:line="360" w:lineRule="auto"/>
        <w:ind w:left="720" w:hanging="720"/>
        <w:contextualSpacing/>
      </w:pPr>
      <w:r>
        <w:t xml:space="preserve">Hashemiparast, Mina, Reza Negarandeh, and Dimitrios Theofanidis, 2020. “Exploring the Barriers of Utilizing Theoretical Knowledge in Clinical Settings: A Qualitative Study.” </w:t>
      </w:r>
      <w:r>
        <w:rPr>
          <w:rStyle w:val="Emphasis"/>
        </w:rPr>
        <w:t>International Journal of Nursing Sciences</w:t>
      </w:r>
      <w:r>
        <w:t xml:space="preserve"> 6(4):399–405. </w:t>
      </w:r>
      <w:hyperlink r:id="rId12" w:tgtFrame="_blank" w:history="1">
        <w:r>
          <w:rPr>
            <w:rStyle w:val="Hyperlink"/>
          </w:rPr>
          <w:t>https://doi.org/10.1016/j.ijnss.2019.09.008</w:t>
        </w:r>
      </w:hyperlink>
    </w:p>
    <w:p w14:paraId="54772D1C" w14:textId="77777777" w:rsidR="00DE35C8" w:rsidRDefault="00DE35C8" w:rsidP="00302A96">
      <w:pPr>
        <w:pStyle w:val="NormalWeb"/>
        <w:spacing w:before="0" w:beforeAutospacing="0" w:after="0" w:afterAutospacing="0" w:line="360" w:lineRule="auto"/>
        <w:ind w:left="720" w:hanging="720"/>
        <w:contextualSpacing/>
      </w:pPr>
      <w:r>
        <w:t xml:space="preserve">Jwa, S., 2024. 'Written Feedback Dialogue: A Cyclical Model for Student Engagement with Feedback,' </w:t>
      </w:r>
      <w:r>
        <w:rPr>
          <w:rStyle w:val="Emphasis"/>
        </w:rPr>
        <w:t>TESOL Quarterly</w:t>
      </w:r>
      <w:r>
        <w:t xml:space="preserve">, 59(2), pp. 1024–1035. </w:t>
      </w:r>
      <w:hyperlink r:id="rId13" w:tgtFrame="_blank" w:history="1">
        <w:r>
          <w:rPr>
            <w:rStyle w:val="Hyperlink"/>
          </w:rPr>
          <w:t>https://doi.org/10.1002/tesq.3365</w:t>
        </w:r>
      </w:hyperlink>
      <w:r>
        <w:t>.</w:t>
      </w:r>
    </w:p>
    <w:p w14:paraId="7B0A5B44" w14:textId="77777777" w:rsidR="00DE35C8" w:rsidRDefault="00DE35C8" w:rsidP="00302A96">
      <w:pPr>
        <w:pStyle w:val="NormalWeb"/>
        <w:spacing w:before="0" w:beforeAutospacing="0" w:after="0" w:afterAutospacing="0" w:line="360" w:lineRule="auto"/>
        <w:ind w:left="720" w:hanging="720"/>
        <w:contextualSpacing/>
      </w:pPr>
      <w:r>
        <w:lastRenderedPageBreak/>
        <w:t xml:space="preserve">Muzata, K.K. and Banja, M.K., 2020. 'Preparation of Students in Academic Referencing and Citation: The Case of School of Education Students at...,' </w:t>
      </w:r>
      <w:r>
        <w:rPr>
          <w:rStyle w:val="Emphasis"/>
        </w:rPr>
        <w:t>ResearchGate</w:t>
      </w:r>
      <w:r>
        <w:t xml:space="preserve"> [Preprint]. https://www.researchgate.net/publication/341321928_Preparation_of_Students_in_Academic_Referencing_and_Citation_ </w:t>
      </w:r>
      <w:hyperlink r:id="rId14" w:tgtFrame="_blank" w:history="1">
        <w:r>
          <w:rPr>
            <w:rStyle w:val="Hyperlink"/>
          </w:rPr>
          <w:t>The_Case_of_School_of_Education_Students_at_the_University_of_Zambia</w:t>
        </w:r>
      </w:hyperlink>
    </w:p>
    <w:p w14:paraId="575C4693" w14:textId="77777777" w:rsidR="00DE35C8" w:rsidRDefault="00DE35C8" w:rsidP="00302A96">
      <w:pPr>
        <w:pStyle w:val="NormalWeb"/>
        <w:spacing w:before="0" w:beforeAutospacing="0" w:after="0" w:afterAutospacing="0" w:line="360" w:lineRule="auto"/>
        <w:ind w:left="720" w:hanging="720"/>
        <w:contextualSpacing/>
      </w:pPr>
      <w:r>
        <w:t xml:space="preserve">Nejati, R., 2024. The Place of Self-efficacy and Self-regulation in Reading Comprehension in Online Classes.  </w:t>
      </w:r>
      <w:r>
        <w:rPr>
          <w:rStyle w:val="Emphasis"/>
        </w:rPr>
        <w:t>International Journal of Research in English Education</w:t>
      </w:r>
      <w:r>
        <w:t>, </w:t>
      </w:r>
      <w:r>
        <w:rPr>
          <w:rStyle w:val="Emphasis"/>
        </w:rPr>
        <w:t xml:space="preserve">9(2), </w:t>
      </w:r>
      <w:r w:rsidRPr="001302BF">
        <w:rPr>
          <w:rStyle w:val="Emphasis"/>
          <w:i w:val="0"/>
          <w:iCs w:val="0"/>
        </w:rPr>
        <w:t>pp. 90-104</w:t>
      </w:r>
      <w:r>
        <w:t xml:space="preserve">. </w:t>
      </w:r>
      <w:hyperlink r:id="rId15" w:tgtFrame="_blank" w:history="1">
        <w:r>
          <w:rPr>
            <w:rStyle w:val="Hyperlink"/>
          </w:rPr>
          <w:t>http://ijreeonline.com/files/site1/user_files_68bcd6/nejatireza-A-10-1218-2-0a1937b.pdf</w:t>
        </w:r>
      </w:hyperlink>
    </w:p>
    <w:p w14:paraId="0A0C4D72" w14:textId="77777777" w:rsidR="00DE35C8" w:rsidRDefault="00DE35C8" w:rsidP="00302A96">
      <w:pPr>
        <w:pStyle w:val="NormalWeb"/>
        <w:spacing w:before="0" w:beforeAutospacing="0" w:after="0" w:afterAutospacing="0" w:line="360" w:lineRule="auto"/>
        <w:ind w:left="720" w:hanging="720"/>
        <w:contextualSpacing/>
      </w:pPr>
      <w:r>
        <w:t xml:space="preserve">Pears, R. and Shields, G., 2025.  </w:t>
      </w:r>
      <w:r>
        <w:rPr>
          <w:rStyle w:val="Emphasis"/>
        </w:rPr>
        <w:t>Cite them right: the essential referencing guide</w:t>
      </w:r>
      <w:r>
        <w:t>. Bloomsbury Publishing.</w:t>
      </w:r>
    </w:p>
    <w:p w14:paraId="1503D24D" w14:textId="77777777" w:rsidR="00DE35C8" w:rsidRDefault="00DE35C8" w:rsidP="00302A96">
      <w:pPr>
        <w:pStyle w:val="NormalWeb"/>
        <w:spacing w:before="0" w:beforeAutospacing="0" w:after="0" w:afterAutospacing="0" w:line="360" w:lineRule="auto"/>
        <w:ind w:left="720" w:hanging="720"/>
        <w:contextualSpacing/>
      </w:pPr>
      <w:r>
        <w:t xml:space="preserve">Rangaswamy, B. and Babu, R., 2021. Researcher's perception of Zotero and Mendeley reference management tools: A study.  </w:t>
      </w:r>
      <w:r>
        <w:rPr>
          <w:rStyle w:val="Emphasis"/>
        </w:rPr>
        <w:t xml:space="preserve">Library Philosophy and Practice. Retrieved from link </w:t>
      </w:r>
      <w:hyperlink r:id="rId16" w:tgtFrame="_blank" w:history="1">
        <w:r>
          <w:rPr>
            <w:rStyle w:val="Hyperlink"/>
          </w:rPr>
          <w:t>https://digitalcommons</w:t>
        </w:r>
      </w:hyperlink>
      <w:r>
        <w:t xml:space="preserve">.unl.edu/libphilprac/5935. </w:t>
      </w:r>
      <w:hyperlink r:id="rId17" w:tgtFrame="_blank" w:history="1">
        <w:r>
          <w:rPr>
            <w:rStyle w:val="Hyperlink"/>
          </w:rPr>
          <w:t>https://www.researchgate.net/profile/Rangaswamy/publication/353676775_Researcher's_Perception_on_Zotero_and_Mendeley_Reference_Management_Tools_A_Study/links/6109ed321e95fe241aac2655/Researchers-Perception-on-Zotero-and-Mendeley-Reference-Management-Tools-A-Study.pdf</w:t>
        </w:r>
      </w:hyperlink>
    </w:p>
    <w:p w14:paraId="4EA79D2D" w14:textId="77777777" w:rsidR="00DE35C8" w:rsidRDefault="00DE35C8" w:rsidP="00302A96">
      <w:pPr>
        <w:pStyle w:val="NormalWeb"/>
        <w:spacing w:before="0" w:beforeAutospacing="0" w:after="0" w:afterAutospacing="0" w:line="360" w:lineRule="auto"/>
        <w:ind w:left="720" w:hanging="720"/>
        <w:contextualSpacing/>
      </w:pPr>
      <w:r>
        <w:t xml:space="preserve">Surbakti, R. </w:t>
      </w:r>
      <w:r>
        <w:rPr>
          <w:rStyle w:val="Emphasis"/>
        </w:rPr>
        <w:t>et al.</w:t>
      </w:r>
      <w:r>
        <w:t xml:space="preserve">, 2024. 'Cognitive Load Theory: Implications for instructional design in digital classrooms,' </w:t>
      </w:r>
      <w:r>
        <w:rPr>
          <w:rStyle w:val="Emphasis"/>
        </w:rPr>
        <w:t>International Journal of Educational Narratives</w:t>
      </w:r>
      <w:r>
        <w:t xml:space="preserve">, 2(6), pp. 483–493. </w:t>
      </w:r>
      <w:hyperlink r:id="rId18" w:tgtFrame="_blank" w:history="1">
        <w:r>
          <w:rPr>
            <w:rStyle w:val="Hyperlink"/>
          </w:rPr>
          <w:t>https://doi.org/10.70177/ijen.v2i6.1659</w:t>
        </w:r>
      </w:hyperlink>
      <w:r>
        <w:t>.</w:t>
      </w:r>
    </w:p>
    <w:p w14:paraId="0F45B2F3" w14:textId="77777777" w:rsidR="00DE35C8" w:rsidRDefault="00DE35C8" w:rsidP="00302A96">
      <w:pPr>
        <w:pStyle w:val="NormalWeb"/>
        <w:spacing w:before="0" w:beforeAutospacing="0" w:after="0" w:afterAutospacing="0" w:line="360" w:lineRule="auto"/>
        <w:ind w:left="720" w:hanging="720"/>
        <w:contextualSpacing/>
      </w:pPr>
      <w:r>
        <w:t xml:space="preserve">Wadasinghe, C., 2025. 'Adoption of Reference Management Software in academic writing among postgraduate medical professionals at the Postgraduate Institute of Medicine in Sri Lanka,' </w:t>
      </w:r>
      <w:r>
        <w:rPr>
          <w:rStyle w:val="Emphasis"/>
        </w:rPr>
        <w:t>KLISC Journal of Information Science &amp; Knowledge Management</w:t>
      </w:r>
      <w:r>
        <w:t xml:space="preserve">, pp. 37–50. </w:t>
      </w:r>
      <w:hyperlink r:id="rId19" w:tgtFrame="_blank" w:history="1">
        <w:r>
          <w:rPr>
            <w:rStyle w:val="Hyperlink"/>
          </w:rPr>
          <w:t>https://doi.org/10.61735/1cb27747</w:t>
        </w:r>
      </w:hyperlink>
      <w:r>
        <w:t>.</w:t>
      </w:r>
    </w:p>
    <w:p w14:paraId="74F81292" w14:textId="77777777" w:rsidR="00B12A3C" w:rsidRPr="00B12A3C" w:rsidRDefault="00B12A3C" w:rsidP="00DE35C8">
      <w:pPr>
        <w:pStyle w:val="NormalWeb"/>
        <w:spacing w:before="0" w:beforeAutospacing="0" w:after="0" w:afterAutospacing="0" w:line="480" w:lineRule="auto"/>
        <w:ind w:hanging="720"/>
        <w:contextualSpacing/>
      </w:pPr>
    </w:p>
    <w:p w14:paraId="6BED7355" w14:textId="77777777" w:rsidR="00040B87" w:rsidRPr="00B12A3C" w:rsidRDefault="00040B87" w:rsidP="00DE35C8">
      <w:pPr>
        <w:spacing w:after="0" w:line="480" w:lineRule="auto"/>
        <w:contextualSpacing/>
      </w:pPr>
    </w:p>
    <w:sectPr w:rsidR="00040B87" w:rsidRPr="00B12A3C">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3C281" w14:textId="77777777" w:rsidR="004E0652" w:rsidRDefault="004E0652" w:rsidP="005E0C73">
      <w:pPr>
        <w:spacing w:after="0" w:line="240" w:lineRule="auto"/>
      </w:pPr>
      <w:r>
        <w:separator/>
      </w:r>
    </w:p>
  </w:endnote>
  <w:endnote w:type="continuationSeparator" w:id="0">
    <w:p w14:paraId="25C501AE" w14:textId="77777777" w:rsidR="004E0652" w:rsidRDefault="004E0652" w:rsidP="005E0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A0C32" w14:textId="77777777" w:rsidR="002D1D19" w:rsidRDefault="002D1D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91259" w14:textId="77777777" w:rsidR="002D1D19" w:rsidRDefault="002D1D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4A9E8" w14:textId="77777777" w:rsidR="002D1D19" w:rsidRDefault="002D1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7CFD9" w14:textId="77777777" w:rsidR="004E0652" w:rsidRDefault="004E0652" w:rsidP="005E0C73">
      <w:pPr>
        <w:spacing w:after="0" w:line="240" w:lineRule="auto"/>
      </w:pPr>
      <w:r>
        <w:separator/>
      </w:r>
    </w:p>
  </w:footnote>
  <w:footnote w:type="continuationSeparator" w:id="0">
    <w:p w14:paraId="3B9FFA7F" w14:textId="77777777" w:rsidR="004E0652" w:rsidRDefault="004E0652" w:rsidP="005E0C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213EF" w14:textId="77777777" w:rsidR="002D1D19" w:rsidRDefault="002D1D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55AC7" w14:textId="77777777" w:rsidR="005E0C73" w:rsidRDefault="005E0C73">
    <w:pPr>
      <w:pStyle w:val="Header"/>
      <w:jc w:val="right"/>
    </w:pPr>
    <w:r>
      <w:t xml:space="preserve">SWOT Analysis   </w:t>
    </w:r>
    <w:sdt>
      <w:sdtPr>
        <w:id w:val="99353510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643B4">
          <w:rPr>
            <w:noProof/>
          </w:rPr>
          <w:t>8</w:t>
        </w:r>
        <w:r>
          <w:rPr>
            <w:noProof/>
          </w:rPr>
          <w:fldChar w:fldCharType="end"/>
        </w:r>
      </w:sdtContent>
    </w:sdt>
  </w:p>
  <w:p w14:paraId="2BF83B71" w14:textId="77777777" w:rsidR="005E0C73" w:rsidRDefault="005E0C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0B247" w14:textId="77777777" w:rsidR="002D1D19" w:rsidRDefault="002D1D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F6FD2"/>
    <w:multiLevelType w:val="multilevel"/>
    <w:tmpl w:val="1B04BA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058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678"/>
    <w:rsid w:val="00013329"/>
    <w:rsid w:val="00040B87"/>
    <w:rsid w:val="00066C01"/>
    <w:rsid w:val="000F3678"/>
    <w:rsid w:val="001302BF"/>
    <w:rsid w:val="00133922"/>
    <w:rsid w:val="00196BC4"/>
    <w:rsid w:val="00233C64"/>
    <w:rsid w:val="0026216D"/>
    <w:rsid w:val="00276AC6"/>
    <w:rsid w:val="0029299B"/>
    <w:rsid w:val="002A2E3A"/>
    <w:rsid w:val="002A7FCA"/>
    <w:rsid w:val="002D1D19"/>
    <w:rsid w:val="002E0ABD"/>
    <w:rsid w:val="002E2FDE"/>
    <w:rsid w:val="003001B9"/>
    <w:rsid w:val="00302A96"/>
    <w:rsid w:val="00372A6F"/>
    <w:rsid w:val="003D5B77"/>
    <w:rsid w:val="00412C52"/>
    <w:rsid w:val="00432751"/>
    <w:rsid w:val="004351DD"/>
    <w:rsid w:val="00444D28"/>
    <w:rsid w:val="004563D9"/>
    <w:rsid w:val="004655E0"/>
    <w:rsid w:val="004D3F7A"/>
    <w:rsid w:val="004E0652"/>
    <w:rsid w:val="00500EF8"/>
    <w:rsid w:val="00536466"/>
    <w:rsid w:val="005429A1"/>
    <w:rsid w:val="005750E7"/>
    <w:rsid w:val="005A7783"/>
    <w:rsid w:val="005E0C73"/>
    <w:rsid w:val="005E3924"/>
    <w:rsid w:val="005E40CB"/>
    <w:rsid w:val="00604780"/>
    <w:rsid w:val="00605008"/>
    <w:rsid w:val="006B4254"/>
    <w:rsid w:val="007146EF"/>
    <w:rsid w:val="0076245F"/>
    <w:rsid w:val="0077503D"/>
    <w:rsid w:val="007A3926"/>
    <w:rsid w:val="007C6421"/>
    <w:rsid w:val="008023A7"/>
    <w:rsid w:val="00834486"/>
    <w:rsid w:val="0087493C"/>
    <w:rsid w:val="008A009A"/>
    <w:rsid w:val="008A17E4"/>
    <w:rsid w:val="008D29F8"/>
    <w:rsid w:val="008D5820"/>
    <w:rsid w:val="00983C16"/>
    <w:rsid w:val="009A1276"/>
    <w:rsid w:val="009B0387"/>
    <w:rsid w:val="009C55C0"/>
    <w:rsid w:val="009E2624"/>
    <w:rsid w:val="00A10F70"/>
    <w:rsid w:val="00AA2469"/>
    <w:rsid w:val="00AB1618"/>
    <w:rsid w:val="00AC501E"/>
    <w:rsid w:val="00AC7435"/>
    <w:rsid w:val="00B029F8"/>
    <w:rsid w:val="00B12A3C"/>
    <w:rsid w:val="00BE77C9"/>
    <w:rsid w:val="00C1169A"/>
    <w:rsid w:val="00C417EC"/>
    <w:rsid w:val="00C42214"/>
    <w:rsid w:val="00C628CE"/>
    <w:rsid w:val="00C849D4"/>
    <w:rsid w:val="00CC76CB"/>
    <w:rsid w:val="00CE6B00"/>
    <w:rsid w:val="00D14632"/>
    <w:rsid w:val="00D81C6A"/>
    <w:rsid w:val="00D856E1"/>
    <w:rsid w:val="00DD479D"/>
    <w:rsid w:val="00DE35C8"/>
    <w:rsid w:val="00DE7AB5"/>
    <w:rsid w:val="00E12F60"/>
    <w:rsid w:val="00E619C7"/>
    <w:rsid w:val="00E643B4"/>
    <w:rsid w:val="00E85EFE"/>
    <w:rsid w:val="00F211C2"/>
    <w:rsid w:val="00F23A1A"/>
    <w:rsid w:val="00F4459B"/>
    <w:rsid w:val="00F44961"/>
    <w:rsid w:val="00F658C5"/>
    <w:rsid w:val="00F85C1F"/>
    <w:rsid w:val="00F8681F"/>
    <w:rsid w:val="00F94F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A5F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6466"/>
    <w:pPr>
      <w:spacing w:before="100" w:beforeAutospacing="1" w:after="100" w:afterAutospacing="1" w:line="240" w:lineRule="auto"/>
    </w:pPr>
    <w:rPr>
      <w:rFonts w:eastAsia="Times New Roman"/>
    </w:rPr>
  </w:style>
  <w:style w:type="character" w:customStyle="1" w:styleId="url">
    <w:name w:val="url"/>
    <w:basedOn w:val="DefaultParagraphFont"/>
    <w:rsid w:val="00536466"/>
  </w:style>
  <w:style w:type="character" w:styleId="Hyperlink">
    <w:name w:val="Hyperlink"/>
    <w:basedOn w:val="DefaultParagraphFont"/>
    <w:uiPriority w:val="99"/>
    <w:unhideWhenUsed/>
    <w:rsid w:val="00536466"/>
    <w:rPr>
      <w:color w:val="0563C1" w:themeColor="hyperlink"/>
      <w:u w:val="single"/>
    </w:rPr>
  </w:style>
  <w:style w:type="paragraph" w:styleId="Header">
    <w:name w:val="header"/>
    <w:basedOn w:val="Normal"/>
    <w:link w:val="HeaderChar"/>
    <w:uiPriority w:val="99"/>
    <w:unhideWhenUsed/>
    <w:rsid w:val="005E0C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0C73"/>
  </w:style>
  <w:style w:type="paragraph" w:styleId="Footer">
    <w:name w:val="footer"/>
    <w:basedOn w:val="Normal"/>
    <w:link w:val="FooterChar"/>
    <w:uiPriority w:val="99"/>
    <w:unhideWhenUsed/>
    <w:rsid w:val="005E0C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0C73"/>
  </w:style>
  <w:style w:type="character" w:styleId="Strong">
    <w:name w:val="Strong"/>
    <w:basedOn w:val="DefaultParagraphFont"/>
    <w:uiPriority w:val="22"/>
    <w:qFormat/>
    <w:rsid w:val="00B12A3C"/>
    <w:rPr>
      <w:b/>
      <w:bCs/>
    </w:rPr>
  </w:style>
  <w:style w:type="character" w:styleId="Emphasis">
    <w:name w:val="Emphasis"/>
    <w:basedOn w:val="DefaultParagraphFont"/>
    <w:uiPriority w:val="20"/>
    <w:qFormat/>
    <w:rsid w:val="00AA24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29204">
      <w:bodyDiv w:val="1"/>
      <w:marLeft w:val="0"/>
      <w:marRight w:val="0"/>
      <w:marTop w:val="0"/>
      <w:marBottom w:val="0"/>
      <w:divBdr>
        <w:top w:val="none" w:sz="0" w:space="0" w:color="auto"/>
        <w:left w:val="none" w:sz="0" w:space="0" w:color="auto"/>
        <w:bottom w:val="none" w:sz="0" w:space="0" w:color="auto"/>
        <w:right w:val="none" w:sz="0" w:space="0" w:color="auto"/>
      </w:divBdr>
    </w:div>
    <w:div w:id="184096670">
      <w:bodyDiv w:val="1"/>
      <w:marLeft w:val="0"/>
      <w:marRight w:val="0"/>
      <w:marTop w:val="0"/>
      <w:marBottom w:val="0"/>
      <w:divBdr>
        <w:top w:val="none" w:sz="0" w:space="0" w:color="auto"/>
        <w:left w:val="none" w:sz="0" w:space="0" w:color="auto"/>
        <w:bottom w:val="none" w:sz="0" w:space="0" w:color="auto"/>
        <w:right w:val="none" w:sz="0" w:space="0" w:color="auto"/>
      </w:divBdr>
    </w:div>
    <w:div w:id="716204547">
      <w:bodyDiv w:val="1"/>
      <w:marLeft w:val="0"/>
      <w:marRight w:val="0"/>
      <w:marTop w:val="0"/>
      <w:marBottom w:val="0"/>
      <w:divBdr>
        <w:top w:val="none" w:sz="0" w:space="0" w:color="auto"/>
        <w:left w:val="none" w:sz="0" w:space="0" w:color="auto"/>
        <w:bottom w:val="none" w:sz="0" w:space="0" w:color="auto"/>
        <w:right w:val="none" w:sz="0" w:space="0" w:color="auto"/>
      </w:divBdr>
    </w:div>
    <w:div w:id="741945468">
      <w:bodyDiv w:val="1"/>
      <w:marLeft w:val="0"/>
      <w:marRight w:val="0"/>
      <w:marTop w:val="0"/>
      <w:marBottom w:val="0"/>
      <w:divBdr>
        <w:top w:val="none" w:sz="0" w:space="0" w:color="auto"/>
        <w:left w:val="none" w:sz="0" w:space="0" w:color="auto"/>
        <w:bottom w:val="none" w:sz="0" w:space="0" w:color="auto"/>
        <w:right w:val="none" w:sz="0" w:space="0" w:color="auto"/>
      </w:divBdr>
    </w:div>
    <w:div w:id="841698835">
      <w:bodyDiv w:val="1"/>
      <w:marLeft w:val="0"/>
      <w:marRight w:val="0"/>
      <w:marTop w:val="0"/>
      <w:marBottom w:val="0"/>
      <w:divBdr>
        <w:top w:val="none" w:sz="0" w:space="0" w:color="auto"/>
        <w:left w:val="none" w:sz="0" w:space="0" w:color="auto"/>
        <w:bottom w:val="none" w:sz="0" w:space="0" w:color="auto"/>
        <w:right w:val="none" w:sz="0" w:space="0" w:color="auto"/>
      </w:divBdr>
    </w:div>
    <w:div w:id="865867934">
      <w:bodyDiv w:val="1"/>
      <w:marLeft w:val="0"/>
      <w:marRight w:val="0"/>
      <w:marTop w:val="0"/>
      <w:marBottom w:val="0"/>
      <w:divBdr>
        <w:top w:val="none" w:sz="0" w:space="0" w:color="auto"/>
        <w:left w:val="none" w:sz="0" w:space="0" w:color="auto"/>
        <w:bottom w:val="none" w:sz="0" w:space="0" w:color="auto"/>
        <w:right w:val="none" w:sz="0" w:space="0" w:color="auto"/>
      </w:divBdr>
    </w:div>
    <w:div w:id="873926427">
      <w:bodyDiv w:val="1"/>
      <w:marLeft w:val="0"/>
      <w:marRight w:val="0"/>
      <w:marTop w:val="0"/>
      <w:marBottom w:val="0"/>
      <w:divBdr>
        <w:top w:val="none" w:sz="0" w:space="0" w:color="auto"/>
        <w:left w:val="none" w:sz="0" w:space="0" w:color="auto"/>
        <w:bottom w:val="none" w:sz="0" w:space="0" w:color="auto"/>
        <w:right w:val="none" w:sz="0" w:space="0" w:color="auto"/>
      </w:divBdr>
    </w:div>
    <w:div w:id="1003556201">
      <w:bodyDiv w:val="1"/>
      <w:marLeft w:val="0"/>
      <w:marRight w:val="0"/>
      <w:marTop w:val="0"/>
      <w:marBottom w:val="0"/>
      <w:divBdr>
        <w:top w:val="none" w:sz="0" w:space="0" w:color="auto"/>
        <w:left w:val="none" w:sz="0" w:space="0" w:color="auto"/>
        <w:bottom w:val="none" w:sz="0" w:space="0" w:color="auto"/>
        <w:right w:val="none" w:sz="0" w:space="0" w:color="auto"/>
      </w:divBdr>
    </w:div>
    <w:div w:id="1031685447">
      <w:bodyDiv w:val="1"/>
      <w:marLeft w:val="0"/>
      <w:marRight w:val="0"/>
      <w:marTop w:val="0"/>
      <w:marBottom w:val="0"/>
      <w:divBdr>
        <w:top w:val="none" w:sz="0" w:space="0" w:color="auto"/>
        <w:left w:val="none" w:sz="0" w:space="0" w:color="auto"/>
        <w:bottom w:val="none" w:sz="0" w:space="0" w:color="auto"/>
        <w:right w:val="none" w:sz="0" w:space="0" w:color="auto"/>
      </w:divBdr>
    </w:div>
    <w:div w:id="1181237300">
      <w:bodyDiv w:val="1"/>
      <w:marLeft w:val="0"/>
      <w:marRight w:val="0"/>
      <w:marTop w:val="0"/>
      <w:marBottom w:val="0"/>
      <w:divBdr>
        <w:top w:val="none" w:sz="0" w:space="0" w:color="auto"/>
        <w:left w:val="none" w:sz="0" w:space="0" w:color="auto"/>
        <w:bottom w:val="none" w:sz="0" w:space="0" w:color="auto"/>
        <w:right w:val="none" w:sz="0" w:space="0" w:color="auto"/>
      </w:divBdr>
    </w:div>
    <w:div w:id="1263219154">
      <w:bodyDiv w:val="1"/>
      <w:marLeft w:val="0"/>
      <w:marRight w:val="0"/>
      <w:marTop w:val="0"/>
      <w:marBottom w:val="0"/>
      <w:divBdr>
        <w:top w:val="none" w:sz="0" w:space="0" w:color="auto"/>
        <w:left w:val="none" w:sz="0" w:space="0" w:color="auto"/>
        <w:bottom w:val="none" w:sz="0" w:space="0" w:color="auto"/>
        <w:right w:val="none" w:sz="0" w:space="0" w:color="auto"/>
      </w:divBdr>
    </w:div>
    <w:div w:id="1305625725">
      <w:bodyDiv w:val="1"/>
      <w:marLeft w:val="0"/>
      <w:marRight w:val="0"/>
      <w:marTop w:val="0"/>
      <w:marBottom w:val="0"/>
      <w:divBdr>
        <w:top w:val="none" w:sz="0" w:space="0" w:color="auto"/>
        <w:left w:val="none" w:sz="0" w:space="0" w:color="auto"/>
        <w:bottom w:val="none" w:sz="0" w:space="0" w:color="auto"/>
        <w:right w:val="none" w:sz="0" w:space="0" w:color="auto"/>
      </w:divBdr>
    </w:div>
    <w:div w:id="1372027430">
      <w:bodyDiv w:val="1"/>
      <w:marLeft w:val="0"/>
      <w:marRight w:val="0"/>
      <w:marTop w:val="0"/>
      <w:marBottom w:val="0"/>
      <w:divBdr>
        <w:top w:val="none" w:sz="0" w:space="0" w:color="auto"/>
        <w:left w:val="none" w:sz="0" w:space="0" w:color="auto"/>
        <w:bottom w:val="none" w:sz="0" w:space="0" w:color="auto"/>
        <w:right w:val="none" w:sz="0" w:space="0" w:color="auto"/>
      </w:divBdr>
    </w:div>
    <w:div w:id="1399325466">
      <w:bodyDiv w:val="1"/>
      <w:marLeft w:val="0"/>
      <w:marRight w:val="0"/>
      <w:marTop w:val="0"/>
      <w:marBottom w:val="0"/>
      <w:divBdr>
        <w:top w:val="none" w:sz="0" w:space="0" w:color="auto"/>
        <w:left w:val="none" w:sz="0" w:space="0" w:color="auto"/>
        <w:bottom w:val="none" w:sz="0" w:space="0" w:color="auto"/>
        <w:right w:val="none" w:sz="0" w:space="0" w:color="auto"/>
      </w:divBdr>
    </w:div>
    <w:div w:id="1537155007">
      <w:bodyDiv w:val="1"/>
      <w:marLeft w:val="0"/>
      <w:marRight w:val="0"/>
      <w:marTop w:val="0"/>
      <w:marBottom w:val="0"/>
      <w:divBdr>
        <w:top w:val="none" w:sz="0" w:space="0" w:color="auto"/>
        <w:left w:val="none" w:sz="0" w:space="0" w:color="auto"/>
        <w:bottom w:val="none" w:sz="0" w:space="0" w:color="auto"/>
        <w:right w:val="none" w:sz="0" w:space="0" w:color="auto"/>
      </w:divBdr>
    </w:div>
    <w:div w:id="1623803081">
      <w:bodyDiv w:val="1"/>
      <w:marLeft w:val="0"/>
      <w:marRight w:val="0"/>
      <w:marTop w:val="0"/>
      <w:marBottom w:val="0"/>
      <w:divBdr>
        <w:top w:val="none" w:sz="0" w:space="0" w:color="auto"/>
        <w:left w:val="none" w:sz="0" w:space="0" w:color="auto"/>
        <w:bottom w:val="none" w:sz="0" w:space="0" w:color="auto"/>
        <w:right w:val="none" w:sz="0" w:space="0" w:color="auto"/>
      </w:divBdr>
    </w:div>
    <w:div w:id="1697778158">
      <w:bodyDiv w:val="1"/>
      <w:marLeft w:val="0"/>
      <w:marRight w:val="0"/>
      <w:marTop w:val="0"/>
      <w:marBottom w:val="0"/>
      <w:divBdr>
        <w:top w:val="none" w:sz="0" w:space="0" w:color="auto"/>
        <w:left w:val="none" w:sz="0" w:space="0" w:color="auto"/>
        <w:bottom w:val="none" w:sz="0" w:space="0" w:color="auto"/>
        <w:right w:val="none" w:sz="0" w:space="0" w:color="auto"/>
      </w:divBdr>
    </w:div>
    <w:div w:id="1773277418">
      <w:bodyDiv w:val="1"/>
      <w:marLeft w:val="0"/>
      <w:marRight w:val="0"/>
      <w:marTop w:val="0"/>
      <w:marBottom w:val="0"/>
      <w:divBdr>
        <w:top w:val="none" w:sz="0" w:space="0" w:color="auto"/>
        <w:left w:val="none" w:sz="0" w:space="0" w:color="auto"/>
        <w:bottom w:val="none" w:sz="0" w:space="0" w:color="auto"/>
        <w:right w:val="none" w:sz="0" w:space="0" w:color="auto"/>
      </w:divBdr>
    </w:div>
    <w:div w:id="1967736941">
      <w:bodyDiv w:val="1"/>
      <w:marLeft w:val="0"/>
      <w:marRight w:val="0"/>
      <w:marTop w:val="0"/>
      <w:marBottom w:val="0"/>
      <w:divBdr>
        <w:top w:val="none" w:sz="0" w:space="0" w:color="auto"/>
        <w:left w:val="none" w:sz="0" w:space="0" w:color="auto"/>
        <w:bottom w:val="none" w:sz="0" w:space="0" w:color="auto"/>
        <w:right w:val="none" w:sz="0" w:space="0" w:color="auto"/>
      </w:divBdr>
    </w:div>
    <w:div w:id="2035383782">
      <w:bodyDiv w:val="1"/>
      <w:marLeft w:val="0"/>
      <w:marRight w:val="0"/>
      <w:marTop w:val="0"/>
      <w:marBottom w:val="0"/>
      <w:divBdr>
        <w:top w:val="none" w:sz="0" w:space="0" w:color="auto"/>
        <w:left w:val="none" w:sz="0" w:space="0" w:color="auto"/>
        <w:bottom w:val="none" w:sz="0" w:space="0" w:color="auto"/>
        <w:right w:val="none" w:sz="0" w:space="0" w:color="auto"/>
      </w:divBdr>
    </w:div>
    <w:div w:id="2062359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02938.2021.1931660" TargetMode="External"/><Relationship Id="rId13" Type="http://schemas.openxmlformats.org/officeDocument/2006/relationships/hyperlink" Target="https://doi.org/10.1002/tesq.3365" TargetMode="External"/><Relationship Id="rId18" Type="http://schemas.openxmlformats.org/officeDocument/2006/relationships/hyperlink" Target="https://doi.org/10.70177/ijen.v2i6.165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mindthegraph.com/blog/how-to-use-et-al/" TargetMode="External"/><Relationship Id="rId12" Type="http://schemas.openxmlformats.org/officeDocument/2006/relationships/hyperlink" Target="https://doi.org/10.1016/j.ijnss.2019.09.008" TargetMode="External"/><Relationship Id="rId17" Type="http://schemas.openxmlformats.org/officeDocument/2006/relationships/hyperlink" Target="https://www.researchgate.net/profile/Rangaswamy/publication/353676775_Researcher's_Perception_on_Zotero_and_Mendeley_Reference_Management_Tools_A_Study/links/6109ed321e95fe241aac2655/Researchers-Perception-on-Zotero-and-Mendeley-Reference-Management-Tools-A-Study.pdf"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igitalcommon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03/jpgm.jpgm_908_22"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ijreeonline.com/files/site1/user_files_68bcd6/nejatireza-A-10-1218-2-0a1937b.pdf" TargetMode="External"/><Relationship Id="rId23" Type="http://schemas.openxmlformats.org/officeDocument/2006/relationships/footer" Target="footer2.xml"/><Relationship Id="rId10" Type="http://schemas.openxmlformats.org/officeDocument/2006/relationships/hyperlink" Target="https://doi.org/10.1080/10508422.2021.1910826" TargetMode="External"/><Relationship Id="rId19" Type="http://schemas.openxmlformats.org/officeDocument/2006/relationships/hyperlink" Target="https://doi.org/10.61735/1cb27747" TargetMode="External"/><Relationship Id="rId4" Type="http://schemas.openxmlformats.org/officeDocument/2006/relationships/webSettings" Target="webSettings.xml"/><Relationship Id="rId9" Type="http://schemas.openxmlformats.org/officeDocument/2006/relationships/hyperlink" Target="https://doi.org/10.1177/14757257221091512" TargetMode="External"/><Relationship Id="rId14" Type="http://schemas.openxmlformats.org/officeDocument/2006/relationships/hyperlink" Target="https://www.researchgate.net/publication/341321928_Preparation_of_Students_in_Academic_Referencing_and_Citation_The_Case_of_School_of_Education_Students_at_the_University_of_Zambia"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2187</Words>
  <Characters>12907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2025-12-08T03:10:00Z</dcterms:created>
  <dcterms:modified xsi:type="dcterms:W3CDTF">2025-12-08T13:43:00Z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de7675ff-ce1a-414c-b7ee-d134ec3d3e82</vt:lpwstr>
  </property>
</Properties>
</file>