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BFA23F" w:rsidP="4F882B3B" w:rsidRDefault="6DBFA23F" w14:paraId="729B7216" w14:textId="061C41CE">
      <w:pPr>
        <w:pStyle w:val="Normal"/>
      </w:pPr>
      <w:r w:rsidR="6DBFA23F">
        <w:drawing>
          <wp:inline wp14:editId="3C51E6FE" wp14:anchorId="57A322E2">
            <wp:extent cx="2248343" cy="1000244"/>
            <wp:effectExtent l="0" t="0" r="0" b="0"/>
            <wp:docPr id="1874817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4817896" name="Picture 1874817896"/>
                    <pic:cNvPicPr/>
                  </pic:nvPicPr>
                  <pic:blipFill>
                    <a:blip xmlns:r="http://schemas.openxmlformats.org/officeDocument/2006/relationships" r:embed="rId777613673">
                      <a:extLst>
                        <a:ext uri="{28A0092B-C50C-407E-A947-70E740481C1C}">
                          <a14:useLocalDpi xmlns:a14="http://schemas.microsoft.com/office/drawing/2010/main"/>
                        </a:ext>
                      </a:extLst>
                    </a:blip>
                    <a:stretch>
                      <a:fillRect/>
                    </a:stretch>
                  </pic:blipFill>
                  <pic:spPr>
                    <a:xfrm rot="0">
                      <a:off x="0" y="0"/>
                      <a:ext cx="2248343" cy="1000244"/>
                    </a:xfrm>
                    <a:prstGeom prst="rect">
                      <a:avLst/>
                    </a:prstGeom>
                  </pic:spPr>
                </pic:pic>
              </a:graphicData>
            </a:graphic>
          </wp:inline>
        </w:drawing>
      </w:r>
    </w:p>
    <w:p w:rsidR="0D887A73" w:rsidP="4F882B3B" w:rsidRDefault="0D887A73" w14:paraId="1F2DAC97" w14:textId="2D471C97">
      <w:pPr>
        <w:spacing w:before="0" w:beforeAutospacing="off" w:after="160" w:afterAutospacing="off" w:line="276" w:lineRule="auto"/>
      </w:pPr>
      <w:r w:rsidRPr="4F882B3B" w:rsidR="0D887A73">
        <w:rPr>
          <w:rFonts w:ascii="Segoe UI" w:hAnsi="Segoe UI" w:eastAsia="Segoe UI" w:cs="Segoe UI"/>
          <w:b w:val="1"/>
          <w:bCs w:val="1"/>
          <w:color w:val="1D2125"/>
          <w:sz w:val="24"/>
          <w:szCs w:val="24"/>
        </w:rPr>
        <w:t xml:space="preserve"> </w:t>
      </w:r>
    </w:p>
    <w:p w:rsidR="0D887A73" w:rsidP="4F882B3B" w:rsidRDefault="0D887A73" w14:paraId="3D536965" w14:textId="3E1EBEB5">
      <w:pPr>
        <w:spacing w:before="0" w:beforeAutospacing="off" w:after="160" w:afterAutospacing="off" w:line="276" w:lineRule="auto"/>
        <w:rPr>
          <w:rFonts w:ascii="Arial" w:hAnsi="Arial" w:eastAsia="Arial" w:cs="Arial"/>
          <w:b w:val="1"/>
          <w:bCs w:val="1"/>
          <w:color w:val="1D2125"/>
          <w:sz w:val="36"/>
          <w:szCs w:val="36"/>
        </w:rPr>
      </w:pPr>
      <w:r w:rsidRPr="4F882B3B" w:rsidR="0D887A73">
        <w:rPr>
          <w:rFonts w:ascii="Arial" w:hAnsi="Arial" w:eastAsia="Arial" w:cs="Arial"/>
          <w:b w:val="1"/>
          <w:bCs w:val="1"/>
          <w:color w:val="1D2125"/>
          <w:sz w:val="36"/>
          <w:szCs w:val="36"/>
        </w:rPr>
        <w:t xml:space="preserve"> </w:t>
      </w:r>
      <w:r w:rsidRPr="4F882B3B" w:rsidR="0D887A73">
        <w:rPr>
          <w:rFonts w:ascii="Arial" w:hAnsi="Arial" w:eastAsia="Arial" w:cs="Arial"/>
          <w:b w:val="1"/>
          <w:bCs w:val="1"/>
          <w:color w:val="1D2125"/>
          <w:sz w:val="36"/>
          <w:szCs w:val="36"/>
        </w:rPr>
        <w:t xml:space="preserve">Psychopathological Classifications and </w:t>
      </w:r>
      <w:bookmarkStart w:name="_Int_hE14aBzH" w:id="907521184"/>
      <w:r w:rsidRPr="4F882B3B" w:rsidR="0D887A73">
        <w:rPr>
          <w:rFonts w:ascii="Arial" w:hAnsi="Arial" w:eastAsia="Arial" w:cs="Arial"/>
          <w:b w:val="1"/>
          <w:bCs w:val="1"/>
          <w:color w:val="1D2125"/>
          <w:sz w:val="36"/>
          <w:szCs w:val="36"/>
        </w:rPr>
        <w:t>Provisions</w:t>
      </w:r>
      <w:r w:rsidRPr="4F882B3B" w:rsidR="1B4A0948">
        <w:rPr>
          <w:rFonts w:ascii="Arial" w:hAnsi="Arial" w:eastAsia="Arial" w:cs="Arial"/>
          <w:b w:val="1"/>
          <w:bCs w:val="1"/>
          <w:color w:val="1D2125"/>
          <w:sz w:val="36"/>
          <w:szCs w:val="36"/>
        </w:rPr>
        <w:t>( BMHP</w:t>
      </w:r>
      <w:bookmarkEnd w:id="907521184"/>
      <w:r w:rsidRPr="4F882B3B" w:rsidR="1B4A0948">
        <w:rPr>
          <w:rFonts w:ascii="Arial" w:hAnsi="Arial" w:eastAsia="Arial" w:cs="Arial"/>
          <w:b w:val="1"/>
          <w:bCs w:val="1"/>
          <w:color w:val="1D2125"/>
          <w:sz w:val="36"/>
          <w:szCs w:val="36"/>
        </w:rPr>
        <w:t>6029_LON)</w:t>
      </w:r>
    </w:p>
    <w:p w:rsidR="0D887A73" w:rsidP="4F882B3B" w:rsidRDefault="0D887A73" w14:paraId="04ED3DF9" w14:textId="487E3C80">
      <w:pPr>
        <w:spacing w:before="0" w:beforeAutospacing="off" w:after="160" w:afterAutospacing="off" w:line="276" w:lineRule="auto"/>
        <w:jc w:val="center"/>
      </w:pPr>
      <w:r w:rsidRPr="4F882B3B" w:rsidR="0D887A73">
        <w:rPr>
          <w:rFonts w:ascii="Arial" w:hAnsi="Arial" w:eastAsia="Arial" w:cs="Arial"/>
          <w:b w:val="1"/>
          <w:bCs w:val="1"/>
          <w:color w:val="1D2125"/>
          <w:sz w:val="36"/>
          <w:szCs w:val="36"/>
        </w:rPr>
        <w:t xml:space="preserve"> </w:t>
      </w:r>
    </w:p>
    <w:p w:rsidR="0D887A73" w:rsidP="4F882B3B" w:rsidRDefault="0D887A73" w14:paraId="1BDD3248" w14:textId="4E6C6619">
      <w:pPr>
        <w:spacing w:before="0" w:beforeAutospacing="off" w:after="160" w:afterAutospacing="off" w:line="276" w:lineRule="auto"/>
        <w:jc w:val="center"/>
      </w:pPr>
      <w:r w:rsidRPr="4F882B3B" w:rsidR="0D887A73">
        <w:rPr>
          <w:rFonts w:ascii="Arial" w:hAnsi="Arial" w:eastAsia="Arial" w:cs="Arial"/>
          <w:b w:val="1"/>
          <w:bCs w:val="1"/>
          <w:color w:val="1D2125"/>
          <w:sz w:val="36"/>
          <w:szCs w:val="36"/>
        </w:rPr>
        <w:t xml:space="preserve"> </w:t>
      </w:r>
    </w:p>
    <w:p w:rsidR="0D887A73" w:rsidP="4F882B3B" w:rsidRDefault="0D887A73" w14:paraId="3D85DABE" w14:textId="687B751E">
      <w:pPr>
        <w:spacing w:before="0" w:beforeAutospacing="off" w:after="160" w:afterAutospacing="off" w:line="276" w:lineRule="auto"/>
        <w:jc w:val="center"/>
      </w:pPr>
      <w:r w:rsidRPr="4F882B3B" w:rsidR="0D887A73">
        <w:rPr>
          <w:rFonts w:ascii="Arial" w:hAnsi="Arial" w:eastAsia="Arial" w:cs="Arial"/>
          <w:b w:val="1"/>
          <w:bCs w:val="1"/>
          <w:color w:val="1D2125"/>
          <w:sz w:val="36"/>
          <w:szCs w:val="36"/>
        </w:rPr>
        <w:t xml:space="preserve"> </w:t>
      </w:r>
    </w:p>
    <w:p w:rsidR="0D887A73" w:rsidP="4F882B3B" w:rsidRDefault="0D887A73" w14:paraId="59C8F180" w14:textId="12ED3078">
      <w:pPr>
        <w:spacing w:before="0" w:beforeAutospacing="off" w:after="160" w:afterAutospacing="off" w:line="276" w:lineRule="auto"/>
      </w:pPr>
      <w:r w:rsidRPr="4F882B3B" w:rsidR="0D887A73">
        <w:rPr>
          <w:rFonts w:ascii="Arial" w:hAnsi="Arial" w:eastAsia="Arial" w:cs="Arial"/>
          <w:b w:val="1"/>
          <w:bCs w:val="1"/>
          <w:color w:val="000000" w:themeColor="text1" w:themeTint="FF" w:themeShade="FF"/>
          <w:sz w:val="32"/>
          <w:szCs w:val="32"/>
        </w:rPr>
        <w:t>Component</w:t>
      </w:r>
      <w:r w:rsidRPr="4F882B3B" w:rsidR="0D887A73">
        <w:rPr>
          <w:rFonts w:ascii="Arial" w:hAnsi="Arial" w:eastAsia="Arial" w:cs="Arial"/>
          <w:b w:val="1"/>
          <w:bCs w:val="1"/>
          <w:color w:val="000000" w:themeColor="text1" w:themeTint="FF" w:themeShade="FF"/>
          <w:sz w:val="32"/>
          <w:szCs w:val="32"/>
        </w:rPr>
        <w:t xml:space="preserve"> 2: Written Assignment (Report)</w:t>
      </w:r>
      <w:r w:rsidRPr="4F882B3B" w:rsidR="0D887A73">
        <w:rPr>
          <w:rFonts w:ascii="Arial" w:hAnsi="Arial" w:eastAsia="Arial" w:cs="Arial"/>
          <w:b w:val="1"/>
          <w:bCs w:val="1"/>
          <w:color w:val="1D2125"/>
          <w:sz w:val="32"/>
          <w:szCs w:val="32"/>
        </w:rPr>
        <w:t xml:space="preserve"> </w:t>
      </w:r>
    </w:p>
    <w:p w:rsidR="0D887A73" w:rsidP="4F882B3B" w:rsidRDefault="0D887A73" w14:paraId="29AEF698" w14:textId="29FBF7B6">
      <w:pPr>
        <w:spacing w:before="0" w:beforeAutospacing="off" w:after="160" w:afterAutospacing="off" w:line="276" w:lineRule="auto"/>
      </w:pPr>
      <w:r w:rsidRPr="4F882B3B" w:rsidR="0D887A73">
        <w:rPr>
          <w:rFonts w:ascii="Arial" w:hAnsi="Arial" w:eastAsia="Arial" w:cs="Arial"/>
          <w:b w:val="1"/>
          <w:bCs w:val="1"/>
          <w:color w:val="1D2125"/>
          <w:sz w:val="32"/>
          <w:szCs w:val="32"/>
        </w:rPr>
        <w:t xml:space="preserve">Student </w:t>
      </w:r>
      <w:r w:rsidRPr="4F882B3B" w:rsidR="042DA4A8">
        <w:rPr>
          <w:rFonts w:ascii="Arial" w:hAnsi="Arial" w:eastAsia="Arial" w:cs="Arial"/>
          <w:b w:val="1"/>
          <w:bCs w:val="1"/>
          <w:color w:val="1D2125"/>
          <w:sz w:val="32"/>
          <w:szCs w:val="32"/>
        </w:rPr>
        <w:t>name:</w:t>
      </w:r>
      <w:r w:rsidRPr="4F882B3B" w:rsidR="31F2A1CD">
        <w:rPr>
          <w:rFonts w:ascii="Arial" w:hAnsi="Arial" w:eastAsia="Arial" w:cs="Arial"/>
          <w:b w:val="1"/>
          <w:bCs w:val="1"/>
          <w:color w:val="1D2125"/>
          <w:sz w:val="32"/>
          <w:szCs w:val="32"/>
        </w:rPr>
        <w:t xml:space="preserve"> Celina Krawczyk</w:t>
      </w:r>
    </w:p>
    <w:p w:rsidR="0D887A73" w:rsidP="4F882B3B" w:rsidRDefault="0D887A73" w14:paraId="05BA313F" w14:textId="1CF77274">
      <w:pPr>
        <w:spacing w:before="0" w:beforeAutospacing="off" w:after="160" w:afterAutospacing="off" w:line="276" w:lineRule="auto"/>
      </w:pPr>
      <w:r w:rsidRPr="4F882B3B" w:rsidR="0D887A73">
        <w:rPr>
          <w:rFonts w:ascii="Arial" w:hAnsi="Arial" w:eastAsia="Arial" w:cs="Arial"/>
          <w:b w:val="1"/>
          <w:bCs w:val="1"/>
          <w:color w:val="1D2125"/>
          <w:sz w:val="32"/>
          <w:szCs w:val="32"/>
        </w:rPr>
        <w:t>Student number</w:t>
      </w:r>
      <w:r w:rsidRPr="4F882B3B" w:rsidR="6F2AC4B5">
        <w:rPr>
          <w:rFonts w:ascii="Arial" w:hAnsi="Arial" w:eastAsia="Arial" w:cs="Arial"/>
          <w:b w:val="1"/>
          <w:bCs w:val="1"/>
          <w:color w:val="1D2125"/>
          <w:sz w:val="32"/>
          <w:szCs w:val="32"/>
        </w:rPr>
        <w:t>: 2317548</w:t>
      </w:r>
    </w:p>
    <w:p w:rsidR="6F2AC4B5" w:rsidP="4F882B3B" w:rsidRDefault="6F2AC4B5" w14:paraId="2C5337F2" w14:textId="1357E65D">
      <w:pPr>
        <w:spacing w:before="0" w:beforeAutospacing="off" w:after="160" w:afterAutospacing="off" w:line="276" w:lineRule="auto"/>
      </w:pPr>
      <w:r w:rsidRPr="4F882B3B" w:rsidR="6F2AC4B5">
        <w:rPr>
          <w:rFonts w:ascii="Arial" w:hAnsi="Arial" w:eastAsia="Arial" w:cs="Arial"/>
          <w:b w:val="1"/>
          <w:bCs w:val="1"/>
          <w:color w:val="1D2125"/>
          <w:sz w:val="32"/>
          <w:szCs w:val="32"/>
        </w:rPr>
        <w:t>Lecturer: Farah Wiita</w:t>
      </w:r>
      <w:r w:rsidRPr="4F882B3B" w:rsidR="0D887A73">
        <w:rPr>
          <w:rFonts w:ascii="Arial" w:hAnsi="Arial" w:eastAsia="Arial" w:cs="Arial"/>
          <w:b w:val="1"/>
          <w:bCs w:val="1"/>
          <w:color w:val="1D2125"/>
          <w:sz w:val="32"/>
          <w:szCs w:val="32"/>
        </w:rPr>
        <w:t xml:space="preserve"> </w:t>
      </w:r>
    </w:p>
    <w:p w:rsidR="0D887A73" w:rsidP="4F882B3B" w:rsidRDefault="0D887A73" w14:paraId="2CDE13E0" w14:textId="12B50AB4">
      <w:pPr>
        <w:spacing w:before="0" w:beforeAutospacing="off" w:after="160" w:afterAutospacing="off" w:line="276" w:lineRule="auto"/>
      </w:pPr>
      <w:r w:rsidRPr="4F882B3B" w:rsidR="0D887A73">
        <w:rPr>
          <w:rFonts w:ascii="Arial" w:hAnsi="Arial" w:eastAsia="Arial" w:cs="Arial"/>
          <w:sz w:val="36"/>
          <w:szCs w:val="36"/>
        </w:rPr>
        <w:t xml:space="preserve"> </w:t>
      </w:r>
    </w:p>
    <w:p w:rsidR="4F882B3B" w:rsidP="4F882B3B" w:rsidRDefault="4F882B3B" w14:paraId="04F8F0F1" w14:textId="29A26566">
      <w:pPr>
        <w:spacing w:before="0" w:beforeAutospacing="off" w:after="160" w:afterAutospacing="off" w:line="276" w:lineRule="auto"/>
        <w:rPr>
          <w:rFonts w:ascii="Arial" w:hAnsi="Arial" w:eastAsia="Arial" w:cs="Arial"/>
          <w:sz w:val="36"/>
          <w:szCs w:val="36"/>
        </w:rPr>
      </w:pPr>
    </w:p>
    <w:p w:rsidR="4F882B3B" w:rsidP="4F882B3B" w:rsidRDefault="4F882B3B" w14:paraId="28550C3C" w14:textId="4F97AEB8">
      <w:pPr>
        <w:spacing w:line="14" w:lineRule="auto"/>
        <w:jc w:val="left"/>
      </w:pPr>
    </w:p>
    <w:p w:rsidR="165D5E8D" w:rsidP="4F882B3B" w:rsidRDefault="165D5E8D" w14:paraId="7E062A6F" w14:textId="060674D2">
      <w:pPr>
        <w:pStyle w:val="Normal"/>
        <w:spacing w:before="0" w:beforeAutospacing="off" w:after="160" w:afterAutospacing="off" w:line="276" w:lineRule="auto"/>
        <w:rPr>
          <w:rFonts w:ascii="Arial" w:hAnsi="Arial" w:eastAsia="Arial" w:cs="Arial"/>
          <w:noProof w:val="0"/>
          <w:sz w:val="36"/>
          <w:szCs w:val="36"/>
          <w:lang w:val="en-GB"/>
        </w:rPr>
      </w:pPr>
      <w:r w:rsidRPr="4F882B3B" w:rsidR="165D5E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IE"/>
        </w:rPr>
        <w:t xml:space="preserve">I confirm that I have not used any AI tools in the research and creation of this assignment. I confirm that I have not presented any AI generated materials as my own work. I confirm I have copies of my drafts, notes, </w:t>
      </w:r>
      <w:r w:rsidRPr="4F882B3B" w:rsidR="165D5E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IE"/>
        </w:rPr>
        <w:t>and other</w:t>
      </w:r>
      <w:r w:rsidRPr="4F882B3B" w:rsidR="165D5E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IE"/>
        </w:rPr>
        <w:t xml:space="preserve"> resources I used, which I may be asked to provide in evidence</w:t>
      </w:r>
    </w:p>
    <w:p w:rsidR="0D887A73" w:rsidP="4F882B3B" w:rsidRDefault="0D887A73" w14:paraId="2F23A9C6" w14:textId="0E8FF1D0">
      <w:pPr>
        <w:spacing w:before="0" w:beforeAutospacing="off" w:after="160" w:afterAutospacing="off" w:line="276" w:lineRule="auto"/>
      </w:pPr>
      <w:r w:rsidRPr="4F882B3B" w:rsidR="0D887A73">
        <w:rPr>
          <w:rFonts w:ascii="Arial" w:hAnsi="Arial" w:eastAsia="Arial" w:cs="Arial"/>
          <w:sz w:val="36"/>
          <w:szCs w:val="36"/>
        </w:rPr>
        <w:t xml:space="preserve"> </w:t>
      </w:r>
    </w:p>
    <w:p w:rsidR="0D887A73" w:rsidP="4F882B3B" w:rsidRDefault="0D887A73" w14:paraId="37982DBA" w14:textId="682D95D4">
      <w:pPr>
        <w:spacing w:before="0" w:beforeAutospacing="off" w:after="160" w:afterAutospacing="off" w:line="276" w:lineRule="auto"/>
      </w:pPr>
      <w:r w:rsidRPr="4F882B3B" w:rsidR="0D887A73">
        <w:rPr>
          <w:rFonts w:ascii="Arial" w:hAnsi="Arial" w:eastAsia="Arial" w:cs="Arial"/>
          <w:sz w:val="36"/>
          <w:szCs w:val="36"/>
        </w:rPr>
        <w:t xml:space="preserve"> </w:t>
      </w:r>
    </w:p>
    <w:p w:rsidR="0D887A73" w:rsidP="4F882B3B" w:rsidRDefault="0D887A73" w14:paraId="08524FC3" w14:textId="41FE82BA">
      <w:pPr>
        <w:spacing w:before="0" w:beforeAutospacing="off" w:after="160" w:afterAutospacing="off" w:line="276" w:lineRule="auto"/>
      </w:pPr>
      <w:r w:rsidRPr="4F882B3B" w:rsidR="0D887A73">
        <w:rPr>
          <w:rFonts w:ascii="Arial" w:hAnsi="Arial" w:eastAsia="Arial" w:cs="Arial"/>
          <w:sz w:val="36"/>
          <w:szCs w:val="36"/>
        </w:rPr>
        <w:t xml:space="preserve"> </w:t>
      </w:r>
    </w:p>
    <w:p w:rsidR="0D887A73" w:rsidP="4F882B3B" w:rsidRDefault="0D887A73" w14:paraId="566BE0EB" w14:textId="3058D551">
      <w:pPr>
        <w:spacing w:before="0" w:beforeAutospacing="off" w:after="160" w:afterAutospacing="off" w:line="276" w:lineRule="auto"/>
      </w:pPr>
      <w:r w:rsidRPr="4F882B3B" w:rsidR="0D887A73">
        <w:rPr>
          <w:rFonts w:ascii="Arial" w:hAnsi="Arial" w:eastAsia="Arial" w:cs="Arial"/>
          <w:sz w:val="36"/>
          <w:szCs w:val="36"/>
        </w:rPr>
        <w:t xml:space="preserve"> </w:t>
      </w:r>
      <w:r w:rsidRPr="4F882B3B" w:rsidR="7BCADDCE">
        <w:rPr>
          <w:rFonts w:ascii="Arial" w:hAnsi="Arial" w:eastAsia="Arial" w:cs="Arial"/>
          <w:sz w:val="36"/>
          <w:szCs w:val="36"/>
        </w:rPr>
        <w:t xml:space="preserve">                       </w:t>
      </w:r>
      <w:r w:rsidRPr="4F882B3B" w:rsidR="7BCADDCE">
        <w:rPr>
          <w:rFonts w:ascii="Arial" w:hAnsi="Arial" w:eastAsia="Arial" w:cs="Arial"/>
          <w:sz w:val="28"/>
          <w:szCs w:val="28"/>
        </w:rPr>
        <w:t xml:space="preserve">Submitted </w:t>
      </w:r>
      <w:r w:rsidRPr="4F882B3B" w:rsidR="7BCADDCE">
        <w:rPr>
          <w:rFonts w:ascii="Arial" w:hAnsi="Arial" w:eastAsia="Arial" w:cs="Arial"/>
          <w:sz w:val="28"/>
          <w:szCs w:val="28"/>
        </w:rPr>
        <w:t>on:</w:t>
      </w:r>
      <w:r w:rsidRPr="4F882B3B" w:rsidR="7BCADDCE">
        <w:rPr>
          <w:rFonts w:ascii="Arial" w:hAnsi="Arial" w:eastAsia="Arial" w:cs="Arial"/>
          <w:sz w:val="28"/>
          <w:szCs w:val="28"/>
        </w:rPr>
        <w:t xml:space="preserve"> 16.12.2025</w:t>
      </w:r>
    </w:p>
    <w:p w:rsidR="0D887A73" w:rsidP="4F882B3B" w:rsidRDefault="0D887A73" w14:paraId="6E46F7F3" w14:textId="6F773458">
      <w:pPr>
        <w:spacing w:before="0" w:beforeAutospacing="off" w:after="160" w:afterAutospacing="off" w:line="276" w:lineRule="auto"/>
      </w:pPr>
      <w:r w:rsidRPr="4F882B3B" w:rsidR="0D887A73">
        <w:rPr>
          <w:rFonts w:ascii="Arial" w:hAnsi="Arial" w:eastAsia="Arial" w:cs="Arial"/>
          <w:sz w:val="36"/>
          <w:szCs w:val="36"/>
        </w:rPr>
        <w:t xml:space="preserve"> </w:t>
      </w:r>
    </w:p>
    <w:p w:rsidR="58E90523" w:rsidP="4F882B3B" w:rsidRDefault="58E90523" w14:paraId="428861D4" w14:textId="6670F365">
      <w:pPr>
        <w:spacing w:before="0" w:beforeAutospacing="off" w:after="160" w:afterAutospacing="off" w:line="276" w:lineRule="auto"/>
        <w:rPr>
          <w:rFonts w:ascii="Arial" w:hAnsi="Arial" w:eastAsia="Arial" w:cs="Arial"/>
          <w:noProof w:val="0"/>
          <w:sz w:val="24"/>
          <w:szCs w:val="24"/>
          <w:lang w:val="en-US"/>
        </w:rPr>
      </w:pPr>
      <w:r w:rsidRPr="4F882B3B" w:rsidR="58E90523">
        <w:rPr>
          <w:rFonts w:ascii="Arial" w:hAnsi="Arial" w:eastAsia="Arial" w:cs="Arial"/>
          <w:b w:val="1"/>
          <w:bCs w:val="1"/>
          <w:sz w:val="24"/>
          <w:szCs w:val="24"/>
        </w:rPr>
        <w:t xml:space="preserve">Table of contents </w:t>
      </w:r>
    </w:p>
    <w:p w:rsidR="4F882B3B" w:rsidP="4F882B3B" w:rsidRDefault="4F882B3B" w14:paraId="60C8C325" w14:textId="2AFAC555">
      <w:pPr>
        <w:spacing w:before="0" w:beforeAutospacing="off" w:after="160" w:afterAutospacing="off" w:line="276" w:lineRule="auto"/>
        <w:rPr>
          <w:rFonts w:ascii="Arial" w:hAnsi="Arial" w:eastAsia="Arial" w:cs="Arial"/>
          <w:sz w:val="24"/>
          <w:szCs w:val="24"/>
        </w:rPr>
      </w:pPr>
    </w:p>
    <w:p w:rsidR="228A1BF8" w:rsidP="4F882B3B" w:rsidRDefault="228A1BF8" w14:paraId="48F99AD3" w14:textId="17A29074">
      <w:pPr>
        <w:spacing w:before="0" w:beforeAutospacing="off" w:after="160" w:afterAutospacing="off" w:line="276" w:lineRule="auto"/>
        <w:rPr>
          <w:rFonts w:ascii="Arial" w:hAnsi="Arial" w:eastAsia="Arial" w:cs="Arial"/>
          <w:sz w:val="24"/>
          <w:szCs w:val="24"/>
        </w:rPr>
      </w:pPr>
      <w:r w:rsidRPr="4F882B3B" w:rsidR="228A1BF8">
        <w:rPr>
          <w:rFonts w:ascii="Arial" w:hAnsi="Arial" w:eastAsia="Arial" w:cs="Arial"/>
          <w:b w:val="1"/>
          <w:bCs w:val="1"/>
          <w:sz w:val="24"/>
          <w:szCs w:val="24"/>
        </w:rPr>
        <w:t>Introduction....</w:t>
      </w:r>
      <w:r w:rsidRPr="4F882B3B" w:rsidR="228A1BF8">
        <w:rPr>
          <w:rFonts w:ascii="Arial" w:hAnsi="Arial" w:eastAsia="Arial" w:cs="Arial"/>
          <w:sz w:val="24"/>
          <w:szCs w:val="24"/>
        </w:rPr>
        <w:t>....................................................................................................3</w:t>
      </w:r>
    </w:p>
    <w:p w:rsidR="4F882B3B" w:rsidP="4F882B3B" w:rsidRDefault="4F882B3B" w14:paraId="62ED2153" w14:textId="3C141251">
      <w:pPr>
        <w:pStyle w:val="Normal"/>
        <w:spacing w:before="0" w:beforeAutospacing="off" w:after="160" w:afterAutospacing="off" w:line="276" w:lineRule="auto"/>
        <w:rPr>
          <w:rFonts w:ascii="Arial" w:hAnsi="Arial" w:eastAsia="Arial" w:cs="Arial"/>
          <w:sz w:val="24"/>
          <w:szCs w:val="24"/>
        </w:rPr>
      </w:pPr>
      <w:r w:rsidRPr="4F882B3B" w:rsidR="4F882B3B">
        <w:rPr>
          <w:rFonts w:ascii="Arial" w:hAnsi="Arial" w:eastAsia="Arial" w:cs="Arial"/>
          <w:b w:val="1"/>
          <w:bCs w:val="1"/>
          <w:color w:val="000000" w:themeColor="text1" w:themeTint="FF" w:themeShade="FF"/>
          <w:sz w:val="22"/>
          <w:szCs w:val="22"/>
        </w:rPr>
        <w:t xml:space="preserve">1. </w:t>
      </w:r>
      <w:r w:rsidRPr="4F882B3B" w:rsidR="73A99636">
        <w:rPr>
          <w:rFonts w:ascii="Arial" w:hAnsi="Arial" w:eastAsia="Arial" w:cs="Arial"/>
          <w:b w:val="1"/>
          <w:bCs w:val="1"/>
          <w:color w:val="000000" w:themeColor="text1" w:themeTint="FF" w:themeShade="FF"/>
          <w:sz w:val="22"/>
          <w:szCs w:val="22"/>
        </w:rPr>
        <w:t>Classification and Diagnosis of binge-eating disorder ............................</w:t>
      </w:r>
      <w:r w:rsidRPr="4F882B3B" w:rsidR="2E0C3513">
        <w:rPr>
          <w:rFonts w:ascii="Arial" w:hAnsi="Arial" w:eastAsia="Arial" w:cs="Arial"/>
          <w:b w:val="1"/>
          <w:bCs w:val="1"/>
          <w:color w:val="000000" w:themeColor="text1" w:themeTint="FF" w:themeShade="FF"/>
          <w:sz w:val="22"/>
          <w:szCs w:val="22"/>
        </w:rPr>
        <w:t>..</w:t>
      </w:r>
      <w:r w:rsidRPr="4F882B3B" w:rsidR="73A99636">
        <w:rPr>
          <w:rFonts w:ascii="Arial" w:hAnsi="Arial" w:eastAsia="Arial" w:cs="Arial"/>
          <w:b w:val="1"/>
          <w:bCs w:val="1"/>
          <w:color w:val="000000" w:themeColor="text1" w:themeTint="FF" w:themeShade="FF"/>
          <w:sz w:val="22"/>
          <w:szCs w:val="22"/>
        </w:rPr>
        <w:t>..........3</w:t>
      </w:r>
    </w:p>
    <w:p w:rsidR="73A99636" w:rsidP="4F882B3B" w:rsidRDefault="73A99636" w14:paraId="3863C1F8" w14:textId="79530165">
      <w:pPr>
        <w:spacing w:before="240" w:beforeAutospacing="off" w:after="240" w:afterAutospacing="off" w:line="360" w:lineRule="auto"/>
        <w:jc w:val="both"/>
        <w:rPr>
          <w:rFonts w:ascii="Arial" w:hAnsi="Arial" w:eastAsia="Arial" w:cs="Arial"/>
          <w:b w:val="0"/>
          <w:bCs w:val="0"/>
          <w:noProof w:val="0"/>
          <w:sz w:val="22"/>
          <w:szCs w:val="22"/>
          <w:lang w:val="en-GB"/>
        </w:rPr>
      </w:pPr>
      <w:r w:rsidRPr="4F882B3B" w:rsidR="73A99636">
        <w:rPr>
          <w:rFonts w:ascii="Arial" w:hAnsi="Arial" w:eastAsia="Arial" w:cs="Arial"/>
          <w:b w:val="0"/>
          <w:bCs w:val="0"/>
          <w:noProof w:val="0"/>
          <w:sz w:val="22"/>
          <w:szCs w:val="22"/>
          <w:lang w:val="en-GB"/>
        </w:rPr>
        <w:t>1.1 Diagnostic criteria and diagnostic process for BED....................</w:t>
      </w:r>
      <w:r w:rsidRPr="4F882B3B" w:rsidR="3F7BE5F6">
        <w:rPr>
          <w:rFonts w:ascii="Arial" w:hAnsi="Arial" w:eastAsia="Arial" w:cs="Arial"/>
          <w:b w:val="0"/>
          <w:bCs w:val="0"/>
          <w:noProof w:val="0"/>
          <w:sz w:val="22"/>
          <w:szCs w:val="22"/>
          <w:lang w:val="en-GB"/>
        </w:rPr>
        <w:t>.........</w:t>
      </w:r>
      <w:r w:rsidRPr="4F882B3B" w:rsidR="73A99636">
        <w:rPr>
          <w:rFonts w:ascii="Arial" w:hAnsi="Arial" w:eastAsia="Arial" w:cs="Arial"/>
          <w:b w:val="0"/>
          <w:bCs w:val="0"/>
          <w:noProof w:val="0"/>
          <w:sz w:val="22"/>
          <w:szCs w:val="22"/>
          <w:lang w:val="en-GB"/>
        </w:rPr>
        <w:t>..................3-4</w:t>
      </w:r>
    </w:p>
    <w:p w:rsidR="18B0646D" w:rsidP="4F882B3B" w:rsidRDefault="18B0646D" w14:paraId="0B8C3CA5" w14:textId="3C6C7834">
      <w:pPr>
        <w:pStyle w:val="Normal"/>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4F882B3B" w:rsidR="18B0646D">
        <w:rPr>
          <w:rFonts w:ascii="Arial" w:hAnsi="Arial" w:eastAsia="Arial" w:cs="Arial"/>
          <w:b w:val="0"/>
          <w:bCs w:val="0"/>
          <w:noProof w:val="0"/>
          <w:color w:val="000000" w:themeColor="text1" w:themeTint="FF" w:themeShade="FF"/>
          <w:sz w:val="22"/>
          <w:szCs w:val="22"/>
          <w:lang w:val="en-GB"/>
        </w:rPr>
        <w:t>1.2 The language used in the classification of ICD-11....................</w:t>
      </w:r>
      <w:r w:rsidRPr="4F882B3B" w:rsidR="53F0A842">
        <w:rPr>
          <w:rFonts w:ascii="Arial" w:hAnsi="Arial" w:eastAsia="Arial" w:cs="Arial"/>
          <w:b w:val="0"/>
          <w:bCs w:val="0"/>
          <w:noProof w:val="0"/>
          <w:color w:val="000000" w:themeColor="text1" w:themeTint="FF" w:themeShade="FF"/>
          <w:sz w:val="22"/>
          <w:szCs w:val="22"/>
          <w:lang w:val="en-GB"/>
        </w:rPr>
        <w:t>.......</w:t>
      </w:r>
      <w:r w:rsidRPr="4F882B3B" w:rsidR="18B0646D">
        <w:rPr>
          <w:rFonts w:ascii="Arial" w:hAnsi="Arial" w:eastAsia="Arial" w:cs="Arial"/>
          <w:b w:val="0"/>
          <w:bCs w:val="0"/>
          <w:noProof w:val="0"/>
          <w:color w:val="000000" w:themeColor="text1" w:themeTint="FF" w:themeShade="FF"/>
          <w:sz w:val="22"/>
          <w:szCs w:val="22"/>
          <w:lang w:val="en-GB"/>
        </w:rPr>
        <w:t>.........................4</w:t>
      </w:r>
    </w:p>
    <w:p w:rsidR="18B0646D" w:rsidP="4F882B3B" w:rsidRDefault="18B0646D" w14:paraId="463373ED" w14:textId="49B3C4EC">
      <w:pPr>
        <w:pStyle w:val="Normal"/>
        <w:spacing w:before="240" w:beforeAutospacing="off" w:after="240" w:afterAutospacing="off" w:line="360" w:lineRule="auto"/>
        <w:jc w:val="both"/>
        <w:rPr>
          <w:rFonts w:ascii="Arial" w:hAnsi="Arial" w:eastAsia="Arial" w:cs="Arial"/>
          <w:b w:val="1"/>
          <w:bCs w:val="1"/>
          <w:color w:val="000000" w:themeColor="text1" w:themeTint="FF" w:themeShade="FF"/>
          <w:sz w:val="22"/>
          <w:szCs w:val="22"/>
        </w:rPr>
      </w:pPr>
      <w:r w:rsidRPr="4F882B3B" w:rsidR="18B0646D">
        <w:rPr>
          <w:rFonts w:ascii="Arial" w:hAnsi="Arial" w:eastAsia="Arial" w:cs="Arial"/>
          <w:b w:val="1"/>
          <w:bCs w:val="1"/>
          <w:noProof w:val="0"/>
          <w:sz w:val="22"/>
          <w:szCs w:val="22"/>
          <w:lang w:val="en-GB"/>
        </w:rPr>
        <w:t xml:space="preserve">2. </w:t>
      </w:r>
      <w:r w:rsidRPr="4F882B3B" w:rsidR="18B0646D">
        <w:rPr>
          <w:rFonts w:ascii="Arial" w:hAnsi="Arial" w:eastAsia="Arial" w:cs="Arial"/>
          <w:b w:val="1"/>
          <w:bCs w:val="1"/>
          <w:color w:val="000000" w:themeColor="text1" w:themeTint="FF" w:themeShade="FF"/>
          <w:sz w:val="22"/>
          <w:szCs w:val="22"/>
        </w:rPr>
        <w:t>Treatment and Rehabilitation ............................................................</w:t>
      </w:r>
      <w:r w:rsidRPr="4F882B3B" w:rsidR="041B25EB">
        <w:rPr>
          <w:rFonts w:ascii="Arial" w:hAnsi="Arial" w:eastAsia="Arial" w:cs="Arial"/>
          <w:b w:val="1"/>
          <w:bCs w:val="1"/>
          <w:color w:val="000000" w:themeColor="text1" w:themeTint="FF" w:themeShade="FF"/>
          <w:sz w:val="22"/>
          <w:szCs w:val="22"/>
        </w:rPr>
        <w:t>.</w:t>
      </w:r>
      <w:r w:rsidRPr="4F882B3B" w:rsidR="18B0646D">
        <w:rPr>
          <w:rFonts w:ascii="Arial" w:hAnsi="Arial" w:eastAsia="Arial" w:cs="Arial"/>
          <w:b w:val="1"/>
          <w:bCs w:val="1"/>
          <w:color w:val="000000" w:themeColor="text1" w:themeTint="FF" w:themeShade="FF"/>
          <w:sz w:val="22"/>
          <w:szCs w:val="22"/>
        </w:rPr>
        <w:t>.................4-6</w:t>
      </w:r>
    </w:p>
    <w:p w:rsidR="18B0646D" w:rsidP="4F882B3B" w:rsidRDefault="18B0646D" w14:paraId="539A4805" w14:textId="42F1B307">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2"/>
          <w:szCs w:val="22"/>
          <w:lang w:val="en-GB"/>
        </w:rPr>
      </w:pPr>
      <w:r w:rsidRPr="4F882B3B" w:rsidR="18B0646D">
        <w:rPr>
          <w:rFonts w:ascii="Arial" w:hAnsi="Arial" w:eastAsia="Arial" w:cs="Arial"/>
          <w:b w:val="0"/>
          <w:bCs w:val="0"/>
          <w:noProof w:val="0"/>
          <w:sz w:val="22"/>
          <w:szCs w:val="22"/>
          <w:lang w:val="en-GB"/>
        </w:rPr>
        <w:t>2.1 Rehabilitation in ICD-11 and in practice.....................................................</w:t>
      </w:r>
      <w:r w:rsidRPr="4F882B3B" w:rsidR="64BA28A3">
        <w:rPr>
          <w:rFonts w:ascii="Arial" w:hAnsi="Arial" w:eastAsia="Arial" w:cs="Arial"/>
          <w:b w:val="0"/>
          <w:bCs w:val="0"/>
          <w:noProof w:val="0"/>
          <w:sz w:val="22"/>
          <w:szCs w:val="22"/>
          <w:lang w:val="en-GB"/>
        </w:rPr>
        <w:t>....</w:t>
      </w:r>
      <w:r w:rsidRPr="4F882B3B" w:rsidR="18B0646D">
        <w:rPr>
          <w:rFonts w:ascii="Arial" w:hAnsi="Arial" w:eastAsia="Arial" w:cs="Arial"/>
          <w:b w:val="0"/>
          <w:bCs w:val="0"/>
          <w:noProof w:val="0"/>
          <w:sz w:val="22"/>
          <w:szCs w:val="22"/>
          <w:lang w:val="en-GB"/>
        </w:rPr>
        <w:t>.......</w:t>
      </w:r>
      <w:r w:rsidRPr="4F882B3B" w:rsidR="53050963">
        <w:rPr>
          <w:rFonts w:ascii="Arial" w:hAnsi="Arial" w:eastAsia="Arial" w:cs="Arial"/>
          <w:b w:val="0"/>
          <w:bCs w:val="0"/>
          <w:noProof w:val="0"/>
          <w:sz w:val="22"/>
          <w:szCs w:val="22"/>
          <w:lang w:val="en-GB"/>
        </w:rPr>
        <w:t>6-7</w:t>
      </w:r>
    </w:p>
    <w:p w:rsidR="0D745217" w:rsidP="4F882B3B" w:rsidRDefault="0D745217" w14:paraId="0731603E" w14:textId="655885FE">
      <w:pPr>
        <w:bidi w:val="0"/>
        <w:spacing w:before="240" w:beforeAutospacing="off" w:after="240" w:afterAutospacing="off" w:line="360" w:lineRule="auto"/>
        <w:jc w:val="both"/>
        <w:rPr>
          <w:rFonts w:ascii="Arial" w:hAnsi="Arial" w:eastAsia="Arial" w:cs="Arial"/>
          <w:noProof w:val="0"/>
          <w:sz w:val="22"/>
          <w:szCs w:val="22"/>
          <w:lang w:val="en-GB"/>
        </w:rPr>
      </w:pPr>
      <w:r w:rsidRPr="4F882B3B" w:rsidR="0D745217">
        <w:rPr>
          <w:rFonts w:ascii="Arial" w:hAnsi="Arial" w:eastAsia="Arial" w:cs="Arial"/>
          <w:noProof w:val="0"/>
          <w:sz w:val="22"/>
          <w:szCs w:val="22"/>
          <w:lang w:val="en-GB"/>
        </w:rPr>
        <w:t>2.2 Rehabilitation measures in practice.....................................................................</w:t>
      </w:r>
      <w:r w:rsidRPr="4F882B3B" w:rsidR="134549D1">
        <w:rPr>
          <w:rFonts w:ascii="Arial" w:hAnsi="Arial" w:eastAsia="Arial" w:cs="Arial"/>
          <w:noProof w:val="0"/>
          <w:sz w:val="22"/>
          <w:szCs w:val="22"/>
          <w:lang w:val="en-GB"/>
        </w:rPr>
        <w:t>.</w:t>
      </w:r>
      <w:r w:rsidRPr="4F882B3B" w:rsidR="0D745217">
        <w:rPr>
          <w:rFonts w:ascii="Arial" w:hAnsi="Arial" w:eastAsia="Arial" w:cs="Arial"/>
          <w:noProof w:val="0"/>
          <w:sz w:val="22"/>
          <w:szCs w:val="22"/>
          <w:lang w:val="en-GB"/>
        </w:rPr>
        <w:t>....7</w:t>
      </w:r>
    </w:p>
    <w:p w:rsidR="03FEFD70" w:rsidP="4F882B3B" w:rsidRDefault="03FEFD70" w14:paraId="7E743339" w14:textId="6348E22F">
      <w:pPr>
        <w:bidi w:val="0"/>
        <w:spacing w:before="240" w:beforeAutospacing="off" w:after="240" w:afterAutospacing="off" w:line="360" w:lineRule="auto"/>
        <w:jc w:val="both"/>
        <w:rPr>
          <w:rFonts w:ascii="Arial" w:hAnsi="Arial" w:eastAsia="Arial" w:cs="Arial"/>
          <w:noProof w:val="0"/>
          <w:sz w:val="22"/>
          <w:szCs w:val="22"/>
          <w:lang w:val="en-GB"/>
        </w:rPr>
      </w:pPr>
      <w:r w:rsidRPr="4F882B3B" w:rsidR="03FEFD70">
        <w:rPr>
          <w:rFonts w:ascii="Arial" w:hAnsi="Arial" w:eastAsia="Arial" w:cs="Arial"/>
          <w:noProof w:val="0"/>
          <w:sz w:val="22"/>
          <w:szCs w:val="22"/>
          <w:lang w:val="en-GB"/>
        </w:rPr>
        <w:t>2.3 Critical evaluation and implications.................................................................</w:t>
      </w:r>
      <w:r w:rsidRPr="4F882B3B" w:rsidR="08D94010">
        <w:rPr>
          <w:rFonts w:ascii="Arial" w:hAnsi="Arial" w:eastAsia="Arial" w:cs="Arial"/>
          <w:noProof w:val="0"/>
          <w:sz w:val="22"/>
          <w:szCs w:val="22"/>
          <w:lang w:val="en-GB"/>
        </w:rPr>
        <w:t>.</w:t>
      </w:r>
      <w:r w:rsidRPr="4F882B3B" w:rsidR="03FEFD70">
        <w:rPr>
          <w:rFonts w:ascii="Arial" w:hAnsi="Arial" w:eastAsia="Arial" w:cs="Arial"/>
          <w:noProof w:val="0"/>
          <w:sz w:val="22"/>
          <w:szCs w:val="22"/>
          <w:lang w:val="en-GB"/>
        </w:rPr>
        <w:t>.....7-8</w:t>
      </w:r>
    </w:p>
    <w:p w:rsidR="75C3191B" w:rsidP="4F882B3B" w:rsidRDefault="75C3191B" w14:paraId="0A9B43EF" w14:textId="32A53690">
      <w:pPr>
        <w:spacing w:before="240" w:beforeAutospacing="off" w:after="240" w:afterAutospacing="off" w:line="360" w:lineRule="auto"/>
        <w:rPr>
          <w:rFonts w:ascii="Arial" w:hAnsi="Arial" w:eastAsia="Arial" w:cs="Arial"/>
          <w:b w:val="1"/>
          <w:bCs w:val="1"/>
          <w:noProof w:val="0"/>
          <w:sz w:val="22"/>
          <w:szCs w:val="22"/>
          <w:lang w:val="en-GB"/>
        </w:rPr>
      </w:pPr>
      <w:r w:rsidRPr="4F882B3B" w:rsidR="75C3191B">
        <w:rPr>
          <w:rFonts w:ascii="Arial" w:hAnsi="Arial" w:eastAsia="Arial" w:cs="Arial"/>
          <w:b w:val="1"/>
          <w:bCs w:val="1"/>
          <w:color w:val="000000" w:themeColor="text1" w:themeTint="FF" w:themeShade="FF"/>
          <w:sz w:val="22"/>
          <w:szCs w:val="22"/>
        </w:rPr>
        <w:t xml:space="preserve">3. Current Debates and Emerging Issues: </w:t>
      </w:r>
      <w:r w:rsidRPr="4F882B3B" w:rsidR="75C3191B">
        <w:rPr>
          <w:rFonts w:ascii="Arial" w:hAnsi="Arial" w:eastAsia="Arial" w:cs="Arial"/>
          <w:b w:val="1"/>
          <w:bCs w:val="1"/>
          <w:noProof w:val="0"/>
          <w:sz w:val="22"/>
          <w:szCs w:val="22"/>
          <w:lang w:val="en-GB"/>
        </w:rPr>
        <w:t>in binge‑eating disorder (BED)......</w:t>
      </w:r>
      <w:r w:rsidRPr="4F882B3B" w:rsidR="07EE79D5">
        <w:rPr>
          <w:rFonts w:ascii="Arial" w:hAnsi="Arial" w:eastAsia="Arial" w:cs="Arial"/>
          <w:b w:val="1"/>
          <w:bCs w:val="1"/>
          <w:noProof w:val="0"/>
          <w:sz w:val="22"/>
          <w:szCs w:val="22"/>
          <w:lang w:val="en-GB"/>
        </w:rPr>
        <w:t>....</w:t>
      </w:r>
      <w:r w:rsidRPr="4F882B3B" w:rsidR="75C3191B">
        <w:rPr>
          <w:rFonts w:ascii="Arial" w:hAnsi="Arial" w:eastAsia="Arial" w:cs="Arial"/>
          <w:b w:val="1"/>
          <w:bCs w:val="1"/>
          <w:noProof w:val="0"/>
          <w:sz w:val="22"/>
          <w:szCs w:val="22"/>
          <w:lang w:val="en-GB"/>
        </w:rPr>
        <w:t>..8</w:t>
      </w:r>
    </w:p>
    <w:p w:rsidR="75C3191B" w:rsidP="4F882B3B" w:rsidRDefault="75C3191B" w14:paraId="3C9C54D9" w14:textId="65A9B31E">
      <w:pPr>
        <w:pStyle w:val="Normal"/>
        <w:spacing w:before="240" w:beforeAutospacing="off" w:after="240" w:afterAutospacing="off" w:line="360" w:lineRule="auto"/>
        <w:rPr>
          <w:rFonts w:ascii="Arial" w:hAnsi="Arial" w:eastAsia="Arial" w:cs="Arial"/>
          <w:b w:val="1"/>
          <w:bCs w:val="1"/>
          <w:color w:val="000000" w:themeColor="text1" w:themeTint="FF" w:themeShade="FF"/>
          <w:sz w:val="22"/>
          <w:szCs w:val="22"/>
        </w:rPr>
      </w:pPr>
      <w:r w:rsidRPr="4F882B3B" w:rsidR="75C3191B">
        <w:rPr>
          <w:rFonts w:ascii="Arial" w:hAnsi="Arial" w:eastAsia="Arial" w:cs="Arial"/>
          <w:b w:val="1"/>
          <w:bCs w:val="1"/>
          <w:color w:val="000000" w:themeColor="text1" w:themeTint="FF" w:themeShade="FF"/>
          <w:sz w:val="22"/>
          <w:szCs w:val="22"/>
        </w:rPr>
        <w:t>4. Recommendations for binge –eating disorder (BED)...........................................9</w:t>
      </w:r>
    </w:p>
    <w:p w:rsidR="75C3191B" w:rsidP="4F882B3B" w:rsidRDefault="75C3191B" w14:paraId="46F91C89" w14:textId="6E3D40E7">
      <w:pPr>
        <w:spacing w:before="240" w:beforeAutospacing="off" w:after="240" w:afterAutospacing="off" w:line="360" w:lineRule="auto"/>
        <w:jc w:val="both"/>
        <w:rPr>
          <w:rFonts w:ascii="Arial" w:hAnsi="Arial" w:eastAsia="Arial" w:cs="Arial"/>
          <w:noProof w:val="0"/>
          <w:sz w:val="22"/>
          <w:szCs w:val="22"/>
          <w:lang w:val="en-GB"/>
        </w:rPr>
      </w:pPr>
      <w:r w:rsidRPr="4F882B3B" w:rsidR="75C3191B">
        <w:rPr>
          <w:rFonts w:ascii="Arial" w:hAnsi="Arial" w:eastAsia="Arial" w:cs="Arial"/>
          <w:noProof w:val="0"/>
          <w:sz w:val="22"/>
          <w:szCs w:val="22"/>
          <w:lang w:val="en-GB"/>
        </w:rPr>
        <w:t>4.1 Implications for binge‑eating disorder (BED).....................................................</w:t>
      </w:r>
      <w:r w:rsidRPr="4F882B3B" w:rsidR="706A631F">
        <w:rPr>
          <w:rFonts w:ascii="Arial" w:hAnsi="Arial" w:eastAsia="Arial" w:cs="Arial"/>
          <w:noProof w:val="0"/>
          <w:sz w:val="22"/>
          <w:szCs w:val="22"/>
          <w:lang w:val="en-GB"/>
        </w:rPr>
        <w:t>.</w:t>
      </w:r>
      <w:r w:rsidRPr="4F882B3B" w:rsidR="75C3191B">
        <w:rPr>
          <w:rFonts w:ascii="Arial" w:hAnsi="Arial" w:eastAsia="Arial" w:cs="Arial"/>
          <w:noProof w:val="0"/>
          <w:sz w:val="22"/>
          <w:szCs w:val="22"/>
          <w:lang w:val="en-GB"/>
        </w:rPr>
        <w:t>......9</w:t>
      </w:r>
    </w:p>
    <w:p w:rsidR="75C3191B" w:rsidP="4F882B3B" w:rsidRDefault="75C3191B" w14:paraId="02F35AEF" w14:textId="6A54826D">
      <w:pPr>
        <w:pStyle w:val="Normal"/>
        <w:spacing w:before="240" w:beforeAutospacing="off" w:after="240" w:afterAutospacing="off" w:line="360" w:lineRule="auto"/>
        <w:rPr>
          <w:rFonts w:ascii="Arial" w:hAnsi="Arial" w:eastAsia="Arial" w:cs="Arial"/>
          <w:b w:val="1"/>
          <w:bCs w:val="1"/>
          <w:color w:val="000000" w:themeColor="text1" w:themeTint="FF" w:themeShade="FF"/>
          <w:sz w:val="22"/>
          <w:szCs w:val="22"/>
        </w:rPr>
      </w:pPr>
      <w:r w:rsidRPr="4F882B3B" w:rsidR="75C3191B">
        <w:rPr>
          <w:rFonts w:ascii="Arial" w:hAnsi="Arial" w:eastAsia="Arial" w:cs="Arial"/>
          <w:b w:val="1"/>
          <w:bCs w:val="1"/>
          <w:color w:val="000000" w:themeColor="text1" w:themeTint="FF" w:themeShade="FF"/>
          <w:sz w:val="22"/>
          <w:szCs w:val="22"/>
        </w:rPr>
        <w:t>Conclusion...................................................................................................................10</w:t>
      </w:r>
    </w:p>
    <w:p w:rsidR="4F882B3B" w:rsidP="4F882B3B" w:rsidRDefault="4F882B3B" w14:paraId="5F9B11C7" w14:textId="1239A6B9">
      <w:pPr>
        <w:bidi w:val="0"/>
        <w:spacing w:before="240" w:beforeAutospacing="off" w:after="240" w:afterAutospacing="off" w:line="360" w:lineRule="auto"/>
        <w:jc w:val="both"/>
        <w:rPr>
          <w:rFonts w:ascii="Arial" w:hAnsi="Arial" w:eastAsia="Arial" w:cs="Arial"/>
          <w:noProof w:val="0"/>
          <w:sz w:val="22"/>
          <w:szCs w:val="22"/>
          <w:lang w:val="en-GB"/>
        </w:rPr>
      </w:pPr>
    </w:p>
    <w:p w:rsidR="4F882B3B" w:rsidP="4F882B3B" w:rsidRDefault="4F882B3B" w14:paraId="24A7B591" w14:textId="24DAAD43">
      <w:pPr>
        <w:bidi w:val="0"/>
        <w:spacing w:before="240" w:beforeAutospacing="off" w:after="240" w:afterAutospacing="off" w:line="360" w:lineRule="auto"/>
        <w:jc w:val="both"/>
        <w:rPr>
          <w:rFonts w:ascii="Arial" w:hAnsi="Arial" w:eastAsia="Arial" w:cs="Arial"/>
          <w:noProof w:val="0"/>
          <w:sz w:val="22"/>
          <w:szCs w:val="22"/>
          <w:lang w:val="en-GB"/>
        </w:rPr>
      </w:pPr>
    </w:p>
    <w:p w:rsidR="4F882B3B" w:rsidP="4F882B3B" w:rsidRDefault="4F882B3B" w14:paraId="0349BB4C" w14:textId="583FC6E5">
      <w:pPr>
        <w:pStyle w:val="Normal"/>
        <w:suppressLineNumbers w:val="0"/>
        <w:bidi w:val="0"/>
        <w:spacing w:before="240" w:beforeAutospacing="off" w:after="240" w:afterAutospacing="off" w:line="360" w:lineRule="auto"/>
        <w:jc w:val="both"/>
        <w:rPr>
          <w:rFonts w:ascii="Arial" w:hAnsi="Arial" w:eastAsia="Arial" w:cs="Arial"/>
          <w:b w:val="0"/>
          <w:bCs w:val="0"/>
          <w:noProof w:val="0"/>
          <w:sz w:val="22"/>
          <w:szCs w:val="22"/>
          <w:lang w:val="en-GB"/>
        </w:rPr>
      </w:pPr>
    </w:p>
    <w:p w:rsidR="4F882B3B" w:rsidP="4F882B3B" w:rsidRDefault="4F882B3B" w14:paraId="0D0B1DE5" w14:textId="5EB5046A">
      <w:pPr>
        <w:pStyle w:val="Normal"/>
        <w:spacing w:before="240" w:beforeAutospacing="off" w:after="240" w:afterAutospacing="off" w:line="360" w:lineRule="auto"/>
        <w:jc w:val="both"/>
        <w:rPr>
          <w:rFonts w:ascii="Arial" w:hAnsi="Arial" w:eastAsia="Arial" w:cs="Arial"/>
          <w:b w:val="1"/>
          <w:bCs w:val="1"/>
          <w:color w:val="000000" w:themeColor="text1" w:themeTint="FF" w:themeShade="FF"/>
          <w:sz w:val="22"/>
          <w:szCs w:val="22"/>
        </w:rPr>
      </w:pPr>
    </w:p>
    <w:p w:rsidR="4F882B3B" w:rsidP="4F882B3B" w:rsidRDefault="4F882B3B" w14:paraId="694C2505" w14:textId="6C63FFEE">
      <w:pPr>
        <w:pStyle w:val="Normal"/>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p>
    <w:p w:rsidR="4F882B3B" w:rsidP="4F882B3B" w:rsidRDefault="4F882B3B" w14:paraId="6C2EF744" w14:textId="23D34499">
      <w:pPr>
        <w:spacing w:before="240" w:beforeAutospacing="off" w:after="240" w:afterAutospacing="off" w:line="360" w:lineRule="auto"/>
        <w:jc w:val="both"/>
        <w:rPr>
          <w:rFonts w:ascii="Arial" w:hAnsi="Arial" w:eastAsia="Arial" w:cs="Arial"/>
          <w:b w:val="1"/>
          <w:bCs w:val="1"/>
          <w:noProof w:val="0"/>
          <w:sz w:val="22"/>
          <w:szCs w:val="22"/>
          <w:lang w:val="en-GB"/>
        </w:rPr>
      </w:pPr>
    </w:p>
    <w:p w:rsidR="4F882B3B" w:rsidP="4F882B3B" w:rsidRDefault="4F882B3B" w14:paraId="7AFBAD48" w14:textId="27C881E3">
      <w:pPr>
        <w:spacing w:before="240" w:beforeAutospacing="off" w:after="240" w:afterAutospacing="off" w:line="360" w:lineRule="auto"/>
        <w:jc w:val="both"/>
        <w:rPr>
          <w:rFonts w:ascii="Arial" w:hAnsi="Arial" w:eastAsia="Arial" w:cs="Arial"/>
          <w:b w:val="1"/>
          <w:bCs w:val="1"/>
          <w:noProof w:val="0"/>
          <w:sz w:val="22"/>
          <w:szCs w:val="22"/>
          <w:lang w:val="en-GB"/>
        </w:rPr>
      </w:pPr>
    </w:p>
    <w:p w:rsidR="73A99636" w:rsidP="4F882B3B" w:rsidRDefault="73A99636" w14:paraId="7765BAFF" w14:textId="5B744542">
      <w:pPr>
        <w:pStyle w:val="Normal"/>
        <w:spacing w:before="0" w:beforeAutospacing="off" w:after="160" w:afterAutospacing="off" w:line="276" w:lineRule="auto"/>
        <w:rPr>
          <w:rFonts w:ascii="Arial" w:hAnsi="Arial" w:eastAsia="Arial" w:cs="Arial"/>
          <w:sz w:val="24"/>
          <w:szCs w:val="24"/>
        </w:rPr>
      </w:pPr>
      <w:r w:rsidRPr="4F882B3B" w:rsidR="73A99636">
        <w:rPr>
          <w:rFonts w:ascii="Arial" w:hAnsi="Arial" w:eastAsia="Arial" w:cs="Arial"/>
          <w:b w:val="1"/>
          <w:bCs w:val="1"/>
          <w:color w:val="000000" w:themeColor="text1" w:themeTint="FF" w:themeShade="FF"/>
          <w:sz w:val="22"/>
          <w:szCs w:val="22"/>
        </w:rPr>
        <w:t xml:space="preserve">                        </w:t>
      </w:r>
    </w:p>
    <w:p w:rsidR="4F882B3B" w:rsidP="4F882B3B" w:rsidRDefault="4F882B3B" w14:paraId="316C2405" w14:textId="14D5BEDD">
      <w:pPr>
        <w:pStyle w:val="Normal"/>
        <w:spacing w:before="0" w:beforeAutospacing="off" w:after="160" w:afterAutospacing="off" w:line="276" w:lineRule="auto"/>
        <w:rPr>
          <w:rFonts w:ascii="Source Sans Pro" w:hAnsi="Source Sans Pro" w:eastAsia="Source Sans Pro" w:cs="Source Sans Pro"/>
          <w:b w:val="0"/>
          <w:bCs w:val="0"/>
          <w:i w:val="0"/>
          <w:iCs w:val="0"/>
          <w:caps w:val="0"/>
          <w:smallCaps w:val="0"/>
          <w:color w:val="3A3A3A" w:themeColor="background2" w:themeTint="FF" w:themeShade="40"/>
          <w:sz w:val="22"/>
          <w:szCs w:val="22"/>
        </w:rPr>
      </w:pPr>
    </w:p>
    <w:p w:rsidR="0D887A73" w:rsidP="4F882B3B" w:rsidRDefault="0D887A73" w14:paraId="7C3CC7D4" w14:textId="6AB73900">
      <w:pPr>
        <w:pStyle w:val="Normal"/>
        <w:spacing w:before="0" w:beforeAutospacing="off" w:after="160" w:afterAutospacing="off" w:line="276" w:lineRule="auto"/>
        <w:rPr>
          <w:rFonts w:ascii="Arial" w:hAnsi="Arial" w:eastAsia="Arial" w:cs="Arial"/>
          <w:b w:val="1"/>
          <w:bCs w:val="1"/>
          <w:sz w:val="22"/>
          <w:szCs w:val="22"/>
        </w:rPr>
      </w:pPr>
      <w:r w:rsidRPr="4F882B3B" w:rsidR="0D887A73">
        <w:rPr>
          <w:rFonts w:ascii="Arial" w:hAnsi="Arial" w:eastAsia="Arial" w:cs="Arial"/>
          <w:b w:val="1"/>
          <w:bCs w:val="1"/>
          <w:sz w:val="22"/>
          <w:szCs w:val="22"/>
        </w:rPr>
        <w:t>Introduction</w:t>
      </w:r>
    </w:p>
    <w:p w:rsidR="1FCB2984" w:rsidP="4F882B3B" w:rsidRDefault="1FCB2984" w14:paraId="11405A6B" w14:textId="020AD2AC">
      <w:pPr>
        <w:pStyle w:val="Normal"/>
        <w:spacing w:before="0" w:beforeAutospacing="off" w:after="160" w:afterAutospacing="off" w:line="360" w:lineRule="auto"/>
        <w:jc w:val="both"/>
        <w:rPr>
          <w:rFonts w:ascii="Arial" w:hAnsi="Arial" w:eastAsia="Arial" w:cs="Arial"/>
          <w:b w:val="0"/>
          <w:bCs w:val="0"/>
          <w:i w:val="0"/>
          <w:iCs w:val="0"/>
          <w:caps w:val="0"/>
          <w:smallCaps w:val="0"/>
          <w:color w:val="3A3A3A" w:themeColor="background2" w:themeTint="FF" w:themeShade="40"/>
          <w:sz w:val="22"/>
          <w:szCs w:val="22"/>
        </w:rPr>
      </w:pPr>
      <w:r w:rsidRPr="4F882B3B" w:rsidR="1FCB2984">
        <w:rPr>
          <w:rFonts w:ascii="Arial" w:hAnsi="Arial" w:eastAsia="Arial" w:cs="Arial"/>
          <w:sz w:val="22"/>
          <w:szCs w:val="22"/>
        </w:rPr>
        <w:t xml:space="preserve">Binge Eating Disorder (BED) is a serious mental health condition characterised by recurrent episodes of consuming unusually </w:t>
      </w:r>
      <w:r w:rsidRPr="4F882B3B" w:rsidR="1FCB2984">
        <w:rPr>
          <w:rFonts w:ascii="Arial" w:hAnsi="Arial" w:eastAsia="Arial" w:cs="Arial"/>
          <w:sz w:val="22"/>
          <w:szCs w:val="22"/>
        </w:rPr>
        <w:t>large amounts</w:t>
      </w:r>
      <w:r w:rsidRPr="4F882B3B" w:rsidR="1FCB2984">
        <w:rPr>
          <w:rFonts w:ascii="Arial" w:hAnsi="Arial" w:eastAsia="Arial" w:cs="Arial"/>
          <w:sz w:val="22"/>
          <w:szCs w:val="22"/>
        </w:rPr>
        <w:t xml:space="preserve"> of food accompanied by a sense of loss of control. Unlike bulimia nervosa, BED does not involve compensatory behaviours such as purging, fasting, or excessive exercise. The disorder is strongly associated with obesity and often leads to significant psychological distress, including anxiety, depression, and negative affect. Furthermore, BED increases the risk of comorbid medical conditions such as type 2 diabetes, hypertension, and hypercholesterolemia, making it a major concern for both physical and mental health</w:t>
      </w:r>
      <w:r w:rsidRPr="4F882B3B" w:rsidR="32A70BE6">
        <w:rPr>
          <w:rFonts w:ascii="Arial" w:hAnsi="Arial" w:eastAsia="Arial" w:cs="Arial"/>
          <w:sz w:val="22"/>
          <w:szCs w:val="22"/>
        </w:rPr>
        <w:t xml:space="preserve"> (</w:t>
      </w:r>
      <w:r w:rsidRPr="4F882B3B" w:rsidR="32A70BE6">
        <w:rPr>
          <w:rFonts w:ascii="Arial" w:hAnsi="Arial" w:eastAsia="Arial" w:cs="Arial"/>
          <w:b w:val="0"/>
          <w:bCs w:val="0"/>
          <w:i w:val="0"/>
          <w:iCs w:val="0"/>
          <w:caps w:val="0"/>
          <w:smallCaps w:val="0"/>
          <w:color w:val="3A3A3A" w:themeColor="background2" w:themeTint="FF" w:themeShade="40"/>
          <w:sz w:val="22"/>
          <w:szCs w:val="22"/>
        </w:rPr>
        <w:t xml:space="preserve">Agüera, Z. </w:t>
      </w:r>
      <w:r w:rsidRPr="4F882B3B" w:rsidR="32A70BE6">
        <w:rPr>
          <w:rFonts w:ascii="Arial" w:hAnsi="Arial" w:eastAsia="Arial" w:cs="Arial"/>
          <w:b w:val="0"/>
          <w:bCs w:val="0"/>
          <w:i w:val="1"/>
          <w:iCs w:val="1"/>
          <w:caps w:val="0"/>
          <w:smallCaps w:val="0"/>
          <w:color w:val="3A3A3A" w:themeColor="background2" w:themeTint="FF" w:themeShade="40"/>
          <w:sz w:val="22"/>
          <w:szCs w:val="22"/>
        </w:rPr>
        <w:t>et al,</w:t>
      </w:r>
      <w:r w:rsidRPr="4F882B3B" w:rsidR="32A70BE6">
        <w:rPr>
          <w:rFonts w:ascii="Arial" w:hAnsi="Arial" w:eastAsia="Arial" w:cs="Arial"/>
          <w:b w:val="0"/>
          <w:bCs w:val="0"/>
          <w:i w:val="0"/>
          <w:iCs w:val="0"/>
          <w:caps w:val="0"/>
          <w:smallCaps w:val="0"/>
          <w:color w:val="3A3A3A" w:themeColor="background2" w:themeTint="FF" w:themeShade="40"/>
          <w:sz w:val="22"/>
          <w:szCs w:val="22"/>
        </w:rPr>
        <w:t>20</w:t>
      </w:r>
      <w:r w:rsidRPr="4F882B3B" w:rsidR="628E50EE">
        <w:rPr>
          <w:rFonts w:ascii="Arial" w:hAnsi="Arial" w:eastAsia="Arial" w:cs="Arial"/>
          <w:b w:val="0"/>
          <w:bCs w:val="0"/>
          <w:i w:val="0"/>
          <w:iCs w:val="0"/>
          <w:caps w:val="0"/>
          <w:smallCaps w:val="0"/>
          <w:color w:val="3A3A3A" w:themeColor="background2" w:themeTint="FF" w:themeShade="40"/>
          <w:sz w:val="22"/>
          <w:szCs w:val="22"/>
        </w:rPr>
        <w:t xml:space="preserve">21). </w:t>
      </w:r>
      <w:r w:rsidRPr="4F882B3B" w:rsidR="28999857">
        <w:rPr>
          <w:rFonts w:ascii="Arial" w:hAnsi="Arial" w:eastAsia="Arial" w:cs="Arial"/>
          <w:noProof w:val="0"/>
          <w:sz w:val="22"/>
          <w:szCs w:val="22"/>
          <w:lang w:val="en-GB"/>
        </w:rPr>
        <w:t>This report will provide a detailed analysis of how BED is classified within ICD‑11, highlighting the diagnostic criteria and the specific language used in its categorisation. It will then critically evaluate standard treatment approaches and rehabilitation measures, assessing both their effectiveness and limitations. The discussion will extend to current debates and emerging issues, including neurodivergence and reclassification concerns, before presenting well‑reasoned recommendations aimed at improving classification, diagnosis, treatment, and rehabilitation, with implications for practice, policy, and future research.</w:t>
      </w:r>
    </w:p>
    <w:p w:rsidR="06374640" w:rsidP="4F882B3B" w:rsidRDefault="06374640" w14:paraId="123E4615" w14:textId="3FB5F051">
      <w:pPr>
        <w:spacing w:before="240" w:beforeAutospacing="off" w:after="240" w:afterAutospacing="off" w:line="360" w:lineRule="auto"/>
        <w:rPr>
          <w:rFonts w:ascii="Arial" w:hAnsi="Arial" w:eastAsia="Arial" w:cs="Arial"/>
          <w:noProof w:val="0"/>
          <w:sz w:val="22"/>
          <w:szCs w:val="22"/>
          <w:lang w:val="en-GB"/>
        </w:rPr>
      </w:pPr>
      <w:r w:rsidRPr="4F882B3B" w:rsidR="06374640">
        <w:rPr>
          <w:rFonts w:ascii="Arial" w:hAnsi="Arial" w:eastAsia="Arial" w:cs="Arial"/>
          <w:b w:val="1"/>
          <w:bCs w:val="1"/>
          <w:color w:val="000000" w:themeColor="text1" w:themeTint="FF" w:themeShade="FF"/>
          <w:sz w:val="22"/>
          <w:szCs w:val="22"/>
        </w:rPr>
        <w:t>1</w:t>
      </w:r>
      <w:r w:rsidRPr="4F882B3B" w:rsidR="04C7AA74">
        <w:rPr>
          <w:rFonts w:ascii="Arial" w:hAnsi="Arial" w:eastAsia="Arial" w:cs="Arial"/>
          <w:b w:val="1"/>
          <w:bCs w:val="1"/>
          <w:color w:val="000000" w:themeColor="text1" w:themeTint="FF" w:themeShade="FF"/>
          <w:sz w:val="22"/>
          <w:szCs w:val="22"/>
        </w:rPr>
        <w:t xml:space="preserve">. </w:t>
      </w:r>
      <w:r w:rsidRPr="4F882B3B" w:rsidR="0D887A73">
        <w:rPr>
          <w:rFonts w:ascii="Arial" w:hAnsi="Arial" w:eastAsia="Arial" w:cs="Arial"/>
          <w:b w:val="1"/>
          <w:bCs w:val="1"/>
          <w:color w:val="000000" w:themeColor="text1" w:themeTint="FF" w:themeShade="FF"/>
          <w:sz w:val="22"/>
          <w:szCs w:val="22"/>
        </w:rPr>
        <w:t>Classification an</w:t>
      </w:r>
      <w:r w:rsidRPr="4F882B3B" w:rsidR="330139B2">
        <w:rPr>
          <w:rFonts w:ascii="Arial" w:hAnsi="Arial" w:eastAsia="Arial" w:cs="Arial"/>
          <w:b w:val="1"/>
          <w:bCs w:val="1"/>
          <w:color w:val="000000" w:themeColor="text1" w:themeTint="FF" w:themeShade="FF"/>
          <w:sz w:val="22"/>
          <w:szCs w:val="22"/>
        </w:rPr>
        <w:t xml:space="preserve">d </w:t>
      </w:r>
      <w:r w:rsidRPr="4F882B3B" w:rsidR="330139B2">
        <w:rPr>
          <w:rFonts w:ascii="Arial" w:hAnsi="Arial" w:eastAsia="Arial" w:cs="Arial"/>
          <w:b w:val="1"/>
          <w:bCs w:val="1"/>
          <w:color w:val="000000" w:themeColor="text1" w:themeTint="FF" w:themeShade="FF"/>
          <w:sz w:val="22"/>
          <w:szCs w:val="22"/>
        </w:rPr>
        <w:t>Diagnosis of</w:t>
      </w:r>
      <w:r w:rsidRPr="4F882B3B" w:rsidR="6C2E1A80">
        <w:rPr>
          <w:rFonts w:ascii="Arial" w:hAnsi="Arial" w:eastAsia="Arial" w:cs="Arial"/>
          <w:b w:val="1"/>
          <w:bCs w:val="1"/>
          <w:color w:val="000000" w:themeColor="text1" w:themeTint="FF" w:themeShade="FF"/>
          <w:sz w:val="22"/>
          <w:szCs w:val="22"/>
        </w:rPr>
        <w:t xml:space="preserve"> binge-eating disorder</w:t>
      </w:r>
      <w:r w:rsidRPr="4F882B3B" w:rsidR="1EB8D843">
        <w:rPr>
          <w:rFonts w:ascii="Arial" w:hAnsi="Arial" w:eastAsia="Arial" w:cs="Arial"/>
          <w:b w:val="1"/>
          <w:bCs w:val="1"/>
          <w:color w:val="000000" w:themeColor="text1" w:themeTint="FF" w:themeShade="FF"/>
          <w:sz w:val="22"/>
          <w:szCs w:val="22"/>
        </w:rPr>
        <w:t xml:space="preserve">                                                                   </w:t>
      </w:r>
      <w:r w:rsidRPr="4F882B3B" w:rsidR="01C8026F">
        <w:rPr>
          <w:rFonts w:ascii="Arial" w:hAnsi="Arial" w:eastAsia="Arial" w:cs="Arial"/>
          <w:b w:val="1"/>
          <w:bCs w:val="1"/>
          <w:color w:val="000000" w:themeColor="text1" w:themeTint="FF" w:themeShade="FF"/>
          <w:sz w:val="22"/>
          <w:szCs w:val="22"/>
        </w:rPr>
        <w:t xml:space="preserve">                                                     </w:t>
      </w:r>
      <w:r w:rsidRPr="4F882B3B" w:rsidR="62EB4A12">
        <w:rPr>
          <w:rFonts w:ascii="Arial" w:hAnsi="Arial" w:eastAsia="Arial" w:cs="Arial"/>
          <w:b w:val="0"/>
          <w:bCs w:val="0"/>
          <w:noProof w:val="0"/>
          <w:sz w:val="22"/>
          <w:szCs w:val="22"/>
          <w:lang w:val="en-GB"/>
        </w:rPr>
        <w:t xml:space="preserve">Classification in ICD-11 </w:t>
      </w:r>
      <w:r w:rsidRPr="4F882B3B" w:rsidR="62EB4A12">
        <w:rPr>
          <w:rFonts w:ascii="Arial" w:hAnsi="Arial" w:eastAsia="Arial" w:cs="Arial"/>
          <w:b w:val="0"/>
          <w:bCs w:val="0"/>
          <w:noProof w:val="0"/>
          <w:sz w:val="22"/>
          <w:szCs w:val="22"/>
          <w:lang w:val="en-GB"/>
        </w:rPr>
        <w:t>Chapter:</w:t>
      </w:r>
      <w:r w:rsidRPr="4F882B3B" w:rsidR="06699E1A">
        <w:rPr>
          <w:rFonts w:ascii="Arial" w:hAnsi="Arial" w:eastAsia="Arial" w:cs="Arial"/>
          <w:b w:val="0"/>
          <w:bCs w:val="0"/>
          <w:noProof w:val="0"/>
          <w:sz w:val="22"/>
          <w:szCs w:val="22"/>
          <w:lang w:val="en-GB"/>
        </w:rPr>
        <w:t xml:space="preserve"> </w:t>
      </w:r>
      <w:r w:rsidRPr="4F882B3B" w:rsidR="62EB4A12">
        <w:rPr>
          <w:rFonts w:ascii="Arial" w:hAnsi="Arial" w:eastAsia="Arial" w:cs="Arial"/>
          <w:b w:val="0"/>
          <w:bCs w:val="0"/>
          <w:noProof w:val="0"/>
          <w:sz w:val="22"/>
          <w:szCs w:val="22"/>
          <w:lang w:val="en-GB"/>
        </w:rPr>
        <w:t xml:space="preserve">In ICD-11, Binge-eating disorder (BED) </w:t>
      </w:r>
      <w:r w:rsidRPr="4F882B3B" w:rsidR="62EB4A12">
        <w:rPr>
          <w:rFonts w:ascii="Arial" w:hAnsi="Arial" w:eastAsia="Arial" w:cs="Arial"/>
          <w:b w:val="0"/>
          <w:bCs w:val="0"/>
          <w:noProof w:val="0"/>
          <w:sz w:val="22"/>
          <w:szCs w:val="22"/>
          <w:lang w:val="en-GB"/>
        </w:rPr>
        <w:t>i</w:t>
      </w:r>
      <w:r w:rsidRPr="4F882B3B" w:rsidR="62EB4A12">
        <w:rPr>
          <w:rFonts w:ascii="Arial" w:hAnsi="Arial" w:eastAsia="Arial" w:cs="Arial"/>
          <w:b w:val="0"/>
          <w:bCs w:val="0"/>
          <w:noProof w:val="0"/>
          <w:sz w:val="22"/>
          <w:szCs w:val="22"/>
          <w:lang w:val="en-GB"/>
        </w:rPr>
        <w:t xml:space="preserve">s </w:t>
      </w:r>
      <w:r w:rsidRPr="4F882B3B" w:rsidR="62EB4A12">
        <w:rPr>
          <w:rFonts w:ascii="Arial" w:hAnsi="Arial" w:eastAsia="Arial" w:cs="Arial"/>
          <w:b w:val="0"/>
          <w:bCs w:val="0"/>
          <w:noProof w:val="0"/>
          <w:sz w:val="22"/>
          <w:szCs w:val="22"/>
          <w:lang w:val="en-GB"/>
        </w:rPr>
        <w:t>located</w:t>
      </w:r>
      <w:r w:rsidRPr="4F882B3B" w:rsidR="62EB4A12">
        <w:rPr>
          <w:rFonts w:ascii="Arial" w:hAnsi="Arial" w:eastAsia="Arial" w:cs="Arial"/>
          <w:b w:val="0"/>
          <w:bCs w:val="0"/>
          <w:noProof w:val="0"/>
          <w:sz w:val="22"/>
          <w:szCs w:val="22"/>
          <w:lang w:val="en-GB"/>
        </w:rPr>
        <w:t xml:space="preserve"> in</w:t>
      </w:r>
      <w:r w:rsidRPr="4F882B3B" w:rsidR="62EB4A12">
        <w:rPr>
          <w:rFonts w:ascii="Arial" w:hAnsi="Arial" w:eastAsia="Arial" w:cs="Arial"/>
          <w:b w:val="0"/>
          <w:bCs w:val="0"/>
          <w:noProof w:val="0"/>
          <w:sz w:val="22"/>
          <w:szCs w:val="22"/>
          <w:lang w:val="en-GB"/>
        </w:rPr>
        <w:t xml:space="preserve"> </w:t>
      </w:r>
      <w:r w:rsidRPr="4F882B3B" w:rsidR="62EB4A12">
        <w:rPr>
          <w:rFonts w:ascii="Arial" w:hAnsi="Arial" w:eastAsia="Arial" w:cs="Arial"/>
          <w:b w:val="0"/>
          <w:bCs w:val="0"/>
          <w:noProof w:val="0"/>
          <w:sz w:val="22"/>
          <w:szCs w:val="22"/>
          <w:lang w:val="en-GB"/>
        </w:rPr>
        <w:t xml:space="preserve">Chapter 06: Mental, </w:t>
      </w:r>
      <w:r w:rsidRPr="4F882B3B" w:rsidR="62EB4A12">
        <w:rPr>
          <w:rFonts w:ascii="Arial" w:hAnsi="Arial" w:eastAsia="Arial" w:cs="Arial"/>
          <w:b w:val="0"/>
          <w:bCs w:val="0"/>
          <w:noProof w:val="0"/>
          <w:sz w:val="22"/>
          <w:szCs w:val="22"/>
          <w:lang w:val="en-GB"/>
        </w:rPr>
        <w:t>b</w:t>
      </w:r>
      <w:r w:rsidRPr="4F882B3B" w:rsidR="62EB4A12">
        <w:rPr>
          <w:rFonts w:ascii="Arial" w:hAnsi="Arial" w:eastAsia="Arial" w:cs="Arial"/>
          <w:b w:val="0"/>
          <w:bCs w:val="0"/>
          <w:noProof w:val="0"/>
          <w:sz w:val="22"/>
          <w:szCs w:val="22"/>
          <w:lang w:val="en-GB"/>
        </w:rPr>
        <w:t>ehavioural</w:t>
      </w:r>
      <w:r w:rsidRPr="4F882B3B" w:rsidR="62EB4A12">
        <w:rPr>
          <w:rFonts w:ascii="Arial" w:hAnsi="Arial" w:eastAsia="Arial" w:cs="Arial"/>
          <w:b w:val="0"/>
          <w:bCs w:val="0"/>
          <w:noProof w:val="0"/>
          <w:sz w:val="22"/>
          <w:szCs w:val="22"/>
          <w:lang w:val="en-GB"/>
        </w:rPr>
        <w:t xml:space="preserve"> </w:t>
      </w:r>
      <w:r w:rsidRPr="4F882B3B" w:rsidR="62EB4A12">
        <w:rPr>
          <w:rFonts w:ascii="Arial" w:hAnsi="Arial" w:eastAsia="Arial" w:cs="Arial"/>
          <w:b w:val="0"/>
          <w:bCs w:val="0"/>
          <w:noProof w:val="0"/>
          <w:sz w:val="22"/>
          <w:szCs w:val="22"/>
          <w:lang w:val="en-GB"/>
        </w:rPr>
        <w:t>or neurodevelopmental disorders</w:t>
      </w:r>
      <w:r w:rsidRPr="4F882B3B" w:rsidR="62EB4A12">
        <w:rPr>
          <w:rFonts w:ascii="Arial" w:hAnsi="Arial" w:eastAsia="Arial" w:cs="Arial"/>
          <w:b w:val="0"/>
          <w:bCs w:val="0"/>
          <w:noProof w:val="0"/>
          <w:sz w:val="22"/>
          <w:szCs w:val="22"/>
          <w:lang w:val="en-GB"/>
        </w:rPr>
        <w:t xml:space="preserve">, specifically under the </w:t>
      </w:r>
      <w:r w:rsidRPr="4F882B3B" w:rsidR="54A889EF">
        <w:rPr>
          <w:rFonts w:ascii="Arial" w:hAnsi="Arial" w:eastAsia="Arial" w:cs="Arial"/>
          <w:b w:val="0"/>
          <w:bCs w:val="0"/>
          <w:noProof w:val="0"/>
          <w:sz w:val="22"/>
          <w:szCs w:val="22"/>
          <w:lang w:val="en-GB"/>
        </w:rPr>
        <w:t>f</w:t>
      </w:r>
      <w:r w:rsidRPr="4F882B3B" w:rsidR="62EB4A12">
        <w:rPr>
          <w:rFonts w:ascii="Arial" w:hAnsi="Arial" w:eastAsia="Arial" w:cs="Arial"/>
          <w:b w:val="0"/>
          <w:bCs w:val="0"/>
          <w:noProof w:val="0"/>
          <w:sz w:val="22"/>
          <w:szCs w:val="22"/>
          <w:lang w:val="en-GB"/>
        </w:rPr>
        <w:t>eeding or eating disorders</w:t>
      </w:r>
      <w:r w:rsidRPr="4F882B3B" w:rsidR="62EB4A12">
        <w:rPr>
          <w:rFonts w:ascii="Arial" w:hAnsi="Arial" w:eastAsia="Arial" w:cs="Arial"/>
          <w:b w:val="0"/>
          <w:bCs w:val="0"/>
          <w:noProof w:val="0"/>
          <w:sz w:val="22"/>
          <w:szCs w:val="22"/>
          <w:lang w:val="en-GB"/>
        </w:rPr>
        <w:t xml:space="preserve"> category. This is the same diagnostic grouping that includes anorexia nervosa, bulimia nervosa, and other eating-related conditions.</w:t>
      </w:r>
    </w:p>
    <w:p w:rsidR="62EB4A12" w:rsidP="4F882B3B" w:rsidRDefault="62EB4A12" w14:paraId="21930387" w14:textId="0BE58788">
      <w:pPr>
        <w:spacing w:before="240" w:beforeAutospacing="off" w:after="240" w:afterAutospacing="off" w:line="360" w:lineRule="auto"/>
        <w:rPr>
          <w:rFonts w:ascii="Arial" w:hAnsi="Arial" w:eastAsia="Arial" w:cs="Arial"/>
          <w:noProof w:val="0"/>
          <w:sz w:val="22"/>
          <w:szCs w:val="22"/>
          <w:lang w:val="en-GB"/>
        </w:rPr>
      </w:pPr>
      <w:r w:rsidRPr="4F882B3B" w:rsidR="62EB4A12">
        <w:rPr>
          <w:rFonts w:ascii="Arial" w:hAnsi="Arial" w:eastAsia="Arial" w:cs="Arial"/>
          <w:b w:val="1"/>
          <w:bCs w:val="1"/>
          <w:noProof w:val="0"/>
          <w:sz w:val="22"/>
          <w:szCs w:val="22"/>
          <w:lang w:val="en-GB"/>
        </w:rPr>
        <w:t>Diagnostic code:</w:t>
      </w:r>
      <w:r>
        <w:br/>
      </w:r>
      <w:r w:rsidRPr="4F882B3B" w:rsidR="62EB4A12">
        <w:rPr>
          <w:rFonts w:ascii="Arial" w:hAnsi="Arial" w:eastAsia="Arial" w:cs="Arial"/>
          <w:noProof w:val="0"/>
          <w:sz w:val="22"/>
          <w:szCs w:val="22"/>
          <w:lang w:val="en-GB"/>
        </w:rPr>
        <w:t xml:space="preserve">The official ICD-11 designation for </w:t>
      </w:r>
      <w:r w:rsidRPr="4F882B3B" w:rsidR="157C82CD">
        <w:rPr>
          <w:rFonts w:ascii="Arial" w:hAnsi="Arial" w:eastAsia="Arial" w:cs="Arial"/>
          <w:noProof w:val="0"/>
          <w:sz w:val="22"/>
          <w:szCs w:val="22"/>
          <w:lang w:val="en-GB"/>
        </w:rPr>
        <w:t>b</w:t>
      </w:r>
      <w:r w:rsidRPr="4F882B3B" w:rsidR="62EB4A12">
        <w:rPr>
          <w:rFonts w:ascii="Arial" w:hAnsi="Arial" w:eastAsia="Arial" w:cs="Arial"/>
          <w:noProof w:val="0"/>
          <w:sz w:val="22"/>
          <w:szCs w:val="22"/>
          <w:lang w:val="en-GB"/>
        </w:rPr>
        <w:t xml:space="preserve">inge-eating disorder is </w:t>
      </w:r>
      <w:r w:rsidRPr="4F882B3B" w:rsidR="62EB4A12">
        <w:rPr>
          <w:rFonts w:ascii="Arial" w:hAnsi="Arial" w:eastAsia="Arial" w:cs="Arial"/>
          <w:b w:val="0"/>
          <w:bCs w:val="0"/>
          <w:noProof w:val="0"/>
          <w:sz w:val="22"/>
          <w:szCs w:val="22"/>
          <w:lang w:val="en-GB"/>
        </w:rPr>
        <w:t>6B82</w:t>
      </w:r>
      <w:r w:rsidRPr="4F882B3B" w:rsidR="62EB4A12">
        <w:rPr>
          <w:rFonts w:ascii="Arial" w:hAnsi="Arial" w:eastAsia="Arial" w:cs="Arial"/>
          <w:b w:val="0"/>
          <w:bCs w:val="0"/>
          <w:noProof w:val="0"/>
          <w:sz w:val="22"/>
          <w:szCs w:val="22"/>
          <w:lang w:val="en-GB"/>
        </w:rPr>
        <w:t xml:space="preserve"> (</w:t>
      </w:r>
      <w:r w:rsidRPr="4F882B3B" w:rsidR="5A19FE76">
        <w:rPr>
          <w:rFonts w:ascii="Arial" w:hAnsi="Arial" w:eastAsia="Arial" w:cs="Arial"/>
          <w:noProof w:val="0"/>
          <w:sz w:val="22"/>
          <w:szCs w:val="22"/>
          <w:lang w:val="en-GB"/>
        </w:rPr>
        <w:t>ISD-11 6B82</w:t>
      </w:r>
      <w:r w:rsidRPr="4F882B3B" w:rsidR="62EB4A12">
        <w:rPr>
          <w:rFonts w:ascii="Arial" w:hAnsi="Arial" w:eastAsia="Arial" w:cs="Arial"/>
          <w:noProof w:val="0"/>
          <w:sz w:val="22"/>
          <w:szCs w:val="22"/>
          <w:lang w:val="en-GB"/>
        </w:rPr>
        <w:t>)</w:t>
      </w:r>
      <w:r w:rsidRPr="4F882B3B" w:rsidR="12F6CA0C">
        <w:rPr>
          <w:rFonts w:ascii="Arial" w:hAnsi="Arial" w:eastAsia="Arial" w:cs="Arial"/>
          <w:noProof w:val="0"/>
          <w:sz w:val="22"/>
          <w:szCs w:val="22"/>
          <w:lang w:val="en-GB"/>
        </w:rPr>
        <w:t xml:space="preserve">                      </w:t>
      </w:r>
    </w:p>
    <w:p w:rsidR="62EB4A12" w:rsidP="4F882B3B" w:rsidRDefault="62EB4A12" w14:paraId="087005DF" w14:textId="08182806">
      <w:pPr>
        <w:spacing w:before="240" w:beforeAutospacing="off" w:after="240" w:afterAutospacing="off" w:line="360" w:lineRule="auto"/>
        <w:rPr>
          <w:rFonts w:ascii="Arial" w:hAnsi="Arial" w:eastAsia="Arial" w:cs="Arial"/>
          <w:noProof w:val="0"/>
          <w:sz w:val="22"/>
          <w:szCs w:val="22"/>
          <w:lang w:val="en-GB"/>
        </w:rPr>
      </w:pPr>
      <w:r w:rsidRPr="4F882B3B" w:rsidR="62EB4A12">
        <w:rPr>
          <w:rFonts w:ascii="Arial" w:hAnsi="Arial" w:eastAsia="Arial" w:cs="Arial"/>
          <w:b w:val="1"/>
          <w:bCs w:val="1"/>
          <w:noProof w:val="0"/>
          <w:sz w:val="22"/>
          <w:szCs w:val="22"/>
          <w:lang w:val="en-GB"/>
        </w:rPr>
        <w:t>Relation to neighbouring categories:</w:t>
      </w:r>
      <w:r>
        <w:br/>
      </w:r>
      <w:r w:rsidRPr="4F882B3B" w:rsidR="62EB4A12">
        <w:rPr>
          <w:rFonts w:ascii="Arial" w:hAnsi="Arial" w:eastAsia="Arial" w:cs="Arial"/>
          <w:noProof w:val="0"/>
          <w:sz w:val="22"/>
          <w:szCs w:val="22"/>
          <w:lang w:val="en-GB"/>
        </w:rPr>
        <w:t xml:space="preserve">BED is recognised as an </w:t>
      </w:r>
      <w:r w:rsidRPr="4F882B3B" w:rsidR="62EB4A12">
        <w:rPr>
          <w:rFonts w:ascii="Arial" w:hAnsi="Arial" w:eastAsia="Arial" w:cs="Arial"/>
          <w:b w:val="0"/>
          <w:bCs w:val="0"/>
          <w:noProof w:val="0"/>
          <w:sz w:val="22"/>
          <w:szCs w:val="22"/>
          <w:lang w:val="en-GB"/>
        </w:rPr>
        <w:t>independent diagnostic entity</w:t>
      </w:r>
      <w:r w:rsidRPr="4F882B3B" w:rsidR="62EB4A12">
        <w:rPr>
          <w:rFonts w:ascii="Arial" w:hAnsi="Arial" w:eastAsia="Arial" w:cs="Arial"/>
          <w:b w:val="0"/>
          <w:bCs w:val="0"/>
          <w:noProof w:val="0"/>
          <w:sz w:val="22"/>
          <w:szCs w:val="22"/>
          <w:lang w:val="en-GB"/>
        </w:rPr>
        <w:t>, clearly distinguished from anorexia nervosa and bulimia nervosa. When an individual meets the full criteria for BED, it should not be classified under unspecified or residual eating disorder categories</w:t>
      </w:r>
      <w:r w:rsidRPr="4F882B3B" w:rsidR="0AF9C4B4">
        <w:rPr>
          <w:rFonts w:ascii="Arial" w:hAnsi="Arial" w:eastAsia="Arial" w:cs="Arial"/>
          <w:noProof w:val="0"/>
          <w:sz w:val="22"/>
          <w:szCs w:val="22"/>
          <w:lang w:val="en-GB"/>
        </w:rPr>
        <w:t xml:space="preserve"> (WHO,2019).</w:t>
      </w:r>
      <w:r w:rsidRPr="4F882B3B" w:rsidR="521042FE">
        <w:rPr>
          <w:rFonts w:ascii="Arial" w:hAnsi="Arial" w:eastAsia="Arial" w:cs="Arial"/>
          <w:noProof w:val="0"/>
          <w:sz w:val="22"/>
          <w:szCs w:val="22"/>
          <w:lang w:val="en-GB"/>
        </w:rPr>
        <w:t xml:space="preserve"> </w:t>
      </w:r>
    </w:p>
    <w:p w:rsidR="1CB1AE96" w:rsidP="4F882B3B" w:rsidRDefault="1CB1AE96" w14:paraId="1459AA6E" w14:textId="11A89961">
      <w:pPr>
        <w:spacing w:before="240" w:beforeAutospacing="off" w:after="240" w:afterAutospacing="off" w:line="360" w:lineRule="auto"/>
        <w:jc w:val="both"/>
        <w:rPr>
          <w:rFonts w:ascii="Arial" w:hAnsi="Arial" w:eastAsia="Arial" w:cs="Arial"/>
          <w:noProof w:val="0"/>
          <w:sz w:val="22"/>
          <w:szCs w:val="22"/>
          <w:lang w:val="en-GB"/>
        </w:rPr>
      </w:pPr>
      <w:r w:rsidRPr="4F882B3B" w:rsidR="1CB1AE96">
        <w:rPr>
          <w:rFonts w:ascii="Arial" w:hAnsi="Arial" w:eastAsia="Arial" w:cs="Arial"/>
          <w:b w:val="1"/>
          <w:bCs w:val="1"/>
          <w:noProof w:val="0"/>
          <w:sz w:val="22"/>
          <w:szCs w:val="22"/>
          <w:lang w:val="en-GB"/>
        </w:rPr>
        <w:t>1</w:t>
      </w:r>
      <w:r w:rsidRPr="4F882B3B" w:rsidR="0D443CB4">
        <w:rPr>
          <w:rFonts w:ascii="Arial" w:hAnsi="Arial" w:eastAsia="Arial" w:cs="Arial"/>
          <w:b w:val="1"/>
          <w:bCs w:val="1"/>
          <w:noProof w:val="0"/>
          <w:sz w:val="22"/>
          <w:szCs w:val="22"/>
          <w:lang w:val="en-GB"/>
        </w:rPr>
        <w:t>.</w:t>
      </w:r>
      <w:r w:rsidRPr="4F882B3B" w:rsidR="18106C21">
        <w:rPr>
          <w:rFonts w:ascii="Arial" w:hAnsi="Arial" w:eastAsia="Arial" w:cs="Arial"/>
          <w:b w:val="1"/>
          <w:bCs w:val="1"/>
          <w:noProof w:val="0"/>
          <w:sz w:val="22"/>
          <w:szCs w:val="22"/>
          <w:lang w:val="en-GB"/>
        </w:rPr>
        <w:t>1</w:t>
      </w:r>
      <w:r w:rsidRPr="4F882B3B" w:rsidR="2775F3F7">
        <w:rPr>
          <w:rFonts w:ascii="Arial" w:hAnsi="Arial" w:eastAsia="Arial" w:cs="Arial"/>
          <w:b w:val="1"/>
          <w:bCs w:val="1"/>
          <w:noProof w:val="0"/>
          <w:sz w:val="22"/>
          <w:szCs w:val="22"/>
          <w:lang w:val="en-GB"/>
        </w:rPr>
        <w:t xml:space="preserve"> </w:t>
      </w:r>
      <w:r w:rsidRPr="4F882B3B" w:rsidR="4C13812D">
        <w:rPr>
          <w:rFonts w:ascii="Arial" w:hAnsi="Arial" w:eastAsia="Arial" w:cs="Arial"/>
          <w:b w:val="1"/>
          <w:bCs w:val="1"/>
          <w:noProof w:val="0"/>
          <w:sz w:val="22"/>
          <w:szCs w:val="22"/>
          <w:lang w:val="en-GB"/>
        </w:rPr>
        <w:t>D</w:t>
      </w:r>
      <w:r w:rsidRPr="4F882B3B" w:rsidR="4C13812D">
        <w:rPr>
          <w:rFonts w:ascii="Arial" w:hAnsi="Arial" w:eastAsia="Arial" w:cs="Arial"/>
          <w:b w:val="1"/>
          <w:bCs w:val="1"/>
          <w:noProof w:val="0"/>
          <w:sz w:val="22"/>
          <w:szCs w:val="22"/>
          <w:lang w:val="en-GB"/>
        </w:rPr>
        <w:t xml:space="preserve">iagnostic </w:t>
      </w:r>
      <w:r w:rsidRPr="4F882B3B" w:rsidR="4BC4FA32">
        <w:rPr>
          <w:rFonts w:ascii="Arial" w:hAnsi="Arial" w:eastAsia="Arial" w:cs="Arial"/>
          <w:b w:val="1"/>
          <w:bCs w:val="1"/>
          <w:noProof w:val="0"/>
          <w:sz w:val="22"/>
          <w:szCs w:val="22"/>
          <w:lang w:val="en-GB"/>
        </w:rPr>
        <w:t>c</w:t>
      </w:r>
      <w:r w:rsidRPr="4F882B3B" w:rsidR="4C13812D">
        <w:rPr>
          <w:rFonts w:ascii="Arial" w:hAnsi="Arial" w:eastAsia="Arial" w:cs="Arial"/>
          <w:b w:val="1"/>
          <w:bCs w:val="1"/>
          <w:noProof w:val="0"/>
          <w:sz w:val="22"/>
          <w:szCs w:val="22"/>
          <w:lang w:val="en-GB"/>
        </w:rPr>
        <w:t xml:space="preserve">riteria </w:t>
      </w:r>
      <w:r w:rsidRPr="4F882B3B" w:rsidR="16DD9DD2">
        <w:rPr>
          <w:rFonts w:ascii="Arial" w:hAnsi="Arial" w:eastAsia="Arial" w:cs="Arial"/>
          <w:b w:val="1"/>
          <w:bCs w:val="1"/>
          <w:noProof w:val="0"/>
          <w:sz w:val="22"/>
          <w:szCs w:val="22"/>
          <w:lang w:val="en-GB"/>
        </w:rPr>
        <w:t>and diagnostic process for BED</w:t>
      </w:r>
      <w:r w:rsidRPr="4F882B3B" w:rsidR="1B2AD5CB">
        <w:rPr>
          <w:rFonts w:ascii="Arial" w:hAnsi="Arial" w:eastAsia="Arial" w:cs="Arial"/>
          <w:b w:val="1"/>
          <w:bCs w:val="1"/>
          <w:noProof w:val="0"/>
          <w:sz w:val="22"/>
          <w:szCs w:val="22"/>
          <w:lang w:val="en-GB"/>
        </w:rPr>
        <w:t xml:space="preserve"> </w:t>
      </w:r>
    </w:p>
    <w:p w:rsidR="1D4D5343" w:rsidP="4F882B3B" w:rsidRDefault="1D4D5343" w14:paraId="194099C1" w14:textId="3D4431FB">
      <w:pPr>
        <w:pStyle w:val="Normal"/>
        <w:spacing w:before="240" w:beforeAutospacing="off" w:after="240" w:afterAutospacing="off" w:line="360" w:lineRule="auto"/>
        <w:ind w:left="0"/>
        <w:jc w:val="both"/>
        <w:rPr>
          <w:rFonts w:ascii="Arial" w:hAnsi="Arial" w:eastAsia="Arial" w:cs="Arial"/>
          <w:noProof w:val="0"/>
          <w:sz w:val="22"/>
          <w:szCs w:val="22"/>
          <w:lang w:val="en-GB"/>
        </w:rPr>
      </w:pPr>
      <w:r w:rsidRPr="4F882B3B" w:rsidR="1D4D5343">
        <w:rPr>
          <w:rFonts w:ascii="Arial" w:hAnsi="Arial" w:eastAsia="Arial" w:cs="Arial"/>
          <w:noProof w:val="0"/>
          <w:sz w:val="22"/>
          <w:szCs w:val="22"/>
          <w:lang w:val="en-GB"/>
        </w:rPr>
        <w:t>According to Giel K.E.,</w:t>
      </w:r>
      <w:r w:rsidRPr="4F882B3B" w:rsidR="1D4D5343">
        <w:rPr>
          <w:rFonts w:ascii="Arial" w:hAnsi="Arial" w:eastAsia="Arial" w:cs="Arial"/>
          <w:i w:val="1"/>
          <w:iCs w:val="1"/>
          <w:noProof w:val="0"/>
          <w:sz w:val="22"/>
          <w:szCs w:val="22"/>
          <w:lang w:val="en-GB"/>
        </w:rPr>
        <w:t xml:space="preserve"> et al.</w:t>
      </w:r>
      <w:r w:rsidRPr="4F882B3B" w:rsidR="1D4D5343">
        <w:rPr>
          <w:rFonts w:ascii="Arial" w:hAnsi="Arial" w:eastAsia="Arial" w:cs="Arial"/>
          <w:noProof w:val="0"/>
          <w:sz w:val="22"/>
          <w:szCs w:val="22"/>
          <w:lang w:val="en-GB"/>
        </w:rPr>
        <w:t xml:space="preserve"> (2022), the main criteria of Binge Eating Disorder include</w:t>
      </w:r>
      <w:r w:rsidRPr="4F882B3B" w:rsidR="0FC607B0">
        <w:rPr>
          <w:rFonts w:ascii="Arial" w:hAnsi="Arial" w:eastAsia="Arial" w:cs="Arial"/>
          <w:noProof w:val="0"/>
          <w:sz w:val="22"/>
          <w:szCs w:val="22"/>
          <w:lang w:val="en-GB"/>
        </w:rPr>
        <w:t xml:space="preserve">:             </w:t>
      </w:r>
    </w:p>
    <w:p w:rsidR="1CC042A0" w:rsidP="4F882B3B" w:rsidRDefault="1CC042A0" w14:paraId="538FC677" w14:textId="4CB9158E">
      <w:pPr>
        <w:pStyle w:val="Normal"/>
        <w:spacing w:before="240" w:beforeAutospacing="off" w:after="240" w:afterAutospacing="off" w:line="360" w:lineRule="auto"/>
        <w:jc w:val="both"/>
        <w:rPr>
          <w:rFonts w:ascii="Arial" w:hAnsi="Arial" w:eastAsia="Arial" w:cs="Arial"/>
          <w:noProof w:val="0"/>
          <w:sz w:val="22"/>
          <w:szCs w:val="22"/>
          <w:lang w:val="en-GB"/>
        </w:rPr>
      </w:pPr>
      <w:r w:rsidRPr="4F882B3B" w:rsidR="1CC042A0">
        <w:rPr>
          <w:rFonts w:ascii="Arial" w:hAnsi="Arial" w:eastAsia="Arial" w:cs="Arial"/>
          <w:b w:val="0"/>
          <w:bCs w:val="0"/>
          <w:noProof w:val="0"/>
          <w:sz w:val="22"/>
          <w:szCs w:val="22"/>
          <w:lang w:val="en-GB"/>
        </w:rPr>
        <w:t xml:space="preserve">Frequency and Duration: </w:t>
      </w:r>
      <w:r w:rsidRPr="4F882B3B" w:rsidR="34F77A31">
        <w:rPr>
          <w:rFonts w:ascii="Arial" w:hAnsi="Arial" w:eastAsia="Arial" w:cs="Arial"/>
          <w:b w:val="0"/>
          <w:bCs w:val="0"/>
          <w:noProof w:val="0"/>
          <w:sz w:val="22"/>
          <w:szCs w:val="22"/>
          <w:lang w:val="en-GB"/>
        </w:rPr>
        <w:t>r</w:t>
      </w:r>
      <w:r w:rsidRPr="4F882B3B" w:rsidR="1CC042A0">
        <w:rPr>
          <w:rFonts w:ascii="Arial" w:hAnsi="Arial" w:eastAsia="Arial" w:cs="Arial"/>
          <w:b w:val="0"/>
          <w:bCs w:val="0"/>
          <w:noProof w:val="0"/>
          <w:sz w:val="22"/>
          <w:szCs w:val="22"/>
          <w:lang w:val="en-GB"/>
        </w:rPr>
        <w:t>ecurrent binge eating episodes occur at least once a week over a period of several months.</w:t>
      </w:r>
      <w:r w:rsidRPr="4F882B3B" w:rsidR="0E645E4C">
        <w:rPr>
          <w:rFonts w:ascii="Arial" w:hAnsi="Arial" w:eastAsia="Arial" w:cs="Arial"/>
          <w:b w:val="0"/>
          <w:bCs w:val="0"/>
          <w:noProof w:val="0"/>
          <w:sz w:val="22"/>
          <w:szCs w:val="22"/>
          <w:lang w:val="en-GB"/>
        </w:rPr>
        <w:t xml:space="preserve"> </w:t>
      </w:r>
      <w:r w:rsidRPr="4F882B3B" w:rsidR="6482DC2C">
        <w:rPr>
          <w:rFonts w:ascii="Arial" w:hAnsi="Arial" w:eastAsia="Arial" w:cs="Arial"/>
          <w:b w:val="0"/>
          <w:bCs w:val="0"/>
          <w:noProof w:val="0"/>
          <w:sz w:val="22"/>
          <w:szCs w:val="22"/>
          <w:lang w:val="en-GB"/>
        </w:rPr>
        <w:t>L</w:t>
      </w:r>
      <w:r w:rsidRPr="4F882B3B" w:rsidR="1CC042A0">
        <w:rPr>
          <w:rFonts w:ascii="Arial" w:hAnsi="Arial" w:eastAsia="Arial" w:cs="Arial"/>
          <w:b w:val="0"/>
          <w:bCs w:val="0"/>
          <w:noProof w:val="0"/>
          <w:sz w:val="22"/>
          <w:szCs w:val="22"/>
          <w:lang w:val="en-GB"/>
        </w:rPr>
        <w:t xml:space="preserve">oss of Control: </w:t>
      </w:r>
      <w:r w:rsidRPr="4F882B3B" w:rsidR="6BD98D74">
        <w:rPr>
          <w:rFonts w:ascii="Arial" w:hAnsi="Arial" w:eastAsia="Arial" w:cs="Arial"/>
          <w:b w:val="0"/>
          <w:bCs w:val="0"/>
          <w:noProof w:val="0"/>
          <w:sz w:val="22"/>
          <w:szCs w:val="22"/>
          <w:lang w:val="en-GB"/>
        </w:rPr>
        <w:t>d</w:t>
      </w:r>
      <w:r w:rsidRPr="4F882B3B" w:rsidR="1CC042A0">
        <w:rPr>
          <w:rFonts w:ascii="Arial" w:hAnsi="Arial" w:eastAsia="Arial" w:cs="Arial"/>
          <w:b w:val="0"/>
          <w:bCs w:val="0"/>
          <w:noProof w:val="0"/>
          <w:sz w:val="22"/>
          <w:szCs w:val="22"/>
          <w:lang w:val="en-GB"/>
        </w:rPr>
        <w:t>uring these episodes, the individual experiences a subjective inability to stop eating or regulate the type and amount of food consumed</w:t>
      </w:r>
      <w:r w:rsidRPr="4F882B3B" w:rsidR="1CC042A0">
        <w:rPr>
          <w:rFonts w:ascii="Arial" w:hAnsi="Arial" w:eastAsia="Arial" w:cs="Arial"/>
          <w:b w:val="0"/>
          <w:bCs w:val="0"/>
          <w:noProof w:val="0"/>
          <w:sz w:val="22"/>
          <w:szCs w:val="22"/>
          <w:lang w:val="en-GB"/>
        </w:rPr>
        <w:t>.</w:t>
      </w:r>
      <w:r w:rsidRPr="4F882B3B" w:rsidR="51F21754">
        <w:rPr>
          <w:rFonts w:ascii="Arial" w:hAnsi="Arial" w:eastAsia="Arial" w:cs="Arial"/>
          <w:b w:val="0"/>
          <w:bCs w:val="0"/>
          <w:noProof w:val="0"/>
          <w:sz w:val="22"/>
          <w:szCs w:val="22"/>
          <w:lang w:val="en-GB"/>
        </w:rPr>
        <w:t xml:space="preserve">  </w:t>
      </w:r>
      <w:r w:rsidRPr="4F882B3B" w:rsidR="51F21754">
        <w:rPr>
          <w:rFonts w:ascii="Arial" w:hAnsi="Arial" w:eastAsia="Arial" w:cs="Arial"/>
          <w:b w:val="0"/>
          <w:bCs w:val="0"/>
          <w:noProof w:val="0"/>
          <w:sz w:val="22"/>
          <w:szCs w:val="22"/>
          <w:lang w:val="en-GB"/>
        </w:rPr>
        <w:t xml:space="preserve">                                                   </w:t>
      </w:r>
      <w:r w:rsidRPr="4F882B3B" w:rsidR="1CC042A0">
        <w:rPr>
          <w:rFonts w:ascii="Arial" w:hAnsi="Arial" w:eastAsia="Arial" w:cs="Arial"/>
          <w:b w:val="0"/>
          <w:bCs w:val="0"/>
          <w:noProof w:val="0"/>
          <w:sz w:val="22"/>
          <w:szCs w:val="22"/>
          <w:lang w:val="en-GB"/>
        </w:rPr>
        <w:t xml:space="preserve">Excessive Intake: </w:t>
      </w:r>
      <w:r w:rsidRPr="4F882B3B" w:rsidR="268C2DE7">
        <w:rPr>
          <w:rFonts w:ascii="Arial" w:hAnsi="Arial" w:eastAsia="Arial" w:cs="Arial"/>
          <w:b w:val="0"/>
          <w:bCs w:val="0"/>
          <w:noProof w:val="0"/>
          <w:sz w:val="22"/>
          <w:szCs w:val="22"/>
          <w:lang w:val="en-GB"/>
        </w:rPr>
        <w:t>e</w:t>
      </w:r>
      <w:r w:rsidRPr="4F882B3B" w:rsidR="1CC042A0">
        <w:rPr>
          <w:rFonts w:ascii="Arial" w:hAnsi="Arial" w:eastAsia="Arial" w:cs="Arial"/>
          <w:b w:val="0"/>
          <w:bCs w:val="0"/>
          <w:noProof w:val="0"/>
          <w:sz w:val="22"/>
          <w:szCs w:val="22"/>
          <w:lang w:val="en-GB"/>
        </w:rPr>
        <w:t xml:space="preserve">ating significantly more or differently than usual within a distinct </w:t>
      </w:r>
      <w:r w:rsidRPr="4F882B3B" w:rsidR="1CC042A0">
        <w:rPr>
          <w:rFonts w:ascii="Arial" w:hAnsi="Arial" w:eastAsia="Arial" w:cs="Arial"/>
          <w:b w:val="0"/>
          <w:bCs w:val="0"/>
          <w:noProof w:val="0"/>
          <w:sz w:val="22"/>
          <w:szCs w:val="22"/>
          <w:lang w:val="en-GB"/>
        </w:rPr>
        <w:t>period of time</w:t>
      </w:r>
      <w:r w:rsidRPr="4F882B3B" w:rsidR="1CC042A0">
        <w:rPr>
          <w:rFonts w:ascii="Arial" w:hAnsi="Arial" w:eastAsia="Arial" w:cs="Arial"/>
          <w:b w:val="0"/>
          <w:bCs w:val="0"/>
          <w:noProof w:val="0"/>
          <w:sz w:val="22"/>
          <w:szCs w:val="22"/>
          <w:lang w:val="en-GB"/>
        </w:rPr>
        <w:t>.</w:t>
      </w:r>
      <w:r w:rsidRPr="4F882B3B" w:rsidR="439B8B2B">
        <w:rPr>
          <w:rFonts w:ascii="Arial" w:hAnsi="Arial" w:eastAsia="Arial" w:cs="Arial"/>
          <w:b w:val="0"/>
          <w:bCs w:val="0"/>
          <w:noProof w:val="0"/>
          <w:sz w:val="22"/>
          <w:szCs w:val="22"/>
          <w:lang w:val="en-GB"/>
        </w:rPr>
        <w:t xml:space="preserve"> </w:t>
      </w:r>
      <w:r w:rsidRPr="4F882B3B" w:rsidR="1CC042A0">
        <w:rPr>
          <w:rFonts w:ascii="Arial" w:hAnsi="Arial" w:eastAsia="Arial" w:cs="Arial"/>
          <w:b w:val="0"/>
          <w:bCs w:val="0"/>
          <w:noProof w:val="0"/>
          <w:sz w:val="22"/>
          <w:szCs w:val="22"/>
          <w:lang w:val="en-GB"/>
        </w:rPr>
        <w:t>Emotional Distress: Episodes are accompanied by marked distress and negative emotions such as guilt, shame, or disgust.</w:t>
      </w:r>
      <w:r w:rsidRPr="4F882B3B" w:rsidR="1258A19C">
        <w:rPr>
          <w:rFonts w:ascii="Arial" w:hAnsi="Arial" w:eastAsia="Arial" w:cs="Arial"/>
          <w:b w:val="0"/>
          <w:bCs w:val="0"/>
          <w:noProof w:val="0"/>
          <w:sz w:val="22"/>
          <w:szCs w:val="22"/>
          <w:lang w:val="en-GB"/>
        </w:rPr>
        <w:t xml:space="preserve"> </w:t>
      </w:r>
      <w:r w:rsidRPr="4F882B3B" w:rsidR="1CC042A0">
        <w:rPr>
          <w:rFonts w:ascii="Arial" w:hAnsi="Arial" w:eastAsia="Arial" w:cs="Arial"/>
          <w:b w:val="0"/>
          <w:bCs w:val="0"/>
          <w:noProof w:val="0"/>
          <w:sz w:val="22"/>
          <w:szCs w:val="22"/>
          <w:lang w:val="en-GB"/>
        </w:rPr>
        <w:t xml:space="preserve">Absence of Compensatory Behaviours: </w:t>
      </w:r>
      <w:r w:rsidRPr="4F882B3B" w:rsidR="7EA3D45F">
        <w:rPr>
          <w:rFonts w:ascii="Arial" w:hAnsi="Arial" w:eastAsia="Arial" w:cs="Arial"/>
          <w:b w:val="0"/>
          <w:bCs w:val="0"/>
          <w:noProof w:val="0"/>
          <w:sz w:val="22"/>
          <w:szCs w:val="22"/>
          <w:lang w:val="en-GB"/>
        </w:rPr>
        <w:t>u</w:t>
      </w:r>
      <w:r w:rsidRPr="4F882B3B" w:rsidR="1CC042A0">
        <w:rPr>
          <w:rFonts w:ascii="Arial" w:hAnsi="Arial" w:eastAsia="Arial" w:cs="Arial"/>
          <w:b w:val="0"/>
          <w:bCs w:val="0"/>
          <w:noProof w:val="0"/>
          <w:sz w:val="22"/>
          <w:szCs w:val="22"/>
          <w:lang w:val="en-GB"/>
        </w:rPr>
        <w:t>nlike bulimia nervosa, binge eating episodes are not regularly followed by behaviours aimed at preventing weight gain (e.g., self‑induced vomiting, misuse of laxatives, fasting, or excessive exercise).</w:t>
      </w:r>
      <w:r w:rsidRPr="4F882B3B" w:rsidR="06372B62">
        <w:rPr>
          <w:rFonts w:ascii="Arial" w:hAnsi="Arial" w:eastAsia="Arial" w:cs="Arial"/>
          <w:b w:val="0"/>
          <w:bCs w:val="0"/>
          <w:noProof w:val="0"/>
          <w:sz w:val="22"/>
          <w:szCs w:val="22"/>
          <w:lang w:val="en-GB"/>
        </w:rPr>
        <w:t xml:space="preserve"> In line with the (Mayo Clinic, </w:t>
      </w:r>
      <w:r w:rsidRPr="4F882B3B" w:rsidR="06372B62">
        <w:rPr>
          <w:rFonts w:ascii="Arial" w:hAnsi="Arial" w:eastAsia="Arial" w:cs="Arial"/>
          <w:b w:val="0"/>
          <w:bCs w:val="0"/>
          <w:noProof w:val="0"/>
          <w:sz w:val="22"/>
          <w:szCs w:val="22"/>
          <w:lang w:val="en-GB"/>
        </w:rPr>
        <w:t>2024) the</w:t>
      </w:r>
      <w:r w:rsidRPr="4F882B3B" w:rsidR="06372B62">
        <w:rPr>
          <w:rFonts w:ascii="Arial" w:hAnsi="Arial" w:eastAsia="Arial" w:cs="Arial"/>
          <w:b w:val="0"/>
          <w:bCs w:val="0"/>
          <w:noProof w:val="0"/>
          <w:sz w:val="22"/>
          <w:szCs w:val="22"/>
          <w:lang w:val="en-GB"/>
        </w:rPr>
        <w:t xml:space="preserve"> diagnostic process for Binge Eating Disorder typically begins with a </w:t>
      </w:r>
      <w:r w:rsidRPr="4F882B3B" w:rsidR="06372B62">
        <w:rPr>
          <w:rFonts w:ascii="Arial" w:hAnsi="Arial" w:eastAsia="Arial" w:cs="Arial"/>
          <w:b w:val="0"/>
          <w:bCs w:val="0"/>
          <w:noProof w:val="0"/>
          <w:sz w:val="22"/>
          <w:szCs w:val="22"/>
          <w:lang w:val="en-GB"/>
        </w:rPr>
        <w:t>mental health evaluation</w:t>
      </w:r>
      <w:r w:rsidRPr="4F882B3B" w:rsidR="06372B62">
        <w:rPr>
          <w:rFonts w:ascii="Arial" w:hAnsi="Arial" w:eastAsia="Arial" w:cs="Arial"/>
          <w:b w:val="0"/>
          <w:bCs w:val="0"/>
          <w:noProof w:val="0"/>
          <w:sz w:val="22"/>
          <w:szCs w:val="22"/>
          <w:lang w:val="en-GB"/>
        </w:rPr>
        <w:t>.</w:t>
      </w:r>
      <w:r w:rsidRPr="4F882B3B" w:rsidR="06372B62">
        <w:rPr>
          <w:rFonts w:ascii="Arial" w:hAnsi="Arial" w:eastAsia="Arial" w:cs="Arial"/>
          <w:noProof w:val="0"/>
          <w:sz w:val="22"/>
          <w:szCs w:val="22"/>
          <w:lang w:val="en-GB"/>
        </w:rPr>
        <w:t xml:space="preserve"> This involves discussing eating behaviours and emotional experiences with a professional who has </w:t>
      </w:r>
      <w:r w:rsidRPr="4F882B3B" w:rsidR="06372B62">
        <w:rPr>
          <w:rFonts w:ascii="Arial" w:hAnsi="Arial" w:eastAsia="Arial" w:cs="Arial"/>
          <w:noProof w:val="0"/>
          <w:sz w:val="22"/>
          <w:szCs w:val="22"/>
          <w:lang w:val="en-GB"/>
        </w:rPr>
        <w:t>expertise</w:t>
      </w:r>
      <w:r w:rsidRPr="4F882B3B" w:rsidR="06372B62">
        <w:rPr>
          <w:rFonts w:ascii="Arial" w:hAnsi="Arial" w:eastAsia="Arial" w:cs="Arial"/>
          <w:noProof w:val="0"/>
          <w:sz w:val="22"/>
          <w:szCs w:val="22"/>
          <w:lang w:val="en-GB"/>
        </w:rPr>
        <w:t xml:space="preserve"> in treating eating disorders. In addition, healthcare providers may recommend further tests to </w:t>
      </w:r>
      <w:r w:rsidRPr="4F882B3B" w:rsidR="06372B62">
        <w:rPr>
          <w:rFonts w:ascii="Arial" w:hAnsi="Arial" w:eastAsia="Arial" w:cs="Arial"/>
          <w:noProof w:val="0"/>
          <w:sz w:val="22"/>
          <w:szCs w:val="22"/>
          <w:lang w:val="en-GB"/>
        </w:rPr>
        <w:t>identify</w:t>
      </w:r>
      <w:r w:rsidRPr="4F882B3B" w:rsidR="06372B62">
        <w:rPr>
          <w:rFonts w:ascii="Arial" w:hAnsi="Arial" w:eastAsia="Arial" w:cs="Arial"/>
          <w:noProof w:val="0"/>
          <w:sz w:val="22"/>
          <w:szCs w:val="22"/>
          <w:lang w:val="en-GB"/>
        </w:rPr>
        <w:t xml:space="preserve"> medical complications associated with BED, such as high cholesterol, hypertension, cardiovascular disease, diabetes, gastroesophageal reflux disease (GERD), nutritional deficiencies, electrolyte imbalances, or sleep‑related breathing disorders. These assessments may include a physical examination (with consent, including weight measurement), laboratory tests such as blood and urine analysis, and referral to a sleep disorder specialist.</w:t>
      </w:r>
    </w:p>
    <w:p w:rsidR="746012E5" w:rsidP="4F882B3B" w:rsidRDefault="746012E5" w14:paraId="063ED830" w14:textId="06D06133">
      <w:pPr>
        <w:pStyle w:val="Normal"/>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4F882B3B" w:rsidR="746012E5">
        <w:rPr>
          <w:rFonts w:ascii="Arial" w:hAnsi="Arial" w:eastAsia="Arial" w:cs="Arial"/>
          <w:b w:val="1"/>
          <w:bCs w:val="1"/>
          <w:noProof w:val="0"/>
          <w:color w:val="000000" w:themeColor="text1" w:themeTint="FF" w:themeShade="FF"/>
          <w:sz w:val="22"/>
          <w:szCs w:val="22"/>
          <w:lang w:val="en-GB"/>
        </w:rPr>
        <w:t xml:space="preserve">1.2 </w:t>
      </w:r>
      <w:r w:rsidRPr="4F882B3B" w:rsidR="0A674C01">
        <w:rPr>
          <w:rFonts w:ascii="Arial" w:hAnsi="Arial" w:eastAsia="Arial" w:cs="Arial"/>
          <w:b w:val="1"/>
          <w:bCs w:val="1"/>
          <w:noProof w:val="0"/>
          <w:color w:val="000000" w:themeColor="text1" w:themeTint="FF" w:themeShade="FF"/>
          <w:sz w:val="22"/>
          <w:szCs w:val="22"/>
          <w:lang w:val="en-GB"/>
        </w:rPr>
        <w:t>The language used in the classification of ICD-11</w:t>
      </w:r>
    </w:p>
    <w:p w:rsidR="6AFD8453" w:rsidP="4F882B3B" w:rsidRDefault="6AFD8453" w14:paraId="08730C4F" w14:textId="107C1D18">
      <w:pPr>
        <w:pStyle w:val="Normal"/>
        <w:spacing w:before="240" w:beforeAutospacing="off" w:after="240" w:afterAutospacing="off" w:line="360" w:lineRule="auto"/>
        <w:jc w:val="both"/>
        <w:rPr>
          <w:rFonts w:ascii="Arial" w:hAnsi="Arial" w:eastAsia="Arial" w:cs="Arial"/>
          <w:b w:val="1"/>
          <w:bCs w:val="1"/>
          <w:color w:val="000000" w:themeColor="text1" w:themeTint="FF" w:themeShade="FF"/>
          <w:sz w:val="22"/>
          <w:szCs w:val="22"/>
        </w:rPr>
      </w:pPr>
      <w:r w:rsidRPr="4F882B3B" w:rsidR="6AFD8453">
        <w:rPr>
          <w:rFonts w:ascii="Arial" w:hAnsi="Arial" w:eastAsia="Arial" w:cs="Arial"/>
          <w:b w:val="0"/>
          <w:bCs w:val="0"/>
          <w:noProof w:val="0"/>
          <w:sz w:val="22"/>
          <w:szCs w:val="22"/>
          <w:lang w:val="en-GB"/>
        </w:rPr>
        <w:t xml:space="preserve">ICD‑11 </w:t>
      </w:r>
      <w:r w:rsidRPr="4F882B3B" w:rsidR="6AFD8453">
        <w:rPr>
          <w:rFonts w:ascii="Arial" w:hAnsi="Arial" w:eastAsia="Arial" w:cs="Arial"/>
          <w:b w:val="0"/>
          <w:bCs w:val="0"/>
          <w:noProof w:val="0"/>
          <w:sz w:val="22"/>
          <w:szCs w:val="22"/>
          <w:lang w:val="en-GB"/>
        </w:rPr>
        <w:t>identifies</w:t>
      </w:r>
      <w:r w:rsidRPr="4F882B3B" w:rsidR="6AFD8453">
        <w:rPr>
          <w:rFonts w:ascii="Arial" w:hAnsi="Arial" w:eastAsia="Arial" w:cs="Arial"/>
          <w:b w:val="0"/>
          <w:bCs w:val="0"/>
          <w:noProof w:val="0"/>
          <w:sz w:val="22"/>
          <w:szCs w:val="22"/>
          <w:lang w:val="en-GB"/>
        </w:rPr>
        <w:t xml:space="preserve"> binge eating under the category “</w:t>
      </w:r>
      <w:r w:rsidRPr="4F882B3B" w:rsidR="67443454">
        <w:rPr>
          <w:rFonts w:ascii="Arial" w:hAnsi="Arial" w:eastAsia="Arial" w:cs="Arial"/>
          <w:b w:val="0"/>
          <w:bCs w:val="0"/>
          <w:noProof w:val="0"/>
          <w:sz w:val="22"/>
          <w:szCs w:val="22"/>
          <w:lang w:val="en-GB"/>
        </w:rPr>
        <w:t>b</w:t>
      </w:r>
      <w:r w:rsidRPr="4F882B3B" w:rsidR="6AFD8453">
        <w:rPr>
          <w:rFonts w:ascii="Arial" w:hAnsi="Arial" w:eastAsia="Arial" w:cs="Arial"/>
          <w:b w:val="0"/>
          <w:bCs w:val="0"/>
          <w:noProof w:val="0"/>
          <w:sz w:val="22"/>
          <w:szCs w:val="22"/>
          <w:lang w:val="en-GB"/>
        </w:rPr>
        <w:t xml:space="preserve">inge eating disorder,” using the term </w:t>
      </w:r>
      <w:r w:rsidRPr="4F882B3B" w:rsidR="6AFD8453">
        <w:rPr>
          <w:rFonts w:ascii="Arial" w:hAnsi="Arial" w:eastAsia="Arial" w:cs="Arial"/>
          <w:b w:val="0"/>
          <w:bCs w:val="0"/>
          <w:i w:val="1"/>
          <w:iCs w:val="1"/>
          <w:noProof w:val="0"/>
          <w:sz w:val="22"/>
          <w:szCs w:val="22"/>
          <w:lang w:val="en-GB"/>
        </w:rPr>
        <w:t>disorder</w:t>
      </w:r>
      <w:r w:rsidRPr="4F882B3B" w:rsidR="6AFD8453">
        <w:rPr>
          <w:rFonts w:ascii="Arial" w:hAnsi="Arial" w:eastAsia="Arial" w:cs="Arial"/>
          <w:b w:val="0"/>
          <w:bCs w:val="0"/>
          <w:noProof w:val="0"/>
          <w:sz w:val="22"/>
          <w:szCs w:val="22"/>
          <w:lang w:val="en-GB"/>
        </w:rPr>
        <w:t xml:space="preserve"> rather than </w:t>
      </w:r>
      <w:r w:rsidRPr="4F882B3B" w:rsidR="6AFD8453">
        <w:rPr>
          <w:rFonts w:ascii="Arial" w:hAnsi="Arial" w:eastAsia="Arial" w:cs="Arial"/>
          <w:b w:val="0"/>
          <w:bCs w:val="0"/>
          <w:i w:val="1"/>
          <w:iCs w:val="1"/>
          <w:noProof w:val="0"/>
          <w:sz w:val="22"/>
          <w:szCs w:val="22"/>
          <w:lang w:val="en-GB"/>
        </w:rPr>
        <w:t>condition</w:t>
      </w:r>
      <w:r w:rsidRPr="4F882B3B" w:rsidR="6AFD8453">
        <w:rPr>
          <w:rFonts w:ascii="Arial" w:hAnsi="Arial" w:eastAsia="Arial" w:cs="Arial"/>
          <w:b w:val="0"/>
          <w:bCs w:val="0"/>
          <w:noProof w:val="0"/>
          <w:sz w:val="22"/>
          <w:szCs w:val="22"/>
          <w:lang w:val="en-GB"/>
        </w:rPr>
        <w:t xml:space="preserve"> or </w:t>
      </w:r>
      <w:r w:rsidRPr="4F882B3B" w:rsidR="6AFD8453">
        <w:rPr>
          <w:rFonts w:ascii="Arial" w:hAnsi="Arial" w:eastAsia="Arial" w:cs="Arial"/>
          <w:b w:val="0"/>
          <w:bCs w:val="0"/>
          <w:i w:val="1"/>
          <w:iCs w:val="1"/>
          <w:noProof w:val="0"/>
          <w:sz w:val="22"/>
          <w:szCs w:val="22"/>
          <w:lang w:val="en-GB"/>
        </w:rPr>
        <w:t>illness</w:t>
      </w:r>
      <w:r w:rsidRPr="4F882B3B" w:rsidR="6AFD8453">
        <w:rPr>
          <w:rFonts w:ascii="Arial" w:hAnsi="Arial" w:eastAsia="Arial" w:cs="Arial"/>
          <w:b w:val="0"/>
          <w:bCs w:val="0"/>
          <w:noProof w:val="0"/>
          <w:sz w:val="22"/>
          <w:szCs w:val="22"/>
          <w:lang w:val="en-GB"/>
        </w:rPr>
        <w:t>.</w:t>
      </w:r>
      <w:r w:rsidRPr="4F882B3B" w:rsidR="195EB763">
        <w:rPr>
          <w:rFonts w:ascii="Arial" w:hAnsi="Arial" w:eastAsia="Arial" w:cs="Arial"/>
          <w:b w:val="0"/>
          <w:bCs w:val="0"/>
          <w:noProof w:val="0"/>
          <w:sz w:val="22"/>
          <w:szCs w:val="22"/>
          <w:lang w:val="en-GB"/>
        </w:rPr>
        <w:t xml:space="preserve"> </w:t>
      </w:r>
      <w:r w:rsidRPr="4F882B3B" w:rsidR="327EC622">
        <w:rPr>
          <w:rFonts w:ascii="Arial" w:hAnsi="Arial" w:eastAsia="Arial" w:cs="Arial"/>
          <w:b w:val="0"/>
          <w:bCs w:val="0"/>
          <w:noProof w:val="0"/>
          <w:sz w:val="22"/>
          <w:szCs w:val="22"/>
          <w:lang w:val="en-GB"/>
        </w:rPr>
        <w:t xml:space="preserve">Based on (Claudino </w:t>
      </w:r>
      <w:r w:rsidRPr="4F882B3B" w:rsidR="327EC622">
        <w:rPr>
          <w:rFonts w:ascii="Arial" w:hAnsi="Arial" w:eastAsia="Arial" w:cs="Arial"/>
          <w:b w:val="0"/>
          <w:bCs w:val="0"/>
          <w:i w:val="1"/>
          <w:iCs w:val="1"/>
          <w:noProof w:val="0"/>
          <w:sz w:val="22"/>
          <w:szCs w:val="22"/>
          <w:lang w:val="en-GB"/>
        </w:rPr>
        <w:t>et al</w:t>
      </w:r>
      <w:r w:rsidRPr="4F882B3B" w:rsidR="327EC622">
        <w:rPr>
          <w:rFonts w:ascii="Arial" w:hAnsi="Arial" w:eastAsia="Arial" w:cs="Arial"/>
          <w:b w:val="0"/>
          <w:bCs w:val="0"/>
          <w:noProof w:val="0"/>
          <w:sz w:val="22"/>
          <w:szCs w:val="22"/>
          <w:lang w:val="en-GB"/>
        </w:rPr>
        <w:t>,2019)</w:t>
      </w:r>
      <w:r w:rsidRPr="4F882B3B" w:rsidR="195EB763">
        <w:rPr>
          <w:rFonts w:ascii="Arial" w:hAnsi="Arial" w:eastAsia="Arial" w:cs="Arial"/>
          <w:b w:val="0"/>
          <w:bCs w:val="0"/>
          <w:noProof w:val="0"/>
          <w:sz w:val="22"/>
          <w:szCs w:val="22"/>
          <w:lang w:val="en-GB"/>
        </w:rPr>
        <w:t xml:space="preserve"> </w:t>
      </w:r>
      <w:r w:rsidRPr="4F882B3B" w:rsidR="6FAAB9EB">
        <w:rPr>
          <w:rFonts w:ascii="Arial" w:hAnsi="Arial" w:eastAsia="Arial" w:cs="Arial"/>
          <w:b w:val="0"/>
          <w:bCs w:val="0"/>
          <w:noProof w:val="0"/>
          <w:sz w:val="22"/>
          <w:szCs w:val="22"/>
          <w:lang w:val="en-GB"/>
        </w:rPr>
        <w:t>i</w:t>
      </w:r>
      <w:r w:rsidRPr="4F882B3B" w:rsidR="195EB763">
        <w:rPr>
          <w:rFonts w:ascii="Arial" w:hAnsi="Arial" w:eastAsia="Arial" w:cs="Arial"/>
          <w:noProof w:val="0"/>
          <w:sz w:val="22"/>
          <w:szCs w:val="22"/>
          <w:lang w:val="en-GB"/>
        </w:rPr>
        <w:t xml:space="preserve">n ICD‑11, binge eating is classified as </w:t>
      </w:r>
      <w:r w:rsidRPr="4F882B3B" w:rsidR="195EB763">
        <w:rPr>
          <w:rFonts w:ascii="Arial" w:hAnsi="Arial" w:eastAsia="Arial" w:cs="Arial"/>
          <w:i w:val="1"/>
          <w:iCs w:val="1"/>
          <w:noProof w:val="0"/>
          <w:sz w:val="22"/>
          <w:szCs w:val="22"/>
          <w:lang w:val="en-GB"/>
        </w:rPr>
        <w:t>binge eating disorder</w:t>
      </w:r>
      <w:r w:rsidRPr="4F882B3B" w:rsidR="195EB763">
        <w:rPr>
          <w:rFonts w:ascii="Arial" w:hAnsi="Arial" w:eastAsia="Arial" w:cs="Arial"/>
          <w:noProof w:val="0"/>
          <w:sz w:val="22"/>
          <w:szCs w:val="22"/>
          <w:lang w:val="en-GB"/>
        </w:rPr>
        <w:t xml:space="preserve"> because it involves recurrent, distressing episodes of uncontrolled eating that cause significant impairment in daily functioning. Labelling it as a disorder highlights its clinical relevance, distinguishing it from occasional overeating and ensuring it is recognised as a mental health condition requiring professional attention. This classification is important because it </w:t>
      </w:r>
      <w:r w:rsidRPr="4F882B3B" w:rsidR="195EB763">
        <w:rPr>
          <w:rFonts w:ascii="Arial" w:hAnsi="Arial" w:eastAsia="Arial" w:cs="Arial"/>
          <w:noProof w:val="0"/>
          <w:sz w:val="22"/>
          <w:szCs w:val="22"/>
          <w:lang w:val="en-GB"/>
        </w:rPr>
        <w:t>validates</w:t>
      </w:r>
      <w:r w:rsidRPr="4F882B3B" w:rsidR="195EB763">
        <w:rPr>
          <w:rFonts w:ascii="Arial" w:hAnsi="Arial" w:eastAsia="Arial" w:cs="Arial"/>
          <w:noProof w:val="0"/>
          <w:sz w:val="22"/>
          <w:szCs w:val="22"/>
          <w:lang w:val="en-GB"/>
        </w:rPr>
        <w:t xml:space="preserve"> patient experiences, supports consistent diagnosis across healthcare systems, and promotes access to</w:t>
      </w:r>
      <w:r w:rsidRPr="4F882B3B" w:rsidR="195EB763">
        <w:rPr>
          <w:rFonts w:ascii="Arial" w:hAnsi="Arial" w:eastAsia="Arial" w:cs="Arial"/>
          <w:noProof w:val="0"/>
          <w:sz w:val="22"/>
          <w:szCs w:val="22"/>
          <w:lang w:val="en-GB"/>
        </w:rPr>
        <w:t xml:space="preserve"> </w:t>
      </w:r>
      <w:r w:rsidRPr="4F882B3B" w:rsidR="195EB763">
        <w:rPr>
          <w:rFonts w:ascii="Arial" w:hAnsi="Arial" w:eastAsia="Arial" w:cs="Arial"/>
          <w:noProof w:val="0"/>
          <w:sz w:val="22"/>
          <w:szCs w:val="22"/>
          <w:lang w:val="en-GB"/>
        </w:rPr>
        <w:t>appropriate treatmen</w:t>
      </w:r>
      <w:r w:rsidRPr="4F882B3B" w:rsidR="195EB763">
        <w:rPr>
          <w:rFonts w:ascii="Arial" w:hAnsi="Arial" w:eastAsia="Arial" w:cs="Arial"/>
          <w:noProof w:val="0"/>
          <w:sz w:val="22"/>
          <w:szCs w:val="22"/>
          <w:lang w:val="en-GB"/>
        </w:rPr>
        <w:t>t</w:t>
      </w:r>
      <w:r w:rsidRPr="4F882B3B" w:rsidR="195EB763">
        <w:rPr>
          <w:rFonts w:ascii="Arial" w:hAnsi="Arial" w:eastAsia="Arial" w:cs="Arial"/>
          <w:noProof w:val="0"/>
          <w:sz w:val="22"/>
          <w:szCs w:val="22"/>
          <w:lang w:val="en-GB"/>
        </w:rPr>
        <w:t xml:space="preserve"> and research.</w:t>
      </w:r>
      <w:r w:rsidRPr="4F882B3B" w:rsidR="7C4F14E8">
        <w:rPr>
          <w:rFonts w:ascii="Arial" w:hAnsi="Arial" w:eastAsia="Arial" w:cs="Arial"/>
          <w:b w:val="1"/>
          <w:bCs w:val="1"/>
          <w:noProof w:val="0"/>
          <w:sz w:val="22"/>
          <w:szCs w:val="22"/>
          <w:lang w:val="en-GB"/>
        </w:rPr>
        <w:t xml:space="preserve">   </w:t>
      </w:r>
      <w:r w:rsidRPr="4F882B3B" w:rsidR="521042FE">
        <w:rPr>
          <w:rFonts w:ascii="Arial" w:hAnsi="Arial" w:eastAsia="Arial" w:cs="Arial"/>
          <w:b w:val="1"/>
          <w:bCs w:val="1"/>
          <w:noProof w:val="0"/>
          <w:sz w:val="22"/>
          <w:szCs w:val="22"/>
          <w:lang w:val="en-GB"/>
        </w:rPr>
        <w:t xml:space="preserve"> </w:t>
      </w:r>
      <w:r w:rsidRPr="4F882B3B" w:rsidR="049C0CDC">
        <w:rPr>
          <w:rFonts w:ascii="Arial" w:hAnsi="Arial" w:eastAsia="Arial" w:cs="Arial"/>
          <w:b w:val="1"/>
          <w:bCs w:val="1"/>
          <w:noProof w:val="0"/>
          <w:sz w:val="22"/>
          <w:szCs w:val="22"/>
          <w:lang w:val="en-GB"/>
        </w:rPr>
        <w:t xml:space="preserve">                                                                                                                                                   </w:t>
      </w:r>
      <w:r w:rsidRPr="4F882B3B" w:rsidR="521042FE">
        <w:rPr>
          <w:rFonts w:ascii="Arial" w:hAnsi="Arial" w:eastAsia="Arial" w:cs="Arial"/>
          <w:b w:val="1"/>
          <w:bCs w:val="1"/>
          <w:noProof w:val="0"/>
          <w:sz w:val="22"/>
          <w:szCs w:val="22"/>
          <w:lang w:val="en-GB"/>
        </w:rPr>
        <w:t xml:space="preserve"> </w:t>
      </w:r>
      <w:r w:rsidRPr="4F882B3B" w:rsidR="521042FE">
        <w:rPr>
          <w:rFonts w:ascii="Arial" w:hAnsi="Arial" w:eastAsia="Arial" w:cs="Arial"/>
          <w:noProof w:val="0"/>
          <w:sz w:val="22"/>
          <w:szCs w:val="22"/>
          <w:lang w:val="en-GB"/>
        </w:rPr>
        <w:t xml:space="preserve"> </w:t>
      </w:r>
      <w:r w:rsidRPr="4F882B3B" w:rsidR="22F28488">
        <w:rPr>
          <w:rFonts w:ascii="Arial" w:hAnsi="Arial" w:eastAsia="Arial" w:cs="Arial"/>
          <w:noProof w:val="0"/>
          <w:sz w:val="22"/>
          <w:szCs w:val="22"/>
          <w:lang w:val="en-GB"/>
        </w:rPr>
        <w:t xml:space="preserve">                                                                                                                                     </w:t>
      </w:r>
      <w:r w:rsidRPr="4F882B3B" w:rsidR="521042FE">
        <w:rPr>
          <w:rFonts w:ascii="Arial" w:hAnsi="Arial" w:eastAsia="Arial" w:cs="Arial"/>
          <w:noProof w:val="0"/>
          <w:sz w:val="22"/>
          <w:szCs w:val="22"/>
          <w:lang w:val="en-GB"/>
        </w:rPr>
        <w:t xml:space="preserve">                      </w:t>
      </w:r>
      <w:r w:rsidRPr="4F882B3B" w:rsidR="066202D0">
        <w:rPr>
          <w:rFonts w:ascii="Arial" w:hAnsi="Arial" w:eastAsia="Arial" w:cs="Arial"/>
          <w:b w:val="1"/>
          <w:bCs w:val="1"/>
          <w:noProof w:val="0"/>
          <w:sz w:val="22"/>
          <w:szCs w:val="22"/>
          <w:lang w:val="en-GB"/>
        </w:rPr>
        <w:t>2.</w:t>
      </w:r>
      <w:r w:rsidRPr="4F882B3B" w:rsidR="47693C48">
        <w:rPr>
          <w:rFonts w:ascii="Arial" w:hAnsi="Arial" w:eastAsia="Arial" w:cs="Arial"/>
          <w:b w:val="1"/>
          <w:bCs w:val="1"/>
          <w:noProof w:val="0"/>
          <w:sz w:val="22"/>
          <w:szCs w:val="22"/>
          <w:lang w:val="en-GB"/>
        </w:rPr>
        <w:t xml:space="preserve"> </w:t>
      </w:r>
      <w:r w:rsidRPr="4F882B3B" w:rsidR="0D887A73">
        <w:rPr>
          <w:rFonts w:ascii="Arial" w:hAnsi="Arial" w:eastAsia="Arial" w:cs="Arial"/>
          <w:b w:val="1"/>
          <w:bCs w:val="1"/>
          <w:color w:val="000000" w:themeColor="text1" w:themeTint="FF" w:themeShade="FF"/>
          <w:sz w:val="22"/>
          <w:szCs w:val="22"/>
        </w:rPr>
        <w:t>Treatment and Rehabilitation</w:t>
      </w:r>
      <w:r w:rsidRPr="4F882B3B" w:rsidR="7D9605DF">
        <w:rPr>
          <w:rFonts w:ascii="Arial" w:hAnsi="Arial" w:eastAsia="Arial" w:cs="Arial"/>
          <w:b w:val="1"/>
          <w:bCs w:val="1"/>
          <w:color w:val="000000" w:themeColor="text1" w:themeTint="FF" w:themeShade="FF"/>
          <w:sz w:val="22"/>
          <w:szCs w:val="22"/>
        </w:rPr>
        <w:t xml:space="preserve"> </w:t>
      </w:r>
      <w:r w:rsidRPr="4F882B3B" w:rsidR="0D887A73">
        <w:rPr>
          <w:rFonts w:ascii="Arial" w:hAnsi="Arial" w:eastAsia="Arial" w:cs="Arial"/>
          <w:b w:val="1"/>
          <w:bCs w:val="1"/>
          <w:color w:val="000000" w:themeColor="text1" w:themeTint="FF" w:themeShade="FF"/>
          <w:sz w:val="22"/>
          <w:szCs w:val="22"/>
        </w:rPr>
        <w:t xml:space="preserve"> </w:t>
      </w:r>
    </w:p>
    <w:p w:rsidR="074AD5A4" w:rsidP="4F882B3B" w:rsidRDefault="074AD5A4" w14:paraId="329B7140" w14:textId="3986D944">
      <w:pPr>
        <w:spacing w:before="240" w:beforeAutospacing="off" w:after="240" w:afterAutospacing="off" w:line="360" w:lineRule="auto"/>
        <w:jc w:val="both"/>
        <w:rPr>
          <w:rFonts w:ascii="Arial" w:hAnsi="Arial" w:eastAsia="Arial" w:cs="Arial"/>
          <w:noProof w:val="0"/>
          <w:sz w:val="22"/>
          <w:szCs w:val="22"/>
          <w:lang w:val="en-GB"/>
        </w:rPr>
      </w:pPr>
      <w:r w:rsidRPr="4F882B3B" w:rsidR="074AD5A4">
        <w:rPr>
          <w:rFonts w:ascii="Arial" w:hAnsi="Arial" w:eastAsia="Arial" w:cs="Arial"/>
          <w:noProof w:val="0"/>
          <w:sz w:val="22"/>
          <w:szCs w:val="22"/>
          <w:lang w:val="en-GB"/>
        </w:rPr>
        <w:t>It can feel complex to address binge‑eating disorder (BED), as it involves the clinical realities of treatment, the language of policy, and the lived experience of recovery. The following overview provides an evidence‑based discussion that considers both the strengths and limitations of current approaches, while also examining how ICD‑11 defines the condition compared to the rehabilitation strategies applied in practice.</w:t>
      </w:r>
    </w:p>
    <w:p w:rsidR="262B3568" w:rsidP="4F882B3B" w:rsidRDefault="262B3568" w14:paraId="1A1343F7" w14:textId="2651AEE3">
      <w:pPr>
        <w:pStyle w:val="Normal"/>
        <w:spacing w:before="240" w:beforeAutospacing="off" w:after="240" w:afterAutospacing="off" w:line="360" w:lineRule="auto"/>
        <w:jc w:val="both"/>
        <w:rPr>
          <w:rFonts w:ascii="Arial" w:hAnsi="Arial" w:eastAsia="Arial" w:cs="Arial"/>
          <w:noProof w:val="0"/>
          <w:sz w:val="22"/>
          <w:szCs w:val="22"/>
          <w:lang w:val="en-GB"/>
        </w:rPr>
      </w:pPr>
      <w:r w:rsidRPr="4F882B3B" w:rsidR="262B3568">
        <w:rPr>
          <w:rFonts w:ascii="Arial" w:hAnsi="Arial" w:eastAsia="Arial" w:cs="Arial"/>
          <w:noProof w:val="0"/>
          <w:sz w:val="22"/>
          <w:szCs w:val="22"/>
          <w:lang w:val="en-GB"/>
        </w:rPr>
        <w:t>In line with (Grillo and Juarascio,202</w:t>
      </w:r>
      <w:r w:rsidRPr="4F882B3B" w:rsidR="18148C90">
        <w:rPr>
          <w:rFonts w:ascii="Arial" w:hAnsi="Arial" w:eastAsia="Arial" w:cs="Arial"/>
          <w:noProof w:val="0"/>
          <w:sz w:val="22"/>
          <w:szCs w:val="22"/>
          <w:lang w:val="en-GB"/>
        </w:rPr>
        <w:t>3</w:t>
      </w:r>
      <w:r w:rsidRPr="4F882B3B" w:rsidR="66274417">
        <w:rPr>
          <w:rFonts w:ascii="Arial" w:hAnsi="Arial" w:eastAsia="Arial" w:cs="Arial"/>
          <w:noProof w:val="0"/>
          <w:sz w:val="22"/>
          <w:szCs w:val="22"/>
          <w:lang w:val="en-GB"/>
        </w:rPr>
        <w:t xml:space="preserve">), </w:t>
      </w:r>
      <w:r w:rsidRPr="4F882B3B" w:rsidR="5727B0B0">
        <w:rPr>
          <w:rFonts w:ascii="Arial" w:hAnsi="Arial" w:eastAsia="Arial" w:cs="Arial"/>
          <w:noProof w:val="0"/>
          <w:sz w:val="22"/>
          <w:szCs w:val="22"/>
          <w:lang w:val="en-GB"/>
        </w:rPr>
        <w:t>(</w:t>
      </w:r>
      <w:r w:rsidRPr="4F882B3B" w:rsidR="2A07B4F2">
        <w:rPr>
          <w:rFonts w:ascii="Arial" w:hAnsi="Arial" w:eastAsia="Arial" w:cs="Arial"/>
          <w:noProof w:val="0"/>
          <w:sz w:val="22"/>
          <w:szCs w:val="22"/>
          <w:lang w:val="en-GB"/>
        </w:rPr>
        <w:t xml:space="preserve">NICE,2017), and (NHS,2023) </w:t>
      </w:r>
      <w:r w:rsidRPr="4F882B3B" w:rsidR="262B3568">
        <w:rPr>
          <w:rFonts w:ascii="Arial" w:hAnsi="Arial" w:eastAsia="Arial" w:cs="Arial"/>
          <w:noProof w:val="0"/>
          <w:sz w:val="22"/>
          <w:szCs w:val="22"/>
          <w:lang w:val="en-GB"/>
        </w:rPr>
        <w:t>the standard methods of treating binge‑eating disorder include:</w:t>
      </w:r>
    </w:p>
    <w:tbl>
      <w:tblPr>
        <w:tblStyle w:val="TableGrid"/>
        <w:tblW w:w="0" w:type="auto"/>
        <w:tblLook w:val="06A0" w:firstRow="1" w:lastRow="0" w:firstColumn="1" w:lastColumn="0" w:noHBand="1" w:noVBand="1"/>
      </w:tblPr>
      <w:tblGrid>
        <w:gridCol w:w="1872"/>
        <w:gridCol w:w="1872"/>
        <w:gridCol w:w="1872"/>
        <w:gridCol w:w="1872"/>
        <w:gridCol w:w="1872"/>
      </w:tblGrid>
      <w:tr w:rsidR="4F882B3B" w:rsidTr="4F882B3B" w14:paraId="17C14730">
        <w:trPr>
          <w:trHeight w:val="300"/>
        </w:trPr>
        <w:tc>
          <w:tcPr>
            <w:tcW w:w="1872" w:type="dxa"/>
            <w:tcMar/>
          </w:tcPr>
          <w:p w:rsidR="09E6CD2D" w:rsidP="4F882B3B" w:rsidRDefault="09E6CD2D" w14:paraId="5C0B72E4" w14:textId="10BCDC11">
            <w:pPr>
              <w:pStyle w:val="Normal"/>
              <w:spacing w:line="360" w:lineRule="auto"/>
              <w:rPr>
                <w:rFonts w:ascii="Arial" w:hAnsi="Arial" w:eastAsia="Arial" w:cs="Arial"/>
                <w:b w:val="1"/>
                <w:bCs w:val="1"/>
                <w:color w:val="000000" w:themeColor="text1" w:themeTint="FF" w:themeShade="FF"/>
                <w:sz w:val="22"/>
                <w:szCs w:val="22"/>
              </w:rPr>
            </w:pPr>
            <w:r w:rsidRPr="4F882B3B" w:rsidR="09E6CD2D">
              <w:rPr>
                <w:rFonts w:ascii="Arial" w:hAnsi="Arial" w:eastAsia="Arial" w:cs="Arial"/>
                <w:b w:val="1"/>
                <w:bCs w:val="1"/>
                <w:color w:val="000000" w:themeColor="text1" w:themeTint="FF" w:themeShade="FF"/>
                <w:sz w:val="22"/>
                <w:szCs w:val="22"/>
              </w:rPr>
              <w:t>Method</w:t>
            </w:r>
          </w:p>
        </w:tc>
        <w:tc>
          <w:tcPr>
            <w:tcW w:w="1872" w:type="dxa"/>
            <w:tcMar/>
          </w:tcPr>
          <w:p w:rsidR="09E6CD2D" w:rsidP="4F882B3B" w:rsidRDefault="09E6CD2D" w14:paraId="5B5E7FAB" w14:textId="3E3C9DF4">
            <w:pPr>
              <w:pStyle w:val="Normal"/>
              <w:spacing w:line="360" w:lineRule="auto"/>
              <w:rPr>
                <w:rFonts w:ascii="Arial" w:hAnsi="Arial" w:eastAsia="Arial" w:cs="Arial"/>
                <w:b w:val="1"/>
                <w:bCs w:val="1"/>
                <w:color w:val="000000" w:themeColor="text1" w:themeTint="FF" w:themeShade="FF"/>
                <w:sz w:val="22"/>
                <w:szCs w:val="22"/>
              </w:rPr>
            </w:pPr>
            <w:r w:rsidRPr="4F882B3B" w:rsidR="09E6CD2D">
              <w:rPr>
                <w:rFonts w:ascii="Arial" w:hAnsi="Arial" w:eastAsia="Arial" w:cs="Arial"/>
                <w:b w:val="1"/>
                <w:bCs w:val="1"/>
                <w:color w:val="000000" w:themeColor="text1" w:themeTint="FF" w:themeShade="FF"/>
                <w:sz w:val="22"/>
                <w:szCs w:val="22"/>
              </w:rPr>
              <w:t>Care aim</w:t>
            </w:r>
          </w:p>
        </w:tc>
        <w:tc>
          <w:tcPr>
            <w:tcW w:w="1872" w:type="dxa"/>
            <w:tcMar/>
          </w:tcPr>
          <w:p w:rsidR="09E6CD2D" w:rsidP="4F882B3B" w:rsidRDefault="09E6CD2D" w14:paraId="14A6F52C" w14:textId="5E6D55C7">
            <w:pPr>
              <w:pStyle w:val="Normal"/>
              <w:spacing w:line="360" w:lineRule="auto"/>
              <w:rPr>
                <w:rFonts w:ascii="Arial" w:hAnsi="Arial" w:eastAsia="Arial" w:cs="Arial"/>
                <w:b w:val="1"/>
                <w:bCs w:val="1"/>
                <w:color w:val="000000" w:themeColor="text1" w:themeTint="FF" w:themeShade="FF"/>
                <w:sz w:val="22"/>
                <w:szCs w:val="22"/>
              </w:rPr>
            </w:pPr>
            <w:r w:rsidRPr="4F882B3B" w:rsidR="09E6CD2D">
              <w:rPr>
                <w:rFonts w:ascii="Arial" w:hAnsi="Arial" w:eastAsia="Arial" w:cs="Arial"/>
                <w:b w:val="1"/>
                <w:bCs w:val="1"/>
                <w:color w:val="000000" w:themeColor="text1" w:themeTint="FF" w:themeShade="FF"/>
                <w:sz w:val="22"/>
                <w:szCs w:val="22"/>
              </w:rPr>
              <w:t>Standard structure</w:t>
            </w:r>
          </w:p>
        </w:tc>
        <w:tc>
          <w:tcPr>
            <w:tcW w:w="1872" w:type="dxa"/>
            <w:tcMar/>
          </w:tcPr>
          <w:p w:rsidR="09E6CD2D" w:rsidP="4F882B3B" w:rsidRDefault="09E6CD2D" w14:paraId="18B9E6D7" w14:textId="45FCFC94">
            <w:pPr>
              <w:pStyle w:val="Normal"/>
              <w:spacing w:line="360" w:lineRule="auto"/>
              <w:rPr>
                <w:rFonts w:ascii="Arial" w:hAnsi="Arial" w:eastAsia="Arial" w:cs="Arial"/>
                <w:b w:val="1"/>
                <w:bCs w:val="1"/>
                <w:color w:val="000000" w:themeColor="text1" w:themeTint="FF" w:themeShade="FF"/>
                <w:sz w:val="22"/>
                <w:szCs w:val="22"/>
              </w:rPr>
            </w:pPr>
            <w:r w:rsidRPr="4F882B3B" w:rsidR="09E6CD2D">
              <w:rPr>
                <w:rFonts w:ascii="Arial" w:hAnsi="Arial" w:eastAsia="Arial" w:cs="Arial"/>
                <w:b w:val="1"/>
                <w:bCs w:val="1"/>
                <w:color w:val="000000" w:themeColor="text1" w:themeTint="FF" w:themeShade="FF"/>
                <w:sz w:val="22"/>
                <w:szCs w:val="22"/>
              </w:rPr>
              <w:t>Strengths</w:t>
            </w:r>
          </w:p>
        </w:tc>
        <w:tc>
          <w:tcPr>
            <w:tcW w:w="1872" w:type="dxa"/>
            <w:tcMar/>
          </w:tcPr>
          <w:p w:rsidR="09E6CD2D" w:rsidP="4F882B3B" w:rsidRDefault="09E6CD2D" w14:paraId="70ACC2F9" w14:textId="4A17E399">
            <w:pPr>
              <w:pStyle w:val="Normal"/>
              <w:spacing w:line="360" w:lineRule="auto"/>
              <w:rPr>
                <w:rFonts w:ascii="Arial" w:hAnsi="Arial" w:eastAsia="Arial" w:cs="Arial"/>
                <w:b w:val="1"/>
                <w:bCs w:val="1"/>
                <w:color w:val="000000" w:themeColor="text1" w:themeTint="FF" w:themeShade="FF"/>
                <w:sz w:val="22"/>
                <w:szCs w:val="22"/>
              </w:rPr>
            </w:pPr>
            <w:r w:rsidRPr="4F882B3B" w:rsidR="09E6CD2D">
              <w:rPr>
                <w:rFonts w:ascii="Arial" w:hAnsi="Arial" w:eastAsia="Arial" w:cs="Arial"/>
                <w:b w:val="1"/>
                <w:bCs w:val="1"/>
                <w:color w:val="000000" w:themeColor="text1" w:themeTint="FF" w:themeShade="FF"/>
                <w:sz w:val="22"/>
                <w:szCs w:val="22"/>
              </w:rPr>
              <w:t>Limitations</w:t>
            </w:r>
          </w:p>
        </w:tc>
      </w:tr>
      <w:tr w:rsidR="4F882B3B" w:rsidTr="4F882B3B" w14:paraId="72B2D98C">
        <w:trPr>
          <w:trHeight w:val="300"/>
        </w:trPr>
        <w:tc>
          <w:tcPr>
            <w:tcW w:w="1872" w:type="dxa"/>
            <w:tcMar/>
          </w:tcPr>
          <w:p w:rsidR="013EA3BA" w:rsidP="4F882B3B" w:rsidRDefault="013EA3BA" w14:paraId="2E04588C" w14:textId="209E52B5">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CBT (cognitive behavioural therapy)</w:t>
            </w:r>
          </w:p>
        </w:tc>
        <w:tc>
          <w:tcPr>
            <w:tcW w:w="1872" w:type="dxa"/>
            <w:tcMar/>
          </w:tcPr>
          <w:p w:rsidR="0B0F0271" w:rsidP="4F882B3B" w:rsidRDefault="0B0F0271" w14:paraId="4F714B24" w14:textId="3344F436">
            <w:pPr>
              <w:pStyle w:val="Normal"/>
              <w:spacing w:line="360" w:lineRule="auto"/>
              <w:rPr>
                <w:rFonts w:ascii="Arial" w:hAnsi="Arial" w:eastAsia="Arial" w:cs="Arial"/>
                <w:noProof w:val="0"/>
                <w:sz w:val="22"/>
                <w:szCs w:val="22"/>
                <w:lang w:val="en-GB"/>
              </w:rPr>
            </w:pPr>
            <w:r w:rsidRPr="4F882B3B" w:rsidR="0B0F0271">
              <w:rPr>
                <w:rFonts w:ascii="Arial" w:hAnsi="Arial" w:eastAsia="Arial" w:cs="Arial"/>
                <w:noProof w:val="0"/>
                <w:sz w:val="22"/>
                <w:szCs w:val="22"/>
                <w:lang w:val="en-GB"/>
              </w:rPr>
              <w:t>r</w:t>
            </w:r>
            <w:r w:rsidRPr="4F882B3B" w:rsidR="1E8E38A9">
              <w:rPr>
                <w:rFonts w:ascii="Arial" w:hAnsi="Arial" w:eastAsia="Arial" w:cs="Arial"/>
                <w:noProof w:val="0"/>
                <w:sz w:val="22"/>
                <w:szCs w:val="22"/>
                <w:lang w:val="en-GB"/>
              </w:rPr>
              <w:t>educe binge episodes, restructure</w:t>
            </w:r>
            <w:r w:rsidRPr="4F882B3B" w:rsidR="1E8E38A9">
              <w:rPr>
                <w:rFonts w:ascii="Arial" w:hAnsi="Arial" w:eastAsia="Arial" w:cs="Arial"/>
                <w:noProof w:val="0"/>
                <w:sz w:val="22"/>
                <w:szCs w:val="22"/>
                <w:lang w:val="en-GB"/>
              </w:rPr>
              <w:t xml:space="preserve"> </w:t>
            </w:r>
            <w:r w:rsidRPr="4F882B3B" w:rsidR="1E8E38A9">
              <w:rPr>
                <w:rFonts w:ascii="Arial" w:hAnsi="Arial" w:eastAsia="Arial" w:cs="Arial"/>
                <w:noProof w:val="0"/>
                <w:sz w:val="22"/>
                <w:szCs w:val="22"/>
                <w:lang w:val="en-GB"/>
              </w:rPr>
              <w:t>thought</w:t>
            </w:r>
            <w:r w:rsidRPr="4F882B3B" w:rsidR="1E8E38A9">
              <w:rPr>
                <w:rFonts w:ascii="Arial" w:hAnsi="Arial" w:eastAsia="Arial" w:cs="Arial"/>
                <w:noProof w:val="0"/>
                <w:sz w:val="22"/>
                <w:szCs w:val="22"/>
                <w:lang w:val="en-GB"/>
              </w:rPr>
              <w:t>s</w:t>
            </w:r>
            <w:r w:rsidRPr="4F882B3B" w:rsidR="1E8E38A9">
              <w:rPr>
                <w:rFonts w:ascii="Arial" w:hAnsi="Arial" w:eastAsia="Arial" w:cs="Arial"/>
                <w:noProof w:val="0"/>
                <w:sz w:val="22"/>
                <w:szCs w:val="22"/>
                <w:lang w:val="en-GB"/>
              </w:rPr>
              <w:t xml:space="preserve"> and</w:t>
            </w:r>
            <w:r w:rsidRPr="4F882B3B" w:rsidR="1E8E38A9">
              <w:rPr>
                <w:rFonts w:ascii="Arial" w:hAnsi="Arial" w:eastAsia="Arial" w:cs="Arial"/>
                <w:noProof w:val="0"/>
                <w:sz w:val="22"/>
                <w:szCs w:val="22"/>
                <w:lang w:val="en-GB"/>
              </w:rPr>
              <w:t xml:space="preserve"> </w:t>
            </w:r>
            <w:r w:rsidRPr="4F882B3B" w:rsidR="1E8E38A9">
              <w:rPr>
                <w:rFonts w:ascii="Arial" w:hAnsi="Arial" w:eastAsia="Arial" w:cs="Arial"/>
                <w:noProof w:val="0"/>
                <w:sz w:val="22"/>
                <w:szCs w:val="22"/>
                <w:lang w:val="en-GB"/>
              </w:rPr>
              <w:t>establis</w:t>
            </w:r>
            <w:r w:rsidRPr="4F882B3B" w:rsidR="1E8E38A9">
              <w:rPr>
                <w:rFonts w:ascii="Arial" w:hAnsi="Arial" w:eastAsia="Arial" w:cs="Arial"/>
                <w:noProof w:val="0"/>
                <w:sz w:val="22"/>
                <w:szCs w:val="22"/>
                <w:lang w:val="en-GB"/>
              </w:rPr>
              <w:t>h</w:t>
            </w:r>
            <w:r w:rsidRPr="4F882B3B" w:rsidR="1E8E38A9">
              <w:rPr>
                <w:rFonts w:ascii="Arial" w:hAnsi="Arial" w:eastAsia="Arial" w:cs="Arial"/>
                <w:noProof w:val="0"/>
                <w:sz w:val="22"/>
                <w:szCs w:val="22"/>
                <w:lang w:val="en-GB"/>
              </w:rPr>
              <w:t xml:space="preserve"> regular eating</w:t>
            </w:r>
          </w:p>
        </w:tc>
        <w:tc>
          <w:tcPr>
            <w:tcW w:w="1872" w:type="dxa"/>
            <w:tcMar/>
          </w:tcPr>
          <w:p w:rsidR="2DB19829" w:rsidP="4F882B3B" w:rsidRDefault="2DB19829" w14:paraId="5542BD68" w14:textId="65E9B007">
            <w:pPr>
              <w:pStyle w:val="Normal"/>
              <w:spacing w:line="360" w:lineRule="auto"/>
              <w:rPr>
                <w:rFonts w:ascii="Arial" w:hAnsi="Arial" w:eastAsia="Arial" w:cs="Arial"/>
                <w:noProof w:val="0"/>
                <w:sz w:val="22"/>
                <w:szCs w:val="22"/>
                <w:lang w:val="en-GB"/>
              </w:rPr>
            </w:pPr>
            <w:r w:rsidRPr="4F882B3B" w:rsidR="2DB19829">
              <w:rPr>
                <w:rFonts w:ascii="Arial" w:hAnsi="Arial" w:eastAsia="Arial" w:cs="Arial"/>
                <w:noProof w:val="0"/>
                <w:sz w:val="22"/>
                <w:szCs w:val="22"/>
                <w:lang w:val="en-GB"/>
              </w:rPr>
              <w:t>d</w:t>
            </w:r>
            <w:r w:rsidRPr="4F882B3B" w:rsidR="4C32CBAD">
              <w:rPr>
                <w:rFonts w:ascii="Arial" w:hAnsi="Arial" w:eastAsia="Arial" w:cs="Arial"/>
                <w:noProof w:val="0"/>
                <w:sz w:val="22"/>
                <w:szCs w:val="22"/>
                <w:lang w:val="en-GB"/>
              </w:rPr>
              <w:t>elivered in either group or individual format, typically spanning 16 to 20 sessions</w:t>
            </w:r>
          </w:p>
        </w:tc>
        <w:tc>
          <w:tcPr>
            <w:tcW w:w="1872" w:type="dxa"/>
            <w:tcMar/>
          </w:tcPr>
          <w:p w:rsidR="464EBCC6" w:rsidP="4F882B3B" w:rsidRDefault="464EBCC6" w14:paraId="3F47A606" w14:textId="47FF1459">
            <w:pPr>
              <w:spacing w:before="240" w:beforeAutospacing="off" w:after="240" w:afterAutospacing="off" w:line="360" w:lineRule="auto"/>
              <w:rPr>
                <w:rFonts w:ascii="Arial" w:hAnsi="Arial" w:eastAsia="Arial" w:cs="Arial"/>
                <w:noProof w:val="0"/>
                <w:sz w:val="22"/>
                <w:szCs w:val="22"/>
                <w:lang w:val="en-GB"/>
              </w:rPr>
            </w:pPr>
            <w:r w:rsidRPr="4F882B3B" w:rsidR="464EBCC6">
              <w:rPr>
                <w:rFonts w:ascii="Arial" w:hAnsi="Arial" w:eastAsia="Arial" w:cs="Arial"/>
                <w:noProof w:val="0"/>
                <w:sz w:val="22"/>
                <w:szCs w:val="22"/>
                <w:lang w:val="en-GB"/>
              </w:rPr>
              <w:t>Strong evidence</w:t>
            </w:r>
            <w:r w:rsidRPr="4F882B3B" w:rsidR="464EBCC6">
              <w:rPr>
                <w:rFonts w:ascii="Arial" w:hAnsi="Arial" w:eastAsia="Arial" w:cs="Arial"/>
                <w:noProof w:val="0"/>
                <w:sz w:val="22"/>
                <w:szCs w:val="22"/>
                <w:lang w:val="en-GB"/>
              </w:rPr>
              <w:t xml:space="preserve"> an</w:t>
            </w:r>
            <w:r w:rsidRPr="4F882B3B" w:rsidR="464EBCC6">
              <w:rPr>
                <w:rFonts w:ascii="Arial" w:hAnsi="Arial" w:eastAsia="Arial" w:cs="Arial"/>
                <w:noProof w:val="0"/>
                <w:sz w:val="22"/>
                <w:szCs w:val="22"/>
                <w:lang w:val="en-GB"/>
              </w:rPr>
              <w:t>d durable benefi</w:t>
            </w:r>
            <w:r w:rsidRPr="4F882B3B" w:rsidR="464EBCC6">
              <w:rPr>
                <w:rFonts w:ascii="Arial" w:hAnsi="Arial" w:eastAsia="Arial" w:cs="Arial"/>
                <w:noProof w:val="0"/>
                <w:sz w:val="22"/>
                <w:szCs w:val="22"/>
                <w:lang w:val="en-GB"/>
              </w:rPr>
              <w:t>ts</w:t>
            </w:r>
          </w:p>
          <w:p w:rsidR="4F882B3B" w:rsidP="4F882B3B" w:rsidRDefault="4F882B3B" w14:paraId="32FB1D52" w14:textId="48F1177A">
            <w:pPr>
              <w:pStyle w:val="Normal"/>
              <w:spacing w:line="360" w:lineRule="auto"/>
              <w:rPr>
                <w:rFonts w:ascii="Arial" w:hAnsi="Arial" w:eastAsia="Arial" w:cs="Arial"/>
                <w:b w:val="1"/>
                <w:bCs w:val="1"/>
                <w:color w:val="000000" w:themeColor="text1" w:themeTint="FF" w:themeShade="FF"/>
                <w:sz w:val="22"/>
                <w:szCs w:val="22"/>
              </w:rPr>
            </w:pPr>
          </w:p>
        </w:tc>
        <w:tc>
          <w:tcPr>
            <w:tcW w:w="1872" w:type="dxa"/>
            <w:tcMar/>
          </w:tcPr>
          <w:p w:rsidR="0A227765" w:rsidP="4F882B3B" w:rsidRDefault="0A227765" w14:paraId="4B75D25A" w14:textId="6DF4C94D">
            <w:pPr>
              <w:pStyle w:val="Normal"/>
              <w:spacing w:line="360" w:lineRule="auto"/>
              <w:rPr>
                <w:rFonts w:ascii="Arial" w:hAnsi="Arial" w:eastAsia="Arial" w:cs="Arial"/>
                <w:noProof w:val="0"/>
                <w:sz w:val="22"/>
                <w:szCs w:val="22"/>
                <w:lang w:val="en-GB"/>
              </w:rPr>
            </w:pPr>
            <w:r w:rsidRPr="4F882B3B" w:rsidR="0A227765">
              <w:rPr>
                <w:rFonts w:ascii="Arial" w:hAnsi="Arial" w:eastAsia="Arial" w:cs="Arial"/>
                <w:noProof w:val="0"/>
                <w:sz w:val="22"/>
                <w:szCs w:val="22"/>
                <w:lang w:val="en-GB"/>
              </w:rPr>
              <w:t>Impact on weight is modest, availability differs.</w:t>
            </w:r>
          </w:p>
        </w:tc>
      </w:tr>
      <w:tr w:rsidR="4F882B3B" w:rsidTr="4F882B3B" w14:paraId="12FDA4EF">
        <w:trPr>
          <w:trHeight w:val="300"/>
        </w:trPr>
        <w:tc>
          <w:tcPr>
            <w:tcW w:w="1872" w:type="dxa"/>
            <w:tcMar/>
          </w:tcPr>
          <w:p w:rsidR="013EA3BA" w:rsidP="4F882B3B" w:rsidRDefault="013EA3BA" w14:paraId="5403995B" w14:textId="12DA764D">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CBT‑</w:t>
            </w:r>
            <w:r w:rsidRPr="4F882B3B" w:rsidR="013EA3BA">
              <w:rPr>
                <w:rFonts w:ascii="Arial" w:hAnsi="Arial" w:eastAsia="Arial" w:cs="Arial"/>
                <w:noProof w:val="0"/>
                <w:sz w:val="22"/>
                <w:szCs w:val="22"/>
                <w:lang w:val="en-GB"/>
              </w:rPr>
              <w:t>gsh</w:t>
            </w:r>
            <w:r w:rsidRPr="4F882B3B" w:rsidR="013EA3BA">
              <w:rPr>
                <w:rFonts w:ascii="Arial" w:hAnsi="Arial" w:eastAsia="Arial" w:cs="Arial"/>
                <w:noProof w:val="0"/>
                <w:sz w:val="22"/>
                <w:szCs w:val="22"/>
                <w:lang w:val="en-GB"/>
              </w:rPr>
              <w:t xml:space="preserve"> (guided self‑help)</w:t>
            </w:r>
          </w:p>
        </w:tc>
        <w:tc>
          <w:tcPr>
            <w:tcW w:w="1872" w:type="dxa"/>
            <w:tcMar/>
          </w:tcPr>
          <w:p w:rsidR="0B4E8F33" w:rsidP="4F882B3B" w:rsidRDefault="0B4E8F33" w14:paraId="53D87799" w14:textId="168CF433">
            <w:pPr>
              <w:pStyle w:val="Normal"/>
              <w:spacing w:line="360" w:lineRule="auto"/>
              <w:rPr>
                <w:rFonts w:ascii="Arial" w:hAnsi="Arial" w:eastAsia="Arial" w:cs="Arial"/>
                <w:noProof w:val="0"/>
                <w:sz w:val="22"/>
                <w:szCs w:val="22"/>
                <w:lang w:val="en-GB"/>
              </w:rPr>
            </w:pPr>
            <w:r w:rsidRPr="4F882B3B" w:rsidR="0B4E8F33">
              <w:rPr>
                <w:rFonts w:ascii="Arial" w:hAnsi="Arial" w:eastAsia="Arial" w:cs="Arial"/>
                <w:noProof w:val="0"/>
                <w:sz w:val="22"/>
                <w:szCs w:val="22"/>
                <w:lang w:val="en-GB"/>
              </w:rPr>
              <w:t>scalable symptom reduction</w:t>
            </w:r>
          </w:p>
        </w:tc>
        <w:tc>
          <w:tcPr>
            <w:tcW w:w="1872" w:type="dxa"/>
            <w:tcMar/>
          </w:tcPr>
          <w:p w:rsidR="51D67F0A" w:rsidP="4F882B3B" w:rsidRDefault="51D67F0A" w14:paraId="528E94AB" w14:textId="4733BB41">
            <w:pPr>
              <w:pStyle w:val="Normal"/>
              <w:spacing w:line="360" w:lineRule="auto"/>
              <w:rPr>
                <w:rFonts w:ascii="Arial" w:hAnsi="Arial" w:eastAsia="Arial" w:cs="Arial"/>
                <w:noProof w:val="0"/>
                <w:sz w:val="22"/>
                <w:szCs w:val="22"/>
                <w:lang w:val="en-GB"/>
              </w:rPr>
            </w:pPr>
            <w:r w:rsidRPr="4F882B3B" w:rsidR="51D67F0A">
              <w:rPr>
                <w:rFonts w:ascii="Arial" w:hAnsi="Arial" w:eastAsia="Arial" w:cs="Arial"/>
                <w:noProof w:val="0"/>
                <w:sz w:val="22"/>
                <w:szCs w:val="22"/>
                <w:lang w:val="en-GB"/>
              </w:rPr>
              <w:t>i</w:t>
            </w:r>
            <w:r w:rsidRPr="4F882B3B" w:rsidR="2656D9F0">
              <w:rPr>
                <w:rFonts w:ascii="Arial" w:hAnsi="Arial" w:eastAsia="Arial" w:cs="Arial"/>
                <w:noProof w:val="0"/>
                <w:sz w:val="22"/>
                <w:szCs w:val="22"/>
                <w:lang w:val="en-GB"/>
              </w:rPr>
              <w:t xml:space="preserve">nvolves </w:t>
            </w:r>
            <w:r w:rsidRPr="4F882B3B" w:rsidR="2656D9F0">
              <w:rPr>
                <w:rFonts w:ascii="Arial" w:hAnsi="Arial" w:eastAsia="Arial" w:cs="Arial"/>
                <w:noProof w:val="0"/>
                <w:sz w:val="22"/>
                <w:szCs w:val="22"/>
                <w:lang w:val="en-GB"/>
              </w:rPr>
              <w:t>approximately 4</w:t>
            </w:r>
            <w:r w:rsidRPr="4F882B3B" w:rsidR="2656D9F0">
              <w:rPr>
                <w:rFonts w:ascii="Arial" w:hAnsi="Arial" w:eastAsia="Arial" w:cs="Arial"/>
                <w:noProof w:val="0"/>
                <w:sz w:val="22"/>
                <w:szCs w:val="22"/>
                <w:lang w:val="en-GB"/>
              </w:rPr>
              <w:t>–9 concise sessions combined with guided self‑help materials</w:t>
            </w:r>
          </w:p>
        </w:tc>
        <w:tc>
          <w:tcPr>
            <w:tcW w:w="1872" w:type="dxa"/>
            <w:tcMar/>
          </w:tcPr>
          <w:p w:rsidR="387C2BDC" w:rsidP="4F882B3B" w:rsidRDefault="387C2BDC" w14:paraId="5B78D8B4" w14:textId="19C9D80D">
            <w:pPr>
              <w:pStyle w:val="Normal"/>
              <w:spacing w:line="360" w:lineRule="auto"/>
              <w:rPr>
                <w:rFonts w:ascii="Arial" w:hAnsi="Arial" w:eastAsia="Arial" w:cs="Arial"/>
                <w:noProof w:val="0"/>
                <w:sz w:val="22"/>
                <w:szCs w:val="22"/>
                <w:lang w:val="en-GB"/>
              </w:rPr>
            </w:pPr>
            <w:r w:rsidRPr="4F882B3B" w:rsidR="387C2BDC">
              <w:rPr>
                <w:rFonts w:ascii="Arial" w:hAnsi="Arial" w:eastAsia="Arial" w:cs="Arial"/>
                <w:noProof w:val="0"/>
                <w:sz w:val="22"/>
                <w:szCs w:val="22"/>
                <w:lang w:val="en-GB"/>
              </w:rPr>
              <w:t>l</w:t>
            </w:r>
            <w:r w:rsidRPr="4F882B3B" w:rsidR="0F40171A">
              <w:rPr>
                <w:rFonts w:ascii="Arial" w:hAnsi="Arial" w:eastAsia="Arial" w:cs="Arial"/>
                <w:noProof w:val="0"/>
                <w:sz w:val="22"/>
                <w:szCs w:val="22"/>
                <w:lang w:val="en-GB"/>
              </w:rPr>
              <w:t>ower cost</w:t>
            </w:r>
            <w:r w:rsidRPr="4F882B3B" w:rsidR="3D2936D4">
              <w:rPr>
                <w:rFonts w:ascii="Arial" w:hAnsi="Arial" w:eastAsia="Arial" w:cs="Arial"/>
                <w:noProof w:val="0"/>
                <w:sz w:val="22"/>
                <w:szCs w:val="22"/>
                <w:lang w:val="en-GB"/>
              </w:rPr>
              <w:t>,</w:t>
            </w:r>
            <w:r w:rsidRPr="4F882B3B" w:rsidR="0F40171A">
              <w:rPr>
                <w:rFonts w:ascii="Arial" w:hAnsi="Arial" w:eastAsia="Arial" w:cs="Arial"/>
                <w:noProof w:val="0"/>
                <w:sz w:val="22"/>
                <w:szCs w:val="22"/>
                <w:lang w:val="en-GB"/>
              </w:rPr>
              <w:t xml:space="preserve"> good accessibility</w:t>
            </w:r>
          </w:p>
        </w:tc>
        <w:tc>
          <w:tcPr>
            <w:tcW w:w="1872" w:type="dxa"/>
            <w:tcMar/>
          </w:tcPr>
          <w:p w:rsidR="4C1D31C5" w:rsidP="4F882B3B" w:rsidRDefault="4C1D31C5" w14:paraId="4E668D8F" w14:textId="3A3D708C">
            <w:pPr>
              <w:pStyle w:val="Normal"/>
              <w:spacing w:line="360" w:lineRule="auto"/>
              <w:rPr>
                <w:rFonts w:ascii="Arial" w:hAnsi="Arial" w:eastAsia="Arial" w:cs="Arial"/>
                <w:noProof w:val="0"/>
                <w:sz w:val="22"/>
                <w:szCs w:val="22"/>
                <w:lang w:val="en-GB"/>
              </w:rPr>
            </w:pPr>
            <w:r w:rsidRPr="4F882B3B" w:rsidR="4C1D31C5">
              <w:rPr>
                <w:rFonts w:ascii="Arial" w:hAnsi="Arial" w:eastAsia="Arial" w:cs="Arial"/>
                <w:noProof w:val="0"/>
                <w:sz w:val="22"/>
                <w:szCs w:val="22"/>
                <w:lang w:val="en-GB"/>
              </w:rPr>
              <w:t>Lower in intensity</w:t>
            </w:r>
            <w:r w:rsidRPr="4F882B3B" w:rsidR="78498FCC">
              <w:rPr>
                <w:rFonts w:ascii="Arial" w:hAnsi="Arial" w:eastAsia="Arial" w:cs="Arial"/>
                <w:noProof w:val="0"/>
                <w:sz w:val="22"/>
                <w:szCs w:val="22"/>
                <w:lang w:val="en-GB"/>
              </w:rPr>
              <w:t>,</w:t>
            </w:r>
            <w:r w:rsidRPr="4F882B3B" w:rsidR="4C1D31C5">
              <w:rPr>
                <w:rFonts w:ascii="Arial" w:hAnsi="Arial" w:eastAsia="Arial" w:cs="Arial"/>
                <w:noProof w:val="0"/>
                <w:sz w:val="22"/>
                <w:szCs w:val="22"/>
                <w:lang w:val="en-GB"/>
              </w:rPr>
              <w:t xml:space="preserve"> suitability varies according to individual needs</w:t>
            </w:r>
          </w:p>
        </w:tc>
      </w:tr>
      <w:tr w:rsidR="4F882B3B" w:rsidTr="4F882B3B" w14:paraId="445B7B48">
        <w:trPr>
          <w:trHeight w:val="300"/>
        </w:trPr>
        <w:tc>
          <w:tcPr>
            <w:tcW w:w="1872" w:type="dxa"/>
            <w:tcMar/>
          </w:tcPr>
          <w:p w:rsidR="013EA3BA" w:rsidP="4F882B3B" w:rsidRDefault="013EA3BA" w14:paraId="4552F9A1" w14:textId="01EF22C3">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IPT (interpersonal psychotherapy)</w:t>
            </w:r>
          </w:p>
        </w:tc>
        <w:tc>
          <w:tcPr>
            <w:tcW w:w="1872" w:type="dxa"/>
            <w:tcMar/>
          </w:tcPr>
          <w:p w:rsidR="3C885923" w:rsidP="4F882B3B" w:rsidRDefault="3C885923" w14:paraId="647D24DE" w14:textId="639B7C33">
            <w:pPr>
              <w:pStyle w:val="Normal"/>
              <w:spacing w:line="360" w:lineRule="auto"/>
              <w:rPr>
                <w:rFonts w:ascii="Arial" w:hAnsi="Arial" w:eastAsia="Arial" w:cs="Arial"/>
                <w:noProof w:val="0"/>
                <w:sz w:val="22"/>
                <w:szCs w:val="22"/>
                <w:lang w:val="en-GB"/>
              </w:rPr>
            </w:pPr>
            <w:r w:rsidRPr="4F882B3B" w:rsidR="3C885923">
              <w:rPr>
                <w:rFonts w:ascii="Arial" w:hAnsi="Arial" w:eastAsia="Arial" w:cs="Arial"/>
                <w:noProof w:val="0"/>
                <w:sz w:val="22"/>
                <w:szCs w:val="22"/>
                <w:lang w:val="en-GB"/>
              </w:rPr>
              <w:t>intervene in interpersonal dynamics that sustain binge‑eating patterns</w:t>
            </w:r>
          </w:p>
        </w:tc>
        <w:tc>
          <w:tcPr>
            <w:tcW w:w="1872" w:type="dxa"/>
            <w:tcMar/>
          </w:tcPr>
          <w:p w:rsidR="3C885923" w:rsidP="4F882B3B" w:rsidRDefault="3C885923" w14:paraId="347F462B" w14:textId="3BA48361">
            <w:pPr>
              <w:pStyle w:val="Normal"/>
              <w:spacing w:line="360" w:lineRule="auto"/>
              <w:rPr>
                <w:rFonts w:ascii="Arial" w:hAnsi="Arial" w:eastAsia="Arial" w:cs="Arial"/>
                <w:noProof w:val="0"/>
                <w:sz w:val="22"/>
                <w:szCs w:val="22"/>
                <w:lang w:val="en-GB"/>
              </w:rPr>
            </w:pPr>
            <w:r w:rsidRPr="4F882B3B" w:rsidR="3C885923">
              <w:rPr>
                <w:rFonts w:ascii="Arial" w:hAnsi="Arial" w:eastAsia="Arial" w:cs="Arial"/>
                <w:noProof w:val="0"/>
                <w:sz w:val="22"/>
                <w:szCs w:val="22"/>
                <w:lang w:val="en-GB"/>
              </w:rPr>
              <w:t>Individual therapy</w:t>
            </w:r>
          </w:p>
        </w:tc>
        <w:tc>
          <w:tcPr>
            <w:tcW w:w="1872" w:type="dxa"/>
            <w:tcMar/>
          </w:tcPr>
          <w:p w:rsidR="13E33F4D" w:rsidP="4F882B3B" w:rsidRDefault="13E33F4D" w14:paraId="1F84629F" w14:textId="4BF84182">
            <w:pPr>
              <w:pStyle w:val="Normal"/>
              <w:spacing w:line="360" w:lineRule="auto"/>
              <w:rPr>
                <w:rFonts w:ascii="Arial" w:hAnsi="Arial" w:eastAsia="Arial" w:cs="Arial"/>
                <w:noProof w:val="0"/>
                <w:sz w:val="22"/>
                <w:szCs w:val="22"/>
                <w:lang w:val="en-GB"/>
              </w:rPr>
            </w:pPr>
            <w:r w:rsidRPr="4F882B3B" w:rsidR="13E33F4D">
              <w:rPr>
                <w:rFonts w:ascii="Arial" w:hAnsi="Arial" w:eastAsia="Arial" w:cs="Arial"/>
                <w:noProof w:val="0"/>
                <w:sz w:val="22"/>
                <w:szCs w:val="22"/>
                <w:lang w:val="en-GB"/>
              </w:rPr>
              <w:t>e</w:t>
            </w:r>
            <w:r w:rsidRPr="4F882B3B" w:rsidR="3C885923">
              <w:rPr>
                <w:rFonts w:ascii="Arial" w:hAnsi="Arial" w:eastAsia="Arial" w:cs="Arial"/>
                <w:noProof w:val="0"/>
                <w:sz w:val="22"/>
                <w:szCs w:val="22"/>
                <w:lang w:val="en-GB"/>
              </w:rPr>
              <w:t>fficacy like CBT, durable</w:t>
            </w:r>
          </w:p>
        </w:tc>
        <w:tc>
          <w:tcPr>
            <w:tcW w:w="1872" w:type="dxa"/>
            <w:tcMar/>
          </w:tcPr>
          <w:p w:rsidR="155B4F66" w:rsidP="4F882B3B" w:rsidRDefault="155B4F66" w14:paraId="01D58D55" w14:textId="69F9A5D5">
            <w:pPr>
              <w:pStyle w:val="Normal"/>
              <w:spacing w:line="360" w:lineRule="auto"/>
              <w:rPr>
                <w:rFonts w:ascii="Arial" w:hAnsi="Arial" w:eastAsia="Arial" w:cs="Arial"/>
                <w:noProof w:val="0"/>
                <w:sz w:val="22"/>
                <w:szCs w:val="22"/>
                <w:lang w:val="en-GB"/>
              </w:rPr>
            </w:pPr>
            <w:r w:rsidRPr="4F882B3B" w:rsidR="155B4F66">
              <w:rPr>
                <w:rFonts w:ascii="Arial" w:hAnsi="Arial" w:eastAsia="Arial" w:cs="Arial"/>
                <w:noProof w:val="0"/>
                <w:sz w:val="22"/>
                <w:szCs w:val="22"/>
                <w:lang w:val="en-GB"/>
              </w:rPr>
              <w:t>a</w:t>
            </w:r>
            <w:r w:rsidRPr="4F882B3B" w:rsidR="7678ED2D">
              <w:rPr>
                <w:rFonts w:ascii="Arial" w:hAnsi="Arial" w:eastAsia="Arial" w:cs="Arial"/>
                <w:noProof w:val="0"/>
                <w:sz w:val="22"/>
                <w:szCs w:val="22"/>
                <w:lang w:val="en-GB"/>
              </w:rPr>
              <w:t>ccess and training less common</w:t>
            </w:r>
          </w:p>
        </w:tc>
      </w:tr>
      <w:tr w:rsidR="4F882B3B" w:rsidTr="4F882B3B" w14:paraId="4B165C3B">
        <w:trPr>
          <w:trHeight w:val="300"/>
        </w:trPr>
        <w:tc>
          <w:tcPr>
            <w:tcW w:w="1872" w:type="dxa"/>
            <w:tcMar/>
          </w:tcPr>
          <w:p w:rsidR="013EA3BA" w:rsidP="4F882B3B" w:rsidRDefault="013EA3BA" w14:paraId="7E3F1DC0" w14:textId="2742A15D">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DBT‑informed</w:t>
            </w:r>
          </w:p>
        </w:tc>
        <w:tc>
          <w:tcPr>
            <w:tcW w:w="1872" w:type="dxa"/>
            <w:tcMar/>
          </w:tcPr>
          <w:p w:rsidR="36FD0181" w:rsidP="4F882B3B" w:rsidRDefault="36FD0181" w14:paraId="4B947269" w14:textId="7E9504AA">
            <w:pPr>
              <w:pStyle w:val="Normal"/>
              <w:spacing w:line="360" w:lineRule="auto"/>
              <w:rPr>
                <w:rFonts w:ascii="Arial" w:hAnsi="Arial" w:eastAsia="Arial" w:cs="Arial"/>
                <w:noProof w:val="0"/>
                <w:sz w:val="22"/>
                <w:szCs w:val="22"/>
                <w:lang w:val="en-GB"/>
              </w:rPr>
            </w:pPr>
            <w:r w:rsidRPr="4F882B3B" w:rsidR="36FD0181">
              <w:rPr>
                <w:rFonts w:ascii="Arial" w:hAnsi="Arial" w:eastAsia="Arial" w:cs="Arial"/>
                <w:noProof w:val="0"/>
                <w:sz w:val="22"/>
                <w:szCs w:val="22"/>
                <w:lang w:val="en-GB"/>
              </w:rPr>
              <w:t>strengthening emotion regulation capacities to limit instances of uncontrolled eating.</w:t>
            </w:r>
          </w:p>
        </w:tc>
        <w:tc>
          <w:tcPr>
            <w:tcW w:w="1872" w:type="dxa"/>
            <w:tcMar/>
          </w:tcPr>
          <w:p w:rsidR="36FD0181" w:rsidP="4F882B3B" w:rsidRDefault="36FD0181" w14:paraId="51B060C8" w14:textId="77EA888C">
            <w:pPr>
              <w:pStyle w:val="Normal"/>
              <w:spacing w:line="360" w:lineRule="auto"/>
              <w:rPr>
                <w:rFonts w:ascii="Arial" w:hAnsi="Arial" w:eastAsia="Arial" w:cs="Arial"/>
                <w:noProof w:val="0"/>
                <w:sz w:val="22"/>
                <w:szCs w:val="22"/>
                <w:lang w:val="en-GB"/>
              </w:rPr>
            </w:pPr>
            <w:r w:rsidRPr="4F882B3B" w:rsidR="36FD0181">
              <w:rPr>
                <w:rFonts w:ascii="Arial" w:hAnsi="Arial" w:eastAsia="Arial" w:cs="Arial"/>
                <w:noProof w:val="0"/>
                <w:sz w:val="22"/>
                <w:szCs w:val="22"/>
                <w:lang w:val="en-GB"/>
              </w:rPr>
              <w:t>individual/group modules</w:t>
            </w:r>
          </w:p>
        </w:tc>
        <w:tc>
          <w:tcPr>
            <w:tcW w:w="1872" w:type="dxa"/>
            <w:tcMar/>
          </w:tcPr>
          <w:p w:rsidR="36FD0181" w:rsidP="4F882B3B" w:rsidRDefault="36FD0181" w14:paraId="480E52A4" w14:textId="594F5C45">
            <w:pPr>
              <w:pStyle w:val="Normal"/>
              <w:spacing w:line="360" w:lineRule="auto"/>
              <w:rPr>
                <w:rFonts w:ascii="Arial" w:hAnsi="Arial" w:eastAsia="Arial" w:cs="Arial"/>
                <w:noProof w:val="0"/>
                <w:sz w:val="22"/>
                <w:szCs w:val="22"/>
                <w:lang w:val="en-GB"/>
              </w:rPr>
            </w:pPr>
            <w:r w:rsidRPr="4F882B3B" w:rsidR="36FD0181">
              <w:rPr>
                <w:rFonts w:ascii="Arial" w:hAnsi="Arial" w:eastAsia="Arial" w:cs="Arial"/>
                <w:noProof w:val="0"/>
                <w:sz w:val="22"/>
                <w:szCs w:val="22"/>
                <w:lang w:val="en-GB"/>
              </w:rPr>
              <w:t>helpful for affective dysregulation</w:t>
            </w:r>
          </w:p>
        </w:tc>
        <w:tc>
          <w:tcPr>
            <w:tcW w:w="1872" w:type="dxa"/>
            <w:tcMar/>
          </w:tcPr>
          <w:p w:rsidR="57FFAA58" w:rsidP="4F882B3B" w:rsidRDefault="57FFAA58" w14:paraId="1E506410" w14:textId="7F248A09">
            <w:pPr>
              <w:pStyle w:val="Normal"/>
              <w:spacing w:line="360" w:lineRule="auto"/>
              <w:rPr>
                <w:rFonts w:ascii="Arial" w:hAnsi="Arial" w:eastAsia="Arial" w:cs="Arial"/>
                <w:noProof w:val="0"/>
                <w:sz w:val="22"/>
                <w:szCs w:val="22"/>
                <w:lang w:val="en-GB"/>
              </w:rPr>
            </w:pPr>
            <w:r w:rsidRPr="4F882B3B" w:rsidR="57FFAA58">
              <w:rPr>
                <w:rFonts w:ascii="Arial" w:hAnsi="Arial" w:eastAsia="Arial" w:cs="Arial"/>
                <w:noProof w:val="0"/>
                <w:sz w:val="22"/>
                <w:szCs w:val="22"/>
                <w:lang w:val="en-GB"/>
              </w:rPr>
              <w:t>empirical support is narrower when compared with CBT and IPT</w:t>
            </w:r>
          </w:p>
        </w:tc>
      </w:tr>
      <w:tr w:rsidR="4F882B3B" w:rsidTr="4F882B3B" w14:paraId="27B94452">
        <w:trPr>
          <w:trHeight w:val="300"/>
        </w:trPr>
        <w:tc>
          <w:tcPr>
            <w:tcW w:w="1872" w:type="dxa"/>
            <w:tcMar/>
          </w:tcPr>
          <w:p w:rsidR="013EA3BA" w:rsidP="4F882B3B" w:rsidRDefault="013EA3BA" w14:paraId="635B466A" w14:textId="55B2C858">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BWL (behavioural weight loss)</w:t>
            </w:r>
          </w:p>
        </w:tc>
        <w:tc>
          <w:tcPr>
            <w:tcW w:w="1872" w:type="dxa"/>
            <w:tcMar/>
          </w:tcPr>
          <w:p w:rsidR="16DB2B45" w:rsidP="4F882B3B" w:rsidRDefault="16DB2B45" w14:paraId="55E44B52" w14:textId="5081BC9E">
            <w:pPr>
              <w:pStyle w:val="Normal"/>
              <w:spacing w:line="360" w:lineRule="auto"/>
              <w:rPr>
                <w:rFonts w:ascii="Arial" w:hAnsi="Arial" w:eastAsia="Arial" w:cs="Arial"/>
                <w:noProof w:val="0"/>
                <w:sz w:val="22"/>
                <w:szCs w:val="22"/>
                <w:lang w:val="en-GB"/>
              </w:rPr>
            </w:pPr>
            <w:r w:rsidRPr="4F882B3B" w:rsidR="16DB2B45">
              <w:rPr>
                <w:rFonts w:ascii="Arial" w:hAnsi="Arial" w:eastAsia="Arial" w:cs="Arial"/>
                <w:noProof w:val="0"/>
                <w:sz w:val="22"/>
                <w:szCs w:val="22"/>
                <w:lang w:val="en-GB"/>
              </w:rPr>
              <w:t>organised lifestyle modification aimed at decreasing binge‑eating behaviours</w:t>
            </w:r>
          </w:p>
        </w:tc>
        <w:tc>
          <w:tcPr>
            <w:tcW w:w="1872" w:type="dxa"/>
            <w:tcMar/>
          </w:tcPr>
          <w:p w:rsidR="16DB2B45" w:rsidP="4F882B3B" w:rsidRDefault="16DB2B45" w14:paraId="3FD38F13" w14:textId="2BC7D5BE">
            <w:pPr>
              <w:pStyle w:val="Normal"/>
              <w:spacing w:line="360" w:lineRule="auto"/>
              <w:rPr>
                <w:rFonts w:ascii="Arial" w:hAnsi="Arial" w:eastAsia="Arial" w:cs="Arial"/>
                <w:noProof w:val="0"/>
                <w:sz w:val="22"/>
                <w:szCs w:val="22"/>
                <w:lang w:val="en-GB"/>
              </w:rPr>
            </w:pPr>
            <w:r w:rsidRPr="4F882B3B" w:rsidR="16DB2B45">
              <w:rPr>
                <w:rFonts w:ascii="Arial" w:hAnsi="Arial" w:eastAsia="Arial" w:cs="Arial"/>
                <w:noProof w:val="0"/>
                <w:sz w:val="22"/>
                <w:szCs w:val="22"/>
                <w:lang w:val="en-GB"/>
              </w:rPr>
              <w:t>group and individual programmes</w:t>
            </w:r>
          </w:p>
        </w:tc>
        <w:tc>
          <w:tcPr>
            <w:tcW w:w="1872" w:type="dxa"/>
            <w:tcMar/>
          </w:tcPr>
          <w:p w:rsidR="16DB2B45" w:rsidP="4F882B3B" w:rsidRDefault="16DB2B45" w14:paraId="34B2BBBD" w14:textId="221A423B">
            <w:pPr>
              <w:pStyle w:val="Normal"/>
              <w:spacing w:line="360" w:lineRule="auto"/>
              <w:rPr>
                <w:rFonts w:ascii="Arial" w:hAnsi="Arial" w:eastAsia="Arial" w:cs="Arial"/>
                <w:noProof w:val="0"/>
                <w:sz w:val="22"/>
                <w:szCs w:val="22"/>
                <w:lang w:val="en-GB"/>
              </w:rPr>
            </w:pPr>
            <w:r w:rsidRPr="4F882B3B" w:rsidR="16DB2B45">
              <w:rPr>
                <w:rFonts w:ascii="Arial" w:hAnsi="Arial" w:eastAsia="Arial" w:cs="Arial"/>
                <w:noProof w:val="0"/>
                <w:sz w:val="22"/>
                <w:szCs w:val="22"/>
                <w:lang w:val="en-GB"/>
              </w:rPr>
              <w:t>reduces bingeing and yields modest weight loss</w:t>
            </w:r>
          </w:p>
        </w:tc>
        <w:tc>
          <w:tcPr>
            <w:tcW w:w="1872" w:type="dxa"/>
            <w:tcMar/>
          </w:tcPr>
          <w:p w:rsidR="217B0763" w:rsidP="4F882B3B" w:rsidRDefault="217B0763" w14:paraId="318D7176" w14:textId="645AF4B8">
            <w:pPr>
              <w:pStyle w:val="Normal"/>
              <w:spacing w:line="360" w:lineRule="auto"/>
              <w:rPr>
                <w:rFonts w:ascii="Arial" w:hAnsi="Arial" w:eastAsia="Arial" w:cs="Arial"/>
                <w:noProof w:val="0"/>
                <w:sz w:val="22"/>
                <w:szCs w:val="22"/>
                <w:lang w:val="en-GB"/>
              </w:rPr>
            </w:pPr>
            <w:r w:rsidRPr="4F882B3B" w:rsidR="217B0763">
              <w:rPr>
                <w:rFonts w:ascii="Arial" w:hAnsi="Arial" w:eastAsia="Arial" w:cs="Arial"/>
                <w:noProof w:val="0"/>
                <w:sz w:val="22"/>
                <w:szCs w:val="22"/>
                <w:lang w:val="en-GB"/>
              </w:rPr>
              <w:t>could insufficiently target the underlying eating‑disorder psychopathology</w:t>
            </w:r>
          </w:p>
        </w:tc>
      </w:tr>
      <w:tr w:rsidR="4F882B3B" w:rsidTr="4F882B3B" w14:paraId="09B567CB">
        <w:trPr>
          <w:trHeight w:val="300"/>
        </w:trPr>
        <w:tc>
          <w:tcPr>
            <w:tcW w:w="1872" w:type="dxa"/>
            <w:tcMar/>
          </w:tcPr>
          <w:p w:rsidR="013EA3BA" w:rsidP="4F882B3B" w:rsidRDefault="013EA3BA" w14:paraId="13BB5A2D" w14:textId="4C31B74E">
            <w:pPr>
              <w:pStyle w:val="Normal"/>
              <w:spacing w:line="360" w:lineRule="auto"/>
              <w:rPr>
                <w:rFonts w:ascii="Arial" w:hAnsi="Arial" w:eastAsia="Arial" w:cs="Arial"/>
                <w:noProof w:val="0"/>
                <w:sz w:val="22"/>
                <w:szCs w:val="22"/>
                <w:lang w:val="en-GB"/>
              </w:rPr>
            </w:pPr>
            <w:r w:rsidRPr="4F882B3B" w:rsidR="013EA3BA">
              <w:rPr>
                <w:rFonts w:ascii="Arial" w:hAnsi="Arial" w:eastAsia="Arial" w:cs="Arial"/>
                <w:noProof w:val="0"/>
                <w:sz w:val="22"/>
                <w:szCs w:val="22"/>
                <w:lang w:val="en-GB"/>
              </w:rPr>
              <w:t>Pharmacotherapy (e.g., LDX)</w:t>
            </w:r>
          </w:p>
        </w:tc>
        <w:tc>
          <w:tcPr>
            <w:tcW w:w="1872" w:type="dxa"/>
            <w:tcMar/>
          </w:tcPr>
          <w:p w:rsidR="6A116E0F" w:rsidP="4F882B3B" w:rsidRDefault="6A116E0F" w14:paraId="4FCC12DC" w14:textId="45C46623">
            <w:pPr>
              <w:pStyle w:val="Normal"/>
              <w:spacing w:line="360" w:lineRule="auto"/>
              <w:rPr>
                <w:rFonts w:ascii="Arial" w:hAnsi="Arial" w:eastAsia="Arial" w:cs="Arial"/>
                <w:noProof w:val="0"/>
                <w:sz w:val="22"/>
                <w:szCs w:val="22"/>
                <w:lang w:val="en-GB"/>
              </w:rPr>
            </w:pPr>
            <w:r w:rsidRPr="4F882B3B" w:rsidR="6A116E0F">
              <w:rPr>
                <w:rFonts w:ascii="Arial" w:hAnsi="Arial" w:eastAsia="Arial" w:cs="Arial"/>
                <w:noProof w:val="0"/>
                <w:sz w:val="22"/>
                <w:szCs w:val="22"/>
                <w:lang w:val="en-GB"/>
              </w:rPr>
              <w:t>Reduce binge frequency and urges</w:t>
            </w:r>
          </w:p>
        </w:tc>
        <w:tc>
          <w:tcPr>
            <w:tcW w:w="1872" w:type="dxa"/>
            <w:tcMar/>
          </w:tcPr>
          <w:p w:rsidR="6A116E0F" w:rsidP="4F882B3B" w:rsidRDefault="6A116E0F" w14:paraId="3C7049C0" w14:textId="0CF315DD">
            <w:pPr>
              <w:pStyle w:val="Normal"/>
              <w:spacing w:line="360" w:lineRule="auto"/>
              <w:rPr>
                <w:rFonts w:ascii="Arial" w:hAnsi="Arial" w:eastAsia="Arial" w:cs="Arial"/>
                <w:noProof w:val="0"/>
                <w:sz w:val="22"/>
                <w:szCs w:val="22"/>
                <w:lang w:val="en-GB"/>
              </w:rPr>
            </w:pPr>
            <w:r w:rsidRPr="4F882B3B" w:rsidR="6A116E0F">
              <w:rPr>
                <w:rFonts w:ascii="Arial" w:hAnsi="Arial" w:eastAsia="Arial" w:cs="Arial"/>
                <w:noProof w:val="0"/>
                <w:sz w:val="22"/>
                <w:szCs w:val="22"/>
                <w:lang w:val="en-GB"/>
              </w:rPr>
              <w:t>Medication management</w:t>
            </w:r>
          </w:p>
        </w:tc>
        <w:tc>
          <w:tcPr>
            <w:tcW w:w="1872" w:type="dxa"/>
            <w:tcMar/>
          </w:tcPr>
          <w:p w:rsidR="6A116E0F" w:rsidP="4F882B3B" w:rsidRDefault="6A116E0F" w14:paraId="110A9EC6" w14:textId="3132D33A">
            <w:pPr>
              <w:pStyle w:val="Normal"/>
              <w:spacing w:line="360" w:lineRule="auto"/>
              <w:rPr>
                <w:rFonts w:ascii="Arial" w:hAnsi="Arial" w:eastAsia="Arial" w:cs="Arial"/>
                <w:noProof w:val="0"/>
                <w:sz w:val="22"/>
                <w:szCs w:val="22"/>
                <w:lang w:val="en-GB"/>
              </w:rPr>
            </w:pPr>
            <w:r w:rsidRPr="4F882B3B" w:rsidR="6A116E0F">
              <w:rPr>
                <w:rFonts w:ascii="Arial" w:hAnsi="Arial" w:eastAsia="Arial" w:cs="Arial"/>
                <w:noProof w:val="0"/>
                <w:sz w:val="22"/>
                <w:szCs w:val="22"/>
                <w:lang w:val="en-GB"/>
              </w:rPr>
              <w:t>lisdexamfetamine</w:t>
            </w:r>
            <w:r w:rsidRPr="4F882B3B" w:rsidR="6A116E0F">
              <w:rPr>
                <w:rFonts w:ascii="Arial" w:hAnsi="Arial" w:eastAsia="Arial" w:cs="Arial"/>
                <w:noProof w:val="0"/>
                <w:sz w:val="22"/>
                <w:szCs w:val="22"/>
                <w:lang w:val="en-GB"/>
              </w:rPr>
              <w:t xml:space="preserve"> FDA‑approved for moderate–severe BED</w:t>
            </w:r>
          </w:p>
        </w:tc>
        <w:tc>
          <w:tcPr>
            <w:tcW w:w="1872" w:type="dxa"/>
            <w:tcMar/>
          </w:tcPr>
          <w:p w:rsidR="6A116E0F" w:rsidP="4F882B3B" w:rsidRDefault="6A116E0F" w14:paraId="1FB3EE66" w14:textId="193393E2">
            <w:pPr>
              <w:pStyle w:val="Normal"/>
              <w:spacing w:line="360" w:lineRule="auto"/>
              <w:rPr>
                <w:rFonts w:ascii="Arial" w:hAnsi="Arial" w:eastAsia="Arial" w:cs="Arial"/>
                <w:noProof w:val="0"/>
                <w:sz w:val="22"/>
                <w:szCs w:val="22"/>
                <w:lang w:val="en-GB"/>
              </w:rPr>
            </w:pPr>
            <w:r w:rsidRPr="4F882B3B" w:rsidR="6A116E0F">
              <w:rPr>
                <w:rFonts w:ascii="Arial" w:hAnsi="Arial" w:eastAsia="Arial" w:cs="Arial"/>
                <w:noProof w:val="0"/>
                <w:sz w:val="22"/>
                <w:szCs w:val="22"/>
                <w:lang w:val="en-GB"/>
              </w:rPr>
              <w:t>mixed results beyond LDX, short‑term data and combine rarely outperforms psychotherapy</w:t>
            </w:r>
          </w:p>
        </w:tc>
      </w:tr>
    </w:tbl>
    <w:p w:rsidR="266ECCD2" w:rsidP="4F882B3B" w:rsidRDefault="266ECCD2" w14:paraId="3E5DB92A" w14:textId="49E1F6CB">
      <w:pPr>
        <w:pStyle w:val="Normal"/>
        <w:suppressLineNumbers w:val="0"/>
        <w:bidi w:val="0"/>
        <w:spacing w:before="240" w:beforeAutospacing="off" w:after="240" w:afterAutospacing="off" w:line="360" w:lineRule="auto"/>
        <w:jc w:val="both"/>
        <w:rPr>
          <w:rFonts w:ascii="Arial" w:hAnsi="Arial" w:eastAsia="Arial" w:cs="Arial"/>
          <w:i w:val="1"/>
          <w:iCs w:val="1"/>
          <w:color w:val="000000" w:themeColor="text1" w:themeTint="FF" w:themeShade="FF"/>
          <w:sz w:val="22"/>
          <w:szCs w:val="22"/>
        </w:rPr>
      </w:pPr>
      <w:r w:rsidRPr="4F882B3B" w:rsidR="266ECCD2">
        <w:rPr>
          <w:rFonts w:ascii="Arial" w:hAnsi="Arial" w:eastAsia="Arial" w:cs="Arial"/>
          <w:b w:val="1"/>
          <w:bCs w:val="1"/>
          <w:i w:val="1"/>
          <w:iCs w:val="1"/>
          <w:color w:val="000000" w:themeColor="text1" w:themeTint="FF" w:themeShade="FF"/>
          <w:sz w:val="22"/>
          <w:szCs w:val="22"/>
        </w:rPr>
        <w:t>Table1:</w:t>
      </w:r>
      <w:r w:rsidRPr="4F882B3B" w:rsidR="266ECCD2">
        <w:rPr>
          <w:rFonts w:ascii="Arial" w:hAnsi="Arial" w:eastAsia="Arial" w:cs="Arial"/>
          <w:i w:val="1"/>
          <w:iCs w:val="1"/>
          <w:color w:val="000000" w:themeColor="text1" w:themeTint="FF" w:themeShade="FF"/>
          <w:sz w:val="22"/>
          <w:szCs w:val="22"/>
        </w:rPr>
        <w:t xml:space="preserve"> standard treatment approaches for the binge-eating disorder</w:t>
      </w:r>
      <w:r w:rsidRPr="4F882B3B" w:rsidR="57091B9F">
        <w:rPr>
          <w:rFonts w:ascii="Arial" w:hAnsi="Arial" w:eastAsia="Arial" w:cs="Arial"/>
          <w:i w:val="1"/>
          <w:iCs w:val="1"/>
          <w:color w:val="000000" w:themeColor="text1" w:themeTint="FF" w:themeShade="FF"/>
          <w:sz w:val="22"/>
          <w:szCs w:val="22"/>
        </w:rPr>
        <w:t xml:space="preserve"> (BED).</w:t>
      </w:r>
      <w:r w:rsidRPr="4F882B3B" w:rsidR="23C5D346">
        <w:rPr>
          <w:rFonts w:ascii="Arial" w:hAnsi="Arial" w:eastAsia="Arial" w:cs="Arial"/>
          <w:i w:val="1"/>
          <w:iCs w:val="1"/>
          <w:color w:val="000000" w:themeColor="text1" w:themeTint="FF" w:themeShade="FF"/>
          <w:sz w:val="22"/>
          <w:szCs w:val="22"/>
        </w:rPr>
        <w:t xml:space="preserve"> </w:t>
      </w:r>
    </w:p>
    <w:p w:rsidR="2D836CBE" w:rsidP="4F882B3B" w:rsidRDefault="2D836CBE" w14:paraId="4339E893" w14:textId="1E85F0A8">
      <w:pPr>
        <w:pStyle w:val="Normal"/>
        <w:suppressLineNumbers w:val="0"/>
        <w:bidi w:val="0"/>
        <w:spacing w:before="240" w:beforeAutospacing="off" w:after="240" w:afterAutospacing="off" w:line="360" w:lineRule="auto"/>
        <w:jc w:val="both"/>
        <w:rPr>
          <w:rFonts w:ascii="Arial" w:hAnsi="Arial" w:eastAsia="Arial" w:cs="Arial"/>
          <w:b w:val="0"/>
          <w:bCs w:val="0"/>
          <w:noProof w:val="0"/>
          <w:sz w:val="22"/>
          <w:szCs w:val="22"/>
          <w:lang w:val="en-GB"/>
        </w:rPr>
      </w:pPr>
      <w:r w:rsidRPr="4F882B3B" w:rsidR="2D836CBE">
        <w:rPr>
          <w:rFonts w:ascii="Arial" w:hAnsi="Arial" w:eastAsia="Arial" w:cs="Arial"/>
          <w:b w:val="0"/>
          <w:bCs w:val="0"/>
          <w:noProof w:val="0"/>
          <w:sz w:val="22"/>
          <w:szCs w:val="22"/>
          <w:lang w:val="en-GB"/>
        </w:rPr>
        <w:t xml:space="preserve">2.1 </w:t>
      </w:r>
      <w:r w:rsidRPr="4F882B3B" w:rsidR="23C5D346">
        <w:rPr>
          <w:rFonts w:ascii="Arial" w:hAnsi="Arial" w:eastAsia="Arial" w:cs="Arial"/>
          <w:b w:val="0"/>
          <w:bCs w:val="0"/>
          <w:noProof w:val="0"/>
          <w:sz w:val="22"/>
          <w:szCs w:val="22"/>
          <w:lang w:val="en-GB"/>
        </w:rPr>
        <w:t>Rehabilitation in ICD</w:t>
      </w:r>
      <w:r w:rsidRPr="4F882B3B" w:rsidR="4E8C8C01">
        <w:rPr>
          <w:rFonts w:ascii="Arial" w:hAnsi="Arial" w:eastAsia="Arial" w:cs="Arial"/>
          <w:b w:val="0"/>
          <w:bCs w:val="0"/>
          <w:noProof w:val="0"/>
          <w:sz w:val="22"/>
          <w:szCs w:val="22"/>
          <w:lang w:val="en-GB"/>
        </w:rPr>
        <w:t>-</w:t>
      </w:r>
      <w:r w:rsidRPr="4F882B3B" w:rsidR="23C5D346">
        <w:rPr>
          <w:rFonts w:ascii="Arial" w:hAnsi="Arial" w:eastAsia="Arial" w:cs="Arial"/>
          <w:b w:val="0"/>
          <w:bCs w:val="0"/>
          <w:noProof w:val="0"/>
          <w:sz w:val="22"/>
          <w:szCs w:val="22"/>
          <w:lang w:val="en-GB"/>
        </w:rPr>
        <w:t>11 and in practice</w:t>
      </w:r>
    </w:p>
    <w:p w:rsidR="23C5D346" w:rsidP="4F882B3B" w:rsidRDefault="23C5D346" w14:paraId="251CB27D" w14:textId="3D363AB4">
      <w:pPr>
        <w:bidi w:val="0"/>
        <w:spacing w:before="240" w:beforeAutospacing="off" w:after="240" w:afterAutospacing="off" w:line="360" w:lineRule="auto"/>
        <w:jc w:val="both"/>
        <w:rPr>
          <w:rFonts w:ascii="Arial" w:hAnsi="Arial" w:eastAsia="Arial" w:cs="Arial"/>
          <w:noProof w:val="0"/>
          <w:sz w:val="22"/>
          <w:szCs w:val="22"/>
          <w:lang w:val="en-GB"/>
        </w:rPr>
      </w:pPr>
      <w:r w:rsidRPr="4F882B3B" w:rsidR="23C5D346">
        <w:rPr>
          <w:rFonts w:ascii="Arial" w:hAnsi="Arial" w:eastAsia="Arial" w:cs="Arial"/>
          <w:noProof w:val="0"/>
          <w:sz w:val="22"/>
          <w:szCs w:val="22"/>
          <w:lang w:val="en-GB"/>
        </w:rPr>
        <w:t>ICD‑11 classification context</w:t>
      </w:r>
    </w:p>
    <w:p w:rsidR="2E38D5A8" w:rsidP="4F882B3B" w:rsidRDefault="2E38D5A8" w14:paraId="0ED27002" w14:textId="756B1593">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2E38D5A8">
        <w:rPr>
          <w:rFonts w:ascii="Arial" w:hAnsi="Arial" w:eastAsia="Arial" w:cs="Arial"/>
          <w:noProof w:val="0"/>
          <w:sz w:val="22"/>
          <w:szCs w:val="22"/>
          <w:lang w:val="en-GB"/>
        </w:rPr>
        <w:t>ICD‑11 officially classifies binge‑eating disorder (BED) as a distinct diagnosis, situating feeding and eating disorders within a unified higher‑order category and adopting a lifespan perspective. This revision highlights psychopathology‑based classification and acknowledges cultural diversity in clinical presentations (</w:t>
      </w:r>
      <w:r w:rsidRPr="4F882B3B" w:rsidR="4597AC96">
        <w:rPr>
          <w:rFonts w:ascii="Arial" w:hAnsi="Arial" w:eastAsia="Arial" w:cs="Arial"/>
          <w:noProof w:val="0"/>
          <w:sz w:val="22"/>
          <w:szCs w:val="22"/>
          <w:lang w:val="en-GB"/>
        </w:rPr>
        <w:t>Dietsch,</w:t>
      </w:r>
      <w:r w:rsidRPr="4F882B3B" w:rsidR="623AF383">
        <w:rPr>
          <w:rFonts w:ascii="Arial" w:hAnsi="Arial" w:eastAsia="Arial" w:cs="Arial"/>
          <w:noProof w:val="0"/>
          <w:sz w:val="22"/>
          <w:szCs w:val="22"/>
          <w:lang w:val="en-GB"/>
        </w:rPr>
        <w:t xml:space="preserve"> </w:t>
      </w:r>
      <w:r w:rsidRPr="4F882B3B" w:rsidR="728E2238">
        <w:rPr>
          <w:rFonts w:ascii="Arial" w:hAnsi="Arial" w:eastAsia="Arial" w:cs="Arial"/>
          <w:noProof w:val="0"/>
          <w:sz w:val="22"/>
          <w:szCs w:val="22"/>
          <w:lang w:val="en-GB"/>
        </w:rPr>
        <w:t>Focker and Hebebrand,2024</w:t>
      </w:r>
      <w:r w:rsidRPr="4F882B3B" w:rsidR="71D8AD27">
        <w:rPr>
          <w:rFonts w:ascii="Arial" w:hAnsi="Arial" w:eastAsia="Arial" w:cs="Arial"/>
          <w:noProof w:val="0"/>
          <w:sz w:val="22"/>
          <w:szCs w:val="22"/>
          <w:lang w:val="en-GB"/>
        </w:rPr>
        <w:t>),</w:t>
      </w:r>
      <w:r w:rsidRPr="4F882B3B" w:rsidR="188171AA">
        <w:rPr>
          <w:rFonts w:ascii="Arial" w:hAnsi="Arial" w:eastAsia="Arial" w:cs="Arial"/>
          <w:noProof w:val="0"/>
          <w:sz w:val="22"/>
          <w:szCs w:val="22"/>
          <w:lang w:val="en-GB"/>
        </w:rPr>
        <w:t xml:space="preserve"> (Cambridge University Press &amp; Assessment,2023).</w:t>
      </w:r>
    </w:p>
    <w:p w:rsidR="23C5D346" w:rsidP="4F882B3B" w:rsidRDefault="23C5D346" w14:paraId="4581E3EC" w14:textId="731F7007">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23C5D346">
        <w:rPr>
          <w:rFonts w:ascii="Arial" w:hAnsi="Arial" w:eastAsia="Arial" w:cs="Arial"/>
          <w:noProof w:val="0"/>
          <w:sz w:val="22"/>
          <w:szCs w:val="22"/>
          <w:lang w:val="en-GB"/>
        </w:rPr>
        <w:t>ICD‑11 itself is a diagnostic framework rather than a treatment manual</w:t>
      </w:r>
      <w:r w:rsidRPr="4F882B3B" w:rsidR="3DB0F036">
        <w:rPr>
          <w:rFonts w:ascii="Arial" w:hAnsi="Arial" w:eastAsia="Arial" w:cs="Arial"/>
          <w:noProof w:val="0"/>
          <w:sz w:val="22"/>
          <w:szCs w:val="22"/>
          <w:lang w:val="en-GB"/>
        </w:rPr>
        <w:t>.</w:t>
      </w:r>
      <w:r w:rsidRPr="4F882B3B" w:rsidR="47D48360">
        <w:rPr>
          <w:rFonts w:ascii="Arial" w:hAnsi="Arial" w:eastAsia="Arial" w:cs="Arial"/>
          <w:noProof w:val="0"/>
          <w:sz w:val="22"/>
          <w:szCs w:val="22"/>
          <w:lang w:val="en-GB"/>
        </w:rPr>
        <w:t xml:space="preserve"> </w:t>
      </w:r>
      <w:r w:rsidRPr="4F882B3B" w:rsidR="3DB0F036">
        <w:rPr>
          <w:rFonts w:ascii="Arial" w:hAnsi="Arial" w:eastAsia="Arial" w:cs="Arial"/>
          <w:noProof w:val="0"/>
          <w:sz w:val="22"/>
          <w:szCs w:val="22"/>
          <w:lang w:val="en-GB"/>
        </w:rPr>
        <w:t>I</w:t>
      </w:r>
      <w:r w:rsidRPr="4F882B3B" w:rsidR="23C5D346">
        <w:rPr>
          <w:rFonts w:ascii="Arial" w:hAnsi="Arial" w:eastAsia="Arial" w:cs="Arial"/>
          <w:noProof w:val="0"/>
          <w:sz w:val="22"/>
          <w:szCs w:val="22"/>
          <w:lang w:val="en-GB"/>
        </w:rPr>
        <w:t>t does not prescribe detailed rehabilitation protocols but anchors service specifications and national guidance that then shape practice</w:t>
      </w:r>
      <w:r w:rsidRPr="4F882B3B" w:rsidR="4B873305">
        <w:rPr>
          <w:rFonts w:ascii="Arial" w:hAnsi="Arial" w:eastAsia="Arial" w:cs="Arial"/>
          <w:noProof w:val="0"/>
          <w:sz w:val="22"/>
          <w:szCs w:val="22"/>
          <w:lang w:val="en-GB"/>
        </w:rPr>
        <w:t xml:space="preserve"> </w:t>
      </w:r>
      <w:r w:rsidRPr="4F882B3B" w:rsidR="731E398F">
        <w:rPr>
          <w:rFonts w:ascii="Arial" w:hAnsi="Arial" w:eastAsia="Arial" w:cs="Arial"/>
          <w:noProof w:val="0"/>
          <w:sz w:val="22"/>
          <w:szCs w:val="22"/>
          <w:lang w:val="en-GB"/>
        </w:rPr>
        <w:t>(</w:t>
      </w:r>
      <w:r w:rsidRPr="4F882B3B" w:rsidR="731E398F">
        <w:rPr>
          <w:rFonts w:ascii="Arial" w:hAnsi="Arial" w:eastAsia="Arial" w:cs="Arial"/>
          <w:noProof w:val="0"/>
          <w:sz w:val="22"/>
          <w:szCs w:val="22"/>
          <w:lang w:val="en-GB"/>
        </w:rPr>
        <w:t>Dietsch,</w:t>
      </w:r>
      <w:r w:rsidRPr="4F882B3B" w:rsidR="05E09192">
        <w:rPr>
          <w:rFonts w:ascii="Arial" w:hAnsi="Arial" w:eastAsia="Arial" w:cs="Arial"/>
          <w:noProof w:val="0"/>
          <w:sz w:val="22"/>
          <w:szCs w:val="22"/>
          <w:lang w:val="en-GB"/>
        </w:rPr>
        <w:t xml:space="preserve"> </w:t>
      </w:r>
      <w:r w:rsidRPr="4F882B3B" w:rsidR="731E398F">
        <w:rPr>
          <w:rFonts w:ascii="Arial" w:hAnsi="Arial" w:eastAsia="Arial" w:cs="Arial"/>
          <w:noProof w:val="0"/>
          <w:sz w:val="22"/>
          <w:szCs w:val="22"/>
          <w:lang w:val="en-GB"/>
        </w:rPr>
        <w:t>Focker</w:t>
      </w:r>
      <w:r w:rsidRPr="4F882B3B" w:rsidR="731E398F">
        <w:rPr>
          <w:rFonts w:ascii="Arial" w:hAnsi="Arial" w:eastAsia="Arial" w:cs="Arial"/>
          <w:noProof w:val="0"/>
          <w:sz w:val="22"/>
          <w:szCs w:val="22"/>
          <w:lang w:val="en-GB"/>
        </w:rPr>
        <w:t xml:space="preserve"> and Hebebrand,2024), (The </w:t>
      </w:r>
      <w:r w:rsidRPr="4F882B3B" w:rsidR="0F04FDBF">
        <w:rPr>
          <w:rFonts w:ascii="Arial" w:hAnsi="Arial" w:eastAsia="Arial" w:cs="Arial"/>
          <w:noProof w:val="0"/>
          <w:sz w:val="22"/>
          <w:szCs w:val="22"/>
          <w:lang w:val="en-GB"/>
        </w:rPr>
        <w:t>Scottish</w:t>
      </w:r>
      <w:r w:rsidRPr="4F882B3B" w:rsidR="731E398F">
        <w:rPr>
          <w:rFonts w:ascii="Arial" w:hAnsi="Arial" w:eastAsia="Arial" w:cs="Arial"/>
          <w:noProof w:val="0"/>
          <w:sz w:val="22"/>
          <w:szCs w:val="22"/>
          <w:lang w:val="en-GB"/>
        </w:rPr>
        <w:t xml:space="preserve"> Government</w:t>
      </w:r>
      <w:r w:rsidRPr="4F882B3B" w:rsidR="31A86CC4">
        <w:rPr>
          <w:rFonts w:ascii="Arial" w:hAnsi="Arial" w:eastAsia="Arial" w:cs="Arial"/>
          <w:noProof w:val="0"/>
          <w:sz w:val="22"/>
          <w:szCs w:val="22"/>
          <w:lang w:val="en-GB"/>
        </w:rPr>
        <w:t>,2024).</w:t>
      </w:r>
    </w:p>
    <w:p w:rsidR="6DAF9B39" w:rsidP="4F882B3B" w:rsidRDefault="6DAF9B39" w14:paraId="64263475" w14:textId="1C72FA4C">
      <w:pPr>
        <w:bidi w:val="0"/>
        <w:spacing w:before="240" w:beforeAutospacing="off" w:after="240" w:afterAutospacing="off" w:line="360" w:lineRule="auto"/>
        <w:jc w:val="both"/>
        <w:rPr>
          <w:rFonts w:ascii="Arial" w:hAnsi="Arial" w:eastAsia="Arial" w:cs="Arial"/>
          <w:noProof w:val="0"/>
          <w:sz w:val="22"/>
          <w:szCs w:val="22"/>
          <w:lang w:val="en-GB"/>
        </w:rPr>
      </w:pPr>
      <w:r w:rsidRPr="4F882B3B" w:rsidR="6DAF9B39">
        <w:rPr>
          <w:rFonts w:ascii="Arial" w:hAnsi="Arial" w:eastAsia="Arial" w:cs="Arial"/>
          <w:noProof w:val="0"/>
          <w:sz w:val="22"/>
          <w:szCs w:val="22"/>
          <w:lang w:val="en-GB"/>
        </w:rPr>
        <w:t>2.2 Rehabilitation</w:t>
      </w:r>
      <w:r w:rsidRPr="4F882B3B" w:rsidR="23C5D346">
        <w:rPr>
          <w:rFonts w:ascii="Arial" w:hAnsi="Arial" w:eastAsia="Arial" w:cs="Arial"/>
          <w:noProof w:val="0"/>
          <w:sz w:val="22"/>
          <w:szCs w:val="22"/>
          <w:lang w:val="en-GB"/>
        </w:rPr>
        <w:t xml:space="preserve"> measures in practice</w:t>
      </w:r>
    </w:p>
    <w:p w:rsidR="17D22713" w:rsidP="4F882B3B" w:rsidRDefault="17D22713" w14:paraId="27858A6F" w14:textId="426697B3">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17D22713">
        <w:rPr>
          <w:rFonts w:ascii="Arial" w:hAnsi="Arial" w:eastAsia="Arial" w:cs="Arial"/>
          <w:b w:val="0"/>
          <w:bCs w:val="0"/>
          <w:noProof w:val="0"/>
          <w:sz w:val="22"/>
          <w:szCs w:val="22"/>
          <w:lang w:val="en-GB"/>
        </w:rPr>
        <w:t>Stepped‑care pathways</w:t>
      </w:r>
      <w:r w:rsidRPr="4F882B3B" w:rsidR="628E9A93">
        <w:rPr>
          <w:rFonts w:ascii="Arial" w:hAnsi="Arial" w:eastAsia="Arial" w:cs="Arial"/>
          <w:b w:val="0"/>
          <w:bCs w:val="0"/>
          <w:noProof w:val="0"/>
          <w:sz w:val="22"/>
          <w:szCs w:val="22"/>
          <w:lang w:val="en-GB"/>
        </w:rPr>
        <w:t xml:space="preserve">: </w:t>
      </w:r>
      <w:r w:rsidRPr="4F882B3B" w:rsidR="17D22713">
        <w:rPr>
          <w:rFonts w:ascii="Arial" w:hAnsi="Arial" w:eastAsia="Arial" w:cs="Arial"/>
          <w:b w:val="0"/>
          <w:bCs w:val="0"/>
          <w:noProof w:val="0"/>
          <w:sz w:val="22"/>
          <w:szCs w:val="22"/>
          <w:lang w:val="en-GB"/>
        </w:rPr>
        <w:t>typically progress from guided self‑help to structured psychotherapy (CBT/IPT), followed by adjunctive approaches (DBT‑informed strategies, behavioural weight loss), and, in selected cases, pharmacological treatment. This framework reflects NICE and national guidance rather than ICD‑11 classification</w:t>
      </w:r>
      <w:r w:rsidRPr="4F882B3B" w:rsidR="610B64A2">
        <w:rPr>
          <w:rFonts w:ascii="Arial" w:hAnsi="Arial" w:eastAsia="Arial" w:cs="Arial"/>
          <w:b w:val="0"/>
          <w:bCs w:val="0"/>
          <w:noProof w:val="0"/>
          <w:sz w:val="22"/>
          <w:szCs w:val="22"/>
          <w:lang w:val="en-GB"/>
        </w:rPr>
        <w:t xml:space="preserve"> (</w:t>
      </w:r>
      <w:r w:rsidRPr="4F882B3B" w:rsidR="5C99D08C">
        <w:rPr>
          <w:rFonts w:ascii="Arial" w:hAnsi="Arial" w:eastAsia="Arial" w:cs="Arial"/>
          <w:noProof w:val="0"/>
          <w:sz w:val="22"/>
          <w:szCs w:val="22"/>
          <w:lang w:val="en-GB"/>
        </w:rPr>
        <w:t xml:space="preserve">NICE,2017), </w:t>
      </w:r>
      <w:r w:rsidRPr="4F882B3B" w:rsidR="1A01CB06">
        <w:rPr>
          <w:rFonts w:ascii="Arial" w:hAnsi="Arial" w:eastAsia="Arial" w:cs="Arial"/>
          <w:noProof w:val="0"/>
          <w:sz w:val="22"/>
          <w:szCs w:val="22"/>
          <w:lang w:val="en-GB"/>
        </w:rPr>
        <w:t xml:space="preserve">(NHS,2023) and </w:t>
      </w:r>
      <w:r w:rsidRPr="4F882B3B" w:rsidR="7979001B">
        <w:rPr>
          <w:rFonts w:ascii="Arial" w:hAnsi="Arial" w:eastAsia="Arial" w:cs="Arial"/>
          <w:noProof w:val="0"/>
          <w:sz w:val="22"/>
          <w:szCs w:val="22"/>
          <w:lang w:val="en-GB"/>
        </w:rPr>
        <w:t>(The</w:t>
      </w:r>
      <w:r w:rsidRPr="4F882B3B" w:rsidR="1A01CB06">
        <w:rPr>
          <w:rFonts w:ascii="Arial" w:hAnsi="Arial" w:eastAsia="Arial" w:cs="Arial"/>
          <w:noProof w:val="0"/>
          <w:sz w:val="22"/>
          <w:szCs w:val="22"/>
          <w:lang w:val="en-GB"/>
        </w:rPr>
        <w:t xml:space="preserve"> </w:t>
      </w:r>
      <w:r w:rsidRPr="4F882B3B" w:rsidR="34BCEB13">
        <w:rPr>
          <w:rFonts w:ascii="Arial" w:hAnsi="Arial" w:eastAsia="Arial" w:cs="Arial"/>
          <w:noProof w:val="0"/>
          <w:sz w:val="22"/>
          <w:szCs w:val="22"/>
          <w:lang w:val="en-GB"/>
        </w:rPr>
        <w:t>Scottish</w:t>
      </w:r>
      <w:r w:rsidRPr="4F882B3B" w:rsidR="1A01CB06">
        <w:rPr>
          <w:rFonts w:ascii="Arial" w:hAnsi="Arial" w:eastAsia="Arial" w:cs="Arial"/>
          <w:noProof w:val="0"/>
          <w:sz w:val="22"/>
          <w:szCs w:val="22"/>
          <w:lang w:val="en-GB"/>
        </w:rPr>
        <w:t xml:space="preserve"> </w:t>
      </w:r>
      <w:r w:rsidRPr="4F882B3B" w:rsidR="1F72ACFB">
        <w:rPr>
          <w:rFonts w:ascii="Arial" w:hAnsi="Arial" w:eastAsia="Arial" w:cs="Arial"/>
          <w:noProof w:val="0"/>
          <w:sz w:val="22"/>
          <w:szCs w:val="22"/>
          <w:lang w:val="en-GB"/>
        </w:rPr>
        <w:t>G</w:t>
      </w:r>
      <w:r w:rsidRPr="4F882B3B" w:rsidR="1A01CB06">
        <w:rPr>
          <w:rFonts w:ascii="Arial" w:hAnsi="Arial" w:eastAsia="Arial" w:cs="Arial"/>
          <w:noProof w:val="0"/>
          <w:sz w:val="22"/>
          <w:szCs w:val="22"/>
          <w:lang w:val="en-GB"/>
        </w:rPr>
        <w:t>overn</w:t>
      </w:r>
      <w:r w:rsidRPr="4F882B3B" w:rsidR="39EE933F">
        <w:rPr>
          <w:rFonts w:ascii="Arial" w:hAnsi="Arial" w:eastAsia="Arial" w:cs="Arial"/>
          <w:noProof w:val="0"/>
          <w:sz w:val="22"/>
          <w:szCs w:val="22"/>
          <w:lang w:val="en-GB"/>
        </w:rPr>
        <w:t>ment,2024).</w:t>
      </w:r>
    </w:p>
    <w:p w:rsidR="23C5D346" w:rsidP="4F882B3B" w:rsidRDefault="23C5D346" w14:paraId="5D01EB32" w14:textId="49A5C5B1">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23C5D346">
        <w:rPr>
          <w:rFonts w:ascii="Arial" w:hAnsi="Arial" w:eastAsia="Arial" w:cs="Arial"/>
          <w:b w:val="0"/>
          <w:bCs w:val="0"/>
          <w:noProof w:val="0"/>
          <w:sz w:val="22"/>
          <w:szCs w:val="22"/>
          <w:lang w:val="en-GB"/>
        </w:rPr>
        <w:t>Functional recovery goals: regular eating patterns, relapse‑prevention plans, emotion‑regulation skills, interpersonal functioning, and reducing shame/avoidance—interventions embedded in CBT/IPT/DBT programmes and reinforced by BWL when weight‑related health risks are salient</w:t>
      </w:r>
      <w:r w:rsidRPr="4F882B3B" w:rsidR="296C8210">
        <w:rPr>
          <w:rFonts w:ascii="Arial" w:hAnsi="Arial" w:eastAsia="Arial" w:cs="Arial"/>
          <w:noProof w:val="0"/>
          <w:sz w:val="22"/>
          <w:szCs w:val="22"/>
          <w:lang w:val="en-GB"/>
        </w:rPr>
        <w:t xml:space="preserve"> </w:t>
      </w:r>
      <w:r w:rsidRPr="4F882B3B" w:rsidR="625ABAE1">
        <w:rPr>
          <w:rFonts w:ascii="Arial" w:hAnsi="Arial" w:eastAsia="Arial" w:cs="Arial"/>
          <w:noProof w:val="0"/>
          <w:sz w:val="22"/>
          <w:szCs w:val="22"/>
          <w:lang w:val="en-GB"/>
        </w:rPr>
        <w:t>(Grilo and Juarascio,202</w:t>
      </w:r>
      <w:r w:rsidRPr="4F882B3B" w:rsidR="51E2CE95">
        <w:rPr>
          <w:rFonts w:ascii="Arial" w:hAnsi="Arial" w:eastAsia="Arial" w:cs="Arial"/>
          <w:noProof w:val="0"/>
          <w:sz w:val="22"/>
          <w:szCs w:val="22"/>
          <w:lang w:val="en-GB"/>
        </w:rPr>
        <w:t>3</w:t>
      </w:r>
      <w:r w:rsidRPr="4F882B3B" w:rsidR="625ABAE1">
        <w:rPr>
          <w:rFonts w:ascii="Arial" w:hAnsi="Arial" w:eastAsia="Arial" w:cs="Arial"/>
          <w:noProof w:val="0"/>
          <w:sz w:val="22"/>
          <w:szCs w:val="22"/>
          <w:lang w:val="en-GB"/>
        </w:rPr>
        <w:t>) and (NHS,2023).</w:t>
      </w:r>
    </w:p>
    <w:p w:rsidR="23C5D346" w:rsidP="4F882B3B" w:rsidRDefault="23C5D346" w14:paraId="0044B34B" w14:textId="411F4058">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23C5D346">
        <w:rPr>
          <w:rFonts w:ascii="Arial" w:hAnsi="Arial" w:eastAsia="Arial" w:cs="Arial"/>
          <w:b w:val="0"/>
          <w:bCs w:val="0"/>
          <w:noProof w:val="0"/>
          <w:sz w:val="22"/>
          <w:szCs w:val="22"/>
          <w:lang w:val="en-GB"/>
        </w:rPr>
        <w:t>Systems guidance: Scotland’s national specification situates BED within ICD‑11 categories and sets expectations for accessible, evidence‑based care across tiers, emphasizing early assessment, multidisciplinary input, and parity with other eating disorders</w:t>
      </w:r>
      <w:r w:rsidRPr="4F882B3B" w:rsidR="0580D9B5">
        <w:rPr>
          <w:rFonts w:ascii="Arial" w:hAnsi="Arial" w:eastAsia="Arial" w:cs="Arial"/>
          <w:b w:val="0"/>
          <w:bCs w:val="0"/>
          <w:noProof w:val="0"/>
          <w:sz w:val="22"/>
          <w:szCs w:val="22"/>
          <w:lang w:val="en-GB"/>
        </w:rPr>
        <w:t xml:space="preserve"> (The Scottish Government,2024).</w:t>
      </w:r>
    </w:p>
    <w:p w:rsidR="389BF1AA" w:rsidP="4F882B3B" w:rsidRDefault="389BF1AA" w14:paraId="00CD74DA" w14:textId="1554876F">
      <w:pPr>
        <w:bidi w:val="0"/>
        <w:spacing w:before="240" w:beforeAutospacing="off" w:after="240" w:afterAutospacing="off" w:line="360" w:lineRule="auto"/>
        <w:jc w:val="both"/>
        <w:rPr>
          <w:rFonts w:ascii="Arial" w:hAnsi="Arial" w:eastAsia="Arial" w:cs="Arial"/>
          <w:noProof w:val="0"/>
          <w:sz w:val="22"/>
          <w:szCs w:val="22"/>
          <w:lang w:val="en-GB"/>
        </w:rPr>
      </w:pPr>
      <w:r w:rsidRPr="4F882B3B" w:rsidR="389BF1AA">
        <w:rPr>
          <w:rFonts w:ascii="Arial" w:hAnsi="Arial" w:eastAsia="Arial" w:cs="Arial"/>
          <w:noProof w:val="0"/>
          <w:sz w:val="22"/>
          <w:szCs w:val="22"/>
          <w:lang w:val="en-GB"/>
        </w:rPr>
        <w:t xml:space="preserve">2.3 </w:t>
      </w:r>
      <w:r w:rsidRPr="4F882B3B" w:rsidR="23C5D346">
        <w:rPr>
          <w:rFonts w:ascii="Arial" w:hAnsi="Arial" w:eastAsia="Arial" w:cs="Arial"/>
          <w:noProof w:val="0"/>
          <w:sz w:val="22"/>
          <w:szCs w:val="22"/>
          <w:lang w:val="en-GB"/>
        </w:rPr>
        <w:t>Critical evaluation and implications</w:t>
      </w:r>
    </w:p>
    <w:p w:rsidR="371D4C95" w:rsidP="4F882B3B" w:rsidRDefault="371D4C95" w14:paraId="5FADFCAF" w14:textId="7C953834">
      <w:pPr>
        <w:pStyle w:val="Normal"/>
        <w:bidi w:val="0"/>
        <w:spacing w:before="240" w:beforeAutospacing="off" w:after="240" w:afterAutospacing="off" w:line="360" w:lineRule="auto"/>
        <w:jc w:val="both"/>
        <w:rPr>
          <w:rFonts w:ascii="Arial" w:hAnsi="Arial" w:eastAsia="Arial" w:cs="Arial"/>
          <w:noProof w:val="0"/>
          <w:sz w:val="22"/>
          <w:szCs w:val="22"/>
          <w:lang w:val="en-GB"/>
        </w:rPr>
      </w:pPr>
      <w:r w:rsidRPr="4F882B3B" w:rsidR="371D4C95">
        <w:rPr>
          <w:rFonts w:ascii="Arial" w:hAnsi="Arial" w:eastAsia="Arial" w:cs="Arial"/>
          <w:b w:val="0"/>
          <w:bCs w:val="0"/>
          <w:noProof w:val="0"/>
          <w:sz w:val="22"/>
          <w:szCs w:val="22"/>
          <w:lang w:val="en-GB"/>
        </w:rPr>
        <w:t>Core approaches: CBT and IPT serve as primary anchors, with CBT‑</w:t>
      </w:r>
      <w:r w:rsidRPr="4F882B3B" w:rsidR="371D4C95">
        <w:rPr>
          <w:rFonts w:ascii="Arial" w:hAnsi="Arial" w:eastAsia="Arial" w:cs="Arial"/>
          <w:b w:val="0"/>
          <w:bCs w:val="0"/>
          <w:noProof w:val="0"/>
          <w:sz w:val="22"/>
          <w:szCs w:val="22"/>
          <w:lang w:val="en-GB"/>
        </w:rPr>
        <w:t>gsh</w:t>
      </w:r>
      <w:r w:rsidRPr="4F882B3B" w:rsidR="371D4C95">
        <w:rPr>
          <w:rFonts w:ascii="Arial" w:hAnsi="Arial" w:eastAsia="Arial" w:cs="Arial"/>
          <w:b w:val="0"/>
          <w:bCs w:val="0"/>
          <w:noProof w:val="0"/>
          <w:sz w:val="22"/>
          <w:szCs w:val="22"/>
          <w:lang w:val="en-GB"/>
        </w:rPr>
        <w:t xml:space="preserve"> offering scalable early intervention; these </w:t>
      </w:r>
      <w:r w:rsidRPr="4F882B3B" w:rsidR="371D4C95">
        <w:rPr>
          <w:rFonts w:ascii="Arial" w:hAnsi="Arial" w:eastAsia="Arial" w:cs="Arial"/>
          <w:b w:val="0"/>
          <w:bCs w:val="0"/>
          <w:noProof w:val="0"/>
          <w:sz w:val="22"/>
          <w:szCs w:val="22"/>
          <w:lang w:val="en-GB"/>
        </w:rPr>
        <w:t>remain</w:t>
      </w:r>
      <w:r w:rsidRPr="4F882B3B" w:rsidR="371D4C95">
        <w:rPr>
          <w:rFonts w:ascii="Arial" w:hAnsi="Arial" w:eastAsia="Arial" w:cs="Arial"/>
          <w:b w:val="0"/>
          <w:bCs w:val="0"/>
          <w:noProof w:val="0"/>
          <w:sz w:val="22"/>
          <w:szCs w:val="22"/>
          <w:lang w:val="en-GB"/>
        </w:rPr>
        <w:t xml:space="preserve"> the most dependable options for reducing binge episodes and eating‑disorder psychopathology, incorporating relapse‑prevention strategies</w:t>
      </w:r>
      <w:r w:rsidRPr="4F882B3B" w:rsidR="7A54D86C">
        <w:rPr>
          <w:rFonts w:ascii="Arial" w:hAnsi="Arial" w:eastAsia="Arial" w:cs="Arial"/>
          <w:b w:val="0"/>
          <w:bCs w:val="0"/>
          <w:noProof w:val="0"/>
          <w:sz w:val="22"/>
          <w:szCs w:val="22"/>
          <w:lang w:val="en-GB"/>
        </w:rPr>
        <w:t xml:space="preserve"> </w:t>
      </w:r>
      <w:r w:rsidRPr="4F882B3B" w:rsidR="723C2EE7">
        <w:rPr>
          <w:rFonts w:ascii="Arial" w:hAnsi="Arial" w:eastAsia="Arial" w:cs="Arial"/>
          <w:noProof w:val="0"/>
          <w:sz w:val="22"/>
          <w:szCs w:val="22"/>
          <w:lang w:val="en-GB"/>
        </w:rPr>
        <w:t>(Grilo and Juarascio,202</w:t>
      </w:r>
      <w:r w:rsidRPr="4F882B3B" w:rsidR="28B82271">
        <w:rPr>
          <w:rFonts w:ascii="Arial" w:hAnsi="Arial" w:eastAsia="Arial" w:cs="Arial"/>
          <w:noProof w:val="0"/>
          <w:sz w:val="22"/>
          <w:szCs w:val="22"/>
          <w:lang w:val="en-GB"/>
        </w:rPr>
        <w:t>3</w:t>
      </w:r>
      <w:r w:rsidRPr="4F882B3B" w:rsidR="723C2EE7">
        <w:rPr>
          <w:rFonts w:ascii="Arial" w:hAnsi="Arial" w:eastAsia="Arial" w:cs="Arial"/>
          <w:noProof w:val="0"/>
          <w:sz w:val="22"/>
          <w:szCs w:val="22"/>
          <w:lang w:val="en-GB"/>
        </w:rPr>
        <w:t>), (NICE,2017), and (NHS,2023).</w:t>
      </w:r>
    </w:p>
    <w:p w:rsidR="371D4C95" w:rsidP="4F882B3B" w:rsidRDefault="371D4C95" w14:paraId="284D1907" w14:textId="1CFEC133">
      <w:pPr>
        <w:pStyle w:val="Normal"/>
        <w:bidi w:val="0"/>
        <w:spacing w:before="240" w:beforeAutospacing="off" w:after="240" w:afterAutospacing="off" w:line="360" w:lineRule="auto"/>
        <w:jc w:val="both"/>
        <w:rPr>
          <w:rFonts w:ascii="Arial" w:hAnsi="Arial" w:eastAsia="Arial" w:cs="Arial"/>
          <w:noProof w:val="0"/>
          <w:sz w:val="22"/>
          <w:szCs w:val="22"/>
          <w:lang w:val="en-GB"/>
        </w:rPr>
      </w:pPr>
      <w:r w:rsidRPr="4F882B3B" w:rsidR="371D4C95">
        <w:rPr>
          <w:rFonts w:ascii="Arial" w:hAnsi="Arial" w:eastAsia="Arial" w:cs="Arial"/>
          <w:b w:val="0"/>
          <w:bCs w:val="0"/>
          <w:noProof w:val="0"/>
          <w:sz w:val="22"/>
          <w:szCs w:val="22"/>
          <w:lang w:val="en-GB"/>
        </w:rPr>
        <w:t xml:space="preserve">Adjunctive strategies: Behavioural weight loss (BWL) may be integrated when health risks or patient priorities involve weight, </w:t>
      </w:r>
      <w:r w:rsidRPr="4F882B3B" w:rsidR="371D4C95">
        <w:rPr>
          <w:rFonts w:ascii="Arial" w:hAnsi="Arial" w:eastAsia="Arial" w:cs="Arial"/>
          <w:b w:val="0"/>
          <w:bCs w:val="0"/>
          <w:noProof w:val="0"/>
          <w:sz w:val="22"/>
          <w:szCs w:val="22"/>
          <w:lang w:val="en-GB"/>
        </w:rPr>
        <w:t>provided</w:t>
      </w:r>
      <w:r w:rsidRPr="4F882B3B" w:rsidR="371D4C95">
        <w:rPr>
          <w:rFonts w:ascii="Arial" w:hAnsi="Arial" w:eastAsia="Arial" w:cs="Arial"/>
          <w:b w:val="0"/>
          <w:bCs w:val="0"/>
          <w:noProof w:val="0"/>
          <w:sz w:val="22"/>
          <w:szCs w:val="22"/>
          <w:lang w:val="en-GB"/>
        </w:rPr>
        <w:t xml:space="preserve"> disorder‑specific mechanisms are addressed to avoid reinforcing harmful dieting pressures</w:t>
      </w:r>
      <w:r w:rsidRPr="4F882B3B" w:rsidR="04F41682">
        <w:rPr>
          <w:rFonts w:ascii="Arial" w:hAnsi="Arial" w:eastAsia="Arial" w:cs="Arial"/>
          <w:b w:val="0"/>
          <w:bCs w:val="0"/>
          <w:noProof w:val="0"/>
          <w:sz w:val="22"/>
          <w:szCs w:val="22"/>
          <w:lang w:val="en-GB"/>
        </w:rPr>
        <w:t xml:space="preserve"> </w:t>
      </w:r>
      <w:r w:rsidRPr="4F882B3B" w:rsidR="04F41682">
        <w:rPr>
          <w:rFonts w:ascii="Arial" w:hAnsi="Arial" w:eastAsia="Arial" w:cs="Arial"/>
          <w:noProof w:val="0"/>
          <w:sz w:val="22"/>
          <w:szCs w:val="22"/>
          <w:lang w:val="en-GB"/>
        </w:rPr>
        <w:t>(Grillo and Juarascio,2024), (NICE,2017).</w:t>
      </w:r>
    </w:p>
    <w:p w:rsidR="371D4C95" w:rsidP="4F882B3B" w:rsidRDefault="371D4C95" w14:paraId="4E303568" w14:textId="3753F9CC">
      <w:pPr>
        <w:pStyle w:val="Normal"/>
        <w:bidi w:val="0"/>
        <w:spacing w:before="240" w:beforeAutospacing="off" w:after="240" w:afterAutospacing="off" w:line="360" w:lineRule="auto"/>
        <w:jc w:val="both"/>
        <w:rPr>
          <w:rFonts w:ascii="Arial" w:hAnsi="Arial" w:eastAsia="Arial" w:cs="Arial"/>
          <w:noProof w:val="0"/>
          <w:sz w:val="22"/>
          <w:szCs w:val="22"/>
          <w:lang w:val="en-GB"/>
        </w:rPr>
      </w:pPr>
      <w:r w:rsidRPr="4F882B3B" w:rsidR="371D4C95">
        <w:rPr>
          <w:rFonts w:ascii="Arial" w:hAnsi="Arial" w:eastAsia="Arial" w:cs="Arial"/>
          <w:b w:val="0"/>
          <w:bCs w:val="0"/>
          <w:noProof w:val="0"/>
          <w:sz w:val="22"/>
          <w:szCs w:val="22"/>
          <w:lang w:val="en-GB"/>
        </w:rPr>
        <w:t xml:space="preserve">Pharmacological role: </w:t>
      </w:r>
      <w:r w:rsidRPr="4F882B3B" w:rsidR="371D4C95">
        <w:rPr>
          <w:rFonts w:ascii="Arial" w:hAnsi="Arial" w:eastAsia="Arial" w:cs="Arial"/>
          <w:b w:val="0"/>
          <w:bCs w:val="0"/>
          <w:noProof w:val="0"/>
          <w:sz w:val="22"/>
          <w:szCs w:val="22"/>
          <w:lang w:val="en-GB"/>
        </w:rPr>
        <w:t>Lisdexamfetamine</w:t>
      </w:r>
      <w:r w:rsidRPr="4F882B3B" w:rsidR="371D4C95">
        <w:rPr>
          <w:rFonts w:ascii="Arial" w:hAnsi="Arial" w:eastAsia="Arial" w:cs="Arial"/>
          <w:b w:val="0"/>
          <w:bCs w:val="0"/>
          <w:noProof w:val="0"/>
          <w:sz w:val="22"/>
          <w:szCs w:val="22"/>
          <w:lang w:val="en-GB"/>
        </w:rPr>
        <w:t xml:space="preserve"> (LDX) can be considered in moderate to severe cases where binge frequency or urgency is high, or when psychotherapy access is limited, though its constraints </w:t>
      </w:r>
      <w:r w:rsidRPr="4F882B3B" w:rsidR="371D4C95">
        <w:rPr>
          <w:rFonts w:ascii="Arial" w:hAnsi="Arial" w:eastAsia="Arial" w:cs="Arial"/>
          <w:b w:val="0"/>
          <w:bCs w:val="0"/>
          <w:noProof w:val="0"/>
          <w:sz w:val="22"/>
          <w:szCs w:val="22"/>
          <w:lang w:val="en-GB"/>
        </w:rPr>
        <w:t>necessitate</w:t>
      </w:r>
      <w:r w:rsidRPr="4F882B3B" w:rsidR="371D4C95">
        <w:rPr>
          <w:rFonts w:ascii="Arial" w:hAnsi="Arial" w:eastAsia="Arial" w:cs="Arial"/>
          <w:b w:val="0"/>
          <w:bCs w:val="0"/>
          <w:noProof w:val="0"/>
          <w:sz w:val="22"/>
          <w:szCs w:val="22"/>
          <w:lang w:val="en-GB"/>
        </w:rPr>
        <w:t xml:space="preserve"> monitoring and concurrent psychological support</w:t>
      </w:r>
      <w:r w:rsidRPr="4F882B3B" w:rsidR="3166CAD1">
        <w:rPr>
          <w:rFonts w:ascii="Arial" w:hAnsi="Arial" w:eastAsia="Arial" w:cs="Arial"/>
          <w:b w:val="0"/>
          <w:bCs w:val="0"/>
          <w:noProof w:val="0"/>
          <w:sz w:val="22"/>
          <w:szCs w:val="22"/>
          <w:lang w:val="en-GB"/>
        </w:rPr>
        <w:t xml:space="preserve"> (Grilo and Juarascio,202</w:t>
      </w:r>
      <w:r w:rsidRPr="4F882B3B" w:rsidR="0DD10147">
        <w:rPr>
          <w:rFonts w:ascii="Arial" w:hAnsi="Arial" w:eastAsia="Arial" w:cs="Arial"/>
          <w:b w:val="0"/>
          <w:bCs w:val="0"/>
          <w:noProof w:val="0"/>
          <w:sz w:val="22"/>
          <w:szCs w:val="22"/>
          <w:lang w:val="en-GB"/>
        </w:rPr>
        <w:t>3</w:t>
      </w:r>
      <w:r w:rsidRPr="4F882B3B" w:rsidR="3166CAD1">
        <w:rPr>
          <w:rFonts w:ascii="Arial" w:hAnsi="Arial" w:eastAsia="Arial" w:cs="Arial"/>
          <w:b w:val="0"/>
          <w:bCs w:val="0"/>
          <w:noProof w:val="0"/>
          <w:sz w:val="22"/>
          <w:szCs w:val="22"/>
          <w:lang w:val="en-GB"/>
        </w:rPr>
        <w:t>).</w:t>
      </w:r>
    </w:p>
    <w:p w:rsidR="371D4C95" w:rsidP="4F882B3B" w:rsidRDefault="371D4C95" w14:paraId="79F1EDD2" w14:textId="6D8F2A72">
      <w:pPr>
        <w:pStyle w:val="Normal"/>
        <w:bidi w:val="0"/>
        <w:spacing w:before="0" w:beforeAutospacing="off" w:after="0" w:afterAutospacing="off" w:line="360" w:lineRule="auto"/>
        <w:ind w:left="0"/>
        <w:jc w:val="both"/>
        <w:rPr>
          <w:rFonts w:ascii="Arial" w:hAnsi="Arial" w:eastAsia="Arial" w:cs="Arial"/>
          <w:noProof w:val="0"/>
          <w:sz w:val="22"/>
          <w:szCs w:val="22"/>
          <w:lang w:val="en-GB"/>
        </w:rPr>
      </w:pPr>
      <w:r w:rsidRPr="4F882B3B" w:rsidR="371D4C95">
        <w:rPr>
          <w:rFonts w:ascii="Arial" w:hAnsi="Arial" w:eastAsia="Arial" w:cs="Arial"/>
          <w:b w:val="0"/>
          <w:bCs w:val="0"/>
          <w:noProof w:val="0"/>
          <w:sz w:val="22"/>
          <w:szCs w:val="22"/>
          <w:lang w:val="en-GB"/>
        </w:rPr>
        <w:t>ICD‑11 framework: ICD‑11 formally legitimises BED as a diagnosis and promotes parity across systems; however, rehabilitation pathways are operationalised through national specifications (e.g., Scotland) and NICE guidance rather than ICD‑11 alone</w:t>
      </w:r>
      <w:r w:rsidRPr="4F882B3B" w:rsidR="7FB132D0">
        <w:rPr>
          <w:rFonts w:ascii="Arial" w:hAnsi="Arial" w:eastAsia="Arial" w:cs="Arial"/>
          <w:b w:val="0"/>
          <w:bCs w:val="0"/>
          <w:noProof w:val="0"/>
          <w:sz w:val="22"/>
          <w:szCs w:val="22"/>
          <w:lang w:val="en-GB"/>
        </w:rPr>
        <w:t xml:space="preserve"> </w:t>
      </w:r>
      <w:r w:rsidRPr="4F882B3B" w:rsidR="03A3A3F6">
        <w:rPr>
          <w:rFonts w:ascii="Arial" w:hAnsi="Arial" w:eastAsia="Arial" w:cs="Arial"/>
          <w:noProof w:val="0"/>
          <w:sz w:val="22"/>
          <w:szCs w:val="22"/>
          <w:lang w:val="en-GB"/>
        </w:rPr>
        <w:t xml:space="preserve">(Dietsch, Focker and Hebebrand,2024), </w:t>
      </w:r>
      <w:r w:rsidRPr="4F882B3B" w:rsidR="534AAB2C">
        <w:rPr>
          <w:rFonts w:ascii="Arial" w:hAnsi="Arial" w:eastAsia="Arial" w:cs="Arial"/>
          <w:noProof w:val="0"/>
          <w:sz w:val="22"/>
          <w:szCs w:val="22"/>
          <w:lang w:val="en-GB"/>
        </w:rPr>
        <w:t xml:space="preserve">(Cambridge University Press &amp; Assessment,2023) and </w:t>
      </w:r>
      <w:r w:rsidRPr="4F882B3B" w:rsidR="03A3A3F6">
        <w:rPr>
          <w:rFonts w:ascii="Arial" w:hAnsi="Arial" w:eastAsia="Arial" w:cs="Arial"/>
          <w:noProof w:val="0"/>
          <w:sz w:val="22"/>
          <w:szCs w:val="22"/>
          <w:lang w:val="en-GB"/>
        </w:rPr>
        <w:t>(The Scottish Government,2024).</w:t>
      </w:r>
    </w:p>
    <w:p w:rsidR="371D4C95" w:rsidP="4F882B3B" w:rsidRDefault="371D4C95" w14:paraId="0D9312C9" w14:textId="70F2C252">
      <w:pPr>
        <w:bidi w:val="0"/>
        <w:spacing w:before="240" w:beforeAutospacing="off" w:after="240" w:afterAutospacing="off" w:line="360" w:lineRule="auto"/>
        <w:jc w:val="both"/>
        <w:rPr>
          <w:rFonts w:ascii="Arial" w:hAnsi="Arial" w:eastAsia="Arial" w:cs="Arial"/>
          <w:noProof w:val="0"/>
          <w:sz w:val="22"/>
          <w:szCs w:val="22"/>
          <w:lang w:val="en-GB"/>
        </w:rPr>
      </w:pPr>
      <w:r w:rsidRPr="4F882B3B" w:rsidR="371D4C95">
        <w:rPr>
          <w:rFonts w:ascii="Arial" w:hAnsi="Arial" w:eastAsia="Arial" w:cs="Arial"/>
          <w:b w:val="0"/>
          <w:bCs w:val="0"/>
          <w:noProof w:val="0"/>
          <w:sz w:val="22"/>
          <w:szCs w:val="22"/>
          <w:lang w:val="en-GB"/>
        </w:rPr>
        <w:t>Equity and engagement: Addressing under‑recognition, stigma, and barriers to access is critical; guided self‑help and group formats reduce thresholds, while tailored choices (CBT vs. IPT; inclusion of DBT skills) enhance fit and adherence</w:t>
      </w:r>
      <w:r w:rsidRPr="4F882B3B" w:rsidR="21D64ED9">
        <w:rPr>
          <w:rFonts w:ascii="Arial" w:hAnsi="Arial" w:eastAsia="Arial" w:cs="Arial"/>
          <w:noProof w:val="0"/>
          <w:sz w:val="22"/>
          <w:szCs w:val="22"/>
          <w:lang w:val="en-GB"/>
        </w:rPr>
        <w:t xml:space="preserve"> (Grillo and Juarascio,202</w:t>
      </w:r>
      <w:r w:rsidRPr="4F882B3B" w:rsidR="10089350">
        <w:rPr>
          <w:rFonts w:ascii="Arial" w:hAnsi="Arial" w:eastAsia="Arial" w:cs="Arial"/>
          <w:noProof w:val="0"/>
          <w:sz w:val="22"/>
          <w:szCs w:val="22"/>
          <w:lang w:val="en-GB"/>
        </w:rPr>
        <w:t>3</w:t>
      </w:r>
      <w:r w:rsidRPr="4F882B3B" w:rsidR="21D64ED9">
        <w:rPr>
          <w:rFonts w:ascii="Arial" w:hAnsi="Arial" w:eastAsia="Arial" w:cs="Arial"/>
          <w:noProof w:val="0"/>
          <w:sz w:val="22"/>
          <w:szCs w:val="22"/>
          <w:lang w:val="en-GB"/>
        </w:rPr>
        <w:t>), (NICE,2017), and (NHS,2023).</w:t>
      </w:r>
      <w:r w:rsidRPr="4F882B3B" w:rsidR="21D64ED9">
        <w:rPr>
          <w:rFonts w:ascii="Arial" w:hAnsi="Arial" w:eastAsia="Arial" w:cs="Arial"/>
          <w:noProof w:val="0"/>
          <w:sz w:val="22"/>
          <w:szCs w:val="22"/>
          <w:lang w:val="en-GB"/>
        </w:rPr>
        <w:t xml:space="preserve"> </w:t>
      </w:r>
    </w:p>
    <w:p w:rsidR="50A64DF4" w:rsidP="4F882B3B" w:rsidRDefault="50A64DF4" w14:paraId="11265A31" w14:textId="2CDE760C">
      <w:pPr>
        <w:spacing w:before="240" w:beforeAutospacing="off" w:after="240" w:afterAutospacing="off" w:line="360" w:lineRule="auto"/>
        <w:rPr>
          <w:rFonts w:ascii="Arial" w:hAnsi="Arial" w:eastAsia="Arial" w:cs="Arial"/>
          <w:noProof w:val="0"/>
          <w:sz w:val="22"/>
          <w:szCs w:val="22"/>
          <w:lang w:val="en-GB"/>
        </w:rPr>
      </w:pPr>
      <w:r w:rsidRPr="4F882B3B" w:rsidR="50A64DF4">
        <w:rPr>
          <w:rFonts w:ascii="Arial" w:hAnsi="Arial" w:eastAsia="Arial" w:cs="Arial"/>
          <w:b w:val="1"/>
          <w:bCs w:val="1"/>
          <w:color w:val="000000" w:themeColor="text1" w:themeTint="FF" w:themeShade="FF"/>
          <w:sz w:val="22"/>
          <w:szCs w:val="22"/>
        </w:rPr>
        <w:t>3</w:t>
      </w:r>
      <w:r w:rsidRPr="4F882B3B" w:rsidR="44A38560">
        <w:rPr>
          <w:rFonts w:ascii="Arial" w:hAnsi="Arial" w:eastAsia="Arial" w:cs="Arial"/>
          <w:b w:val="1"/>
          <w:bCs w:val="1"/>
          <w:color w:val="000000" w:themeColor="text1" w:themeTint="FF" w:themeShade="FF"/>
          <w:sz w:val="22"/>
          <w:szCs w:val="22"/>
        </w:rPr>
        <w:t xml:space="preserve">. </w:t>
      </w:r>
      <w:r w:rsidRPr="4F882B3B" w:rsidR="0D887A73">
        <w:rPr>
          <w:rFonts w:ascii="Arial" w:hAnsi="Arial" w:eastAsia="Arial" w:cs="Arial"/>
          <w:b w:val="1"/>
          <w:bCs w:val="1"/>
          <w:color w:val="000000" w:themeColor="text1" w:themeTint="FF" w:themeShade="FF"/>
          <w:sz w:val="22"/>
          <w:szCs w:val="22"/>
        </w:rPr>
        <w:t xml:space="preserve">Current Debates and Emerging Issues: </w:t>
      </w:r>
      <w:r w:rsidRPr="4F882B3B" w:rsidR="0B04818D">
        <w:rPr>
          <w:rFonts w:ascii="Arial" w:hAnsi="Arial" w:eastAsia="Arial" w:cs="Arial"/>
          <w:b w:val="1"/>
          <w:bCs w:val="1"/>
          <w:noProof w:val="0"/>
          <w:sz w:val="22"/>
          <w:szCs w:val="22"/>
          <w:lang w:val="en-GB"/>
        </w:rPr>
        <w:t>in binge‑eating disorder (BED)</w:t>
      </w:r>
    </w:p>
    <w:p w:rsidR="55DEBD3E" w:rsidP="4F882B3B" w:rsidRDefault="55DEBD3E" w14:paraId="24E333AC" w14:textId="7B9C4BE4">
      <w:pPr>
        <w:pStyle w:val="Normal"/>
        <w:spacing w:before="240" w:beforeAutospacing="off" w:after="240" w:afterAutospacing="off" w:line="360" w:lineRule="auto"/>
        <w:jc w:val="both"/>
        <w:rPr>
          <w:rFonts w:ascii="Arial" w:hAnsi="Arial" w:eastAsia="Arial" w:cs="Arial"/>
          <w:noProof w:val="0"/>
          <w:sz w:val="22"/>
          <w:szCs w:val="22"/>
          <w:lang w:val="en-GB"/>
        </w:rPr>
      </w:pPr>
      <w:r w:rsidRPr="4F882B3B" w:rsidR="55DEBD3E">
        <w:rPr>
          <w:rFonts w:ascii="Arial" w:hAnsi="Arial" w:eastAsia="Arial" w:cs="Arial"/>
          <w:noProof w:val="0"/>
          <w:sz w:val="22"/>
          <w:szCs w:val="22"/>
          <w:lang w:val="en-GB"/>
        </w:rPr>
        <w:t xml:space="preserve">Binge‑eating disorder (BED) has gained formal recognition in ICD‑11 as a distinct diagnosis, yet debates continue </w:t>
      </w:r>
      <w:r w:rsidRPr="4F882B3B" w:rsidR="55DEBD3E">
        <w:rPr>
          <w:rFonts w:ascii="Arial" w:hAnsi="Arial" w:eastAsia="Arial" w:cs="Arial"/>
          <w:noProof w:val="0"/>
          <w:sz w:val="22"/>
          <w:szCs w:val="22"/>
          <w:lang w:val="en-GB"/>
        </w:rPr>
        <w:t>regarding</w:t>
      </w:r>
      <w:r w:rsidRPr="4F882B3B" w:rsidR="55DEBD3E">
        <w:rPr>
          <w:rFonts w:ascii="Arial" w:hAnsi="Arial" w:eastAsia="Arial" w:cs="Arial"/>
          <w:noProof w:val="0"/>
          <w:sz w:val="22"/>
          <w:szCs w:val="22"/>
          <w:lang w:val="en-GB"/>
        </w:rPr>
        <w:t xml:space="preserve"> its classification and treatment. </w:t>
      </w:r>
      <w:r w:rsidRPr="4F882B3B" w:rsidR="2BCBBEE4">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 xml:space="preserve">Grilo and </w:t>
      </w:r>
      <w:r w:rsidRPr="4F882B3B" w:rsidR="55DEBD3E">
        <w:rPr>
          <w:rFonts w:ascii="Arial" w:hAnsi="Arial" w:eastAsia="Arial" w:cs="Arial"/>
          <w:noProof w:val="0"/>
          <w:sz w:val="22"/>
          <w:szCs w:val="22"/>
          <w:lang w:val="en-GB"/>
        </w:rPr>
        <w:t>Juarascio</w:t>
      </w:r>
      <w:r w:rsidRPr="4F882B3B" w:rsidR="341F6337">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2023) highlight that while CBT and IPT remain the most reliable interventions, questions persist about the role of behavioural weight loss (BWL) and pharmacological options. NICE guidance</w:t>
      </w:r>
      <w:r w:rsidRPr="4F882B3B" w:rsidR="55DEBD3E">
        <w:rPr>
          <w:rFonts w:ascii="Arial" w:hAnsi="Arial" w:eastAsia="Arial" w:cs="Arial"/>
          <w:noProof w:val="0"/>
          <w:sz w:val="22"/>
          <w:szCs w:val="22"/>
          <w:lang w:val="en-GB"/>
        </w:rPr>
        <w:t xml:space="preserve"> supports </w:t>
      </w:r>
      <w:r w:rsidRPr="4F882B3B" w:rsidR="55DEBD3E">
        <w:rPr>
          <w:rFonts w:ascii="Arial" w:hAnsi="Arial" w:eastAsia="Arial" w:cs="Arial"/>
          <w:noProof w:val="0"/>
          <w:sz w:val="22"/>
          <w:szCs w:val="22"/>
          <w:lang w:val="en-GB"/>
        </w:rPr>
        <w:t xml:space="preserve">stepped‑care pathways, beginning with guided self‑help and progressing to structured psychotherapy, but the durability of outcomes and scalability of early interventions </w:t>
      </w:r>
      <w:r w:rsidRPr="4F882B3B" w:rsidR="55DEBD3E">
        <w:rPr>
          <w:rFonts w:ascii="Arial" w:hAnsi="Arial" w:eastAsia="Arial" w:cs="Arial"/>
          <w:noProof w:val="0"/>
          <w:sz w:val="22"/>
          <w:szCs w:val="22"/>
          <w:lang w:val="en-GB"/>
        </w:rPr>
        <w:t>remain</w:t>
      </w:r>
      <w:r w:rsidRPr="4F882B3B" w:rsidR="55DEBD3E">
        <w:rPr>
          <w:rFonts w:ascii="Arial" w:hAnsi="Arial" w:eastAsia="Arial" w:cs="Arial"/>
          <w:noProof w:val="0"/>
          <w:sz w:val="22"/>
          <w:szCs w:val="22"/>
          <w:lang w:val="en-GB"/>
        </w:rPr>
        <w:t xml:space="preserve"> contested.</w:t>
      </w:r>
      <w:r w:rsidRPr="4F882B3B" w:rsidR="36CF9453">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A central debate concerns the overlap between BED and obesity</w:t>
      </w:r>
      <w:r w:rsidRPr="4F882B3B" w:rsidR="53600220">
        <w:rPr>
          <w:rFonts w:ascii="Arial" w:hAnsi="Arial" w:eastAsia="Arial" w:cs="Arial"/>
          <w:noProof w:val="0"/>
          <w:sz w:val="22"/>
          <w:szCs w:val="22"/>
          <w:lang w:val="en-GB"/>
        </w:rPr>
        <w:t xml:space="preserve"> (NICE,2024</w:t>
      </w:r>
      <w:bookmarkStart w:name="_Int_3RvPK35Z" w:id="415275697"/>
      <w:r w:rsidRPr="4F882B3B" w:rsidR="53600220">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w:t>
      </w:r>
      <w:bookmarkEnd w:id="415275697"/>
      <w:r w:rsidRPr="4F882B3B" w:rsidR="0B36C50D">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 xml:space="preserve">Himmerich </w:t>
      </w:r>
      <w:r w:rsidRPr="4F882B3B" w:rsidR="4C253D5D">
        <w:rPr>
          <w:rFonts w:ascii="Arial" w:hAnsi="Arial" w:eastAsia="Arial" w:cs="Arial"/>
          <w:i w:val="1"/>
          <w:iCs w:val="1"/>
          <w:noProof w:val="0"/>
          <w:sz w:val="22"/>
          <w:szCs w:val="22"/>
          <w:lang w:val="en-GB"/>
        </w:rPr>
        <w:t>et al</w:t>
      </w:r>
      <w:r w:rsidRPr="4F882B3B" w:rsidR="4C253D5D">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 xml:space="preserve">2024) notes that conflating the two risks </w:t>
      </w:r>
      <w:r w:rsidRPr="4F882B3B" w:rsidR="53DE8D8A">
        <w:rPr>
          <w:rFonts w:ascii="Arial" w:hAnsi="Arial" w:eastAsia="Arial" w:cs="Arial"/>
          <w:noProof w:val="0"/>
          <w:sz w:val="22"/>
          <w:szCs w:val="22"/>
          <w:lang w:val="en-GB"/>
        </w:rPr>
        <w:t>pathologizing</w:t>
      </w:r>
      <w:r w:rsidRPr="4F882B3B" w:rsidR="55DEBD3E">
        <w:rPr>
          <w:rFonts w:ascii="Arial" w:hAnsi="Arial" w:eastAsia="Arial" w:cs="Arial"/>
          <w:noProof w:val="0"/>
          <w:sz w:val="22"/>
          <w:szCs w:val="22"/>
          <w:lang w:val="en-GB"/>
        </w:rPr>
        <w:t xml:space="preserve"> weight rather than addressing psychopathology. The ICD‑11 framework emphasises </w:t>
      </w:r>
      <w:r w:rsidRPr="4F882B3B" w:rsidR="7580CA03">
        <w:rPr>
          <w:rFonts w:ascii="Arial" w:hAnsi="Arial" w:eastAsia="Arial" w:cs="Arial"/>
          <w:noProof w:val="0"/>
          <w:sz w:val="22"/>
          <w:szCs w:val="22"/>
          <w:lang w:val="en-GB"/>
        </w:rPr>
        <w:t>psychopathology-based</w:t>
      </w:r>
      <w:r w:rsidRPr="4F882B3B" w:rsidR="55DEBD3E">
        <w:rPr>
          <w:rFonts w:ascii="Arial" w:hAnsi="Arial" w:eastAsia="Arial" w:cs="Arial"/>
          <w:noProof w:val="0"/>
          <w:sz w:val="22"/>
          <w:szCs w:val="22"/>
          <w:lang w:val="en-GB"/>
        </w:rPr>
        <w:t xml:space="preserve"> grouping, yet national specifications operationalise rehabilitation differently, creating tension between diagnostic legitimacy and practical implementation. This has implications for policy, as funding priorities often hinge on whether BED is framed as a psychiatric condition or a variant of obesity.</w:t>
      </w:r>
    </w:p>
    <w:p w:rsidR="55DEBD3E" w:rsidP="4F882B3B" w:rsidRDefault="55DEBD3E" w14:paraId="499F33A9" w14:textId="6187D7CA">
      <w:pPr>
        <w:spacing w:before="240" w:beforeAutospacing="off" w:after="240" w:afterAutospacing="off" w:line="360" w:lineRule="auto"/>
        <w:jc w:val="both"/>
        <w:rPr>
          <w:rFonts w:ascii="Arial" w:hAnsi="Arial" w:eastAsia="Arial" w:cs="Arial"/>
          <w:noProof w:val="0"/>
          <w:sz w:val="22"/>
          <w:szCs w:val="22"/>
          <w:lang w:val="en-GB"/>
        </w:rPr>
      </w:pPr>
      <w:r w:rsidRPr="4F882B3B" w:rsidR="55DEBD3E">
        <w:rPr>
          <w:rFonts w:ascii="Arial" w:hAnsi="Arial" w:eastAsia="Arial" w:cs="Arial"/>
          <w:noProof w:val="0"/>
          <w:sz w:val="22"/>
          <w:szCs w:val="22"/>
          <w:lang w:val="en-GB"/>
        </w:rPr>
        <w:t>Emerging research increasingly situates neurodivergence within BED.</w:t>
      </w:r>
      <w:r w:rsidRPr="4F882B3B" w:rsidR="484480D5">
        <w:rPr>
          <w:rFonts w:ascii="Arial" w:hAnsi="Arial" w:eastAsia="Arial" w:cs="Arial"/>
          <w:noProof w:val="0"/>
          <w:sz w:val="22"/>
          <w:szCs w:val="22"/>
          <w:lang w:val="en-GB"/>
        </w:rPr>
        <w:t xml:space="preserve"> According to </w:t>
      </w:r>
      <w:r w:rsidRPr="4F882B3B" w:rsidR="66F104CF">
        <w:rPr>
          <w:rFonts w:ascii="Arial" w:hAnsi="Arial" w:eastAsia="Arial" w:cs="Arial"/>
          <w:noProof w:val="0"/>
          <w:sz w:val="22"/>
          <w:szCs w:val="22"/>
          <w:lang w:val="en-GB"/>
        </w:rPr>
        <w:t>(Makin</w:t>
      </w:r>
      <w:r w:rsidRPr="4F882B3B" w:rsidR="55DEBD3E">
        <w:rPr>
          <w:rFonts w:ascii="Arial" w:hAnsi="Arial" w:eastAsia="Arial" w:cs="Arial"/>
          <w:noProof w:val="0"/>
          <w:sz w:val="22"/>
          <w:szCs w:val="22"/>
          <w:lang w:val="en-GB"/>
        </w:rPr>
        <w:t xml:space="preserve"> </w:t>
      </w:r>
      <w:r w:rsidRPr="4F882B3B" w:rsidR="55DEBD3E">
        <w:rPr>
          <w:rFonts w:ascii="Arial" w:hAnsi="Arial" w:eastAsia="Arial" w:cs="Arial"/>
          <w:i w:val="1"/>
          <w:iCs w:val="1"/>
          <w:noProof w:val="0"/>
          <w:sz w:val="22"/>
          <w:szCs w:val="22"/>
          <w:lang w:val="en-GB"/>
        </w:rPr>
        <w:t>et al</w:t>
      </w:r>
      <w:r w:rsidRPr="4F882B3B" w:rsidR="3046F120">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 xml:space="preserve"> 2025)</w:t>
      </w:r>
      <w:r w:rsidRPr="4F882B3B" w:rsidR="444BE7A6">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ADHD and autism are disproportionately represented among individuals with binge‑type eating disorders, with bingeing often serving as a means of sensory or emotional regulation. This raises reclassification questions: should BED be conceptualised primarily as an eating disorder, or should neurodivergence</w:t>
      </w:r>
      <w:r w:rsidRPr="4F882B3B" w:rsidR="4D8EC34A">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specific pathways be integrated into diagnostic frameworks?</w:t>
      </w:r>
      <w:r w:rsidRPr="4F882B3B" w:rsidR="40B9EB78">
        <w:rPr>
          <w:rFonts w:ascii="Arial" w:hAnsi="Arial" w:eastAsia="Arial" w:cs="Arial"/>
          <w:noProof w:val="0"/>
          <w:sz w:val="22"/>
          <w:szCs w:val="22"/>
          <w:lang w:val="en-GB"/>
        </w:rPr>
        <w:t xml:space="preserve"> Based on (</w:t>
      </w:r>
      <w:r w:rsidRPr="4F882B3B" w:rsidR="55DEBD3E">
        <w:rPr>
          <w:rFonts w:ascii="Arial" w:hAnsi="Arial" w:eastAsia="Arial" w:cs="Arial"/>
          <w:noProof w:val="0"/>
          <w:sz w:val="22"/>
          <w:szCs w:val="22"/>
          <w:lang w:val="en-GB"/>
        </w:rPr>
        <w:t xml:space="preserve">Wierenga and </w:t>
      </w:r>
      <w:r w:rsidRPr="4F882B3B" w:rsidR="55DEBD3E">
        <w:rPr>
          <w:rFonts w:ascii="Arial" w:hAnsi="Arial" w:eastAsia="Arial" w:cs="Arial"/>
          <w:noProof w:val="0"/>
          <w:sz w:val="22"/>
          <w:szCs w:val="22"/>
          <w:lang w:val="en-GB"/>
        </w:rPr>
        <w:t>Steinglass</w:t>
      </w:r>
      <w:r w:rsidRPr="4F882B3B" w:rsidR="37A2DBD0">
        <w:rPr>
          <w:rFonts w:ascii="Arial" w:hAnsi="Arial" w:eastAsia="Arial" w:cs="Arial"/>
          <w:noProof w:val="0"/>
          <w:sz w:val="22"/>
          <w:szCs w:val="22"/>
          <w:lang w:val="en-GB"/>
        </w:rPr>
        <w:t>, 2</w:t>
      </w:r>
      <w:r w:rsidRPr="4F882B3B" w:rsidR="55DEBD3E">
        <w:rPr>
          <w:rFonts w:ascii="Arial" w:hAnsi="Arial" w:eastAsia="Arial" w:cs="Arial"/>
          <w:noProof w:val="0"/>
          <w:sz w:val="22"/>
          <w:szCs w:val="22"/>
          <w:lang w:val="en-GB"/>
        </w:rPr>
        <w:t>025)</w:t>
      </w:r>
      <w:r w:rsidRPr="4F882B3B" w:rsidR="55DEBD3E">
        <w:rPr>
          <w:rFonts w:ascii="Arial" w:hAnsi="Arial" w:eastAsia="Arial" w:cs="Arial"/>
          <w:noProof w:val="0"/>
          <w:sz w:val="22"/>
          <w:szCs w:val="22"/>
          <w:lang w:val="en-GB"/>
        </w:rPr>
        <w:t xml:space="preserve"> neurobiological models must adapt to account for these mechanisms, as standard CBT/IPT approaches may not fully address the needs of neurodivergent populations.</w:t>
      </w:r>
    </w:p>
    <w:p w:rsidR="55DEBD3E" w:rsidP="4F882B3B" w:rsidRDefault="55DEBD3E" w14:paraId="076C9222" w14:textId="5257DCE3">
      <w:pPr>
        <w:spacing w:before="240" w:beforeAutospacing="off" w:after="240" w:afterAutospacing="off" w:line="360" w:lineRule="auto"/>
        <w:jc w:val="both"/>
        <w:rPr>
          <w:rFonts w:ascii="Arial" w:hAnsi="Arial" w:eastAsia="Arial" w:cs="Arial"/>
          <w:noProof w:val="0"/>
          <w:sz w:val="22"/>
          <w:szCs w:val="22"/>
          <w:lang w:val="en-GB"/>
        </w:rPr>
      </w:pPr>
      <w:r w:rsidRPr="4F882B3B" w:rsidR="55DEBD3E">
        <w:rPr>
          <w:rFonts w:ascii="Arial" w:hAnsi="Arial" w:eastAsia="Arial" w:cs="Arial"/>
          <w:noProof w:val="0"/>
          <w:sz w:val="22"/>
          <w:szCs w:val="22"/>
          <w:lang w:val="en-GB"/>
        </w:rPr>
        <w:t xml:space="preserve">The impact of these debates on practice and policy is significant. Parliamentary discussions in the </w:t>
      </w:r>
      <w:r w:rsidRPr="4F882B3B" w:rsidR="3ACDD4AE">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UK</w:t>
      </w:r>
      <w:r w:rsidRPr="4F882B3B" w:rsidR="1262E6CB">
        <w:rPr>
          <w:rFonts w:ascii="Arial" w:hAnsi="Arial" w:eastAsia="Arial" w:cs="Arial"/>
          <w:noProof w:val="0"/>
          <w:sz w:val="22"/>
          <w:szCs w:val="22"/>
          <w:lang w:val="en-GB"/>
        </w:rPr>
        <w:t xml:space="preserve"> Parliament, </w:t>
      </w:r>
      <w:r w:rsidRPr="4F882B3B" w:rsidR="55DEBD3E">
        <w:rPr>
          <w:rFonts w:ascii="Arial" w:hAnsi="Arial" w:eastAsia="Arial" w:cs="Arial"/>
          <w:noProof w:val="0"/>
          <w:sz w:val="22"/>
          <w:szCs w:val="22"/>
          <w:lang w:val="en-GB"/>
        </w:rPr>
        <w:t xml:space="preserve">2025) and reports from </w:t>
      </w:r>
      <w:r w:rsidRPr="4F882B3B" w:rsidR="7B8E617E">
        <w:rPr>
          <w:rFonts w:ascii="Arial" w:hAnsi="Arial" w:eastAsia="Arial" w:cs="Arial"/>
          <w:noProof w:val="0"/>
          <w:sz w:val="22"/>
          <w:szCs w:val="22"/>
          <w:lang w:val="en-GB"/>
        </w:rPr>
        <w:t>(</w:t>
      </w:r>
      <w:r w:rsidRPr="4F882B3B" w:rsidR="55DEBD3E">
        <w:rPr>
          <w:rFonts w:ascii="Arial" w:hAnsi="Arial" w:eastAsia="Arial" w:cs="Arial"/>
          <w:noProof w:val="0"/>
          <w:sz w:val="22"/>
          <w:szCs w:val="22"/>
          <w:lang w:val="en-GB"/>
        </w:rPr>
        <w:t>Be</w:t>
      </w:r>
      <w:r w:rsidRPr="4F882B3B" w:rsidR="55DEBD3E">
        <w:rPr>
          <w:rFonts w:ascii="Arial" w:hAnsi="Arial" w:eastAsia="Arial" w:cs="Arial"/>
          <w:noProof w:val="0"/>
          <w:sz w:val="22"/>
          <w:szCs w:val="22"/>
          <w:lang w:val="en-GB"/>
        </w:rPr>
        <w:t>a</w:t>
      </w:r>
      <w:r w:rsidRPr="4F882B3B" w:rsidR="28D4C769">
        <w:rPr>
          <w:rFonts w:ascii="Arial" w:hAnsi="Arial" w:eastAsia="Arial" w:cs="Arial"/>
          <w:noProof w:val="0"/>
          <w:sz w:val="22"/>
          <w:szCs w:val="22"/>
          <w:lang w:val="en-GB"/>
        </w:rPr>
        <w:t>t</w:t>
      </w:r>
      <w:r w:rsidRPr="4F882B3B" w:rsidR="638F46F1">
        <w:rPr>
          <w:rFonts w:ascii="Arial" w:hAnsi="Arial" w:eastAsia="Arial" w:cs="Arial"/>
          <w:noProof w:val="0"/>
          <w:sz w:val="22"/>
          <w:szCs w:val="22"/>
          <w:lang w:val="en-GB"/>
        </w:rPr>
        <w:t xml:space="preserve">,2025) </w:t>
      </w:r>
      <w:r w:rsidRPr="4F882B3B" w:rsidR="55DEBD3E">
        <w:rPr>
          <w:rFonts w:ascii="Arial" w:hAnsi="Arial" w:eastAsia="Arial" w:cs="Arial"/>
          <w:noProof w:val="0"/>
          <w:sz w:val="22"/>
          <w:szCs w:val="22"/>
          <w:lang w:val="en-GB"/>
        </w:rPr>
        <w:t>emphasise persistent under</w:t>
      </w:r>
      <w:r w:rsidRPr="4F882B3B" w:rsidR="021F62C8">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 xml:space="preserve">recognition, stigma, and long waiting times. Equity of access </w:t>
      </w:r>
      <w:r w:rsidRPr="4F882B3B" w:rsidR="55DEBD3E">
        <w:rPr>
          <w:rFonts w:ascii="Arial" w:hAnsi="Arial" w:eastAsia="Arial" w:cs="Arial"/>
          <w:noProof w:val="0"/>
          <w:sz w:val="22"/>
          <w:szCs w:val="22"/>
          <w:lang w:val="en-GB"/>
        </w:rPr>
        <w:t>remains</w:t>
      </w:r>
      <w:r w:rsidRPr="4F882B3B" w:rsidR="55DEBD3E">
        <w:rPr>
          <w:rFonts w:ascii="Arial" w:hAnsi="Arial" w:eastAsia="Arial" w:cs="Arial"/>
          <w:noProof w:val="0"/>
          <w:sz w:val="22"/>
          <w:szCs w:val="22"/>
          <w:lang w:val="en-GB"/>
        </w:rPr>
        <w:t xml:space="preserve"> a pressing issue, with guided self‑help and group formats lowering thresholds, but personalised approaches</w:t>
      </w:r>
      <w:r w:rsidRPr="4F882B3B" w:rsidR="0F9D7DB6">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such as tailoring CBT or incorporating DBT skills</w:t>
      </w:r>
      <w:r w:rsidRPr="4F882B3B" w:rsidR="1B6E3DFF">
        <w:rPr>
          <w:rFonts w:ascii="Arial" w:hAnsi="Arial" w:eastAsia="Arial" w:cs="Arial"/>
          <w:noProof w:val="0"/>
          <w:sz w:val="22"/>
          <w:szCs w:val="22"/>
          <w:lang w:val="en-GB"/>
        </w:rPr>
        <w:t xml:space="preserve"> </w:t>
      </w:r>
      <w:r w:rsidRPr="4F882B3B" w:rsidR="55DEBD3E">
        <w:rPr>
          <w:rFonts w:ascii="Arial" w:hAnsi="Arial" w:eastAsia="Arial" w:cs="Arial"/>
          <w:noProof w:val="0"/>
          <w:sz w:val="22"/>
          <w:szCs w:val="22"/>
          <w:lang w:val="en-GB"/>
        </w:rPr>
        <w:t xml:space="preserve">improving adherence. </w:t>
      </w:r>
      <w:r w:rsidRPr="4F882B3B" w:rsidR="55DEBD3E">
        <w:rPr>
          <w:rFonts w:ascii="Arial" w:hAnsi="Arial" w:eastAsia="Arial" w:cs="Arial"/>
          <w:noProof w:val="0"/>
          <w:sz w:val="22"/>
          <w:szCs w:val="22"/>
          <w:lang w:val="en-GB"/>
        </w:rPr>
        <w:t>Ultimately, the</w:t>
      </w:r>
      <w:r w:rsidRPr="4F882B3B" w:rsidR="55DEBD3E">
        <w:rPr>
          <w:rFonts w:ascii="Arial" w:hAnsi="Arial" w:eastAsia="Arial" w:cs="Arial"/>
          <w:noProof w:val="0"/>
          <w:sz w:val="22"/>
          <w:szCs w:val="22"/>
          <w:lang w:val="en-GB"/>
        </w:rPr>
        <w:t xml:space="preserve"> evolving debates underscore the need for inclusive, neuro‑informed care models and policy frameworks that recognise BED as a serious psychiatric condition while ensuring </w:t>
      </w:r>
      <w:r w:rsidRPr="4F882B3B" w:rsidR="55DEBD3E">
        <w:rPr>
          <w:rFonts w:ascii="Arial" w:hAnsi="Arial" w:eastAsia="Arial" w:cs="Arial"/>
          <w:noProof w:val="0"/>
          <w:sz w:val="22"/>
          <w:szCs w:val="22"/>
          <w:lang w:val="en-GB"/>
        </w:rPr>
        <w:t>equitable</w:t>
      </w:r>
      <w:r w:rsidRPr="4F882B3B" w:rsidR="55DEBD3E">
        <w:rPr>
          <w:rFonts w:ascii="Arial" w:hAnsi="Arial" w:eastAsia="Arial" w:cs="Arial"/>
          <w:noProof w:val="0"/>
          <w:sz w:val="22"/>
          <w:szCs w:val="22"/>
          <w:lang w:val="en-GB"/>
        </w:rPr>
        <w:t xml:space="preserve"> service provision.</w:t>
      </w:r>
    </w:p>
    <w:p w:rsidR="7CAF94C7" w:rsidP="4F882B3B" w:rsidRDefault="7CAF94C7" w14:paraId="16B055A3" w14:textId="246CE87E">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r w:rsidRPr="4F882B3B" w:rsidR="7CAF94C7">
        <w:rPr>
          <w:rFonts w:ascii="Arial" w:hAnsi="Arial" w:eastAsia="Arial" w:cs="Arial"/>
          <w:b w:val="1"/>
          <w:bCs w:val="1"/>
          <w:color w:val="000000" w:themeColor="text1" w:themeTint="FF" w:themeShade="FF"/>
          <w:sz w:val="22"/>
          <w:szCs w:val="22"/>
        </w:rPr>
        <w:t>4</w:t>
      </w:r>
      <w:r w:rsidRPr="4F882B3B" w:rsidR="60C7F02F">
        <w:rPr>
          <w:rFonts w:ascii="Arial" w:hAnsi="Arial" w:eastAsia="Arial" w:cs="Arial"/>
          <w:b w:val="1"/>
          <w:bCs w:val="1"/>
          <w:color w:val="000000" w:themeColor="text1" w:themeTint="FF" w:themeShade="FF"/>
          <w:sz w:val="22"/>
          <w:szCs w:val="22"/>
        </w:rPr>
        <w:t xml:space="preserve">. </w:t>
      </w:r>
      <w:r w:rsidRPr="4F882B3B" w:rsidR="0D887A73">
        <w:rPr>
          <w:rFonts w:ascii="Arial" w:hAnsi="Arial" w:eastAsia="Arial" w:cs="Arial"/>
          <w:b w:val="1"/>
          <w:bCs w:val="1"/>
          <w:color w:val="000000" w:themeColor="text1" w:themeTint="FF" w:themeShade="FF"/>
          <w:sz w:val="22"/>
          <w:szCs w:val="22"/>
        </w:rPr>
        <w:t>Recommendations</w:t>
      </w:r>
      <w:r w:rsidRPr="4F882B3B" w:rsidR="7B891D20">
        <w:rPr>
          <w:rFonts w:ascii="Arial" w:hAnsi="Arial" w:eastAsia="Arial" w:cs="Arial"/>
          <w:b w:val="1"/>
          <w:bCs w:val="1"/>
          <w:color w:val="000000" w:themeColor="text1" w:themeTint="FF" w:themeShade="FF"/>
          <w:sz w:val="22"/>
          <w:szCs w:val="22"/>
        </w:rPr>
        <w:t xml:space="preserve"> for binge –eating disorder (BED)</w:t>
      </w:r>
      <w:r w:rsidRPr="4F882B3B" w:rsidR="0D887A73">
        <w:rPr>
          <w:rFonts w:ascii="Arial" w:hAnsi="Arial" w:eastAsia="Arial" w:cs="Arial"/>
          <w:b w:val="1"/>
          <w:bCs w:val="1"/>
          <w:color w:val="000000" w:themeColor="text1" w:themeTint="FF" w:themeShade="FF"/>
          <w:sz w:val="22"/>
          <w:szCs w:val="22"/>
        </w:rPr>
        <w:t xml:space="preserve"> </w:t>
      </w:r>
    </w:p>
    <w:p w:rsidR="660F5568" w:rsidP="4F882B3B" w:rsidRDefault="660F5568" w14:paraId="0FF1535C" w14:textId="1623F92A">
      <w:pPr>
        <w:spacing w:before="240" w:beforeAutospacing="off" w:after="240" w:afterAutospacing="off" w:line="360" w:lineRule="auto"/>
        <w:jc w:val="both"/>
      </w:pPr>
      <w:r w:rsidRPr="4F882B3B" w:rsidR="660F5568">
        <w:rPr>
          <w:rFonts w:ascii="Arial" w:hAnsi="Arial" w:eastAsia="Arial" w:cs="Arial"/>
          <w:noProof w:val="0"/>
          <w:sz w:val="22"/>
          <w:szCs w:val="22"/>
          <w:lang w:val="en-GB"/>
        </w:rPr>
        <w:t xml:space="preserve">Binge‑eating disorder (BED) is recognised in DSM‑5 and ICD‑11 as a distinct psychiatric condition, defined by recurrent episodes of uncontrolled eating with distress but without compensatory behaviours. </w:t>
      </w:r>
      <w:r w:rsidRPr="4F882B3B" w:rsidR="55763D8A">
        <w:rPr>
          <w:rFonts w:ascii="Arial" w:hAnsi="Arial" w:eastAsia="Arial" w:cs="Arial"/>
          <w:noProof w:val="0"/>
          <w:sz w:val="22"/>
          <w:szCs w:val="22"/>
          <w:lang w:val="en-GB"/>
        </w:rPr>
        <w:t>(</w:t>
      </w:r>
      <w:r w:rsidRPr="4F882B3B" w:rsidR="660F5568">
        <w:rPr>
          <w:rFonts w:ascii="Arial" w:hAnsi="Arial" w:eastAsia="Arial" w:cs="Arial"/>
          <w:noProof w:val="0"/>
          <w:sz w:val="22"/>
          <w:szCs w:val="22"/>
          <w:lang w:val="en-GB"/>
        </w:rPr>
        <w:t>Giel</w:t>
      </w:r>
      <w:r w:rsidRPr="4F882B3B" w:rsidR="660F5568">
        <w:rPr>
          <w:rFonts w:ascii="Arial" w:hAnsi="Arial" w:eastAsia="Arial" w:cs="Arial"/>
          <w:i w:val="1"/>
          <w:iCs w:val="1"/>
          <w:noProof w:val="0"/>
          <w:sz w:val="22"/>
          <w:szCs w:val="22"/>
          <w:lang w:val="en-GB"/>
        </w:rPr>
        <w:t xml:space="preserve"> et al</w:t>
      </w:r>
      <w:r w:rsidRPr="4F882B3B" w:rsidR="420DC795">
        <w:rPr>
          <w:rFonts w:ascii="Arial" w:hAnsi="Arial" w:eastAsia="Arial" w:cs="Arial"/>
          <w:noProof w:val="0"/>
          <w:sz w:val="22"/>
          <w:szCs w:val="22"/>
          <w:lang w:val="en-GB"/>
        </w:rPr>
        <w:t>,2022</w:t>
      </w:r>
      <w:r w:rsidRPr="4F882B3B" w:rsidR="420DC795">
        <w:rPr>
          <w:rFonts w:ascii="Arial" w:hAnsi="Arial" w:eastAsia="Arial" w:cs="Arial"/>
          <w:noProof w:val="0"/>
          <w:sz w:val="22"/>
          <w:szCs w:val="22"/>
          <w:lang w:val="en-GB"/>
        </w:rPr>
        <w:t xml:space="preserve">) </w:t>
      </w:r>
      <w:r w:rsidRPr="4F882B3B" w:rsidR="660F5568">
        <w:rPr>
          <w:rFonts w:ascii="Arial" w:hAnsi="Arial" w:eastAsia="Arial" w:cs="Arial"/>
          <w:noProof w:val="0"/>
          <w:sz w:val="22"/>
          <w:szCs w:val="22"/>
          <w:lang w:val="en-GB"/>
        </w:rPr>
        <w:t>highlight</w:t>
      </w:r>
      <w:r w:rsidRPr="4F882B3B" w:rsidR="660F5568">
        <w:rPr>
          <w:rFonts w:ascii="Arial" w:hAnsi="Arial" w:eastAsia="Arial" w:cs="Arial"/>
          <w:noProof w:val="0"/>
          <w:sz w:val="22"/>
          <w:szCs w:val="22"/>
          <w:lang w:val="en-GB"/>
        </w:rPr>
        <w:t xml:space="preserve"> the importance of </w:t>
      </w:r>
      <w:r w:rsidRPr="4F882B3B" w:rsidR="660F5568">
        <w:rPr>
          <w:rFonts w:ascii="Arial" w:hAnsi="Arial" w:eastAsia="Arial" w:cs="Arial"/>
          <w:noProof w:val="0"/>
          <w:sz w:val="22"/>
          <w:szCs w:val="22"/>
          <w:lang w:val="en-GB"/>
        </w:rPr>
        <w:t>maintaining</w:t>
      </w:r>
      <w:r w:rsidRPr="4F882B3B" w:rsidR="660F5568">
        <w:rPr>
          <w:rFonts w:ascii="Arial" w:hAnsi="Arial" w:eastAsia="Arial" w:cs="Arial"/>
          <w:noProof w:val="0"/>
          <w:sz w:val="22"/>
          <w:szCs w:val="22"/>
          <w:lang w:val="en-GB"/>
        </w:rPr>
        <w:t xml:space="preserve"> diagnostic distinctiveness to avoid conflation with obesity, while embedding lifespan and cultural perspectives to reflect heterogeneity. Diagnosis requires routine screening in primary care and comorbidity‑informed assessments to address psychiatric and metabolic risks. Psychotherapy, particularly CBT and IPT, </w:t>
      </w:r>
      <w:r w:rsidRPr="4F882B3B" w:rsidR="660F5568">
        <w:rPr>
          <w:rFonts w:ascii="Arial" w:hAnsi="Arial" w:eastAsia="Arial" w:cs="Arial"/>
          <w:noProof w:val="0"/>
          <w:sz w:val="22"/>
          <w:szCs w:val="22"/>
          <w:lang w:val="en-GB"/>
        </w:rPr>
        <w:t>remains</w:t>
      </w:r>
      <w:r w:rsidRPr="4F882B3B" w:rsidR="660F5568">
        <w:rPr>
          <w:rFonts w:ascii="Arial" w:hAnsi="Arial" w:eastAsia="Arial" w:cs="Arial"/>
          <w:noProof w:val="0"/>
          <w:sz w:val="22"/>
          <w:szCs w:val="22"/>
          <w:lang w:val="en-GB"/>
        </w:rPr>
        <w:t xml:space="preserve"> the first‑line treatment, with guided self‑help offering scalable access and relapse‑prevention strategies essential for sustained outcomes. Pharmacological options, such as </w:t>
      </w:r>
      <w:r w:rsidRPr="4F882B3B" w:rsidR="660F5568">
        <w:rPr>
          <w:rFonts w:ascii="Arial" w:hAnsi="Arial" w:eastAsia="Arial" w:cs="Arial"/>
          <w:noProof w:val="0"/>
          <w:sz w:val="22"/>
          <w:szCs w:val="22"/>
          <w:lang w:val="en-GB"/>
        </w:rPr>
        <w:t>lisdexamfetamine</w:t>
      </w:r>
      <w:r w:rsidRPr="4F882B3B" w:rsidR="660F5568">
        <w:rPr>
          <w:rFonts w:ascii="Arial" w:hAnsi="Arial" w:eastAsia="Arial" w:cs="Arial"/>
          <w:noProof w:val="0"/>
          <w:sz w:val="22"/>
          <w:szCs w:val="22"/>
          <w:lang w:val="en-GB"/>
        </w:rPr>
        <w:t>, may be considered in severe cases. Rehabilitation should follow stepped‑care pathways and adopt weight‑neutral strategies that prioritise quality of life and long‑term recovery.</w:t>
      </w:r>
    </w:p>
    <w:p w:rsidR="01F6626A" w:rsidP="4F882B3B" w:rsidRDefault="01F6626A" w14:paraId="4D2290D6" w14:textId="615EC42B">
      <w:pPr>
        <w:spacing w:before="240" w:beforeAutospacing="off" w:after="240" w:afterAutospacing="off" w:line="360" w:lineRule="auto"/>
        <w:jc w:val="both"/>
        <w:rPr>
          <w:rFonts w:ascii="Arial" w:hAnsi="Arial" w:eastAsia="Arial" w:cs="Arial"/>
          <w:noProof w:val="0"/>
          <w:sz w:val="22"/>
          <w:szCs w:val="22"/>
          <w:lang w:val="en-GB"/>
        </w:rPr>
      </w:pPr>
      <w:r w:rsidRPr="4F882B3B" w:rsidR="01F6626A">
        <w:rPr>
          <w:rFonts w:ascii="Arial" w:hAnsi="Arial" w:eastAsia="Arial" w:cs="Arial"/>
          <w:noProof w:val="0"/>
          <w:sz w:val="22"/>
          <w:szCs w:val="22"/>
          <w:lang w:val="en-GB"/>
        </w:rPr>
        <w:t xml:space="preserve">4.1 </w:t>
      </w:r>
      <w:r w:rsidRPr="4F882B3B" w:rsidR="6F8D9F2E">
        <w:rPr>
          <w:rFonts w:ascii="Arial" w:hAnsi="Arial" w:eastAsia="Arial" w:cs="Arial"/>
          <w:noProof w:val="0"/>
          <w:sz w:val="22"/>
          <w:szCs w:val="22"/>
          <w:lang w:val="en-GB"/>
        </w:rPr>
        <w:t xml:space="preserve">Implications for </w:t>
      </w:r>
      <w:r w:rsidRPr="4F882B3B" w:rsidR="61C8C28D">
        <w:rPr>
          <w:rFonts w:ascii="Arial" w:hAnsi="Arial" w:eastAsia="Arial" w:cs="Arial"/>
          <w:noProof w:val="0"/>
          <w:sz w:val="22"/>
          <w:szCs w:val="22"/>
          <w:lang w:val="en-GB"/>
        </w:rPr>
        <w:t>b</w:t>
      </w:r>
      <w:r w:rsidRPr="4F882B3B" w:rsidR="6F8D9F2E">
        <w:rPr>
          <w:rFonts w:ascii="Arial" w:hAnsi="Arial" w:eastAsia="Arial" w:cs="Arial"/>
          <w:noProof w:val="0"/>
          <w:sz w:val="22"/>
          <w:szCs w:val="22"/>
          <w:lang w:val="en-GB"/>
        </w:rPr>
        <w:t>inge‑</w:t>
      </w:r>
      <w:r w:rsidRPr="4F882B3B" w:rsidR="01852B32">
        <w:rPr>
          <w:rFonts w:ascii="Arial" w:hAnsi="Arial" w:eastAsia="Arial" w:cs="Arial"/>
          <w:noProof w:val="0"/>
          <w:sz w:val="22"/>
          <w:szCs w:val="22"/>
          <w:lang w:val="en-GB"/>
        </w:rPr>
        <w:t>eating disorder</w:t>
      </w:r>
      <w:r w:rsidRPr="4F882B3B" w:rsidR="6A9B8555">
        <w:rPr>
          <w:rFonts w:ascii="Arial" w:hAnsi="Arial" w:eastAsia="Arial" w:cs="Arial"/>
          <w:noProof w:val="0"/>
          <w:sz w:val="22"/>
          <w:szCs w:val="22"/>
          <w:lang w:val="en-GB"/>
        </w:rPr>
        <w:t xml:space="preserve"> (BED)</w:t>
      </w:r>
    </w:p>
    <w:p w:rsidR="6A4B3C75" w:rsidP="4F882B3B" w:rsidRDefault="6A4B3C75" w14:paraId="6230884E" w14:textId="73B6D987">
      <w:pPr>
        <w:pStyle w:val="Normal"/>
        <w:spacing w:before="240" w:beforeAutospacing="off" w:after="240" w:afterAutospacing="off" w:line="360" w:lineRule="auto"/>
        <w:jc w:val="both"/>
        <w:rPr>
          <w:rFonts w:ascii="Arial" w:hAnsi="Arial" w:eastAsia="Arial" w:cs="Arial"/>
          <w:noProof w:val="0"/>
          <w:sz w:val="22"/>
          <w:szCs w:val="22"/>
          <w:lang w:val="en-GB"/>
        </w:rPr>
      </w:pPr>
      <w:r w:rsidRPr="4F882B3B" w:rsidR="6A4B3C75">
        <w:rPr>
          <w:rFonts w:ascii="Arial" w:hAnsi="Arial" w:eastAsia="Arial" w:cs="Arial"/>
          <w:noProof w:val="0"/>
          <w:sz w:val="22"/>
          <w:szCs w:val="22"/>
          <w:lang w:val="en-GB"/>
        </w:rPr>
        <w:t xml:space="preserve">According to (NICE, 2024) </w:t>
      </w:r>
      <w:r w:rsidRPr="4F882B3B" w:rsidR="6F8D9F2E">
        <w:rPr>
          <w:rFonts w:ascii="Arial" w:hAnsi="Arial" w:eastAsia="Arial" w:cs="Arial"/>
          <w:noProof w:val="0"/>
          <w:sz w:val="22"/>
          <w:szCs w:val="22"/>
          <w:lang w:val="en-GB"/>
        </w:rPr>
        <w:t xml:space="preserve">Improving outcomes in binge‑eating disorder requires coordinated action across practice, policy, and research. In clinical practice, routine screening in primary care using validated tools rather than BMI alone can reduce under‑recognition and ensure earlier </w:t>
      </w:r>
      <w:r w:rsidRPr="4F882B3B" w:rsidR="6F8D9F2E">
        <w:rPr>
          <w:rFonts w:ascii="Arial" w:hAnsi="Arial" w:eastAsia="Arial" w:cs="Arial"/>
          <w:noProof w:val="0"/>
          <w:sz w:val="22"/>
          <w:szCs w:val="22"/>
          <w:lang w:val="en-GB"/>
        </w:rPr>
        <w:t>intervention .</w:t>
      </w:r>
      <w:r w:rsidRPr="4F882B3B" w:rsidR="6F8D9F2E">
        <w:rPr>
          <w:rFonts w:ascii="Arial" w:hAnsi="Arial" w:eastAsia="Arial" w:cs="Arial"/>
          <w:noProof w:val="0"/>
          <w:sz w:val="22"/>
          <w:szCs w:val="22"/>
          <w:lang w:val="en-GB"/>
        </w:rPr>
        <w:t xml:space="preserve"> </w:t>
      </w:r>
      <w:r w:rsidRPr="4F882B3B" w:rsidR="2A0296E2">
        <w:rPr>
          <w:rFonts w:ascii="Arial" w:hAnsi="Arial" w:eastAsia="Arial" w:cs="Arial"/>
          <w:noProof w:val="0"/>
          <w:sz w:val="22"/>
          <w:szCs w:val="22"/>
          <w:lang w:val="en-GB"/>
        </w:rPr>
        <w:t>Based on (</w:t>
      </w:r>
      <w:r w:rsidRPr="4F882B3B" w:rsidR="2A0296E2">
        <w:rPr>
          <w:rFonts w:ascii="Arial" w:hAnsi="Arial" w:eastAsia="Arial" w:cs="Arial"/>
          <w:noProof w:val="0"/>
          <w:sz w:val="22"/>
          <w:szCs w:val="22"/>
          <w:lang w:val="en-GB"/>
        </w:rPr>
        <w:t>Linardon</w:t>
      </w:r>
      <w:r w:rsidRPr="4F882B3B" w:rsidR="2A0296E2">
        <w:rPr>
          <w:rFonts w:ascii="Arial" w:hAnsi="Arial" w:eastAsia="Arial" w:cs="Arial"/>
          <w:noProof w:val="0"/>
          <w:sz w:val="22"/>
          <w:szCs w:val="22"/>
          <w:lang w:val="en-GB"/>
        </w:rPr>
        <w:t xml:space="preserve"> </w:t>
      </w:r>
      <w:r w:rsidRPr="4F882B3B" w:rsidR="2A0296E2">
        <w:rPr>
          <w:rFonts w:ascii="Arial" w:hAnsi="Arial" w:eastAsia="Arial" w:cs="Arial"/>
          <w:i w:val="1"/>
          <w:iCs w:val="1"/>
          <w:noProof w:val="0"/>
          <w:sz w:val="22"/>
          <w:szCs w:val="22"/>
          <w:lang w:val="en-GB"/>
        </w:rPr>
        <w:t>et al</w:t>
      </w:r>
      <w:r w:rsidRPr="4F882B3B" w:rsidR="2A0296E2">
        <w:rPr>
          <w:rFonts w:ascii="Arial" w:hAnsi="Arial" w:eastAsia="Arial" w:cs="Arial"/>
          <w:noProof w:val="0"/>
          <w:sz w:val="22"/>
          <w:szCs w:val="22"/>
          <w:lang w:val="en-GB"/>
        </w:rPr>
        <w:t xml:space="preserve">, 2020) </w:t>
      </w:r>
      <w:r w:rsidRPr="4F882B3B" w:rsidR="1652CB59">
        <w:rPr>
          <w:rFonts w:ascii="Arial" w:hAnsi="Arial" w:eastAsia="Arial" w:cs="Arial"/>
          <w:noProof w:val="0"/>
          <w:sz w:val="22"/>
          <w:szCs w:val="22"/>
          <w:lang w:val="en-GB"/>
        </w:rPr>
        <w:t>p</w:t>
      </w:r>
      <w:r w:rsidRPr="4F882B3B" w:rsidR="6F8D9F2E">
        <w:rPr>
          <w:rFonts w:ascii="Arial" w:hAnsi="Arial" w:eastAsia="Arial" w:cs="Arial"/>
          <w:noProof w:val="0"/>
          <w:sz w:val="22"/>
          <w:szCs w:val="22"/>
          <w:lang w:val="en-GB"/>
        </w:rPr>
        <w:t>sychotherapy, particularly CBT and IPT, should remain the first‑line treatment, with guided self‑help offering scalable access, while relapse‑prevention and emotion regulation skills are embedded to sustain recovery</w:t>
      </w:r>
      <w:r w:rsidRPr="4F882B3B" w:rsidR="6F8D9F2E">
        <w:rPr>
          <w:rFonts w:ascii="Arial" w:hAnsi="Arial" w:eastAsia="Arial" w:cs="Arial"/>
          <w:noProof w:val="0"/>
          <w:sz w:val="22"/>
          <w:szCs w:val="22"/>
          <w:lang w:val="en-GB"/>
        </w:rPr>
        <w:t>.</w:t>
      </w:r>
      <w:r w:rsidRPr="4F882B3B" w:rsidR="1418D5BA">
        <w:rPr>
          <w:rFonts w:ascii="Arial" w:hAnsi="Arial" w:eastAsia="Arial" w:cs="Arial"/>
          <w:noProof w:val="0"/>
          <w:sz w:val="22"/>
          <w:szCs w:val="22"/>
          <w:lang w:val="en-GB"/>
        </w:rPr>
        <w:t xml:space="preserve"> In</w:t>
      </w:r>
      <w:r w:rsidRPr="4F882B3B" w:rsidR="6F8D9F2E">
        <w:rPr>
          <w:rFonts w:ascii="Arial" w:hAnsi="Arial" w:eastAsia="Arial" w:cs="Arial"/>
          <w:noProof w:val="0"/>
          <w:sz w:val="22"/>
          <w:szCs w:val="22"/>
          <w:lang w:val="en-GB"/>
        </w:rPr>
        <w:t xml:space="preserve"> </w:t>
      </w:r>
      <w:r w:rsidRPr="4F882B3B" w:rsidR="1418D5BA">
        <w:rPr>
          <w:rFonts w:ascii="Arial" w:hAnsi="Arial" w:eastAsia="Arial" w:cs="Arial"/>
          <w:noProof w:val="0"/>
          <w:sz w:val="22"/>
          <w:szCs w:val="22"/>
          <w:lang w:val="en-GB"/>
        </w:rPr>
        <w:t>line with (Jewell et al., 2025</w:t>
      </w:r>
      <w:r w:rsidRPr="4F882B3B" w:rsidR="1418D5BA">
        <w:rPr>
          <w:rFonts w:ascii="Arial" w:hAnsi="Arial" w:eastAsia="Arial" w:cs="Arial"/>
          <w:noProof w:val="0"/>
          <w:sz w:val="22"/>
          <w:szCs w:val="22"/>
          <w:lang w:val="en-GB"/>
        </w:rPr>
        <w:t>)  i</w:t>
      </w:r>
      <w:r w:rsidRPr="4F882B3B" w:rsidR="6F8D9F2E">
        <w:rPr>
          <w:rFonts w:ascii="Arial" w:hAnsi="Arial" w:eastAsia="Arial" w:cs="Arial"/>
          <w:noProof w:val="0"/>
          <w:sz w:val="22"/>
          <w:szCs w:val="22"/>
          <w:lang w:val="en-GB"/>
        </w:rPr>
        <w:t>ntegrated</w:t>
      </w:r>
      <w:r w:rsidRPr="4F882B3B" w:rsidR="6F8D9F2E">
        <w:rPr>
          <w:rFonts w:ascii="Arial" w:hAnsi="Arial" w:eastAsia="Arial" w:cs="Arial"/>
          <w:noProof w:val="0"/>
          <w:sz w:val="22"/>
          <w:szCs w:val="22"/>
          <w:lang w:val="en-GB"/>
        </w:rPr>
        <w:t xml:space="preserve"> care pathways supported by biopsychosocial data collection can personalise treatment and improve monitoring.</w:t>
      </w:r>
      <w:r w:rsidRPr="4F882B3B" w:rsidR="6ECEAFD7">
        <w:rPr>
          <w:rFonts w:ascii="Arial" w:hAnsi="Arial" w:eastAsia="Arial" w:cs="Arial"/>
          <w:noProof w:val="0"/>
          <w:sz w:val="22"/>
          <w:szCs w:val="22"/>
          <w:lang w:val="en-GB"/>
        </w:rPr>
        <w:t xml:space="preserve"> </w:t>
      </w:r>
      <w:r w:rsidRPr="4F882B3B" w:rsidR="6F8D9F2E">
        <w:rPr>
          <w:rFonts w:ascii="Arial" w:hAnsi="Arial" w:eastAsia="Arial" w:cs="Arial"/>
          <w:noProof w:val="0"/>
          <w:sz w:val="22"/>
          <w:szCs w:val="22"/>
          <w:lang w:val="en-GB"/>
        </w:rPr>
        <w:t xml:space="preserve">Policy implications include ensuring </w:t>
      </w:r>
      <w:r w:rsidRPr="4F882B3B" w:rsidR="6F8D9F2E">
        <w:rPr>
          <w:rFonts w:ascii="Arial" w:hAnsi="Arial" w:eastAsia="Arial" w:cs="Arial"/>
          <w:noProof w:val="0"/>
          <w:sz w:val="22"/>
          <w:szCs w:val="22"/>
          <w:lang w:val="en-GB"/>
        </w:rPr>
        <w:t>equitable</w:t>
      </w:r>
      <w:r w:rsidRPr="4F882B3B" w:rsidR="6F8D9F2E">
        <w:rPr>
          <w:rFonts w:ascii="Arial" w:hAnsi="Arial" w:eastAsia="Arial" w:cs="Arial"/>
          <w:noProof w:val="0"/>
          <w:sz w:val="22"/>
          <w:szCs w:val="22"/>
          <w:lang w:val="en-GB"/>
        </w:rPr>
        <w:t xml:space="preserve"> access by discouraging exclusion based on weight thresholds and mandating immediate referral to </w:t>
      </w:r>
      <w:r w:rsidRPr="4F882B3B" w:rsidR="6F8D9F2E">
        <w:rPr>
          <w:rFonts w:ascii="Arial" w:hAnsi="Arial" w:eastAsia="Arial" w:cs="Arial"/>
          <w:noProof w:val="0"/>
          <w:sz w:val="22"/>
          <w:szCs w:val="22"/>
          <w:lang w:val="en-GB"/>
        </w:rPr>
        <w:t xml:space="preserve">age‑appropriate </w:t>
      </w:r>
      <w:r w:rsidRPr="4F882B3B" w:rsidR="4C53C8E8">
        <w:rPr>
          <w:rFonts w:ascii="Arial" w:hAnsi="Arial" w:eastAsia="Arial" w:cs="Arial"/>
          <w:noProof w:val="0"/>
          <w:sz w:val="22"/>
          <w:szCs w:val="22"/>
          <w:lang w:val="en-GB"/>
        </w:rPr>
        <w:t>services</w:t>
      </w:r>
      <w:r w:rsidRPr="4F882B3B" w:rsidR="4C53C8E8">
        <w:rPr>
          <w:rFonts w:ascii="Arial" w:hAnsi="Arial" w:eastAsia="Arial" w:cs="Arial"/>
          <w:noProof w:val="0"/>
          <w:sz w:val="22"/>
          <w:szCs w:val="22"/>
          <w:lang w:val="en-GB"/>
        </w:rPr>
        <w:t>.</w:t>
      </w:r>
      <w:r w:rsidRPr="4F882B3B" w:rsidR="6F8D9F2E">
        <w:rPr>
          <w:rFonts w:ascii="Arial" w:hAnsi="Arial" w:eastAsia="Arial" w:cs="Arial"/>
          <w:noProof w:val="0"/>
          <w:sz w:val="22"/>
          <w:szCs w:val="22"/>
          <w:lang w:val="en-GB"/>
        </w:rPr>
        <w:t xml:space="preserve"> Service design should adopt standardised outcome measures across eating disorder services to harmonise care nationally (Jewell </w:t>
      </w:r>
      <w:r w:rsidRPr="4F882B3B" w:rsidR="6F8D9F2E">
        <w:rPr>
          <w:rFonts w:ascii="Arial" w:hAnsi="Arial" w:eastAsia="Arial" w:cs="Arial"/>
          <w:i w:val="1"/>
          <w:iCs w:val="1"/>
          <w:noProof w:val="0"/>
          <w:sz w:val="22"/>
          <w:szCs w:val="22"/>
          <w:lang w:val="en-GB"/>
        </w:rPr>
        <w:t>et al</w:t>
      </w:r>
      <w:r w:rsidRPr="4F882B3B" w:rsidR="6F8D9F2E">
        <w:rPr>
          <w:rFonts w:ascii="Arial" w:hAnsi="Arial" w:eastAsia="Arial" w:cs="Arial"/>
          <w:noProof w:val="0"/>
          <w:sz w:val="22"/>
          <w:szCs w:val="22"/>
          <w:lang w:val="en-GB"/>
        </w:rPr>
        <w:t>,</w:t>
      </w:r>
      <w:r w:rsidRPr="4F882B3B" w:rsidR="03687817">
        <w:rPr>
          <w:rFonts w:ascii="Arial" w:hAnsi="Arial" w:eastAsia="Arial" w:cs="Arial"/>
          <w:noProof w:val="0"/>
          <w:sz w:val="22"/>
          <w:szCs w:val="22"/>
          <w:lang w:val="en-GB"/>
        </w:rPr>
        <w:t>20</w:t>
      </w:r>
      <w:r w:rsidRPr="4F882B3B" w:rsidR="6F8D9F2E">
        <w:rPr>
          <w:rFonts w:ascii="Arial" w:hAnsi="Arial" w:eastAsia="Arial" w:cs="Arial"/>
          <w:noProof w:val="0"/>
          <w:sz w:val="22"/>
          <w:szCs w:val="22"/>
          <w:lang w:val="en-GB"/>
        </w:rPr>
        <w:t xml:space="preserve">25). Stigma reduction policies must prioritise weight‑neutral approaches that emphasise quality of life rather than weight loss (Hudson </w:t>
      </w:r>
      <w:r w:rsidRPr="4F882B3B" w:rsidR="6F8D9F2E">
        <w:rPr>
          <w:rFonts w:ascii="Arial" w:hAnsi="Arial" w:eastAsia="Arial" w:cs="Arial"/>
          <w:i w:val="1"/>
          <w:iCs w:val="1"/>
          <w:noProof w:val="0"/>
          <w:sz w:val="22"/>
          <w:szCs w:val="22"/>
          <w:lang w:val="en-GB"/>
        </w:rPr>
        <w:t>et al</w:t>
      </w:r>
      <w:r w:rsidRPr="4F882B3B" w:rsidR="6F8D9F2E">
        <w:rPr>
          <w:rFonts w:ascii="Arial" w:hAnsi="Arial" w:eastAsia="Arial" w:cs="Arial"/>
          <w:noProof w:val="0"/>
          <w:sz w:val="22"/>
          <w:szCs w:val="22"/>
          <w:lang w:val="en-GB"/>
        </w:rPr>
        <w:t>, 2018</w:t>
      </w:r>
      <w:r w:rsidRPr="4F882B3B" w:rsidR="59029379">
        <w:rPr>
          <w:rFonts w:ascii="Arial" w:hAnsi="Arial" w:eastAsia="Arial" w:cs="Arial"/>
          <w:noProof w:val="0"/>
          <w:sz w:val="22"/>
          <w:szCs w:val="22"/>
          <w:lang w:val="en-GB"/>
        </w:rPr>
        <w:t>). Research</w:t>
      </w:r>
      <w:r w:rsidRPr="4F882B3B" w:rsidR="6F8D9F2E">
        <w:rPr>
          <w:rFonts w:ascii="Arial" w:hAnsi="Arial" w:eastAsia="Arial" w:cs="Arial"/>
          <w:noProof w:val="0"/>
          <w:sz w:val="22"/>
          <w:szCs w:val="22"/>
          <w:lang w:val="en-GB"/>
        </w:rPr>
        <w:t xml:space="preserve"> priorities involve mechanism‑based trials targeting reward, inhibition, and emotion regulation, alongside adaptive interventions such as digital and stepped‑care models (Smith &amp; Goldschmidt, 2024). Longitudinal studies are essential to evaluate rehabilitation strategies across diverse populations and age groups (</w:t>
      </w:r>
      <w:r w:rsidRPr="4F882B3B" w:rsidR="55CA4F7B">
        <w:rPr>
          <w:rFonts w:ascii="Arial" w:hAnsi="Arial" w:eastAsia="Arial" w:cs="Arial"/>
          <w:noProof w:val="0"/>
          <w:sz w:val="22"/>
          <w:szCs w:val="22"/>
          <w:lang w:val="en-GB"/>
        </w:rPr>
        <w:t xml:space="preserve">The </w:t>
      </w:r>
      <w:r w:rsidRPr="4F882B3B" w:rsidR="55CA4F7B">
        <w:rPr>
          <w:rFonts w:ascii="Arial" w:hAnsi="Arial" w:eastAsia="Arial" w:cs="Arial"/>
          <w:noProof w:val="0"/>
          <w:sz w:val="22"/>
          <w:szCs w:val="22"/>
          <w:lang w:val="en-GB"/>
        </w:rPr>
        <w:t xml:space="preserve">Lancet </w:t>
      </w:r>
      <w:r w:rsidRPr="4F882B3B" w:rsidR="6F8D9F2E">
        <w:rPr>
          <w:rFonts w:ascii="Arial" w:hAnsi="Arial" w:eastAsia="Arial" w:cs="Arial"/>
          <w:noProof w:val="0"/>
          <w:sz w:val="22"/>
          <w:szCs w:val="22"/>
          <w:lang w:val="en-GB"/>
        </w:rPr>
        <w:t>,</w:t>
      </w:r>
      <w:r w:rsidRPr="4F882B3B" w:rsidR="6F8D9F2E">
        <w:rPr>
          <w:rFonts w:ascii="Arial" w:hAnsi="Arial" w:eastAsia="Arial" w:cs="Arial"/>
          <w:noProof w:val="0"/>
          <w:sz w:val="22"/>
          <w:szCs w:val="22"/>
          <w:lang w:val="en-GB"/>
        </w:rPr>
        <w:t xml:space="preserve"> 2023).</w:t>
      </w:r>
    </w:p>
    <w:p w:rsidR="4F882B3B" w:rsidP="4F882B3B" w:rsidRDefault="4F882B3B" w14:paraId="6843515C" w14:textId="7E2AE782">
      <w:pPr>
        <w:pStyle w:val="Normal"/>
        <w:spacing w:before="240" w:beforeAutospacing="off" w:after="240" w:afterAutospacing="off" w:line="360" w:lineRule="auto"/>
        <w:jc w:val="both"/>
        <w:rPr>
          <w:rFonts w:ascii="Arial" w:hAnsi="Arial" w:eastAsia="Arial" w:cs="Arial"/>
          <w:noProof w:val="0"/>
          <w:sz w:val="22"/>
          <w:szCs w:val="22"/>
          <w:lang w:val="en-GB"/>
        </w:rPr>
      </w:pPr>
    </w:p>
    <w:p w:rsidR="0D887A73" w:rsidP="4F882B3B" w:rsidRDefault="0D887A73" w14:paraId="69AD8833" w14:textId="19E3D22F">
      <w:pPr>
        <w:spacing w:before="240" w:beforeAutospacing="off" w:after="240" w:afterAutospacing="off" w:line="360" w:lineRule="auto"/>
        <w:rPr>
          <w:rFonts w:ascii="Arial" w:hAnsi="Arial" w:eastAsia="Arial" w:cs="Arial"/>
          <w:b w:val="1"/>
          <w:bCs w:val="1"/>
          <w:color w:val="000000" w:themeColor="text1" w:themeTint="FF" w:themeShade="FF"/>
          <w:sz w:val="22"/>
          <w:szCs w:val="22"/>
        </w:rPr>
      </w:pPr>
      <w:r w:rsidRPr="4F882B3B" w:rsidR="0D887A73">
        <w:rPr>
          <w:rFonts w:ascii="Arial" w:hAnsi="Arial" w:eastAsia="Arial" w:cs="Arial"/>
          <w:b w:val="1"/>
          <w:bCs w:val="1"/>
          <w:color w:val="000000" w:themeColor="text1" w:themeTint="FF" w:themeShade="FF"/>
          <w:sz w:val="22"/>
          <w:szCs w:val="22"/>
        </w:rPr>
        <w:t>Conclusion</w:t>
      </w:r>
    </w:p>
    <w:p w:rsidR="41E5EB45" w:rsidP="4F882B3B" w:rsidRDefault="41E5EB45" w14:paraId="7790B0F7" w14:textId="203A1F6A">
      <w:pPr>
        <w:spacing w:before="240" w:beforeAutospacing="off" w:after="240" w:afterAutospacing="off" w:line="360" w:lineRule="auto"/>
        <w:jc w:val="both"/>
      </w:pPr>
      <w:r w:rsidRPr="4F882B3B" w:rsidR="41E5EB45">
        <w:rPr>
          <w:rFonts w:ascii="Arial" w:hAnsi="Arial" w:eastAsia="Arial" w:cs="Arial"/>
          <w:noProof w:val="0"/>
          <w:sz w:val="22"/>
          <w:szCs w:val="22"/>
          <w:lang w:val="en-GB"/>
        </w:rPr>
        <w:t xml:space="preserve">Binge‑eating disorder (BED) is now firmly recognised in ICD‑11 as a separate psychiatric disorder, distinguishing it from obesity and other eating conditions. Its diagnostic framework highlights recurrent binge episodes, loss of control, and significant distress, with the consistent use of the term “disorder” to emphasise severity and functional impact. Psychotherapy, particularly cognitive‑behavioural therapy and interpersonal psychotherapy, </w:t>
      </w:r>
      <w:r w:rsidRPr="4F882B3B" w:rsidR="41E5EB45">
        <w:rPr>
          <w:rFonts w:ascii="Arial" w:hAnsi="Arial" w:eastAsia="Arial" w:cs="Arial"/>
          <w:noProof w:val="0"/>
          <w:sz w:val="22"/>
          <w:szCs w:val="22"/>
          <w:lang w:val="en-GB"/>
        </w:rPr>
        <w:t>remains</w:t>
      </w:r>
      <w:r w:rsidRPr="4F882B3B" w:rsidR="41E5EB45">
        <w:rPr>
          <w:rFonts w:ascii="Arial" w:hAnsi="Arial" w:eastAsia="Arial" w:cs="Arial"/>
          <w:noProof w:val="0"/>
          <w:sz w:val="22"/>
          <w:szCs w:val="22"/>
          <w:lang w:val="en-GB"/>
        </w:rPr>
        <w:t xml:space="preserve"> the most effective treatment, while guided self‑help provides scalable access; however, relapse prevention and </w:t>
      </w:r>
      <w:r w:rsidRPr="4F882B3B" w:rsidR="41E5EB45">
        <w:rPr>
          <w:rFonts w:ascii="Arial" w:hAnsi="Arial" w:eastAsia="Arial" w:cs="Arial"/>
          <w:noProof w:val="0"/>
          <w:sz w:val="22"/>
          <w:szCs w:val="22"/>
          <w:lang w:val="en-GB"/>
        </w:rPr>
        <w:t>equitable</w:t>
      </w:r>
      <w:r w:rsidRPr="4F882B3B" w:rsidR="41E5EB45">
        <w:rPr>
          <w:rFonts w:ascii="Arial" w:hAnsi="Arial" w:eastAsia="Arial" w:cs="Arial"/>
          <w:noProof w:val="0"/>
          <w:sz w:val="22"/>
          <w:szCs w:val="22"/>
          <w:lang w:val="en-GB"/>
        </w:rPr>
        <w:t xml:space="preserve"> service provision continue to present challenges. Rehabilitation strategies, including stepped‑care pathways and weight‑neutral approaches, are increasingly adopted in practice, though their long‑term effectiveness requires further evaluation. Current debates focus on diagnostic boundaries, cultural variation, and the role of neurodivergence, raising questions about how services can adapt to diverse needs. These discussions directly influence policy, especially in reducing stigma and ensuring fair access to evidence‑based care. Recommendations therefore emphasise refining diagnostic processes, integrating mechanism‑based specifiers, expanding neuro‑informed adaptations, and strengthening rehabilitation through multidisciplinary pathways. Together, these measures can enhance clinical practice, inform policy, and guide future research toward more effective and inclusive outcomes for individuals with BED.</w:t>
      </w:r>
    </w:p>
    <w:p w:rsidR="4F882B3B" w:rsidP="4F882B3B" w:rsidRDefault="4F882B3B" w14:paraId="1ECE3EA0" w14:textId="5787EE57">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sz w:val="22"/>
          <w:szCs w:val="22"/>
          <w:lang w:val="en-GB"/>
        </w:rPr>
      </w:pPr>
    </w:p>
    <w:p w:rsidR="53041AB6" w:rsidP="53041AB6" w:rsidRDefault="53041AB6" w14:paraId="4376ADCE" w14:textId="5660AC45" w14:noSpellErr="1">
      <w:pPr>
        <w:pStyle w:val="Normal"/>
      </w:pPr>
    </w:p>
    <w:p w:rsidR="4F882B3B" w:rsidP="4F882B3B" w:rsidRDefault="4F882B3B" w14:paraId="1E962DC9" w14:textId="0C9EA925">
      <w:pPr>
        <w:pStyle w:val="Normal"/>
      </w:pPr>
    </w:p>
    <w:p w:rsidR="4F882B3B" w:rsidP="4F882B3B" w:rsidRDefault="4F882B3B" w14:paraId="0E213639" w14:textId="25B639FB">
      <w:pPr>
        <w:pStyle w:val="Normal"/>
      </w:pPr>
    </w:p>
    <w:p w:rsidR="4F882B3B" w:rsidP="4F882B3B" w:rsidRDefault="4F882B3B" w14:paraId="407DA417" w14:textId="5CF3C6A9">
      <w:pPr>
        <w:pStyle w:val="Normal"/>
      </w:pPr>
    </w:p>
    <w:p w:rsidR="4F882B3B" w:rsidP="4F882B3B" w:rsidRDefault="4F882B3B" w14:paraId="324C9729" w14:textId="6E540A3A">
      <w:pPr>
        <w:pStyle w:val="Normal"/>
      </w:pPr>
    </w:p>
    <w:p w:rsidR="4F882B3B" w:rsidP="4F882B3B" w:rsidRDefault="4F882B3B" w14:paraId="3F28D77E" w14:textId="73F72ECE">
      <w:pPr>
        <w:pStyle w:val="Normal"/>
      </w:pPr>
    </w:p>
    <w:p w:rsidR="4F882B3B" w:rsidP="4F882B3B" w:rsidRDefault="4F882B3B" w14:paraId="13B2C215" w14:textId="040BC2FB">
      <w:pPr>
        <w:pStyle w:val="Normal"/>
      </w:pPr>
    </w:p>
    <w:p w:rsidR="0E505666" w:rsidP="4F882B3B" w:rsidRDefault="0E505666" w14:paraId="668B6869" w14:textId="0D5FB51C">
      <w:pPr>
        <w:pStyle w:val="Normal"/>
        <w:rPr>
          <w:rFonts w:ascii="Arial" w:hAnsi="Arial" w:eastAsia="Arial" w:cs="Arial"/>
          <w:b w:val="1"/>
          <w:bCs w:val="1"/>
        </w:rPr>
      </w:pPr>
      <w:r w:rsidRPr="4F882B3B" w:rsidR="0E505666">
        <w:rPr>
          <w:rFonts w:ascii="Arial" w:hAnsi="Arial" w:eastAsia="Arial" w:cs="Arial"/>
          <w:b w:val="1"/>
          <w:bCs w:val="1"/>
        </w:rPr>
        <w:t>References</w:t>
      </w:r>
    </w:p>
    <w:p w:rsidR="0C71B547" w:rsidP="4F882B3B" w:rsidRDefault="0C71B547" w14:paraId="49EFCF2D" w14:textId="5AEBAFC9">
      <w:pPr>
        <w:pStyle w:val="Normal"/>
        <w:spacing w:before="0" w:beforeAutospacing="off" w:after="160" w:afterAutospacing="off" w:line="276" w:lineRule="auto"/>
        <w:rPr>
          <w:rFonts w:ascii="Arial" w:hAnsi="Arial" w:eastAsia="Arial" w:cs="Arial"/>
          <w:b w:val="0"/>
          <w:bCs w:val="0"/>
          <w:noProof w:val="0"/>
          <w:sz w:val="22"/>
          <w:szCs w:val="22"/>
          <w:lang w:val="en-US"/>
        </w:rPr>
      </w:pPr>
      <w:r w:rsidRPr="4F882B3B" w:rsidR="0C71B547">
        <w:rPr>
          <w:rFonts w:ascii="Arial" w:hAnsi="Arial" w:eastAsia="Arial" w:cs="Arial"/>
          <w:b w:val="0"/>
          <w:bCs w:val="0"/>
          <w:i w:val="0"/>
          <w:iCs w:val="0"/>
          <w:caps w:val="0"/>
          <w:smallCaps w:val="0"/>
          <w:color w:val="3A3A3A" w:themeColor="background2" w:themeTint="FF" w:themeShade="40"/>
          <w:sz w:val="22"/>
          <w:szCs w:val="22"/>
        </w:rPr>
        <w:t xml:space="preserve">Agüera, Z. </w:t>
      </w:r>
      <w:r w:rsidRPr="4F882B3B" w:rsidR="0C71B547">
        <w:rPr>
          <w:rFonts w:ascii="Arial" w:hAnsi="Arial" w:eastAsia="Arial" w:cs="Arial"/>
          <w:b w:val="0"/>
          <w:bCs w:val="0"/>
          <w:i w:val="1"/>
          <w:iCs w:val="1"/>
          <w:caps w:val="0"/>
          <w:smallCaps w:val="0"/>
          <w:color w:val="3A3A3A" w:themeColor="background2" w:themeTint="FF" w:themeShade="40"/>
          <w:sz w:val="22"/>
          <w:szCs w:val="22"/>
        </w:rPr>
        <w:t>et al.</w:t>
      </w:r>
      <w:r w:rsidRPr="4F882B3B" w:rsidR="0C71B547">
        <w:rPr>
          <w:rFonts w:ascii="Arial" w:hAnsi="Arial" w:eastAsia="Arial" w:cs="Arial"/>
          <w:b w:val="0"/>
          <w:bCs w:val="0"/>
          <w:i w:val="0"/>
          <w:iCs w:val="0"/>
          <w:caps w:val="0"/>
          <w:smallCaps w:val="0"/>
          <w:color w:val="3A3A3A" w:themeColor="background2" w:themeTint="FF" w:themeShade="40"/>
          <w:sz w:val="22"/>
          <w:szCs w:val="22"/>
        </w:rPr>
        <w:t xml:space="preserve"> (2021) ‘A review of binge eating disorder and obesity’, </w:t>
      </w:r>
      <w:r w:rsidRPr="4F882B3B" w:rsidR="0C71B547">
        <w:rPr>
          <w:rFonts w:ascii="Arial" w:hAnsi="Arial" w:eastAsia="Arial" w:cs="Arial"/>
          <w:b w:val="0"/>
          <w:bCs w:val="0"/>
          <w:i w:val="1"/>
          <w:iCs w:val="1"/>
          <w:caps w:val="0"/>
          <w:smallCaps w:val="0"/>
          <w:color w:val="3A3A3A" w:themeColor="background2" w:themeTint="FF" w:themeShade="40"/>
          <w:sz w:val="22"/>
          <w:szCs w:val="22"/>
        </w:rPr>
        <w:t>Neuropsychiatrie</w:t>
      </w:r>
      <w:r w:rsidRPr="4F882B3B" w:rsidR="0C71B547">
        <w:rPr>
          <w:rFonts w:ascii="Arial" w:hAnsi="Arial" w:eastAsia="Arial" w:cs="Arial"/>
          <w:b w:val="0"/>
          <w:bCs w:val="0"/>
          <w:i w:val="0"/>
          <w:iCs w:val="0"/>
          <w:caps w:val="0"/>
          <w:smallCaps w:val="0"/>
          <w:color w:val="3A3A3A" w:themeColor="background2" w:themeTint="FF" w:themeShade="40"/>
          <w:sz w:val="22"/>
          <w:szCs w:val="22"/>
        </w:rPr>
        <w:t xml:space="preserve">, 35(2), pp. 57–67. Available at: </w:t>
      </w:r>
      <w:hyperlink r:id="R68dccafaa2114799">
        <w:r w:rsidRPr="4F882B3B" w:rsidR="0C71B547">
          <w:rPr>
            <w:rStyle w:val="Hyperlink"/>
            <w:rFonts w:ascii="Arial" w:hAnsi="Arial" w:eastAsia="Arial" w:cs="Arial"/>
            <w:b w:val="0"/>
            <w:bCs w:val="0"/>
            <w:i w:val="0"/>
            <w:iCs w:val="0"/>
            <w:caps w:val="0"/>
            <w:smallCaps w:val="0"/>
            <w:sz w:val="22"/>
            <w:szCs w:val="22"/>
          </w:rPr>
          <w:t>https://doi.org/10.1007/s40211-020-00346-w</w:t>
        </w:r>
      </w:hyperlink>
      <w:r w:rsidRPr="4F882B3B" w:rsidR="0C71B547">
        <w:rPr>
          <w:rFonts w:ascii="Arial" w:hAnsi="Arial" w:eastAsia="Arial" w:cs="Arial"/>
          <w:b w:val="0"/>
          <w:bCs w:val="0"/>
          <w:i w:val="0"/>
          <w:iCs w:val="0"/>
          <w:caps w:val="0"/>
          <w:smallCaps w:val="0"/>
          <w:color w:val="3A3A3A" w:themeColor="background2" w:themeTint="FF" w:themeShade="40"/>
          <w:sz w:val="22"/>
          <w:szCs w:val="22"/>
        </w:rPr>
        <w:t>.</w:t>
      </w:r>
    </w:p>
    <w:p w:rsidR="393A4580" w:rsidP="4F882B3B" w:rsidRDefault="393A4580" w14:paraId="1935925F" w14:textId="3E0BB7E6">
      <w:pPr>
        <w:pStyle w:val="Normal"/>
        <w:rPr>
          <w:rFonts w:ascii="Arial" w:hAnsi="Arial" w:eastAsia="Arial" w:cs="Arial"/>
          <w:b w:val="0"/>
          <w:bCs w:val="0"/>
          <w:noProof w:val="0"/>
          <w:sz w:val="22"/>
          <w:szCs w:val="22"/>
          <w:lang w:val="en-GB"/>
        </w:rPr>
      </w:pPr>
      <w:r w:rsidRPr="4F882B3B" w:rsidR="393A4580">
        <w:rPr>
          <w:rFonts w:ascii="Arial" w:hAnsi="Arial" w:eastAsia="Arial" w:cs="Arial"/>
          <w:b w:val="0"/>
          <w:bCs w:val="0"/>
          <w:i w:val="0"/>
          <w:iCs w:val="0"/>
          <w:caps w:val="0"/>
          <w:smallCaps w:val="0"/>
          <w:noProof w:val="0"/>
          <w:color w:val="333333"/>
          <w:sz w:val="22"/>
          <w:szCs w:val="22"/>
          <w:lang w:val="en-GB"/>
        </w:rPr>
        <w:t xml:space="preserve">Beat </w:t>
      </w:r>
      <w:r w:rsidRPr="4F882B3B" w:rsidR="393A4580">
        <w:rPr>
          <w:rFonts w:ascii="Arial" w:hAnsi="Arial" w:eastAsia="Arial" w:cs="Arial"/>
          <w:b w:val="0"/>
          <w:bCs w:val="0"/>
          <w:i w:val="0"/>
          <w:iCs w:val="0"/>
          <w:caps w:val="0"/>
          <w:smallCaps w:val="0"/>
          <w:noProof w:val="0"/>
          <w:color w:val="333333"/>
          <w:sz w:val="22"/>
          <w:szCs w:val="22"/>
          <w:lang w:val="en-GB"/>
        </w:rPr>
        <w:t xml:space="preserve">(2025) </w:t>
      </w:r>
      <w:r w:rsidRPr="4F882B3B" w:rsidR="393A4580">
        <w:rPr>
          <w:rFonts w:ascii="Arial" w:hAnsi="Arial" w:eastAsia="Arial" w:cs="Arial"/>
          <w:b w:val="0"/>
          <w:bCs w:val="0"/>
          <w:i w:val="1"/>
          <w:iCs w:val="1"/>
          <w:caps w:val="0"/>
          <w:smallCaps w:val="0"/>
          <w:noProof w:val="0"/>
          <w:color w:val="333333"/>
          <w:sz w:val="22"/>
          <w:szCs w:val="22"/>
          <w:lang w:val="en-GB"/>
        </w:rPr>
        <w:t>Best Practice and Early Intervention Disorders</w:t>
      </w:r>
      <w:r w:rsidRPr="4F882B3B" w:rsidR="393A4580">
        <w:rPr>
          <w:rFonts w:ascii="Arial" w:hAnsi="Arial" w:eastAsia="Arial" w:cs="Arial"/>
          <w:b w:val="0"/>
          <w:bCs w:val="0"/>
          <w:i w:val="0"/>
          <w:iCs w:val="0"/>
          <w:caps w:val="0"/>
          <w:smallCaps w:val="0"/>
          <w:noProof w:val="0"/>
          <w:color w:val="333333"/>
          <w:sz w:val="22"/>
          <w:szCs w:val="22"/>
          <w:lang w:val="en-GB"/>
        </w:rPr>
        <w:t>. Available at: https://www. beateatingdisorders.org.uk/get-information-and-support/get-help-for-</w:t>
      </w:r>
      <w:bookmarkStart w:name="_Int_AfsARKRi" w:id="573724302"/>
      <w:r w:rsidRPr="4F882B3B" w:rsidR="393A4580">
        <w:rPr>
          <w:rFonts w:ascii="Arial" w:hAnsi="Arial" w:eastAsia="Arial" w:cs="Arial"/>
          <w:b w:val="0"/>
          <w:bCs w:val="0"/>
          <w:i w:val="0"/>
          <w:iCs w:val="0"/>
          <w:caps w:val="0"/>
          <w:smallCaps w:val="0"/>
          <w:noProof w:val="0"/>
          <w:color w:val="333333"/>
          <w:sz w:val="22"/>
          <w:szCs w:val="22"/>
          <w:lang w:val="en-GB"/>
        </w:rPr>
        <w:t>myself</w:t>
      </w:r>
      <w:bookmarkEnd w:id="573724302"/>
      <w:r w:rsidRPr="4F882B3B" w:rsidR="393A4580">
        <w:rPr>
          <w:rFonts w:ascii="Arial" w:hAnsi="Arial" w:eastAsia="Arial" w:cs="Arial"/>
          <w:b w:val="0"/>
          <w:bCs w:val="0"/>
          <w:i w:val="0"/>
          <w:iCs w:val="0"/>
          <w:caps w:val="0"/>
          <w:smallCaps w:val="0"/>
          <w:noProof w:val="0"/>
          <w:color w:val="333333"/>
          <w:sz w:val="22"/>
          <w:szCs w:val="22"/>
          <w:lang w:val="en-GB"/>
        </w:rPr>
        <w:t>/early-intervention/ (Accessed: 15 December 2025).</w:t>
      </w:r>
    </w:p>
    <w:p w:rsidR="393A4580" w:rsidP="4F882B3B" w:rsidRDefault="393A4580" w14:paraId="56E7A154" w14:textId="36387286">
      <w:pPr>
        <w:pStyle w:val="Normal"/>
        <w:rPr>
          <w:rFonts w:ascii="Arial" w:hAnsi="Arial" w:eastAsia="Arial" w:cs="Arial"/>
          <w:b w:val="0"/>
          <w:bCs w:val="0"/>
          <w:i w:val="0"/>
          <w:iCs w:val="0"/>
          <w:caps w:val="0"/>
          <w:smallCaps w:val="0"/>
          <w:noProof w:val="0"/>
          <w:color w:val="212121"/>
          <w:sz w:val="22"/>
          <w:szCs w:val="22"/>
          <w:lang w:val="en-GB"/>
        </w:rPr>
      </w:pPr>
      <w:r w:rsidRPr="4F882B3B" w:rsidR="393A4580">
        <w:rPr>
          <w:rFonts w:ascii="Arial" w:hAnsi="Arial" w:eastAsia="Arial" w:cs="Arial"/>
          <w:b w:val="0"/>
          <w:bCs w:val="0"/>
          <w:i w:val="0"/>
          <w:iCs w:val="0"/>
          <w:caps w:val="0"/>
          <w:smallCaps w:val="0"/>
          <w:noProof w:val="0"/>
          <w:color w:val="212121"/>
          <w:sz w:val="22"/>
          <w:szCs w:val="22"/>
          <w:lang w:val="en-GB"/>
        </w:rPr>
        <w:t>Claudino, A.M.</w:t>
      </w:r>
      <w:r w:rsidRPr="4F882B3B" w:rsidR="393A4580">
        <w:rPr>
          <w:rFonts w:ascii="Arial" w:hAnsi="Arial" w:eastAsia="Arial" w:cs="Arial"/>
          <w:b w:val="0"/>
          <w:bCs w:val="0"/>
          <w:i w:val="1"/>
          <w:iCs w:val="1"/>
          <w:caps w:val="0"/>
          <w:smallCaps w:val="0"/>
          <w:noProof w:val="0"/>
          <w:color w:val="212121"/>
          <w:sz w:val="22"/>
          <w:szCs w:val="22"/>
          <w:lang w:val="en-GB"/>
        </w:rPr>
        <w:t xml:space="preserve"> et al.</w:t>
      </w:r>
      <w:r w:rsidRPr="4F882B3B" w:rsidR="393A4580">
        <w:rPr>
          <w:rFonts w:ascii="Arial" w:hAnsi="Arial" w:eastAsia="Arial" w:cs="Arial"/>
          <w:b w:val="0"/>
          <w:bCs w:val="0"/>
          <w:i w:val="0"/>
          <w:iCs w:val="0"/>
          <w:caps w:val="0"/>
          <w:smallCaps w:val="0"/>
          <w:noProof w:val="0"/>
          <w:color w:val="212121"/>
          <w:sz w:val="22"/>
          <w:szCs w:val="22"/>
          <w:lang w:val="en-GB"/>
        </w:rPr>
        <w:t xml:space="preserve"> (2019) ‘The classification of feeding and eating disorders in the ICD-11: results of a field study comparing proposed ICD-11 guidelines with existing ICD-10 guidelines. </w:t>
      </w:r>
      <w:r w:rsidRPr="4F882B3B" w:rsidR="393A4580">
        <w:rPr>
          <w:rFonts w:ascii="Arial" w:hAnsi="Arial" w:eastAsia="Arial" w:cs="Arial"/>
          <w:b w:val="0"/>
          <w:bCs w:val="0"/>
          <w:i w:val="1"/>
          <w:iCs w:val="1"/>
          <w:caps w:val="0"/>
          <w:smallCaps w:val="0"/>
          <w:noProof w:val="0"/>
          <w:color w:val="212121"/>
          <w:sz w:val="22"/>
          <w:szCs w:val="22"/>
          <w:lang w:val="en-GB"/>
        </w:rPr>
        <w:t>‘BMC Med,</w:t>
      </w:r>
      <w:r w:rsidRPr="4F882B3B" w:rsidR="393A4580">
        <w:rPr>
          <w:rFonts w:ascii="Arial" w:hAnsi="Arial" w:eastAsia="Arial" w:cs="Arial"/>
          <w:b w:val="0"/>
          <w:bCs w:val="0"/>
          <w:i w:val="0"/>
          <w:iCs w:val="0"/>
          <w:caps w:val="0"/>
          <w:smallCaps w:val="0"/>
          <w:noProof w:val="0"/>
          <w:color w:val="212121"/>
          <w:sz w:val="22"/>
          <w:szCs w:val="22"/>
          <w:lang w:val="en-GB"/>
        </w:rPr>
        <w:t xml:space="preserve"> 14;17(1):93. Available at: https:// </w:t>
      </w:r>
      <w:r w:rsidRPr="4F882B3B" w:rsidR="393A4580">
        <w:rPr>
          <w:rFonts w:ascii="Arial" w:hAnsi="Arial" w:eastAsia="Arial" w:cs="Arial"/>
          <w:b w:val="0"/>
          <w:bCs w:val="0"/>
          <w:i w:val="0"/>
          <w:iCs w:val="0"/>
          <w:caps w:val="0"/>
          <w:smallCaps w:val="0"/>
          <w:noProof w:val="0"/>
          <w:color w:val="212121"/>
          <w:sz w:val="22"/>
          <w:szCs w:val="22"/>
          <w:lang w:val="en-GB"/>
        </w:rPr>
        <w:t>doi</w:t>
      </w:r>
      <w:r w:rsidRPr="4F882B3B" w:rsidR="393A4580">
        <w:rPr>
          <w:rFonts w:ascii="Arial" w:hAnsi="Arial" w:eastAsia="Arial" w:cs="Arial"/>
          <w:b w:val="0"/>
          <w:bCs w:val="0"/>
          <w:i w:val="0"/>
          <w:iCs w:val="0"/>
          <w:caps w:val="0"/>
          <w:smallCaps w:val="0"/>
          <w:noProof w:val="0"/>
          <w:color w:val="212121"/>
          <w:sz w:val="22"/>
          <w:szCs w:val="22"/>
          <w:lang w:val="en-GB"/>
        </w:rPr>
        <w:t>: 10.1186/s12916-019-1327-4.</w:t>
      </w:r>
    </w:p>
    <w:p w:rsidR="393A4580" w:rsidP="4F882B3B" w:rsidRDefault="393A4580" w14:paraId="3EC45173" w14:textId="0FBF7AD8">
      <w:pPr>
        <w:pStyle w:val="Normal"/>
        <w:rPr>
          <w:rFonts w:ascii="Arial" w:hAnsi="Arial" w:eastAsia="Arial" w:cs="Arial"/>
          <w:b w:val="0"/>
          <w:bCs w:val="0"/>
          <w:sz w:val="22"/>
          <w:szCs w:val="22"/>
        </w:rPr>
      </w:pPr>
      <w:r w:rsidRPr="4F882B3B" w:rsidR="393A4580">
        <w:rPr>
          <w:rFonts w:ascii="Arial" w:hAnsi="Arial" w:eastAsia="Arial" w:cs="Arial"/>
          <w:b w:val="0"/>
          <w:bCs w:val="0"/>
          <w:i w:val="0"/>
          <w:iCs w:val="0"/>
          <w:caps w:val="0"/>
          <w:smallCaps w:val="0"/>
          <w:noProof w:val="0"/>
          <w:color w:val="333333"/>
          <w:sz w:val="22"/>
          <w:szCs w:val="22"/>
          <w:lang w:val="en-GB"/>
        </w:rPr>
        <w:t>Dietsch,G</w:t>
      </w:r>
      <w:r w:rsidRPr="4F882B3B" w:rsidR="393A4580">
        <w:rPr>
          <w:rFonts w:ascii="Arial" w:hAnsi="Arial" w:eastAsia="Arial" w:cs="Arial"/>
          <w:b w:val="0"/>
          <w:bCs w:val="0"/>
          <w:i w:val="0"/>
          <w:iCs w:val="0"/>
          <w:caps w:val="0"/>
          <w:smallCaps w:val="0"/>
          <w:noProof w:val="0"/>
          <w:color w:val="333333"/>
          <w:sz w:val="22"/>
          <w:szCs w:val="22"/>
          <w:lang w:val="en-GB"/>
        </w:rPr>
        <w:t>.,</w:t>
      </w:r>
      <w:r w:rsidRPr="4F882B3B" w:rsidR="393A4580">
        <w:rPr>
          <w:rFonts w:ascii="Arial" w:hAnsi="Arial" w:eastAsia="Arial" w:cs="Arial"/>
          <w:b w:val="0"/>
          <w:bCs w:val="0"/>
          <w:i w:val="0"/>
          <w:iCs w:val="0"/>
          <w:caps w:val="0"/>
          <w:smallCaps w:val="0"/>
          <w:noProof w:val="0"/>
          <w:color w:val="222222"/>
          <w:sz w:val="22"/>
          <w:szCs w:val="22"/>
          <w:lang w:val="en-GB"/>
        </w:rPr>
        <w:t xml:space="preserve"> </w:t>
      </w:r>
      <w:r w:rsidRPr="4F882B3B" w:rsidR="393A4580">
        <w:rPr>
          <w:rFonts w:ascii="Arial" w:hAnsi="Arial" w:eastAsia="Arial" w:cs="Arial"/>
          <w:b w:val="0"/>
          <w:bCs w:val="0"/>
          <w:i w:val="0"/>
          <w:iCs w:val="0"/>
          <w:caps w:val="0"/>
          <w:smallCaps w:val="0"/>
          <w:noProof w:val="0"/>
          <w:color w:val="222222"/>
          <w:sz w:val="22"/>
          <w:szCs w:val="22"/>
          <w:lang w:val="en-GB"/>
        </w:rPr>
        <w:t>Föcker</w:t>
      </w:r>
      <w:r w:rsidRPr="4F882B3B" w:rsidR="393A4580">
        <w:rPr>
          <w:rFonts w:ascii="Arial" w:hAnsi="Arial" w:eastAsia="Arial" w:cs="Arial"/>
          <w:b w:val="0"/>
          <w:bCs w:val="0"/>
          <w:i w:val="0"/>
          <w:iCs w:val="0"/>
          <w:caps w:val="0"/>
          <w:smallCaps w:val="0"/>
          <w:noProof w:val="0"/>
          <w:color w:val="222222"/>
          <w:sz w:val="22"/>
          <w:szCs w:val="22"/>
          <w:lang w:val="en-GB"/>
        </w:rPr>
        <w:t>, M., Hebebrand, J</w:t>
      </w:r>
      <w:r w:rsidRPr="4F882B3B" w:rsidR="393A4580">
        <w:rPr>
          <w:rFonts w:ascii="Arial" w:hAnsi="Arial" w:eastAsia="Arial" w:cs="Arial"/>
          <w:b w:val="0"/>
          <w:bCs w:val="0"/>
          <w:i w:val="0"/>
          <w:iCs w:val="0"/>
          <w:caps w:val="0"/>
          <w:smallCaps w:val="0"/>
          <w:noProof w:val="0"/>
          <w:color w:val="333333"/>
          <w:sz w:val="22"/>
          <w:szCs w:val="22"/>
          <w:lang w:val="en-GB"/>
        </w:rPr>
        <w:t>. (2024) '</w:t>
      </w:r>
      <w:bookmarkStart w:name="_Int_CG3g6ADO" w:id="1659516915"/>
      <w:r w:rsidRPr="4F882B3B" w:rsidR="393A4580">
        <w:rPr>
          <w:rFonts w:ascii="Arial" w:hAnsi="Arial" w:eastAsia="Arial" w:cs="Arial"/>
          <w:b w:val="0"/>
          <w:bCs w:val="0"/>
          <w:i w:val="0"/>
          <w:iCs w:val="0"/>
          <w:caps w:val="0"/>
          <w:smallCaps w:val="0"/>
          <w:noProof w:val="0"/>
          <w:color w:val="333333"/>
          <w:sz w:val="22"/>
          <w:szCs w:val="22"/>
          <w:lang w:val="en-GB"/>
        </w:rPr>
        <w:t>Eating Disorders</w:t>
      </w:r>
      <w:bookmarkEnd w:id="1659516915"/>
      <w:r w:rsidRPr="4F882B3B" w:rsidR="393A4580">
        <w:rPr>
          <w:rFonts w:ascii="Arial" w:hAnsi="Arial" w:eastAsia="Arial" w:cs="Arial"/>
          <w:b w:val="0"/>
          <w:bCs w:val="0"/>
          <w:i w:val="0"/>
          <w:iCs w:val="0"/>
          <w:caps w:val="0"/>
          <w:smallCaps w:val="0"/>
          <w:noProof w:val="0"/>
          <w:color w:val="333333"/>
          <w:sz w:val="22"/>
          <w:szCs w:val="22"/>
          <w:lang w:val="en-GB"/>
        </w:rPr>
        <w:t xml:space="preserve"> in the ICD-II and DSM-5', </w:t>
      </w:r>
      <w:r w:rsidRPr="4F882B3B" w:rsidR="393A4580">
        <w:rPr>
          <w:rFonts w:ascii="Arial" w:hAnsi="Arial" w:eastAsia="Arial" w:cs="Arial"/>
          <w:b w:val="0"/>
          <w:bCs w:val="0"/>
          <w:i w:val="1"/>
          <w:iCs w:val="1"/>
          <w:caps w:val="0"/>
          <w:smallCaps w:val="0"/>
          <w:noProof w:val="0"/>
          <w:color w:val="333333"/>
          <w:sz w:val="22"/>
          <w:szCs w:val="22"/>
          <w:lang w:val="en-GB"/>
        </w:rPr>
        <w:t xml:space="preserve">Handbook of Eating Disorders and </w:t>
      </w:r>
      <w:bookmarkStart w:name="_Int_3ER4uc70" w:id="203560469"/>
      <w:r w:rsidRPr="4F882B3B" w:rsidR="393A4580">
        <w:rPr>
          <w:rFonts w:ascii="Arial" w:hAnsi="Arial" w:eastAsia="Arial" w:cs="Arial"/>
          <w:b w:val="0"/>
          <w:bCs w:val="0"/>
          <w:i w:val="1"/>
          <w:iCs w:val="1"/>
          <w:caps w:val="0"/>
          <w:smallCaps w:val="0"/>
          <w:noProof w:val="0"/>
          <w:color w:val="333333"/>
          <w:sz w:val="22"/>
          <w:szCs w:val="22"/>
          <w:lang w:val="en-GB"/>
        </w:rPr>
        <w:t xml:space="preserve">Obesity </w:t>
      </w:r>
      <w:r w:rsidRPr="4F882B3B" w:rsidR="393A4580">
        <w:rPr>
          <w:rFonts w:ascii="Arial" w:hAnsi="Arial" w:eastAsia="Arial" w:cs="Arial"/>
          <w:b w:val="0"/>
          <w:bCs w:val="0"/>
          <w:i w:val="0"/>
          <w:iCs w:val="0"/>
          <w:caps w:val="0"/>
          <w:smallCaps w:val="0"/>
          <w:noProof w:val="0"/>
          <w:color w:val="333333"/>
          <w:sz w:val="22"/>
          <w:szCs w:val="22"/>
          <w:lang w:val="en-GB"/>
        </w:rPr>
        <w:t>,</w:t>
      </w:r>
      <w:bookmarkEnd w:id="203560469"/>
      <w:r w:rsidRPr="4F882B3B" w:rsidR="393A4580">
        <w:rPr>
          <w:rFonts w:ascii="Arial" w:hAnsi="Arial" w:eastAsia="Arial" w:cs="Arial"/>
          <w:b w:val="0"/>
          <w:bCs w:val="0"/>
          <w:i w:val="0"/>
          <w:iCs w:val="0"/>
          <w:caps w:val="0"/>
          <w:smallCaps w:val="0"/>
          <w:noProof w:val="0"/>
          <w:color w:val="333333"/>
          <w:sz w:val="22"/>
          <w:szCs w:val="22"/>
          <w:lang w:val="en-GB"/>
        </w:rPr>
        <w:t xml:space="preserve"> </w:t>
      </w:r>
      <w:r w:rsidRPr="4F882B3B" w:rsidR="393A4580">
        <w:rPr>
          <w:rFonts w:ascii="Arial" w:hAnsi="Arial" w:eastAsia="Arial" w:cs="Arial"/>
          <w:b w:val="0"/>
          <w:bCs w:val="0"/>
          <w:i w:val="0"/>
          <w:iCs w:val="0"/>
          <w:caps w:val="0"/>
          <w:smallCaps w:val="0"/>
          <w:noProof w:val="0"/>
          <w:color w:val="181817"/>
          <w:sz w:val="22"/>
          <w:szCs w:val="22"/>
          <w:lang w:val="en-GB"/>
        </w:rPr>
        <w:t>pp.15-25</w:t>
      </w:r>
      <w:r w:rsidRPr="4F882B3B" w:rsidR="393A4580">
        <w:rPr>
          <w:rFonts w:ascii="Arial" w:hAnsi="Arial" w:eastAsia="Arial" w:cs="Arial"/>
          <w:b w:val="0"/>
          <w:bCs w:val="0"/>
          <w:i w:val="0"/>
          <w:iCs w:val="0"/>
          <w:caps w:val="0"/>
          <w:smallCaps w:val="0"/>
          <w:noProof w:val="0"/>
          <w:color w:val="333333"/>
          <w:sz w:val="22"/>
          <w:szCs w:val="22"/>
          <w:lang w:val="en-GB"/>
        </w:rPr>
        <w:t xml:space="preserve">. Available at: </w:t>
      </w:r>
      <w:hyperlink r:id="R17656cede56045bf">
        <w:r w:rsidRPr="4F882B3B" w:rsidR="393A4580">
          <w:rPr>
            <w:rStyle w:val="Hyperlink"/>
            <w:rFonts w:ascii="Arial" w:hAnsi="Arial" w:eastAsia="Arial" w:cs="Arial"/>
            <w:b w:val="0"/>
            <w:bCs w:val="0"/>
            <w:i w:val="0"/>
            <w:iCs w:val="0"/>
            <w:caps w:val="0"/>
            <w:smallCaps w:val="0"/>
            <w:noProof w:val="0"/>
            <w:sz w:val="22"/>
            <w:szCs w:val="22"/>
            <w:lang w:val="en-GB"/>
          </w:rPr>
          <w:t>https://doi.org/10.1007/978-3-662-67662-2_3</w:t>
        </w:r>
      </w:hyperlink>
    </w:p>
    <w:p w:rsidR="727AFEC0" w:rsidP="4F882B3B" w:rsidRDefault="727AFEC0" w14:paraId="4C47A265" w14:textId="19D72C15">
      <w:pPr>
        <w:pStyle w:val="Normal"/>
        <w:spacing w:before="0" w:beforeAutospacing="off" w:after="160" w:afterAutospacing="off" w:line="276" w:lineRule="auto"/>
        <w:rPr>
          <w:rFonts w:ascii="Arial" w:hAnsi="Arial" w:eastAsia="Arial" w:cs="Arial"/>
          <w:b w:val="0"/>
          <w:bCs w:val="0"/>
          <w:i w:val="0"/>
          <w:iCs w:val="0"/>
          <w:caps w:val="0"/>
          <w:smallCaps w:val="0"/>
          <w:color w:val="3A3A3A" w:themeColor="background2" w:themeTint="FF" w:themeShade="40"/>
          <w:sz w:val="22"/>
          <w:szCs w:val="22"/>
        </w:rPr>
      </w:pPr>
      <w:r w:rsidRPr="4F882B3B" w:rsidR="727AFEC0">
        <w:rPr>
          <w:rFonts w:ascii="Arial" w:hAnsi="Arial" w:eastAsia="Arial" w:cs="Arial"/>
          <w:b w:val="0"/>
          <w:bCs w:val="0"/>
          <w:i w:val="0"/>
          <w:iCs w:val="0"/>
          <w:caps w:val="0"/>
          <w:smallCaps w:val="0"/>
          <w:noProof w:val="0"/>
          <w:color w:val="333333"/>
          <w:sz w:val="22"/>
          <w:szCs w:val="22"/>
          <w:lang w:val="en-GB"/>
        </w:rPr>
        <w:t>Giel, K.E. (2022) 'Binge eating disorder',</w:t>
      </w:r>
      <w:r w:rsidRPr="4F882B3B" w:rsidR="727AFEC0">
        <w:rPr>
          <w:rFonts w:ascii="Arial" w:hAnsi="Arial" w:eastAsia="Arial" w:cs="Arial"/>
          <w:b w:val="0"/>
          <w:bCs w:val="0"/>
          <w:i w:val="1"/>
          <w:iCs w:val="1"/>
          <w:caps w:val="0"/>
          <w:smallCaps w:val="0"/>
          <w:noProof w:val="0"/>
          <w:color w:val="333333"/>
          <w:sz w:val="22"/>
          <w:szCs w:val="22"/>
          <w:lang w:val="en-GB"/>
        </w:rPr>
        <w:t xml:space="preserve"> PMCID,</w:t>
      </w:r>
      <w:r w:rsidRPr="4F882B3B" w:rsidR="727AFEC0">
        <w:rPr>
          <w:rFonts w:ascii="Arial" w:hAnsi="Arial" w:eastAsia="Arial" w:cs="Arial"/>
          <w:b w:val="0"/>
          <w:bCs w:val="0"/>
          <w:i w:val="0"/>
          <w:iCs w:val="0"/>
          <w:caps w:val="0"/>
          <w:smallCaps w:val="0"/>
          <w:noProof w:val="0"/>
          <w:color w:val="333333"/>
          <w:sz w:val="22"/>
          <w:szCs w:val="22"/>
          <w:lang w:val="en-GB"/>
        </w:rPr>
        <w:t xml:space="preserve"> 17;8(1). Available at: https;//doi:10.10/38/s41572-022-00344-y</w:t>
      </w:r>
      <w:r w:rsidRPr="4F882B3B" w:rsidR="727AFEC0">
        <w:rPr>
          <w:rFonts w:ascii="Arial" w:hAnsi="Arial" w:eastAsia="Arial" w:cs="Arial"/>
          <w:b w:val="0"/>
          <w:bCs w:val="0"/>
          <w:i w:val="0"/>
          <w:iCs w:val="0"/>
          <w:caps w:val="0"/>
          <w:smallCaps w:val="0"/>
          <w:color w:val="3A3A3A" w:themeColor="background2" w:themeTint="FF" w:themeShade="40"/>
          <w:sz w:val="22"/>
          <w:szCs w:val="22"/>
        </w:rPr>
        <w:t xml:space="preserve"> Agüera</w:t>
      </w:r>
    </w:p>
    <w:p w:rsidR="393A4580" w:rsidP="4F882B3B" w:rsidRDefault="393A4580" w14:paraId="58E85D60" w14:textId="33595D5D">
      <w:pPr>
        <w:pStyle w:val="Normal"/>
        <w:rPr>
          <w:rFonts w:ascii="Arial" w:hAnsi="Arial" w:eastAsia="Arial" w:cs="Arial"/>
          <w:b w:val="0"/>
          <w:bCs w:val="0"/>
          <w:i w:val="0"/>
          <w:iCs w:val="0"/>
          <w:caps w:val="0"/>
          <w:smallCaps w:val="0"/>
          <w:noProof w:val="0"/>
          <w:color w:val="333333"/>
          <w:sz w:val="22"/>
          <w:szCs w:val="22"/>
          <w:lang w:val="en-GB"/>
        </w:rPr>
      </w:pPr>
      <w:r w:rsidRPr="4F882B3B" w:rsidR="393A4580">
        <w:rPr>
          <w:rFonts w:ascii="Arial" w:hAnsi="Arial" w:eastAsia="Arial" w:cs="Arial"/>
          <w:b w:val="0"/>
          <w:bCs w:val="0"/>
          <w:i w:val="0"/>
          <w:iCs w:val="0"/>
          <w:caps w:val="0"/>
          <w:smallCaps w:val="0"/>
          <w:noProof w:val="0"/>
          <w:color w:val="333333"/>
          <w:sz w:val="22"/>
          <w:szCs w:val="22"/>
          <w:lang w:val="en-GB"/>
        </w:rPr>
        <w:t>Grilo,C.M</w:t>
      </w:r>
      <w:r w:rsidRPr="4F882B3B" w:rsidR="393A4580">
        <w:rPr>
          <w:rFonts w:ascii="Arial" w:hAnsi="Arial" w:eastAsia="Arial" w:cs="Arial"/>
          <w:b w:val="0"/>
          <w:bCs w:val="0"/>
          <w:i w:val="0"/>
          <w:iCs w:val="0"/>
          <w:caps w:val="0"/>
          <w:smallCaps w:val="0"/>
          <w:noProof w:val="0"/>
          <w:color w:val="333333"/>
          <w:sz w:val="22"/>
          <w:szCs w:val="22"/>
          <w:lang w:val="en-GB"/>
        </w:rPr>
        <w:t xml:space="preserve">. and </w:t>
      </w:r>
      <w:r w:rsidRPr="4F882B3B" w:rsidR="393A4580">
        <w:rPr>
          <w:rFonts w:ascii="Arial" w:hAnsi="Arial" w:eastAsia="Arial" w:cs="Arial"/>
          <w:b w:val="0"/>
          <w:bCs w:val="0"/>
          <w:i w:val="0"/>
          <w:iCs w:val="0"/>
          <w:caps w:val="0"/>
          <w:smallCaps w:val="0"/>
          <w:noProof w:val="0"/>
          <w:color w:val="333333"/>
          <w:sz w:val="22"/>
          <w:szCs w:val="22"/>
          <w:lang w:val="en-GB"/>
        </w:rPr>
        <w:t>Juarascio,A</w:t>
      </w:r>
      <w:r w:rsidRPr="4F882B3B" w:rsidR="393A4580">
        <w:rPr>
          <w:rFonts w:ascii="Arial" w:hAnsi="Arial" w:eastAsia="Arial" w:cs="Arial"/>
          <w:b w:val="0"/>
          <w:bCs w:val="0"/>
          <w:i w:val="0"/>
          <w:iCs w:val="0"/>
          <w:caps w:val="0"/>
          <w:smallCaps w:val="0"/>
          <w:noProof w:val="0"/>
          <w:color w:val="333333"/>
          <w:sz w:val="22"/>
          <w:szCs w:val="22"/>
          <w:lang w:val="en-GB"/>
        </w:rPr>
        <w:t xml:space="preserve">. (2023) 'Binge-eating Disorder Interventions; </w:t>
      </w:r>
      <w:r w:rsidRPr="4F882B3B" w:rsidR="393A4580">
        <w:rPr>
          <w:rFonts w:ascii="Arial" w:hAnsi="Arial" w:eastAsia="Arial" w:cs="Arial"/>
          <w:b w:val="0"/>
          <w:bCs w:val="0"/>
          <w:i w:val="0"/>
          <w:iCs w:val="0"/>
          <w:caps w:val="0"/>
          <w:smallCaps w:val="0"/>
          <w:noProof w:val="0"/>
          <w:color w:val="333333"/>
          <w:sz w:val="22"/>
          <w:szCs w:val="22"/>
          <w:lang w:val="en-GB"/>
        </w:rPr>
        <w:t>Review,Current</w:t>
      </w:r>
      <w:r w:rsidRPr="4F882B3B" w:rsidR="393A4580">
        <w:rPr>
          <w:rFonts w:ascii="Arial" w:hAnsi="Arial" w:eastAsia="Arial" w:cs="Arial"/>
          <w:b w:val="0"/>
          <w:bCs w:val="0"/>
          <w:i w:val="0"/>
          <w:iCs w:val="0"/>
          <w:caps w:val="0"/>
          <w:smallCaps w:val="0"/>
          <w:noProof w:val="0"/>
          <w:color w:val="333333"/>
          <w:sz w:val="22"/>
          <w:szCs w:val="22"/>
          <w:lang w:val="en-GB"/>
        </w:rPr>
        <w:t xml:space="preserve"> Status, and Implications', </w:t>
      </w:r>
      <w:r w:rsidRPr="4F882B3B" w:rsidR="393A4580">
        <w:rPr>
          <w:rFonts w:ascii="Arial" w:hAnsi="Arial" w:eastAsia="Arial" w:cs="Arial"/>
          <w:b w:val="0"/>
          <w:bCs w:val="0"/>
          <w:i w:val="1"/>
          <w:iCs w:val="1"/>
          <w:caps w:val="0"/>
          <w:smallCaps w:val="0"/>
          <w:noProof w:val="0"/>
          <w:color w:val="333333"/>
          <w:sz w:val="22"/>
          <w:szCs w:val="22"/>
          <w:lang w:val="en-GB"/>
        </w:rPr>
        <w:t xml:space="preserve">Curr </w:t>
      </w:r>
      <w:r w:rsidRPr="4F882B3B" w:rsidR="393A4580">
        <w:rPr>
          <w:rFonts w:ascii="Arial" w:hAnsi="Arial" w:eastAsia="Arial" w:cs="Arial"/>
          <w:b w:val="0"/>
          <w:bCs w:val="0"/>
          <w:i w:val="1"/>
          <w:iCs w:val="1"/>
          <w:caps w:val="0"/>
          <w:smallCaps w:val="0"/>
          <w:noProof w:val="0"/>
          <w:color w:val="333333"/>
          <w:sz w:val="22"/>
          <w:szCs w:val="22"/>
          <w:lang w:val="en-GB"/>
        </w:rPr>
        <w:t>Obes</w:t>
      </w:r>
      <w:r w:rsidRPr="4F882B3B" w:rsidR="393A4580">
        <w:rPr>
          <w:rFonts w:ascii="Arial" w:hAnsi="Arial" w:eastAsia="Arial" w:cs="Arial"/>
          <w:b w:val="0"/>
          <w:bCs w:val="0"/>
          <w:i w:val="1"/>
          <w:iCs w:val="1"/>
          <w:caps w:val="0"/>
          <w:smallCaps w:val="0"/>
          <w:noProof w:val="0"/>
          <w:color w:val="333333"/>
          <w:sz w:val="22"/>
          <w:szCs w:val="22"/>
          <w:lang w:val="en-GB"/>
        </w:rPr>
        <w:t xml:space="preserve"> Rep</w:t>
      </w:r>
      <w:r w:rsidRPr="4F882B3B" w:rsidR="393A4580">
        <w:rPr>
          <w:rFonts w:ascii="Arial" w:hAnsi="Arial" w:eastAsia="Arial" w:cs="Arial"/>
          <w:b w:val="0"/>
          <w:bCs w:val="0"/>
          <w:i w:val="0"/>
          <w:iCs w:val="0"/>
          <w:caps w:val="0"/>
          <w:smallCaps w:val="0"/>
          <w:noProof w:val="0"/>
          <w:color w:val="333333"/>
          <w:sz w:val="22"/>
          <w:szCs w:val="22"/>
          <w:lang w:val="en-GB"/>
        </w:rPr>
        <w:t>, Vol.12, pp.406-416. Available at: https://doi. org/10.1007/s13679-023-00517-0</w:t>
      </w:r>
    </w:p>
    <w:p w:rsidR="087E9DAD" w:rsidP="4F882B3B" w:rsidRDefault="087E9DAD" w14:paraId="2F989BF9" w14:textId="67BF2E3B">
      <w:pPr>
        <w:pStyle w:val="Normal"/>
        <w:rPr>
          <w:rFonts w:ascii="Arial" w:hAnsi="Arial" w:eastAsia="Arial" w:cs="Arial"/>
          <w:b w:val="0"/>
          <w:bCs w:val="0"/>
          <w:noProof w:val="0"/>
          <w:sz w:val="22"/>
          <w:szCs w:val="22"/>
          <w:lang w:val="en-GB"/>
        </w:rPr>
      </w:pPr>
      <w:r w:rsidRPr="4F882B3B" w:rsidR="087E9DAD">
        <w:rPr>
          <w:rFonts w:ascii="Arial" w:hAnsi="Arial" w:eastAsia="Arial" w:cs="Arial"/>
          <w:b w:val="0"/>
          <w:bCs w:val="0"/>
          <w:i w:val="0"/>
          <w:iCs w:val="0"/>
          <w:caps w:val="0"/>
          <w:smallCaps w:val="0"/>
          <w:noProof w:val="0"/>
          <w:color w:val="333333"/>
          <w:sz w:val="22"/>
          <w:szCs w:val="22"/>
          <w:lang w:val="en-GB"/>
        </w:rPr>
        <w:t>Himmerich, H.</w:t>
      </w:r>
      <w:r w:rsidRPr="4F882B3B" w:rsidR="087E9DAD">
        <w:rPr>
          <w:rFonts w:ascii="Arial" w:hAnsi="Arial" w:eastAsia="Arial" w:cs="Arial"/>
          <w:b w:val="0"/>
          <w:bCs w:val="0"/>
          <w:i w:val="1"/>
          <w:iCs w:val="1"/>
          <w:caps w:val="0"/>
          <w:smallCaps w:val="0"/>
          <w:noProof w:val="0"/>
          <w:color w:val="333333"/>
          <w:sz w:val="22"/>
          <w:szCs w:val="22"/>
          <w:lang w:val="en-GB"/>
        </w:rPr>
        <w:t>et al.</w:t>
      </w:r>
      <w:r w:rsidRPr="4F882B3B" w:rsidR="087E9DAD">
        <w:rPr>
          <w:rFonts w:ascii="Arial" w:hAnsi="Arial" w:eastAsia="Arial" w:cs="Arial"/>
          <w:b w:val="0"/>
          <w:bCs w:val="0"/>
          <w:i w:val="0"/>
          <w:iCs w:val="0"/>
          <w:caps w:val="0"/>
          <w:smallCaps w:val="0"/>
          <w:noProof w:val="0"/>
          <w:color w:val="333333"/>
          <w:sz w:val="22"/>
          <w:szCs w:val="22"/>
          <w:lang w:val="en-GB"/>
        </w:rPr>
        <w:t xml:space="preserve">(2024) 'The evolving of eating disorders and their treatment in changing and globalised world', </w:t>
      </w:r>
      <w:r w:rsidRPr="4F882B3B" w:rsidR="087E9DAD">
        <w:rPr>
          <w:rFonts w:ascii="Arial" w:hAnsi="Arial" w:eastAsia="Arial" w:cs="Arial"/>
          <w:b w:val="0"/>
          <w:bCs w:val="0"/>
          <w:i w:val="1"/>
          <w:iCs w:val="1"/>
          <w:caps w:val="0"/>
          <w:smallCaps w:val="0"/>
          <w:noProof w:val="0"/>
          <w:color w:val="333333"/>
          <w:sz w:val="22"/>
          <w:szCs w:val="22"/>
          <w:lang w:val="en-GB"/>
        </w:rPr>
        <w:t>The Lancet</w:t>
      </w:r>
      <w:r w:rsidRPr="4F882B3B" w:rsidR="087E9DAD">
        <w:rPr>
          <w:rFonts w:ascii="Arial" w:hAnsi="Arial" w:eastAsia="Arial" w:cs="Arial"/>
          <w:b w:val="0"/>
          <w:bCs w:val="0"/>
          <w:i w:val="0"/>
          <w:iCs w:val="0"/>
          <w:caps w:val="0"/>
          <w:smallCaps w:val="0"/>
          <w:noProof w:val="0"/>
          <w:color w:val="333333"/>
          <w:sz w:val="22"/>
          <w:szCs w:val="22"/>
          <w:lang w:val="en-GB"/>
        </w:rPr>
        <w:t>, 401(10445), pp. 2671-2675. Available at: https;//DOI.</w:t>
      </w:r>
      <w:r w:rsidRPr="4F882B3B" w:rsidR="087E9DA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9a02afd6e82a46cd">
        <w:r w:rsidRPr="4F882B3B" w:rsidR="087E9DAD">
          <w:rPr>
            <w:rStyle w:val="Hyperlink"/>
            <w:rFonts w:ascii="Arial" w:hAnsi="Arial" w:eastAsia="Arial" w:cs="Arial"/>
            <w:b w:val="0"/>
            <w:bCs w:val="0"/>
            <w:i w:val="0"/>
            <w:iCs w:val="0"/>
            <w:caps w:val="0"/>
            <w:smallCaps w:val="0"/>
            <w:strike w:val="0"/>
            <w:dstrike w:val="0"/>
            <w:noProof w:val="0"/>
            <w:color w:val="00549E"/>
            <w:sz w:val="22"/>
            <w:szCs w:val="22"/>
            <w:u w:val="single"/>
            <w:lang w:val="en-GB"/>
          </w:rPr>
          <w:t xml:space="preserve">10.1016/S0140-6736(24)00874-2 </w:t>
        </w:r>
      </w:hyperlink>
      <w:r w:rsidRPr="4F882B3B" w:rsidR="087E9DAD">
        <w:rPr>
          <w:rFonts w:ascii="Arial" w:hAnsi="Arial" w:eastAsia="Arial" w:cs="Arial"/>
          <w:b w:val="0"/>
          <w:bCs w:val="0"/>
          <w:noProof w:val="0"/>
          <w:sz w:val="22"/>
          <w:szCs w:val="22"/>
          <w:lang w:val="en-GB"/>
        </w:rPr>
        <w:t xml:space="preserve"> </w:t>
      </w:r>
    </w:p>
    <w:p w:rsidR="087E9DAD" w:rsidP="4F882B3B" w:rsidRDefault="087E9DAD" w14:paraId="42ACCD0C" w14:textId="7E61A7A3">
      <w:pPr>
        <w:pStyle w:val="Normal"/>
        <w:spacing w:before="0" w:beforeAutospacing="off" w:after="0" w:afterAutospacing="off"/>
        <w:ind w:left="0"/>
        <w:jc w:val="left"/>
        <w:rPr>
          <w:rFonts w:ascii="Arial" w:hAnsi="Arial" w:eastAsia="Arial" w:cs="Arial"/>
          <w:b w:val="0"/>
          <w:bCs w:val="0"/>
          <w:noProof w:val="0"/>
          <w:sz w:val="22"/>
          <w:szCs w:val="22"/>
          <w:lang w:val="en-GB"/>
        </w:rPr>
      </w:pPr>
      <w:r w:rsidRPr="4F882B3B" w:rsidR="087E9DAD">
        <w:rPr>
          <w:rFonts w:ascii="Arial" w:hAnsi="Arial" w:eastAsia="Arial" w:cs="Arial"/>
          <w:b w:val="0"/>
          <w:bCs w:val="0"/>
          <w:noProof w:val="0"/>
          <w:sz w:val="22"/>
          <w:szCs w:val="22"/>
          <w:lang w:val="en-GB"/>
        </w:rPr>
        <w:t xml:space="preserve">Hudson, J.I., Hiripi, E., Pope, H.G. </w:t>
      </w:r>
      <w:r w:rsidRPr="4F882B3B" w:rsidR="4A43CB71">
        <w:rPr>
          <w:rFonts w:ascii="Arial" w:hAnsi="Arial" w:eastAsia="Arial" w:cs="Arial"/>
          <w:b w:val="0"/>
          <w:bCs w:val="0"/>
          <w:noProof w:val="0"/>
          <w:sz w:val="22"/>
          <w:szCs w:val="22"/>
          <w:lang w:val="en-GB"/>
        </w:rPr>
        <w:t>and Kessler</w:t>
      </w:r>
      <w:r w:rsidRPr="4F882B3B" w:rsidR="087E9DAD">
        <w:rPr>
          <w:rFonts w:ascii="Arial" w:hAnsi="Arial" w:eastAsia="Arial" w:cs="Arial"/>
          <w:b w:val="0"/>
          <w:bCs w:val="0"/>
          <w:noProof w:val="0"/>
          <w:sz w:val="22"/>
          <w:szCs w:val="22"/>
          <w:lang w:val="en-GB"/>
        </w:rPr>
        <w:t xml:space="preserve">, R.C. (2018) ‘Binge‑eating disorder: epidemiology, clinical features, and treatment’, </w:t>
      </w:r>
      <w:r w:rsidRPr="4F882B3B" w:rsidR="087E9DAD">
        <w:rPr>
          <w:rFonts w:ascii="Arial" w:hAnsi="Arial" w:eastAsia="Arial" w:cs="Arial"/>
          <w:b w:val="0"/>
          <w:bCs w:val="0"/>
          <w:i w:val="1"/>
          <w:iCs w:val="1"/>
          <w:noProof w:val="0"/>
          <w:sz w:val="22"/>
          <w:szCs w:val="22"/>
          <w:lang w:val="en-GB"/>
        </w:rPr>
        <w:t>Psychiatric Clinics of North America</w:t>
      </w:r>
      <w:r w:rsidRPr="4F882B3B" w:rsidR="087E9DAD">
        <w:rPr>
          <w:rFonts w:ascii="Arial" w:hAnsi="Arial" w:eastAsia="Arial" w:cs="Arial"/>
          <w:b w:val="0"/>
          <w:bCs w:val="0"/>
          <w:noProof w:val="0"/>
          <w:sz w:val="22"/>
          <w:szCs w:val="22"/>
          <w:lang w:val="en-GB"/>
        </w:rPr>
        <w:t>, 41(4), pp.651‑670.</w:t>
      </w:r>
    </w:p>
    <w:p w:rsidR="4F882B3B" w:rsidP="4F882B3B" w:rsidRDefault="4F882B3B" w14:paraId="2BCC1311" w14:textId="185E0D34">
      <w:pPr>
        <w:pStyle w:val="Normal"/>
        <w:spacing w:before="0" w:beforeAutospacing="off" w:after="0" w:afterAutospacing="off"/>
        <w:ind w:left="0"/>
        <w:jc w:val="left"/>
        <w:rPr>
          <w:rFonts w:ascii="Arial" w:hAnsi="Arial" w:eastAsia="Arial" w:cs="Arial"/>
          <w:b w:val="0"/>
          <w:bCs w:val="0"/>
          <w:noProof w:val="0"/>
          <w:sz w:val="22"/>
          <w:szCs w:val="22"/>
          <w:lang w:val="en-GB"/>
        </w:rPr>
      </w:pPr>
    </w:p>
    <w:p w:rsidR="087E9DAD" w:rsidP="4F882B3B" w:rsidRDefault="087E9DAD" w14:paraId="74BAAEFB" w14:textId="6F55889C">
      <w:pPr>
        <w:pStyle w:val="Normal"/>
        <w:spacing w:before="0" w:beforeAutospacing="off" w:after="0" w:afterAutospacing="off"/>
        <w:ind w:left="0"/>
        <w:jc w:val="left"/>
        <w:rPr>
          <w:rFonts w:ascii="Arial" w:hAnsi="Arial" w:eastAsia="Arial" w:cs="Arial"/>
          <w:b w:val="0"/>
          <w:bCs w:val="0"/>
          <w:sz w:val="22"/>
          <w:szCs w:val="22"/>
        </w:rPr>
      </w:pPr>
      <w:r w:rsidRPr="4F882B3B" w:rsidR="087E9DAD">
        <w:rPr>
          <w:rFonts w:ascii="Arial" w:hAnsi="Arial" w:eastAsia="Arial" w:cs="Arial"/>
          <w:b w:val="0"/>
          <w:bCs w:val="0"/>
          <w:noProof w:val="0"/>
          <w:sz w:val="22"/>
          <w:szCs w:val="22"/>
          <w:lang w:val="en-GB"/>
        </w:rPr>
        <w:t>Jewell, T</w:t>
      </w:r>
      <w:r w:rsidRPr="4F882B3B" w:rsidR="087E9DAD">
        <w:rPr>
          <w:rFonts w:ascii="Arial" w:hAnsi="Arial" w:eastAsia="Arial" w:cs="Arial"/>
          <w:b w:val="0"/>
          <w:bCs w:val="0"/>
          <w:i w:val="1"/>
          <w:iCs w:val="1"/>
          <w:noProof w:val="0"/>
          <w:sz w:val="22"/>
          <w:szCs w:val="22"/>
          <w:lang w:val="en-GB"/>
        </w:rPr>
        <w:t>.et al</w:t>
      </w:r>
      <w:r w:rsidRPr="4F882B3B" w:rsidR="087E9DAD">
        <w:rPr>
          <w:rFonts w:ascii="Arial" w:hAnsi="Arial" w:eastAsia="Arial" w:cs="Arial"/>
          <w:b w:val="0"/>
          <w:bCs w:val="0"/>
          <w:noProof w:val="0"/>
          <w:sz w:val="22"/>
          <w:szCs w:val="22"/>
          <w:lang w:val="en-GB"/>
        </w:rPr>
        <w:t xml:space="preserve">. (2025) ‘Agreeing a set of biopsychosocial variables for collection across the UK Eating Disorders Clinical Research Network’, </w:t>
      </w:r>
      <w:r w:rsidRPr="4F882B3B" w:rsidR="087E9DAD">
        <w:rPr>
          <w:rFonts w:ascii="Arial" w:hAnsi="Arial" w:eastAsia="Arial" w:cs="Arial"/>
          <w:b w:val="0"/>
          <w:bCs w:val="0"/>
          <w:i w:val="1"/>
          <w:iCs w:val="1"/>
          <w:noProof w:val="0"/>
          <w:sz w:val="22"/>
          <w:szCs w:val="22"/>
          <w:lang w:val="en-GB"/>
        </w:rPr>
        <w:t>BMJ Mental Health</w:t>
      </w:r>
      <w:r w:rsidRPr="4F882B3B" w:rsidR="087E9DAD">
        <w:rPr>
          <w:rFonts w:ascii="Arial" w:hAnsi="Arial" w:eastAsia="Arial" w:cs="Arial"/>
          <w:b w:val="0"/>
          <w:bCs w:val="0"/>
          <w:i w:val="0"/>
          <w:iCs w:val="0"/>
          <w:noProof w:val="0"/>
          <w:sz w:val="22"/>
          <w:szCs w:val="22"/>
          <w:lang w:val="en-GB"/>
        </w:rPr>
        <w:t xml:space="preserve">, 28(1). Available at: </w:t>
      </w:r>
      <w:hyperlink r:id="Rcfa6a08209cb4588">
        <w:r w:rsidRPr="4F882B3B" w:rsidR="087E9DAD">
          <w:rPr>
            <w:rStyle w:val="Hyperlink"/>
            <w:rFonts w:ascii="Arial" w:hAnsi="Arial" w:eastAsia="Arial" w:cs="Arial"/>
            <w:b w:val="0"/>
            <w:bCs w:val="0"/>
            <w:i w:val="0"/>
            <w:iCs w:val="0"/>
            <w:noProof w:val="0"/>
            <w:sz w:val="22"/>
            <w:szCs w:val="22"/>
            <w:lang w:val="en-GB"/>
          </w:rPr>
          <w:t>https://doi.org/10.1136/bmjment-2025-301760</w:t>
        </w:r>
      </w:hyperlink>
    </w:p>
    <w:p w:rsidR="4F882B3B" w:rsidP="4F882B3B" w:rsidRDefault="4F882B3B" w14:paraId="301DEA64" w14:textId="02CEB947">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087E9DAD" w:rsidP="4F882B3B" w:rsidRDefault="087E9DAD" w14:paraId="4DFFE646" w14:textId="38678087">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r w:rsidRPr="4F882B3B" w:rsidR="087E9DAD">
        <w:rPr>
          <w:rFonts w:ascii="Arial" w:hAnsi="Arial" w:eastAsia="Arial" w:cs="Arial"/>
          <w:b w:val="0"/>
          <w:bCs w:val="0"/>
          <w:noProof w:val="0"/>
          <w:sz w:val="22"/>
          <w:szCs w:val="22"/>
          <w:lang w:val="en-GB"/>
        </w:rPr>
        <w:t>Linardon</w:t>
      </w:r>
      <w:r w:rsidRPr="4F882B3B" w:rsidR="087E9DAD">
        <w:rPr>
          <w:rFonts w:ascii="Arial" w:hAnsi="Arial" w:eastAsia="Arial" w:cs="Arial"/>
          <w:b w:val="0"/>
          <w:bCs w:val="0"/>
          <w:noProof w:val="0"/>
          <w:sz w:val="22"/>
          <w:szCs w:val="22"/>
          <w:lang w:val="en-GB"/>
        </w:rPr>
        <w:t xml:space="preserve">, J., Wade, T.D., Piedad Garcia, </w:t>
      </w:r>
      <w:r w:rsidRPr="4F882B3B" w:rsidR="087E9DAD">
        <w:rPr>
          <w:rFonts w:ascii="Arial" w:hAnsi="Arial" w:eastAsia="Arial" w:cs="Arial"/>
          <w:b w:val="0"/>
          <w:bCs w:val="0"/>
          <w:noProof w:val="0"/>
          <w:sz w:val="22"/>
          <w:szCs w:val="22"/>
          <w:lang w:val="en-GB"/>
        </w:rPr>
        <w:t>X.</w:t>
      </w:r>
      <w:r w:rsidRPr="4F882B3B" w:rsidR="087E9DAD">
        <w:rPr>
          <w:rFonts w:ascii="Arial" w:hAnsi="Arial" w:eastAsia="Arial" w:cs="Arial"/>
          <w:b w:val="0"/>
          <w:bCs w:val="0"/>
          <w:noProof w:val="0"/>
          <w:sz w:val="22"/>
          <w:szCs w:val="22"/>
          <w:lang w:val="en-GB"/>
        </w:rPr>
        <w:t xml:space="preserve"> and Brennan, L. (2020) ‘Cognitive‑</w:t>
      </w:r>
      <w:r w:rsidRPr="4F882B3B" w:rsidR="087E9DAD">
        <w:rPr>
          <w:rFonts w:ascii="Arial" w:hAnsi="Arial" w:eastAsia="Arial" w:cs="Arial"/>
          <w:b w:val="0"/>
          <w:bCs w:val="0"/>
          <w:noProof w:val="0"/>
          <w:sz w:val="22"/>
          <w:szCs w:val="22"/>
          <w:lang w:val="en-GB"/>
        </w:rPr>
        <w:t>behavioral</w:t>
      </w:r>
      <w:r w:rsidRPr="4F882B3B" w:rsidR="087E9DAD">
        <w:rPr>
          <w:rFonts w:ascii="Arial" w:hAnsi="Arial" w:eastAsia="Arial" w:cs="Arial"/>
          <w:b w:val="0"/>
          <w:bCs w:val="0"/>
          <w:noProof w:val="0"/>
          <w:sz w:val="22"/>
          <w:szCs w:val="22"/>
          <w:lang w:val="en-GB"/>
        </w:rPr>
        <w:t xml:space="preserve"> therapy for binge‑eating disorder: A meta‑analysis of randomized controlled trials’, </w:t>
      </w:r>
      <w:r w:rsidRPr="4F882B3B" w:rsidR="087E9DAD">
        <w:rPr>
          <w:rFonts w:ascii="Arial" w:hAnsi="Arial" w:eastAsia="Arial" w:cs="Arial"/>
          <w:b w:val="0"/>
          <w:bCs w:val="0"/>
          <w:i w:val="1"/>
          <w:iCs w:val="1"/>
          <w:noProof w:val="0"/>
          <w:sz w:val="22"/>
          <w:szCs w:val="22"/>
          <w:lang w:val="en-GB"/>
        </w:rPr>
        <w:t>International Journal of Eating Disorders,</w:t>
      </w:r>
      <w:r w:rsidRPr="4F882B3B" w:rsidR="087E9DAD">
        <w:rPr>
          <w:rFonts w:ascii="Arial" w:hAnsi="Arial" w:eastAsia="Arial" w:cs="Arial"/>
          <w:b w:val="0"/>
          <w:bCs w:val="0"/>
          <w:i w:val="0"/>
          <w:iCs w:val="0"/>
          <w:noProof w:val="0"/>
          <w:sz w:val="22"/>
          <w:szCs w:val="22"/>
          <w:lang w:val="en-GB"/>
        </w:rPr>
        <w:t xml:space="preserve"> 53(7), pp.1041‑1056.</w:t>
      </w:r>
    </w:p>
    <w:p w:rsidR="4F882B3B" w:rsidP="4F882B3B" w:rsidRDefault="4F882B3B" w14:paraId="4B28DDE2" w14:textId="71B0EC05">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087E9DAD" w:rsidP="4F882B3B" w:rsidRDefault="087E9DAD" w14:paraId="69E3C7B4" w14:textId="07A4ABDC">
      <w:pPr>
        <w:pStyle w:val="Normal"/>
        <w:rPr>
          <w:rFonts w:ascii="Arial" w:hAnsi="Arial" w:eastAsia="Arial" w:cs="Arial"/>
          <w:b w:val="0"/>
          <w:bCs w:val="0"/>
          <w:sz w:val="22"/>
          <w:szCs w:val="22"/>
        </w:rPr>
      </w:pPr>
      <w:r w:rsidRPr="4F882B3B" w:rsidR="087E9DAD">
        <w:rPr>
          <w:rFonts w:ascii="Arial" w:hAnsi="Arial" w:eastAsia="Arial" w:cs="Arial"/>
          <w:b w:val="0"/>
          <w:bCs w:val="0"/>
          <w:i w:val="0"/>
          <w:iCs w:val="0"/>
          <w:caps w:val="0"/>
          <w:smallCaps w:val="0"/>
          <w:noProof w:val="0"/>
          <w:color w:val="222222"/>
          <w:sz w:val="22"/>
          <w:szCs w:val="22"/>
          <w:lang w:val="en-GB"/>
        </w:rPr>
        <w:t xml:space="preserve">Makin, L., Meyer, A., Mondelli, V. and </w:t>
      </w:r>
      <w:r w:rsidRPr="4F882B3B" w:rsidR="087E9DAD">
        <w:rPr>
          <w:rFonts w:ascii="Arial" w:hAnsi="Arial" w:eastAsia="Arial" w:cs="Arial"/>
          <w:b w:val="0"/>
          <w:bCs w:val="0"/>
          <w:i w:val="0"/>
          <w:iCs w:val="0"/>
          <w:caps w:val="0"/>
          <w:smallCaps w:val="0"/>
          <w:noProof w:val="0"/>
          <w:color w:val="222222"/>
          <w:sz w:val="22"/>
          <w:szCs w:val="22"/>
          <w:lang w:val="en-GB"/>
        </w:rPr>
        <w:t>Thanturia,K</w:t>
      </w:r>
      <w:r w:rsidRPr="4F882B3B" w:rsidR="087E9DAD">
        <w:rPr>
          <w:rFonts w:ascii="Arial" w:hAnsi="Arial" w:eastAsia="Arial" w:cs="Arial"/>
          <w:b w:val="0"/>
          <w:bCs w:val="0"/>
          <w:i w:val="0"/>
          <w:iCs w:val="0"/>
          <w:caps w:val="0"/>
          <w:smallCaps w:val="0"/>
          <w:noProof w:val="0"/>
          <w:color w:val="222222"/>
          <w:sz w:val="22"/>
          <w:szCs w:val="22"/>
          <w:lang w:val="en-GB"/>
        </w:rPr>
        <w:t xml:space="preserve"> </w:t>
      </w:r>
      <w:r w:rsidRPr="4F882B3B" w:rsidR="087E9DAD">
        <w:rPr>
          <w:rFonts w:ascii="Arial" w:hAnsi="Arial" w:eastAsia="Arial" w:cs="Arial"/>
          <w:b w:val="0"/>
          <w:bCs w:val="0"/>
          <w:i w:val="1"/>
          <w:iCs w:val="1"/>
          <w:caps w:val="0"/>
          <w:smallCaps w:val="0"/>
          <w:noProof w:val="0"/>
          <w:color w:val="222222"/>
          <w:sz w:val="22"/>
          <w:szCs w:val="22"/>
          <w:lang w:val="en-GB"/>
        </w:rPr>
        <w:t>.</w:t>
      </w:r>
      <w:r w:rsidRPr="4F882B3B" w:rsidR="087E9DAD">
        <w:rPr>
          <w:rFonts w:ascii="Arial" w:hAnsi="Arial" w:eastAsia="Arial" w:cs="Arial"/>
          <w:b w:val="0"/>
          <w:bCs w:val="0"/>
          <w:i w:val="0"/>
          <w:iCs w:val="0"/>
          <w:caps w:val="0"/>
          <w:smallCaps w:val="0"/>
          <w:noProof w:val="0"/>
          <w:color w:val="222222"/>
          <w:sz w:val="22"/>
          <w:szCs w:val="22"/>
          <w:lang w:val="en-GB"/>
        </w:rPr>
        <w:t xml:space="preserve"> (2025</w:t>
      </w:r>
      <w:r w:rsidRPr="4F882B3B" w:rsidR="087E9DAD">
        <w:rPr>
          <w:rFonts w:ascii="Arial" w:hAnsi="Arial" w:eastAsia="Arial" w:cs="Arial"/>
          <w:b w:val="0"/>
          <w:bCs w:val="0"/>
          <w:i w:val="0"/>
          <w:iCs w:val="0"/>
          <w:caps w:val="0"/>
          <w:smallCaps w:val="0"/>
          <w:noProof w:val="0"/>
          <w:color w:val="222222"/>
          <w:sz w:val="22"/>
          <w:szCs w:val="22"/>
          <w:lang w:val="en-GB"/>
        </w:rPr>
        <w:t>)  ‘</w:t>
      </w:r>
      <w:r w:rsidRPr="4F882B3B" w:rsidR="087E9DAD">
        <w:rPr>
          <w:rFonts w:ascii="Arial" w:hAnsi="Arial" w:eastAsia="Arial" w:cs="Arial"/>
          <w:b w:val="0"/>
          <w:bCs w:val="0"/>
          <w:i w:val="0"/>
          <w:iCs w:val="0"/>
          <w:caps w:val="0"/>
          <w:smallCaps w:val="0"/>
          <w:noProof w:val="0"/>
          <w:color w:val="222222"/>
          <w:sz w:val="22"/>
          <w:szCs w:val="22"/>
          <w:lang w:val="en-GB"/>
        </w:rPr>
        <w:t>Regulating with food: a qualitative study of Neurodivergent experiences in adults with binge eating disorder’, Journal</w:t>
      </w:r>
      <w:r w:rsidRPr="4F882B3B" w:rsidR="087E9DAD">
        <w:rPr>
          <w:rFonts w:ascii="Arial" w:hAnsi="Arial" w:eastAsia="Arial" w:cs="Arial"/>
          <w:b w:val="0"/>
          <w:bCs w:val="0"/>
          <w:i w:val="1"/>
          <w:iCs w:val="1"/>
          <w:caps w:val="0"/>
          <w:smallCaps w:val="0"/>
          <w:noProof w:val="0"/>
          <w:color w:val="222222"/>
          <w:sz w:val="22"/>
          <w:szCs w:val="22"/>
          <w:lang w:val="en-GB"/>
        </w:rPr>
        <w:t xml:space="preserve"> of Eating Disorder</w:t>
      </w:r>
      <w:r w:rsidRPr="4F882B3B" w:rsidR="087E9DAD">
        <w:rPr>
          <w:rFonts w:ascii="Arial" w:hAnsi="Arial" w:eastAsia="Arial" w:cs="Arial"/>
          <w:b w:val="0"/>
          <w:bCs w:val="0"/>
          <w:i w:val="0"/>
          <w:iCs w:val="0"/>
          <w:caps w:val="0"/>
          <w:smallCaps w:val="0"/>
          <w:noProof w:val="0"/>
          <w:color w:val="222222"/>
          <w:sz w:val="22"/>
          <w:szCs w:val="22"/>
          <w:lang w:val="en-GB"/>
        </w:rPr>
        <w:t xml:space="preserve">. Available at: </w:t>
      </w:r>
      <w:hyperlink r:id="R3888dbcab9124265">
        <w:r w:rsidRPr="4F882B3B" w:rsidR="087E9DAD">
          <w:rPr>
            <w:rStyle w:val="Hyperlink"/>
            <w:rFonts w:ascii="Arial" w:hAnsi="Arial" w:eastAsia="Arial" w:cs="Arial"/>
            <w:b w:val="0"/>
            <w:bCs w:val="0"/>
            <w:i w:val="0"/>
            <w:iCs w:val="0"/>
            <w:caps w:val="0"/>
            <w:smallCaps w:val="0"/>
            <w:noProof w:val="0"/>
            <w:sz w:val="22"/>
            <w:szCs w:val="22"/>
            <w:lang w:val="en-GB"/>
          </w:rPr>
          <w:t>https://doi.org/10.1186/s40337-025-01493-7</w:t>
        </w:r>
      </w:hyperlink>
    </w:p>
    <w:p w:rsidR="4F882B3B" w:rsidP="4F882B3B" w:rsidRDefault="4F882B3B" w14:paraId="172E1336" w14:textId="366E5F27">
      <w:pPr>
        <w:pStyle w:val="Normal"/>
        <w:rPr>
          <w:rFonts w:ascii="Arial" w:hAnsi="Arial" w:eastAsia="Arial" w:cs="Arial"/>
          <w:b w:val="0"/>
          <w:bCs w:val="0"/>
          <w:i w:val="0"/>
          <w:iCs w:val="0"/>
          <w:caps w:val="0"/>
          <w:smallCaps w:val="0"/>
          <w:noProof w:val="0"/>
          <w:sz w:val="22"/>
          <w:szCs w:val="22"/>
          <w:lang w:val="en-GB"/>
        </w:rPr>
      </w:pPr>
    </w:p>
    <w:p w:rsidR="087E9DAD" w:rsidP="4F882B3B" w:rsidRDefault="087E9DAD" w14:paraId="6CF97637" w14:textId="152FC648">
      <w:pPr>
        <w:pStyle w:val="Normal"/>
        <w:rPr>
          <w:rFonts w:ascii="Arial" w:hAnsi="Arial" w:eastAsia="Arial" w:cs="Arial"/>
          <w:b w:val="0"/>
          <w:bCs w:val="0"/>
          <w:i w:val="0"/>
          <w:iCs w:val="0"/>
          <w:caps w:val="0"/>
          <w:smallCaps w:val="0"/>
          <w:noProof w:val="0"/>
          <w:color w:val="333333"/>
          <w:sz w:val="22"/>
          <w:szCs w:val="22"/>
          <w:lang w:val="en-GB"/>
        </w:rPr>
      </w:pPr>
      <w:r w:rsidRPr="4F882B3B" w:rsidR="087E9DAD">
        <w:rPr>
          <w:rFonts w:ascii="Arial" w:hAnsi="Arial" w:eastAsia="Arial" w:cs="Arial"/>
          <w:b w:val="0"/>
          <w:bCs w:val="0"/>
          <w:i w:val="0"/>
          <w:iCs w:val="0"/>
          <w:caps w:val="0"/>
          <w:smallCaps w:val="0"/>
          <w:noProof w:val="0"/>
          <w:color w:val="333333"/>
          <w:sz w:val="22"/>
          <w:szCs w:val="22"/>
          <w:lang w:val="en-GB"/>
        </w:rPr>
        <w:t xml:space="preserve">Mayo Clinic (2024) </w:t>
      </w:r>
      <w:r w:rsidRPr="4F882B3B" w:rsidR="087E9DAD">
        <w:rPr>
          <w:rFonts w:ascii="Arial" w:hAnsi="Arial" w:eastAsia="Arial" w:cs="Arial"/>
          <w:b w:val="0"/>
          <w:bCs w:val="0"/>
          <w:i w:val="1"/>
          <w:iCs w:val="1"/>
          <w:caps w:val="0"/>
          <w:smallCaps w:val="0"/>
          <w:noProof w:val="0"/>
          <w:color w:val="333333"/>
          <w:sz w:val="22"/>
          <w:szCs w:val="22"/>
          <w:lang w:val="en-GB"/>
        </w:rPr>
        <w:t>Binge-eating disorder</w:t>
      </w:r>
      <w:r w:rsidRPr="4F882B3B" w:rsidR="087E9DAD">
        <w:rPr>
          <w:rFonts w:ascii="Arial" w:hAnsi="Arial" w:eastAsia="Arial" w:cs="Arial"/>
          <w:b w:val="0"/>
          <w:bCs w:val="0"/>
          <w:i w:val="0"/>
          <w:iCs w:val="0"/>
          <w:caps w:val="0"/>
          <w:smallCaps w:val="0"/>
          <w:noProof w:val="0"/>
          <w:color w:val="333333"/>
          <w:sz w:val="22"/>
          <w:szCs w:val="22"/>
          <w:lang w:val="en-GB"/>
        </w:rPr>
        <w:t>. Available at: https://www. mayoclinic.org/diseases-conditions/binge-eating-disorder/diagnosis-treatment/drc-20353633 (Accessed: 15 December 2025).</w:t>
      </w:r>
    </w:p>
    <w:p w:rsidR="7A405A03" w:rsidP="4F882B3B" w:rsidRDefault="7A405A03" w14:paraId="4E554549" w14:textId="1ECD2428">
      <w:pPr>
        <w:pStyle w:val="Normal"/>
        <w:spacing w:before="0" w:beforeAutospacing="off" w:after="160" w:afterAutospacing="off" w:line="276" w:lineRule="auto"/>
        <w:rPr>
          <w:rFonts w:ascii="Arial" w:hAnsi="Arial" w:eastAsia="Arial" w:cs="Arial"/>
          <w:b w:val="0"/>
          <w:bCs w:val="0"/>
          <w:i w:val="0"/>
          <w:iCs w:val="0"/>
          <w:caps w:val="0"/>
          <w:smallCaps w:val="0"/>
          <w:noProof w:val="0"/>
          <w:color w:val="333333"/>
          <w:sz w:val="22"/>
          <w:szCs w:val="22"/>
          <w:lang w:val="en-GB"/>
        </w:rPr>
      </w:pPr>
      <w:r w:rsidRPr="4F882B3B" w:rsidR="7A405A03">
        <w:rPr>
          <w:rFonts w:ascii="Arial" w:hAnsi="Arial" w:eastAsia="Arial" w:cs="Arial"/>
          <w:b w:val="0"/>
          <w:bCs w:val="0"/>
          <w:i w:val="0"/>
          <w:iCs w:val="0"/>
          <w:caps w:val="0"/>
          <w:smallCaps w:val="0"/>
          <w:noProof w:val="0"/>
          <w:color w:val="333333"/>
          <w:sz w:val="22"/>
          <w:szCs w:val="22"/>
          <w:lang w:val="en-GB"/>
        </w:rPr>
        <w:t xml:space="preserve">National Institute for Health and Care Excellence [NICE] (2017) </w:t>
      </w:r>
      <w:bookmarkStart w:name="_Int_Rsmivadr" w:id="1520565629"/>
      <w:r w:rsidRPr="4F882B3B" w:rsidR="7A405A03">
        <w:rPr>
          <w:rFonts w:ascii="Arial" w:hAnsi="Arial" w:eastAsia="Arial" w:cs="Arial"/>
          <w:b w:val="0"/>
          <w:bCs w:val="0"/>
          <w:i w:val="1"/>
          <w:iCs w:val="1"/>
          <w:caps w:val="0"/>
          <w:smallCaps w:val="0"/>
          <w:noProof w:val="0"/>
          <w:color w:val="333333"/>
          <w:sz w:val="22"/>
          <w:szCs w:val="22"/>
          <w:lang w:val="en-GB"/>
        </w:rPr>
        <w:t>Eating disorders</w:t>
      </w:r>
      <w:bookmarkEnd w:id="1520565629"/>
      <w:r w:rsidRPr="4F882B3B" w:rsidR="7A405A03">
        <w:rPr>
          <w:rFonts w:ascii="Arial" w:hAnsi="Arial" w:eastAsia="Arial" w:cs="Arial"/>
          <w:b w:val="0"/>
          <w:bCs w:val="0"/>
          <w:i w:val="1"/>
          <w:iCs w:val="1"/>
          <w:caps w:val="0"/>
          <w:smallCaps w:val="0"/>
          <w:noProof w:val="0"/>
          <w:color w:val="333333"/>
          <w:sz w:val="22"/>
          <w:szCs w:val="22"/>
          <w:lang w:val="en-GB"/>
        </w:rPr>
        <w:t>: recognition and treatment</w:t>
      </w:r>
      <w:r w:rsidRPr="4F882B3B" w:rsidR="7A405A03">
        <w:rPr>
          <w:rFonts w:ascii="Arial" w:hAnsi="Arial" w:eastAsia="Arial" w:cs="Arial"/>
          <w:b w:val="0"/>
          <w:bCs w:val="0"/>
          <w:i w:val="0"/>
          <w:iCs w:val="0"/>
          <w:caps w:val="0"/>
          <w:smallCaps w:val="0"/>
          <w:noProof w:val="0"/>
          <w:color w:val="333333"/>
          <w:sz w:val="22"/>
          <w:szCs w:val="22"/>
          <w:lang w:val="en-GB"/>
        </w:rPr>
        <w:t>. Available at: https://www.</w:t>
      </w:r>
      <w:hyperlink r:id="Rb282417c39ab469a">
        <w:r w:rsidRPr="4F882B3B" w:rsidR="7A405A03">
          <w:rPr>
            <w:rStyle w:val="Hyperlink"/>
            <w:rFonts w:ascii="Arial" w:hAnsi="Arial" w:eastAsia="Arial" w:cs="Arial"/>
            <w:b w:val="0"/>
            <w:bCs w:val="0"/>
            <w:i w:val="0"/>
            <w:iCs w:val="0"/>
            <w:caps w:val="0"/>
            <w:smallCaps w:val="0"/>
            <w:strike w:val="0"/>
            <w:dstrike w:val="0"/>
            <w:noProof w:val="0"/>
            <w:color w:val="20366F"/>
            <w:sz w:val="22"/>
            <w:szCs w:val="22"/>
            <w:u w:val="none"/>
            <w:lang w:val="en-GB"/>
          </w:rPr>
          <w:t>Binge-eating disorder | Information for the public | Eating disorders: recognition and treatment | Guidance | NICE</w:t>
        </w:r>
      </w:hyperlink>
      <w:r w:rsidRPr="4F882B3B" w:rsidR="7A405A03">
        <w:rPr>
          <w:rFonts w:ascii="Arial" w:hAnsi="Arial" w:eastAsia="Arial" w:cs="Arial"/>
          <w:b w:val="0"/>
          <w:bCs w:val="0"/>
          <w:i w:val="0"/>
          <w:iCs w:val="0"/>
          <w:caps w:val="0"/>
          <w:smallCaps w:val="0"/>
          <w:noProof w:val="0"/>
          <w:color w:val="333333"/>
          <w:sz w:val="22"/>
          <w:szCs w:val="22"/>
          <w:lang w:val="en-GB"/>
        </w:rPr>
        <w:t xml:space="preserve"> (Accessed: 15 December 2025).</w:t>
      </w:r>
    </w:p>
    <w:p w:rsidR="7A405A03" w:rsidP="4F882B3B" w:rsidRDefault="7A405A03" w14:paraId="71265CDE" w14:textId="13EDCEEA">
      <w:pPr>
        <w:pStyle w:val="Normal"/>
        <w:spacing w:before="0" w:beforeAutospacing="off" w:after="0" w:afterAutospacing="off"/>
        <w:ind w:left="0"/>
        <w:jc w:val="left"/>
        <w:rPr>
          <w:rFonts w:ascii="Arial" w:hAnsi="Arial" w:eastAsia="Arial" w:cs="Arial"/>
          <w:b w:val="0"/>
          <w:bCs w:val="0"/>
          <w:sz w:val="22"/>
          <w:szCs w:val="22"/>
        </w:rPr>
      </w:pPr>
      <w:r w:rsidRPr="4F882B3B" w:rsidR="7A405A03">
        <w:rPr>
          <w:rFonts w:ascii="Arial" w:hAnsi="Arial" w:eastAsia="Arial" w:cs="Arial"/>
          <w:b w:val="0"/>
          <w:bCs w:val="0"/>
          <w:noProof w:val="0"/>
          <w:sz w:val="22"/>
          <w:szCs w:val="22"/>
          <w:lang w:val="en-GB"/>
        </w:rPr>
        <w:t>Smith, K.E. and Goldschmidt, A.B. (2024) ‘Treatment of binge‑eating disorder across the lifespan: An updated review and considerations for future research’,</w:t>
      </w:r>
      <w:r w:rsidRPr="4F882B3B" w:rsidR="7A405A03">
        <w:rPr>
          <w:rFonts w:ascii="Arial" w:hAnsi="Arial" w:eastAsia="Arial" w:cs="Arial"/>
          <w:b w:val="0"/>
          <w:bCs w:val="0"/>
          <w:i w:val="1"/>
          <w:iCs w:val="1"/>
          <w:noProof w:val="0"/>
          <w:sz w:val="22"/>
          <w:szCs w:val="22"/>
          <w:lang w:val="en-GB"/>
        </w:rPr>
        <w:t xml:space="preserve"> Current Obesity Reports</w:t>
      </w:r>
      <w:r w:rsidRPr="4F882B3B" w:rsidR="7A405A03">
        <w:rPr>
          <w:rFonts w:ascii="Arial" w:hAnsi="Arial" w:eastAsia="Arial" w:cs="Arial"/>
          <w:b w:val="0"/>
          <w:bCs w:val="0"/>
          <w:i w:val="0"/>
          <w:iCs w:val="0"/>
          <w:noProof w:val="0"/>
          <w:sz w:val="22"/>
          <w:szCs w:val="22"/>
          <w:lang w:val="en-GB"/>
        </w:rPr>
        <w:t xml:space="preserve">, Vol 13, pp.195-202. Available at: </w:t>
      </w:r>
      <w:hyperlink r:id="Ree279f8750604bba">
        <w:r w:rsidRPr="4F882B3B" w:rsidR="7A405A03">
          <w:rPr>
            <w:rStyle w:val="Hyperlink"/>
            <w:rFonts w:ascii="Arial" w:hAnsi="Arial" w:eastAsia="Arial" w:cs="Arial"/>
            <w:b w:val="0"/>
            <w:bCs w:val="0"/>
            <w:i w:val="0"/>
            <w:iCs w:val="0"/>
            <w:noProof w:val="0"/>
            <w:sz w:val="22"/>
            <w:szCs w:val="22"/>
            <w:lang w:val="en-GB"/>
          </w:rPr>
          <w:t>https://doi.org/10.1007/s13679-024-00553-4</w:t>
        </w:r>
      </w:hyperlink>
    </w:p>
    <w:p w:rsidR="4F882B3B" w:rsidP="4F882B3B" w:rsidRDefault="4F882B3B" w14:paraId="1D0DE187" w14:textId="74CC0632">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7A405A03" w:rsidP="4F882B3B" w:rsidRDefault="7A405A03" w14:paraId="731194EA" w14:textId="3BE8DA07">
      <w:pPr>
        <w:pStyle w:val="Normal"/>
        <w:spacing w:before="0" w:beforeAutospacing="off" w:after="0" w:afterAutospacing="off"/>
        <w:ind w:left="0"/>
        <w:jc w:val="left"/>
        <w:rPr>
          <w:rFonts w:ascii="Arial" w:hAnsi="Arial" w:eastAsia="Arial" w:cs="Arial"/>
          <w:b w:val="0"/>
          <w:bCs w:val="0"/>
          <w:sz w:val="22"/>
          <w:szCs w:val="22"/>
        </w:rPr>
      </w:pPr>
      <w:r w:rsidRPr="4F882B3B" w:rsidR="7A405A03">
        <w:rPr>
          <w:rFonts w:ascii="Arial" w:hAnsi="Arial" w:eastAsia="Arial" w:cs="Arial"/>
          <w:b w:val="0"/>
          <w:bCs w:val="0"/>
          <w:i w:val="1"/>
          <w:iCs w:val="1"/>
          <w:noProof w:val="0"/>
          <w:sz w:val="22"/>
          <w:szCs w:val="22"/>
          <w:lang w:val="en-GB"/>
        </w:rPr>
        <w:t xml:space="preserve">The Lancet </w:t>
      </w:r>
      <w:r w:rsidRPr="4F882B3B" w:rsidR="7A405A03">
        <w:rPr>
          <w:rFonts w:ascii="Arial" w:hAnsi="Arial" w:eastAsia="Arial" w:cs="Arial"/>
          <w:b w:val="0"/>
          <w:bCs w:val="0"/>
          <w:noProof w:val="0"/>
          <w:sz w:val="22"/>
          <w:szCs w:val="22"/>
          <w:lang w:val="en-GB"/>
        </w:rPr>
        <w:t xml:space="preserve">(2023), The future of eating disorders research, 10(12), pp.909‑911.Available at: </w:t>
      </w:r>
      <w:hyperlink r:id="Rec3c339a3b154bfd">
        <w:r w:rsidRPr="4F882B3B" w:rsidR="7A405A03">
          <w:rPr>
            <w:rStyle w:val="Hyperlink"/>
            <w:rFonts w:ascii="Arial" w:hAnsi="Arial" w:eastAsia="Arial" w:cs="Arial"/>
            <w:b w:val="0"/>
            <w:bCs w:val="0"/>
            <w:noProof w:val="0"/>
            <w:sz w:val="22"/>
            <w:szCs w:val="22"/>
            <w:lang w:val="en-GB"/>
          </w:rPr>
          <w:t>https://doi.org/10.1016/s2215-0366(23)00372-3</w:t>
        </w:r>
      </w:hyperlink>
    </w:p>
    <w:p w:rsidR="4F882B3B" w:rsidP="4F882B3B" w:rsidRDefault="4F882B3B" w14:paraId="377ECA4C" w14:textId="38014E7D">
      <w:pPr>
        <w:pStyle w:val="Normal"/>
        <w:spacing w:before="0" w:beforeAutospacing="off" w:after="0" w:afterAutospacing="off"/>
        <w:ind w:left="0"/>
        <w:jc w:val="left"/>
        <w:rPr>
          <w:rFonts w:ascii="Arial" w:hAnsi="Arial" w:eastAsia="Arial" w:cs="Arial"/>
          <w:b w:val="0"/>
          <w:bCs w:val="0"/>
          <w:noProof w:val="0"/>
          <w:sz w:val="22"/>
          <w:szCs w:val="22"/>
          <w:lang w:val="en-GB"/>
        </w:rPr>
      </w:pPr>
    </w:p>
    <w:p w:rsidR="7A405A03" w:rsidP="4F882B3B" w:rsidRDefault="7A405A03" w14:paraId="495FEB2D" w14:textId="7D73A271">
      <w:pPr>
        <w:pStyle w:val="Normal"/>
        <w:rPr>
          <w:rFonts w:ascii="Arial" w:hAnsi="Arial" w:eastAsia="Arial" w:cs="Arial"/>
          <w:b w:val="0"/>
          <w:bCs w:val="0"/>
          <w:noProof w:val="0"/>
          <w:sz w:val="22"/>
          <w:szCs w:val="22"/>
          <w:lang w:val="en-GB"/>
        </w:rPr>
      </w:pPr>
      <w:r w:rsidRPr="4F882B3B" w:rsidR="7A405A03">
        <w:rPr>
          <w:rFonts w:ascii="Arial" w:hAnsi="Arial" w:eastAsia="Arial" w:cs="Arial"/>
          <w:b w:val="0"/>
          <w:bCs w:val="0"/>
          <w:i w:val="0"/>
          <w:iCs w:val="0"/>
          <w:caps w:val="0"/>
          <w:smallCaps w:val="0"/>
          <w:noProof w:val="0"/>
          <w:color w:val="333333"/>
          <w:sz w:val="22"/>
          <w:szCs w:val="22"/>
          <w:lang w:val="en-GB"/>
        </w:rPr>
        <w:t xml:space="preserve">The </w:t>
      </w:r>
      <w:r w:rsidRPr="4F882B3B" w:rsidR="7A405A03">
        <w:rPr>
          <w:rFonts w:ascii="Arial" w:hAnsi="Arial" w:eastAsia="Arial" w:cs="Arial"/>
          <w:b w:val="0"/>
          <w:bCs w:val="0"/>
          <w:i w:val="0"/>
          <w:iCs w:val="0"/>
          <w:caps w:val="0"/>
          <w:smallCaps w:val="0"/>
          <w:noProof w:val="0"/>
          <w:color w:val="333333"/>
          <w:sz w:val="22"/>
          <w:szCs w:val="22"/>
          <w:lang w:val="en-GB"/>
        </w:rPr>
        <w:t>Scotish</w:t>
      </w:r>
      <w:r w:rsidRPr="4F882B3B" w:rsidR="7A405A03">
        <w:rPr>
          <w:rFonts w:ascii="Arial" w:hAnsi="Arial" w:eastAsia="Arial" w:cs="Arial"/>
          <w:b w:val="0"/>
          <w:bCs w:val="0"/>
          <w:i w:val="0"/>
          <w:iCs w:val="0"/>
          <w:caps w:val="0"/>
          <w:smallCaps w:val="0"/>
          <w:noProof w:val="0"/>
          <w:color w:val="333333"/>
          <w:sz w:val="22"/>
          <w:szCs w:val="22"/>
          <w:lang w:val="en-GB"/>
        </w:rPr>
        <w:t xml:space="preserve"> Government (2024) </w:t>
      </w:r>
      <w:r w:rsidRPr="4F882B3B" w:rsidR="7A405A03">
        <w:rPr>
          <w:rFonts w:ascii="Arial" w:hAnsi="Arial" w:eastAsia="Arial" w:cs="Arial"/>
          <w:b w:val="0"/>
          <w:bCs w:val="0"/>
          <w:i w:val="1"/>
          <w:iCs w:val="1"/>
          <w:caps w:val="0"/>
          <w:smallCaps w:val="0"/>
          <w:noProof w:val="0"/>
          <w:color w:val="333333"/>
          <w:sz w:val="22"/>
          <w:szCs w:val="22"/>
          <w:lang w:val="en-GB"/>
        </w:rPr>
        <w:t>Care and treatment of eating disorders: national specification</w:t>
      </w:r>
      <w:r w:rsidRPr="4F882B3B" w:rsidR="7A405A03">
        <w:rPr>
          <w:rFonts w:ascii="Arial" w:hAnsi="Arial" w:eastAsia="Arial" w:cs="Arial"/>
          <w:b w:val="0"/>
          <w:bCs w:val="0"/>
          <w:i w:val="0"/>
          <w:iCs w:val="0"/>
          <w:caps w:val="0"/>
          <w:smallCaps w:val="0"/>
          <w:noProof w:val="0"/>
          <w:color w:val="333333"/>
          <w:sz w:val="22"/>
          <w:szCs w:val="22"/>
          <w:lang w:val="en-GB"/>
        </w:rPr>
        <w:t>. Available at: https://www.gov.scot/publications/national-specification-care-treatment-eating-disorders-scotland/ (Accessed: 15 December 2025).</w:t>
      </w:r>
    </w:p>
    <w:p w:rsidR="7A405A03" w:rsidP="4F882B3B" w:rsidRDefault="7A405A03" w14:paraId="07AB0079" w14:textId="6E80AACC">
      <w:pPr>
        <w:pStyle w:val="Normal"/>
        <w:spacing w:before="0" w:beforeAutospacing="off" w:after="160" w:afterAutospacing="off" w:line="276" w:lineRule="auto"/>
        <w:rPr>
          <w:rFonts w:ascii="Arial" w:hAnsi="Arial" w:eastAsia="Arial" w:cs="Arial"/>
          <w:b w:val="0"/>
          <w:bCs w:val="0"/>
          <w:noProof w:val="0"/>
          <w:sz w:val="22"/>
          <w:szCs w:val="22"/>
          <w:lang w:val="en-GB"/>
        </w:rPr>
      </w:pPr>
      <w:r w:rsidRPr="4F882B3B" w:rsidR="7A405A03">
        <w:rPr>
          <w:rFonts w:ascii="Arial" w:hAnsi="Arial" w:eastAsia="Arial" w:cs="Arial"/>
          <w:b w:val="0"/>
          <w:bCs w:val="0"/>
          <w:i w:val="0"/>
          <w:iCs w:val="0"/>
          <w:caps w:val="0"/>
          <w:smallCaps w:val="0"/>
          <w:noProof w:val="0"/>
          <w:color w:val="333333"/>
          <w:sz w:val="22"/>
          <w:szCs w:val="22"/>
          <w:lang w:val="en-GB"/>
        </w:rPr>
        <w:t xml:space="preserve">Tyrer, P. (2023) 'Making Sense of the ICD-II: For Mental Health Professionals', </w:t>
      </w:r>
      <w:r w:rsidRPr="4F882B3B" w:rsidR="7A405A03">
        <w:rPr>
          <w:rFonts w:ascii="Arial" w:hAnsi="Arial" w:eastAsia="Arial" w:cs="Arial"/>
          <w:b w:val="0"/>
          <w:bCs w:val="0"/>
          <w:i w:val="1"/>
          <w:iCs w:val="1"/>
          <w:caps w:val="0"/>
          <w:smallCaps w:val="0"/>
          <w:noProof w:val="0"/>
          <w:color w:val="333333"/>
          <w:sz w:val="22"/>
          <w:szCs w:val="22"/>
          <w:lang w:val="en-GB"/>
        </w:rPr>
        <w:t>Cambridge University Press</w:t>
      </w:r>
      <w:r w:rsidRPr="4F882B3B" w:rsidR="7A405A03">
        <w:rPr>
          <w:rFonts w:ascii="Arial" w:hAnsi="Arial" w:eastAsia="Arial" w:cs="Arial"/>
          <w:b w:val="0"/>
          <w:bCs w:val="0"/>
          <w:i w:val="0"/>
          <w:iCs w:val="0"/>
          <w:caps w:val="0"/>
          <w:smallCaps w:val="0"/>
          <w:noProof w:val="0"/>
          <w:color w:val="333333"/>
          <w:sz w:val="22"/>
          <w:szCs w:val="22"/>
          <w:lang w:val="en-GB"/>
        </w:rPr>
        <w:t xml:space="preserve">, </w:t>
      </w:r>
      <w:r w:rsidRPr="4F882B3B" w:rsidR="7A405A03">
        <w:rPr>
          <w:rFonts w:ascii="Arial" w:hAnsi="Arial" w:eastAsia="Arial" w:cs="Arial"/>
          <w:b w:val="0"/>
          <w:bCs w:val="0"/>
          <w:i w:val="0"/>
          <w:iCs w:val="0"/>
          <w:caps w:val="0"/>
          <w:smallCaps w:val="0"/>
          <w:noProof w:val="0"/>
          <w:color w:val="181817"/>
          <w:sz w:val="22"/>
          <w:szCs w:val="22"/>
          <w:lang w:val="en-GB"/>
        </w:rPr>
        <w:t>2023</w:t>
      </w:r>
      <w:r w:rsidRPr="4F882B3B" w:rsidR="7A405A03">
        <w:rPr>
          <w:rFonts w:ascii="Arial" w:hAnsi="Arial" w:eastAsia="Arial" w:cs="Arial"/>
          <w:b w:val="0"/>
          <w:bCs w:val="0"/>
          <w:i w:val="0"/>
          <w:iCs w:val="0"/>
          <w:caps w:val="0"/>
          <w:smallCaps w:val="0"/>
          <w:noProof w:val="0"/>
          <w:color w:val="333333"/>
          <w:sz w:val="22"/>
          <w:szCs w:val="22"/>
          <w:lang w:val="en-GB"/>
        </w:rPr>
        <w:t xml:space="preserve">. Available at: </w:t>
      </w:r>
      <w:r w:rsidRPr="4F882B3B" w:rsidR="7A405A03">
        <w:rPr>
          <w:rFonts w:ascii="Arial" w:hAnsi="Arial" w:eastAsia="Arial" w:cs="Arial"/>
          <w:b w:val="0"/>
          <w:bCs w:val="0"/>
          <w:i w:val="0"/>
          <w:iCs w:val="0"/>
          <w:caps w:val="0"/>
          <w:smallCaps w:val="0"/>
          <w:noProof w:val="0"/>
          <w:color w:val="333333"/>
          <w:sz w:val="22"/>
          <w:szCs w:val="22"/>
          <w:lang w:val="en-GB"/>
        </w:rPr>
        <w:t xml:space="preserve"> </w:t>
      </w:r>
      <w:hyperlink r:id="R882f302dadcf4bec">
        <w:r w:rsidRPr="4F882B3B" w:rsidR="7A405A03">
          <w:rPr>
            <w:rStyle w:val="Hyperlink"/>
            <w:rFonts w:ascii="Arial" w:hAnsi="Arial" w:eastAsia="Arial" w:cs="Arial"/>
            <w:b w:val="0"/>
            <w:bCs w:val="0"/>
            <w:i w:val="0"/>
            <w:iCs w:val="0"/>
            <w:caps w:val="0"/>
            <w:smallCaps w:val="0"/>
            <w:strike w:val="0"/>
            <w:dstrike w:val="0"/>
            <w:noProof w:val="0"/>
            <w:color w:val="006FCA"/>
            <w:sz w:val="22"/>
            <w:szCs w:val="22"/>
            <w:u w:val="none"/>
            <w:lang w:val="en-GB"/>
          </w:rPr>
          <w:t>https://doi.org/10.1017/9781009182232</w:t>
        </w:r>
      </w:hyperlink>
    </w:p>
    <w:p w:rsidR="7A405A03" w:rsidP="4F882B3B" w:rsidRDefault="7A405A03" w14:paraId="4EB331BE" w14:textId="44B10978">
      <w:pPr>
        <w:pStyle w:val="Normal"/>
        <w:rPr>
          <w:rFonts w:ascii="Arial" w:hAnsi="Arial" w:eastAsia="Arial" w:cs="Arial"/>
          <w:b w:val="0"/>
          <w:bCs w:val="0"/>
          <w:noProof w:val="0"/>
          <w:sz w:val="22"/>
          <w:szCs w:val="22"/>
          <w:lang w:val="en-GB"/>
        </w:rPr>
      </w:pPr>
      <w:r w:rsidRPr="4F882B3B" w:rsidR="7A405A03">
        <w:rPr>
          <w:rFonts w:ascii="Arial" w:hAnsi="Arial" w:eastAsia="Arial" w:cs="Arial"/>
          <w:b w:val="0"/>
          <w:bCs w:val="0"/>
          <w:i w:val="0"/>
          <w:iCs w:val="0"/>
          <w:caps w:val="0"/>
          <w:smallCaps w:val="0"/>
          <w:noProof w:val="0"/>
          <w:color w:val="333333"/>
          <w:sz w:val="22"/>
          <w:szCs w:val="22"/>
          <w:lang w:val="en-GB"/>
        </w:rPr>
        <w:t xml:space="preserve">UK Parliament (2025) </w:t>
      </w:r>
      <w:bookmarkStart w:name="_Int_TbmL6K7C" w:id="96888050"/>
      <w:r w:rsidRPr="4F882B3B" w:rsidR="7A405A03">
        <w:rPr>
          <w:rFonts w:ascii="Arial" w:hAnsi="Arial" w:eastAsia="Arial" w:cs="Arial"/>
          <w:b w:val="0"/>
          <w:bCs w:val="0"/>
          <w:i w:val="1"/>
          <w:iCs w:val="1"/>
          <w:caps w:val="0"/>
          <w:smallCaps w:val="0"/>
          <w:noProof w:val="0"/>
          <w:color w:val="333333"/>
          <w:sz w:val="22"/>
          <w:szCs w:val="22"/>
          <w:lang w:val="en-GB"/>
        </w:rPr>
        <w:t>Eating disorder</w:t>
      </w:r>
      <w:bookmarkEnd w:id="96888050"/>
      <w:r w:rsidRPr="4F882B3B" w:rsidR="7A405A03">
        <w:rPr>
          <w:rFonts w:ascii="Arial" w:hAnsi="Arial" w:eastAsia="Arial" w:cs="Arial"/>
          <w:b w:val="0"/>
          <w:bCs w:val="0"/>
          <w:i w:val="1"/>
          <w:iCs w:val="1"/>
          <w:caps w:val="0"/>
          <w:smallCaps w:val="0"/>
          <w:noProof w:val="0"/>
          <w:color w:val="333333"/>
          <w:sz w:val="22"/>
          <w:szCs w:val="22"/>
          <w:lang w:val="en-GB"/>
        </w:rPr>
        <w:t xml:space="preserve"> </w:t>
      </w:r>
      <w:r w:rsidRPr="4F882B3B" w:rsidR="7A405A03">
        <w:rPr>
          <w:rFonts w:ascii="Arial" w:hAnsi="Arial" w:eastAsia="Arial" w:cs="Arial"/>
          <w:b w:val="0"/>
          <w:bCs w:val="0"/>
          <w:i w:val="1"/>
          <w:iCs w:val="1"/>
          <w:caps w:val="0"/>
          <w:smallCaps w:val="0"/>
          <w:noProof w:val="0"/>
          <w:color w:val="333333"/>
          <w:sz w:val="22"/>
          <w:szCs w:val="22"/>
          <w:lang w:val="en-GB"/>
        </w:rPr>
        <w:t>awarness</w:t>
      </w:r>
      <w:r w:rsidRPr="4F882B3B" w:rsidR="7A405A03">
        <w:rPr>
          <w:rFonts w:ascii="Arial" w:hAnsi="Arial" w:eastAsia="Arial" w:cs="Arial"/>
          <w:b w:val="0"/>
          <w:bCs w:val="0"/>
          <w:i w:val="0"/>
          <w:iCs w:val="0"/>
          <w:caps w:val="0"/>
          <w:smallCaps w:val="0"/>
          <w:noProof w:val="0"/>
          <w:color w:val="333333"/>
          <w:sz w:val="22"/>
          <w:szCs w:val="22"/>
          <w:lang w:val="en-GB"/>
        </w:rPr>
        <w:t>. Available at: https://www.researchbriefings.files.parliament.uk/documents/CDP-2025-0069/CDP-2025-0069.pdf (Accessed: 15 December 2025).</w:t>
      </w:r>
    </w:p>
    <w:p w:rsidR="7A405A03" w:rsidP="4F882B3B" w:rsidRDefault="7A405A03" w14:paraId="6354A5F8" w14:textId="47EEEAD9">
      <w:pPr>
        <w:pStyle w:val="Normal"/>
        <w:rPr>
          <w:rFonts w:ascii="Arial" w:hAnsi="Arial" w:eastAsia="Arial" w:cs="Arial"/>
          <w:b w:val="0"/>
          <w:bCs w:val="0"/>
          <w:noProof w:val="0"/>
          <w:sz w:val="22"/>
          <w:szCs w:val="22"/>
          <w:lang w:val="en-GB"/>
        </w:rPr>
      </w:pPr>
      <w:r w:rsidRPr="4F882B3B" w:rsidR="7A405A03">
        <w:rPr>
          <w:rFonts w:ascii="Arial" w:hAnsi="Arial" w:eastAsia="Arial" w:cs="Arial"/>
          <w:b w:val="0"/>
          <w:bCs w:val="0"/>
          <w:i w:val="0"/>
          <w:iCs w:val="0"/>
          <w:caps w:val="0"/>
          <w:smallCaps w:val="0"/>
          <w:noProof w:val="0"/>
          <w:color w:val="333333"/>
          <w:sz w:val="22"/>
          <w:szCs w:val="22"/>
          <w:lang w:val="en-GB"/>
        </w:rPr>
        <w:t>Wierrenga</w:t>
      </w:r>
      <w:r w:rsidRPr="4F882B3B" w:rsidR="7A405A03">
        <w:rPr>
          <w:rFonts w:ascii="Arial" w:hAnsi="Arial" w:eastAsia="Arial" w:cs="Arial"/>
          <w:b w:val="0"/>
          <w:bCs w:val="0"/>
          <w:i w:val="0"/>
          <w:iCs w:val="0"/>
          <w:caps w:val="0"/>
          <w:smallCaps w:val="0"/>
          <w:noProof w:val="0"/>
          <w:color w:val="333333"/>
          <w:sz w:val="22"/>
          <w:szCs w:val="22"/>
          <w:lang w:val="en-GB"/>
        </w:rPr>
        <w:t xml:space="preserve">, Ch.E. and </w:t>
      </w:r>
      <w:r w:rsidRPr="4F882B3B" w:rsidR="7A405A03">
        <w:rPr>
          <w:rFonts w:ascii="Arial" w:hAnsi="Arial" w:eastAsia="Arial" w:cs="Arial"/>
          <w:b w:val="0"/>
          <w:bCs w:val="0"/>
          <w:i w:val="0"/>
          <w:iCs w:val="0"/>
          <w:caps w:val="0"/>
          <w:smallCaps w:val="0"/>
          <w:noProof w:val="0"/>
          <w:color w:val="333333"/>
          <w:sz w:val="22"/>
          <w:szCs w:val="22"/>
          <w:lang w:val="en-GB"/>
        </w:rPr>
        <w:t>Steinglass,J.E</w:t>
      </w:r>
      <w:r w:rsidRPr="4F882B3B" w:rsidR="7A405A03">
        <w:rPr>
          <w:rFonts w:ascii="Arial" w:hAnsi="Arial" w:eastAsia="Arial" w:cs="Arial"/>
          <w:b w:val="0"/>
          <w:bCs w:val="0"/>
          <w:i w:val="0"/>
          <w:iCs w:val="0"/>
          <w:caps w:val="0"/>
          <w:smallCaps w:val="0"/>
          <w:noProof w:val="0"/>
          <w:color w:val="333333"/>
          <w:sz w:val="22"/>
          <w:szCs w:val="22"/>
          <w:lang w:val="en-GB"/>
        </w:rPr>
        <w:t xml:space="preserve">. (2025) </w:t>
      </w:r>
      <w:r w:rsidRPr="4F882B3B" w:rsidR="7A405A03">
        <w:rPr>
          <w:rFonts w:ascii="Arial" w:hAnsi="Arial" w:eastAsia="Arial" w:cs="Arial"/>
          <w:b w:val="0"/>
          <w:bCs w:val="0"/>
          <w:i w:val="1"/>
          <w:iCs w:val="1"/>
          <w:caps w:val="0"/>
          <w:smallCaps w:val="0"/>
          <w:noProof w:val="0"/>
          <w:color w:val="333333"/>
          <w:sz w:val="22"/>
          <w:szCs w:val="22"/>
          <w:lang w:val="en-GB"/>
        </w:rPr>
        <w:t xml:space="preserve">The Handbook of the Neurobiology of Eating </w:t>
      </w:r>
      <w:r w:rsidRPr="4F882B3B" w:rsidR="7A405A03">
        <w:rPr>
          <w:rFonts w:ascii="Arial" w:hAnsi="Arial" w:eastAsia="Arial" w:cs="Arial"/>
          <w:b w:val="0"/>
          <w:bCs w:val="0"/>
          <w:i w:val="1"/>
          <w:iCs w:val="1"/>
          <w:caps w:val="0"/>
          <w:smallCaps w:val="0"/>
          <w:noProof w:val="0"/>
          <w:color w:val="333333"/>
          <w:sz w:val="22"/>
          <w:szCs w:val="22"/>
          <w:lang w:val="en-GB"/>
        </w:rPr>
        <w:t>Disirders</w:t>
      </w:r>
      <w:r w:rsidRPr="4F882B3B" w:rsidR="7A405A03">
        <w:rPr>
          <w:rFonts w:ascii="Arial" w:hAnsi="Arial" w:eastAsia="Arial" w:cs="Arial"/>
          <w:b w:val="0"/>
          <w:bCs w:val="0"/>
          <w:i w:val="1"/>
          <w:iCs w:val="1"/>
          <w:caps w:val="0"/>
          <w:smallCaps w:val="0"/>
          <w:noProof w:val="0"/>
          <w:color w:val="333333"/>
          <w:sz w:val="22"/>
          <w:szCs w:val="22"/>
          <w:lang w:val="en-GB"/>
        </w:rPr>
        <w:t>.</w:t>
      </w:r>
      <w:r w:rsidRPr="4F882B3B" w:rsidR="7A405A03">
        <w:rPr>
          <w:rFonts w:ascii="Arial" w:hAnsi="Arial" w:eastAsia="Arial" w:cs="Arial"/>
          <w:b w:val="0"/>
          <w:bCs w:val="0"/>
          <w:i w:val="0"/>
          <w:iCs w:val="0"/>
          <w:caps w:val="0"/>
          <w:smallCaps w:val="0"/>
          <w:noProof w:val="0"/>
          <w:color w:val="333333"/>
          <w:sz w:val="22"/>
          <w:szCs w:val="22"/>
          <w:lang w:val="en-GB"/>
        </w:rPr>
        <w:t xml:space="preserve"> New </w:t>
      </w:r>
      <w:bookmarkStart w:name="_Int_q4DASom8" w:id="1131551470"/>
      <w:r w:rsidRPr="4F882B3B" w:rsidR="7A405A03">
        <w:rPr>
          <w:rFonts w:ascii="Arial" w:hAnsi="Arial" w:eastAsia="Arial" w:cs="Arial"/>
          <w:b w:val="0"/>
          <w:bCs w:val="0"/>
          <w:i w:val="0"/>
          <w:iCs w:val="0"/>
          <w:caps w:val="0"/>
          <w:smallCaps w:val="0"/>
          <w:noProof w:val="0"/>
          <w:color w:val="333333"/>
          <w:sz w:val="22"/>
          <w:szCs w:val="22"/>
          <w:lang w:val="en-GB"/>
        </w:rPr>
        <w:t>York,NY</w:t>
      </w:r>
      <w:bookmarkEnd w:id="1131551470"/>
      <w:r w:rsidRPr="4F882B3B" w:rsidR="7A405A03">
        <w:rPr>
          <w:rFonts w:ascii="Arial" w:hAnsi="Arial" w:eastAsia="Arial" w:cs="Arial"/>
          <w:b w:val="0"/>
          <w:bCs w:val="0"/>
          <w:i w:val="0"/>
          <w:iCs w:val="0"/>
          <w:caps w:val="0"/>
          <w:smallCaps w:val="0"/>
          <w:noProof w:val="0"/>
          <w:color w:val="333333"/>
          <w:sz w:val="22"/>
          <w:szCs w:val="22"/>
          <w:lang w:val="en-GB"/>
        </w:rPr>
        <w:t>,2025. Oxford Academic.</w:t>
      </w:r>
    </w:p>
    <w:p w:rsidR="198CA44F" w:rsidP="4F882B3B" w:rsidRDefault="198CA44F" w14:paraId="3BC0261F" w14:textId="77BEBF57">
      <w:pPr>
        <w:pStyle w:val="Normal"/>
        <w:rPr>
          <w:rFonts w:ascii="Arial" w:hAnsi="Arial" w:eastAsia="Arial" w:cs="Arial"/>
          <w:b w:val="0"/>
          <w:bCs w:val="0"/>
          <w:i w:val="0"/>
          <w:iCs w:val="0"/>
          <w:caps w:val="0"/>
          <w:smallCaps w:val="0"/>
          <w:noProof w:val="0"/>
          <w:color w:val="333333"/>
          <w:sz w:val="22"/>
          <w:szCs w:val="22"/>
          <w:lang w:val="en-GB"/>
        </w:rPr>
      </w:pPr>
      <w:r w:rsidRPr="4F882B3B" w:rsidR="198CA44F">
        <w:rPr>
          <w:rFonts w:ascii="Arial" w:hAnsi="Arial" w:eastAsia="Arial" w:cs="Arial"/>
          <w:b w:val="0"/>
          <w:bCs w:val="0"/>
          <w:i w:val="0"/>
          <w:iCs w:val="0"/>
          <w:caps w:val="0"/>
          <w:smallCaps w:val="0"/>
          <w:noProof w:val="0"/>
          <w:color w:val="333333"/>
          <w:sz w:val="22"/>
          <w:szCs w:val="22"/>
          <w:lang w:val="en-GB"/>
        </w:rPr>
        <w:t xml:space="preserve">World Health Organization [WHO] (2025) </w:t>
      </w:r>
      <w:r w:rsidRPr="4F882B3B" w:rsidR="198CA44F">
        <w:rPr>
          <w:rFonts w:ascii="Arial" w:hAnsi="Arial" w:eastAsia="Arial" w:cs="Arial"/>
          <w:b w:val="0"/>
          <w:bCs w:val="0"/>
          <w:i w:val="1"/>
          <w:iCs w:val="1"/>
          <w:caps w:val="0"/>
          <w:smallCaps w:val="0"/>
          <w:noProof w:val="0"/>
          <w:color w:val="333333"/>
          <w:sz w:val="22"/>
          <w:szCs w:val="22"/>
          <w:lang w:val="en-GB"/>
        </w:rPr>
        <w:t>International Classification of Diseases II Revision</w:t>
      </w:r>
      <w:r w:rsidRPr="4F882B3B" w:rsidR="198CA44F">
        <w:rPr>
          <w:rFonts w:ascii="Arial" w:hAnsi="Arial" w:eastAsia="Arial" w:cs="Arial"/>
          <w:b w:val="0"/>
          <w:bCs w:val="0"/>
          <w:i w:val="0"/>
          <w:iCs w:val="0"/>
          <w:caps w:val="0"/>
          <w:smallCaps w:val="0"/>
          <w:noProof w:val="0"/>
          <w:color w:val="333333"/>
          <w:sz w:val="22"/>
          <w:szCs w:val="22"/>
          <w:lang w:val="en-GB"/>
        </w:rPr>
        <w:t xml:space="preserve">. Available </w:t>
      </w:r>
      <w:r w:rsidRPr="4F882B3B" w:rsidR="198CA44F">
        <w:rPr>
          <w:rFonts w:ascii="Arial" w:hAnsi="Arial" w:eastAsia="Arial" w:cs="Arial"/>
          <w:b w:val="0"/>
          <w:bCs w:val="0"/>
          <w:i w:val="0"/>
          <w:iCs w:val="0"/>
          <w:caps w:val="0"/>
          <w:smallCaps w:val="0"/>
          <w:noProof w:val="0"/>
          <w:color w:val="333333"/>
          <w:sz w:val="22"/>
          <w:szCs w:val="22"/>
          <w:lang w:val="en-GB"/>
        </w:rPr>
        <w:t>at:https</w:t>
      </w:r>
      <w:r w:rsidRPr="4F882B3B" w:rsidR="198CA44F">
        <w:rPr>
          <w:rFonts w:ascii="Arial" w:hAnsi="Arial" w:eastAsia="Arial" w:cs="Arial"/>
          <w:b w:val="0"/>
          <w:bCs w:val="0"/>
          <w:i w:val="0"/>
          <w:iCs w:val="0"/>
          <w:caps w:val="0"/>
          <w:smallCaps w:val="0"/>
          <w:noProof w:val="0"/>
          <w:color w:val="333333"/>
          <w:sz w:val="22"/>
          <w:szCs w:val="22"/>
          <w:lang w:val="en-GB"/>
        </w:rPr>
        <w:t>://www.https://icd.who.int/en/ (Accessed: 15 December 2025).</w:t>
      </w:r>
    </w:p>
    <w:p w:rsidR="4F882B3B" w:rsidP="4F882B3B" w:rsidRDefault="4F882B3B" w14:paraId="2E4C092B" w14:textId="586365FA">
      <w:pPr>
        <w:pStyle w:val="Normal"/>
        <w:spacing w:before="0" w:beforeAutospacing="off" w:after="160" w:afterAutospacing="off" w:line="276" w:lineRule="auto"/>
        <w:rPr>
          <w:rFonts w:ascii="Arial" w:hAnsi="Arial" w:eastAsia="Arial" w:cs="Arial"/>
          <w:b w:val="0"/>
          <w:bCs w:val="0"/>
          <w:i w:val="0"/>
          <w:iCs w:val="0"/>
          <w:caps w:val="0"/>
          <w:smallCaps w:val="0"/>
          <w:noProof w:val="0"/>
          <w:color w:val="333333"/>
          <w:sz w:val="22"/>
          <w:szCs w:val="22"/>
          <w:lang w:val="en-GB"/>
        </w:rPr>
      </w:pPr>
    </w:p>
    <w:p w:rsidR="4F882B3B" w:rsidP="4F882B3B" w:rsidRDefault="4F882B3B" w14:paraId="1486B068" w14:textId="1B7EFF8C">
      <w:pPr>
        <w:pStyle w:val="Normal"/>
        <w:rPr>
          <w:rFonts w:ascii="Arial" w:hAnsi="Arial" w:eastAsia="Arial" w:cs="Arial"/>
          <w:b w:val="0"/>
          <w:bCs w:val="0"/>
          <w:i w:val="0"/>
          <w:iCs w:val="0"/>
          <w:caps w:val="0"/>
          <w:smallCaps w:val="0"/>
          <w:noProof w:val="0"/>
          <w:color w:val="222222"/>
          <w:sz w:val="22"/>
          <w:szCs w:val="22"/>
          <w:lang w:val="en-GB"/>
        </w:rPr>
      </w:pPr>
    </w:p>
    <w:p w:rsidR="4F882B3B" w:rsidP="4F882B3B" w:rsidRDefault="4F882B3B" w14:paraId="13A6AE06" w14:textId="7EB543FD">
      <w:pPr>
        <w:pStyle w:val="Normal"/>
        <w:rPr>
          <w:rFonts w:ascii="Arial" w:hAnsi="Arial" w:eastAsia="Arial" w:cs="Arial"/>
          <w:b w:val="0"/>
          <w:bCs w:val="0"/>
          <w:i w:val="0"/>
          <w:iCs w:val="0"/>
          <w:caps w:val="0"/>
          <w:smallCaps w:val="0"/>
          <w:noProof w:val="0"/>
          <w:color w:val="333333"/>
          <w:sz w:val="22"/>
          <w:szCs w:val="22"/>
          <w:lang w:val="en-GB"/>
        </w:rPr>
      </w:pPr>
    </w:p>
    <w:p w:rsidR="4F882B3B" w:rsidP="4F882B3B" w:rsidRDefault="4F882B3B" w14:paraId="1DC1A96B" w14:textId="5B7FEB0B">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4F882B3B" w:rsidP="4F882B3B" w:rsidRDefault="4F882B3B" w14:paraId="65418F23" w14:textId="4E95D679">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4F882B3B" w:rsidP="4F882B3B" w:rsidRDefault="4F882B3B" w14:paraId="07E184FD" w14:textId="112FBE1D">
      <w:pPr>
        <w:pStyle w:val="Normal"/>
        <w:spacing w:before="0" w:beforeAutospacing="off" w:after="0" w:afterAutospacing="off"/>
        <w:ind w:left="0"/>
        <w:jc w:val="left"/>
        <w:rPr>
          <w:rFonts w:ascii="Arial" w:hAnsi="Arial" w:eastAsia="Arial" w:cs="Arial"/>
          <w:b w:val="0"/>
          <w:bCs w:val="0"/>
          <w:i w:val="0"/>
          <w:iCs w:val="0"/>
          <w:noProof w:val="0"/>
          <w:sz w:val="22"/>
          <w:szCs w:val="22"/>
          <w:lang w:val="en-GB"/>
        </w:rPr>
      </w:pPr>
    </w:p>
    <w:p w:rsidR="4F882B3B" w:rsidP="4F882B3B" w:rsidRDefault="4F882B3B" w14:paraId="37A9A0EC" w14:textId="298F4F91">
      <w:pPr>
        <w:pStyle w:val="Normal"/>
        <w:spacing w:before="0" w:beforeAutospacing="off" w:after="0" w:afterAutospacing="off"/>
        <w:ind w:left="0"/>
        <w:jc w:val="left"/>
        <w:rPr>
          <w:rFonts w:ascii="Arial" w:hAnsi="Arial" w:eastAsia="Arial" w:cs="Arial"/>
          <w:b w:val="0"/>
          <w:bCs w:val="0"/>
          <w:i w:val="1"/>
          <w:iCs w:val="1"/>
          <w:noProof w:val="0"/>
          <w:sz w:val="22"/>
          <w:szCs w:val="22"/>
          <w:lang w:val="en-GB"/>
        </w:rPr>
      </w:pPr>
    </w:p>
    <w:p w:rsidR="4F882B3B" w:rsidP="4F882B3B" w:rsidRDefault="4F882B3B" w14:paraId="0BE8AC09" w14:textId="055A5202">
      <w:pPr>
        <w:pStyle w:val="Normal"/>
        <w:rPr>
          <w:rFonts w:ascii="Merriweather Sans" w:hAnsi="Merriweather Sans" w:eastAsia="Merriweather Sans" w:cs="Merriweather Sans"/>
          <w:b w:val="0"/>
          <w:bCs w:val="0"/>
          <w:i w:val="0"/>
          <w:iCs w:val="0"/>
          <w:caps w:val="0"/>
          <w:smallCaps w:val="0"/>
          <w:noProof w:val="0"/>
          <w:color w:val="333333"/>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jnNMnDYGaYAb1" int2:id="WXOIPtxK">
      <int2:state int2:type="spell" int2:value="Rejected"/>
    </int2:textHash>
    <int2:textHash int2:hashCode="iRixuHNUARKuJB" int2:id="PohRTA5S">
      <int2:state int2:type="spell" int2:value="Rejected"/>
    </int2:textHash>
    <int2:bookmark int2:bookmarkName="_Int_hE14aBzH" int2:invalidationBookmarkName="" int2:hashCode="HRQojzK/EXBGfd" int2:id="BDE3u2ue">
      <int2:state int2:type="gram" int2:value="Rejected"/>
    </int2:bookmark>
    <int2:bookmark int2:bookmarkName="_Int_3ER4uc70" int2:invalidationBookmarkName="" int2:hashCode="fcB+XEIBUJn3Ru" int2:id="Z9KFMAIJ">
      <int2:state int2:type="gram" int2:value="Rejected"/>
    </int2:bookmark>
    <int2:bookmark int2:bookmarkName="_Int_CG3g6ADO" int2:invalidationBookmarkName="" int2:hashCode="vUfuPSyZipdfFc" int2:id="Lgrx4ALx">
      <int2:state int2:type="gram" int2:value="Rejected"/>
    </int2:bookmark>
    <int2:bookmark int2:bookmarkName="_Int_AfsARKRi" int2:invalidationBookmarkName="" int2:hashCode="6bo9Ol/LZWs6x9" int2:id="jbtTgXbM">
      <int2:state int2:type="gram" int2:value="Rejected"/>
    </int2:bookmark>
    <int2:bookmark int2:bookmarkName="_Int_Rsmivadr" int2:invalidationBookmarkName="" int2:hashCode="AwIiid8CDbRoqi" int2:id="8kgBMjQm">
      <int2:state int2:type="gram" int2:value="Rejected"/>
    </int2:bookmark>
    <int2:bookmark int2:bookmarkName="_Int_q4DASom8" int2:invalidationBookmarkName="" int2:hashCode="AJI0iRm7htSLc4" int2:id="TQxM74oh">
      <int2:state int2:type="gram" int2:value="Rejected"/>
    </int2:bookmark>
    <int2:bookmark int2:bookmarkName="_Int_TbmL6K7C" int2:invalidationBookmarkName="" int2:hashCode="+L3kNNrb67iFci" int2:id="DJPW0xv5">
      <int2:state int2:type="gram" int2:value="Rejected"/>
    </int2:bookmark>
    <int2:bookmark int2:bookmarkName="_Int_3RvPK35Z" int2:invalidationBookmarkName="" int2:hashCode="ht0/3nAYj2qstL" int2:id="7kq428Q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1471d3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8903c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5d5b8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c8ae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e2d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98c3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5ade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b4c9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b848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a158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572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88e69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f3f3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c7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455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aa9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98f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d18a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5B51F4"/>
    <w:rsid w:val="00CF0656"/>
    <w:rsid w:val="01055946"/>
    <w:rsid w:val="013EA3BA"/>
    <w:rsid w:val="0172563A"/>
    <w:rsid w:val="01852B32"/>
    <w:rsid w:val="01C8026F"/>
    <w:rsid w:val="01F6626A"/>
    <w:rsid w:val="02019BDE"/>
    <w:rsid w:val="021F62C8"/>
    <w:rsid w:val="023D6A16"/>
    <w:rsid w:val="0253420B"/>
    <w:rsid w:val="02C7998A"/>
    <w:rsid w:val="0365501C"/>
    <w:rsid w:val="03687817"/>
    <w:rsid w:val="0379A7E2"/>
    <w:rsid w:val="03A3A3F6"/>
    <w:rsid w:val="03BE8388"/>
    <w:rsid w:val="03FEFD70"/>
    <w:rsid w:val="04089FDF"/>
    <w:rsid w:val="040DDD41"/>
    <w:rsid w:val="0411F332"/>
    <w:rsid w:val="041B25EB"/>
    <w:rsid w:val="042DA4A8"/>
    <w:rsid w:val="042FC9BC"/>
    <w:rsid w:val="04377289"/>
    <w:rsid w:val="046E7AC4"/>
    <w:rsid w:val="047B9C4C"/>
    <w:rsid w:val="049C0CDC"/>
    <w:rsid w:val="04C7AA74"/>
    <w:rsid w:val="04DBD13E"/>
    <w:rsid w:val="04F41682"/>
    <w:rsid w:val="056124A6"/>
    <w:rsid w:val="0580D9B5"/>
    <w:rsid w:val="05E09192"/>
    <w:rsid w:val="0608B057"/>
    <w:rsid w:val="061FD612"/>
    <w:rsid w:val="06372B62"/>
    <w:rsid w:val="06374640"/>
    <w:rsid w:val="066202D0"/>
    <w:rsid w:val="06699E1A"/>
    <w:rsid w:val="068310FE"/>
    <w:rsid w:val="0692796A"/>
    <w:rsid w:val="06A893A7"/>
    <w:rsid w:val="074AD5A4"/>
    <w:rsid w:val="075CEFF4"/>
    <w:rsid w:val="07B7D1DB"/>
    <w:rsid w:val="07C5FB79"/>
    <w:rsid w:val="07EE79D5"/>
    <w:rsid w:val="085B93E1"/>
    <w:rsid w:val="087B30D0"/>
    <w:rsid w:val="087E9DAD"/>
    <w:rsid w:val="08C1D290"/>
    <w:rsid w:val="08D94010"/>
    <w:rsid w:val="08F74F73"/>
    <w:rsid w:val="0991773E"/>
    <w:rsid w:val="09999EAA"/>
    <w:rsid w:val="09E6CD2D"/>
    <w:rsid w:val="0A227765"/>
    <w:rsid w:val="0A674C01"/>
    <w:rsid w:val="0AA4415D"/>
    <w:rsid w:val="0AE7426D"/>
    <w:rsid w:val="0AF9C4B4"/>
    <w:rsid w:val="0B04818D"/>
    <w:rsid w:val="0B0F0271"/>
    <w:rsid w:val="0B33A7F9"/>
    <w:rsid w:val="0B36C50D"/>
    <w:rsid w:val="0B4E8F33"/>
    <w:rsid w:val="0B6232BC"/>
    <w:rsid w:val="0BB7190C"/>
    <w:rsid w:val="0C0DAF19"/>
    <w:rsid w:val="0C5306DF"/>
    <w:rsid w:val="0C71B547"/>
    <w:rsid w:val="0C763BC7"/>
    <w:rsid w:val="0D138A49"/>
    <w:rsid w:val="0D2511B5"/>
    <w:rsid w:val="0D443CB4"/>
    <w:rsid w:val="0D475FE0"/>
    <w:rsid w:val="0D745217"/>
    <w:rsid w:val="0D887A73"/>
    <w:rsid w:val="0DD10147"/>
    <w:rsid w:val="0DFCD176"/>
    <w:rsid w:val="0E06CAD2"/>
    <w:rsid w:val="0E2C195C"/>
    <w:rsid w:val="0E505666"/>
    <w:rsid w:val="0E600B19"/>
    <w:rsid w:val="0E645E4C"/>
    <w:rsid w:val="0F04FDBF"/>
    <w:rsid w:val="0F24B9DE"/>
    <w:rsid w:val="0F40171A"/>
    <w:rsid w:val="0F7F3B02"/>
    <w:rsid w:val="0F9D7DB6"/>
    <w:rsid w:val="0FC607B0"/>
    <w:rsid w:val="0FCEF3D3"/>
    <w:rsid w:val="0FDAFCF7"/>
    <w:rsid w:val="10089350"/>
    <w:rsid w:val="10348759"/>
    <w:rsid w:val="10EB5D08"/>
    <w:rsid w:val="1123B927"/>
    <w:rsid w:val="11480CD4"/>
    <w:rsid w:val="11546B9D"/>
    <w:rsid w:val="11652373"/>
    <w:rsid w:val="11969C8A"/>
    <w:rsid w:val="119EBAC3"/>
    <w:rsid w:val="11B144C0"/>
    <w:rsid w:val="11DC72F8"/>
    <w:rsid w:val="122AFFE3"/>
    <w:rsid w:val="125638D6"/>
    <w:rsid w:val="1258A19C"/>
    <w:rsid w:val="12600AC4"/>
    <w:rsid w:val="1262E6CB"/>
    <w:rsid w:val="12F6CA0C"/>
    <w:rsid w:val="134549D1"/>
    <w:rsid w:val="134A3981"/>
    <w:rsid w:val="135597D9"/>
    <w:rsid w:val="13682A65"/>
    <w:rsid w:val="139A2E19"/>
    <w:rsid w:val="13D44704"/>
    <w:rsid w:val="13E33F4D"/>
    <w:rsid w:val="14185E3E"/>
    <w:rsid w:val="1418D5BA"/>
    <w:rsid w:val="1423AA91"/>
    <w:rsid w:val="146FBCB3"/>
    <w:rsid w:val="1543C8C6"/>
    <w:rsid w:val="155B4F66"/>
    <w:rsid w:val="1564C013"/>
    <w:rsid w:val="157C82CD"/>
    <w:rsid w:val="157DE9B5"/>
    <w:rsid w:val="15B800D9"/>
    <w:rsid w:val="15ED4221"/>
    <w:rsid w:val="163282A8"/>
    <w:rsid w:val="163821FF"/>
    <w:rsid w:val="163FAFF2"/>
    <w:rsid w:val="1646574D"/>
    <w:rsid w:val="1652CB59"/>
    <w:rsid w:val="165D5E8D"/>
    <w:rsid w:val="16880FC7"/>
    <w:rsid w:val="16BA1082"/>
    <w:rsid w:val="16DB2B45"/>
    <w:rsid w:val="16DD9DD2"/>
    <w:rsid w:val="17ADADDB"/>
    <w:rsid w:val="17D22713"/>
    <w:rsid w:val="17EDF947"/>
    <w:rsid w:val="18106C21"/>
    <w:rsid w:val="18148C90"/>
    <w:rsid w:val="1856DDB5"/>
    <w:rsid w:val="188171AA"/>
    <w:rsid w:val="188D4473"/>
    <w:rsid w:val="1890090A"/>
    <w:rsid w:val="18B0646D"/>
    <w:rsid w:val="18CD03E7"/>
    <w:rsid w:val="194B6EF1"/>
    <w:rsid w:val="195EB763"/>
    <w:rsid w:val="19677AF4"/>
    <w:rsid w:val="198CA44F"/>
    <w:rsid w:val="19C3E1B8"/>
    <w:rsid w:val="19DE6EFF"/>
    <w:rsid w:val="1A01CB06"/>
    <w:rsid w:val="1A03FE53"/>
    <w:rsid w:val="1A06DDCF"/>
    <w:rsid w:val="1A1FBFC3"/>
    <w:rsid w:val="1A2AC456"/>
    <w:rsid w:val="1A9B8EE9"/>
    <w:rsid w:val="1AC04D20"/>
    <w:rsid w:val="1B2AD5CB"/>
    <w:rsid w:val="1B4A0948"/>
    <w:rsid w:val="1B5ABFDE"/>
    <w:rsid w:val="1B6E3DFF"/>
    <w:rsid w:val="1BBE5DE9"/>
    <w:rsid w:val="1C3D7852"/>
    <w:rsid w:val="1C4B2586"/>
    <w:rsid w:val="1C90BEDC"/>
    <w:rsid w:val="1C9B9027"/>
    <w:rsid w:val="1CA72E89"/>
    <w:rsid w:val="1CB1AE96"/>
    <w:rsid w:val="1CBBB9D8"/>
    <w:rsid w:val="1CBE64AC"/>
    <w:rsid w:val="1CC042A0"/>
    <w:rsid w:val="1CE88743"/>
    <w:rsid w:val="1CEC7974"/>
    <w:rsid w:val="1CF127F6"/>
    <w:rsid w:val="1CF8F5B0"/>
    <w:rsid w:val="1D4D5343"/>
    <w:rsid w:val="1D6AC830"/>
    <w:rsid w:val="1D8C78F2"/>
    <w:rsid w:val="1E795128"/>
    <w:rsid w:val="1E8E38A9"/>
    <w:rsid w:val="1E99313B"/>
    <w:rsid w:val="1EB26FEE"/>
    <w:rsid w:val="1EB8D843"/>
    <w:rsid w:val="1F72ACFB"/>
    <w:rsid w:val="1F857C07"/>
    <w:rsid w:val="1F8FB929"/>
    <w:rsid w:val="1FCB2984"/>
    <w:rsid w:val="1FF20F6D"/>
    <w:rsid w:val="1FFCB6FF"/>
    <w:rsid w:val="200250B2"/>
    <w:rsid w:val="201DC561"/>
    <w:rsid w:val="202C95A7"/>
    <w:rsid w:val="2088FDC7"/>
    <w:rsid w:val="20B34255"/>
    <w:rsid w:val="2135DD39"/>
    <w:rsid w:val="21711A09"/>
    <w:rsid w:val="217B0763"/>
    <w:rsid w:val="21A03E4A"/>
    <w:rsid w:val="21D64ED9"/>
    <w:rsid w:val="21DA35B8"/>
    <w:rsid w:val="21FD8F9F"/>
    <w:rsid w:val="21FF994E"/>
    <w:rsid w:val="224D31CB"/>
    <w:rsid w:val="228A1BF8"/>
    <w:rsid w:val="228E9533"/>
    <w:rsid w:val="22A76D20"/>
    <w:rsid w:val="22A76D20"/>
    <w:rsid w:val="22F28488"/>
    <w:rsid w:val="23446344"/>
    <w:rsid w:val="2357FE8C"/>
    <w:rsid w:val="23B40746"/>
    <w:rsid w:val="23B7F245"/>
    <w:rsid w:val="23C5D346"/>
    <w:rsid w:val="240C7833"/>
    <w:rsid w:val="244683F0"/>
    <w:rsid w:val="255419CE"/>
    <w:rsid w:val="25661368"/>
    <w:rsid w:val="262B3568"/>
    <w:rsid w:val="2656D9F0"/>
    <w:rsid w:val="266ECCD2"/>
    <w:rsid w:val="268C2DE7"/>
    <w:rsid w:val="270E9DF7"/>
    <w:rsid w:val="271707A0"/>
    <w:rsid w:val="275FBC92"/>
    <w:rsid w:val="2775F3F7"/>
    <w:rsid w:val="2780B107"/>
    <w:rsid w:val="27ADAA23"/>
    <w:rsid w:val="285DCADC"/>
    <w:rsid w:val="287C9D6E"/>
    <w:rsid w:val="28999857"/>
    <w:rsid w:val="28B82271"/>
    <w:rsid w:val="28D4C769"/>
    <w:rsid w:val="291BE1E1"/>
    <w:rsid w:val="296C8210"/>
    <w:rsid w:val="29A79CBF"/>
    <w:rsid w:val="29CA966E"/>
    <w:rsid w:val="2A0296E2"/>
    <w:rsid w:val="2A07B4F2"/>
    <w:rsid w:val="2A490B3D"/>
    <w:rsid w:val="2A490B3D"/>
    <w:rsid w:val="2B48F888"/>
    <w:rsid w:val="2B619C59"/>
    <w:rsid w:val="2BCBBEE4"/>
    <w:rsid w:val="2BDB0A5A"/>
    <w:rsid w:val="2CCA3FB8"/>
    <w:rsid w:val="2CED5FFC"/>
    <w:rsid w:val="2CED5FFC"/>
    <w:rsid w:val="2D51E8C1"/>
    <w:rsid w:val="2D540F99"/>
    <w:rsid w:val="2D836CBE"/>
    <w:rsid w:val="2DA9AE01"/>
    <w:rsid w:val="2DB19829"/>
    <w:rsid w:val="2E0C3513"/>
    <w:rsid w:val="2E0F9799"/>
    <w:rsid w:val="2E38D5A8"/>
    <w:rsid w:val="2E3D11EE"/>
    <w:rsid w:val="2F9066D1"/>
    <w:rsid w:val="2F913A27"/>
    <w:rsid w:val="2FC2387D"/>
    <w:rsid w:val="2FDE2C65"/>
    <w:rsid w:val="3046F120"/>
    <w:rsid w:val="30DEFA2C"/>
    <w:rsid w:val="30EED356"/>
    <w:rsid w:val="3142D1A3"/>
    <w:rsid w:val="3166CAD1"/>
    <w:rsid w:val="3172F4E7"/>
    <w:rsid w:val="31A86CC4"/>
    <w:rsid w:val="31B2F496"/>
    <w:rsid w:val="31B3E72F"/>
    <w:rsid w:val="31B434B5"/>
    <w:rsid w:val="31CC9976"/>
    <w:rsid w:val="31F2A1CD"/>
    <w:rsid w:val="327EC622"/>
    <w:rsid w:val="3292187D"/>
    <w:rsid w:val="32A70BE6"/>
    <w:rsid w:val="32BE7488"/>
    <w:rsid w:val="330139B2"/>
    <w:rsid w:val="33459418"/>
    <w:rsid w:val="33BB79C6"/>
    <w:rsid w:val="33BB79C6"/>
    <w:rsid w:val="33E508E1"/>
    <w:rsid w:val="340B17A9"/>
    <w:rsid w:val="341F6337"/>
    <w:rsid w:val="346104A7"/>
    <w:rsid w:val="34779B18"/>
    <w:rsid w:val="34BCEB13"/>
    <w:rsid w:val="34F77A31"/>
    <w:rsid w:val="3539087B"/>
    <w:rsid w:val="3551A53A"/>
    <w:rsid w:val="3578E3B7"/>
    <w:rsid w:val="367EC037"/>
    <w:rsid w:val="36CF9453"/>
    <w:rsid w:val="36DFF423"/>
    <w:rsid w:val="36FD0181"/>
    <w:rsid w:val="371D4C95"/>
    <w:rsid w:val="37912EC0"/>
    <w:rsid w:val="37A1B96F"/>
    <w:rsid w:val="37A2DBD0"/>
    <w:rsid w:val="3812AF41"/>
    <w:rsid w:val="383A882A"/>
    <w:rsid w:val="387C2BDC"/>
    <w:rsid w:val="388C98DB"/>
    <w:rsid w:val="389BF1AA"/>
    <w:rsid w:val="38A49EE2"/>
    <w:rsid w:val="38E48E72"/>
    <w:rsid w:val="393A4580"/>
    <w:rsid w:val="397F56D8"/>
    <w:rsid w:val="39A25E82"/>
    <w:rsid w:val="39A25E82"/>
    <w:rsid w:val="39EE933F"/>
    <w:rsid w:val="3A3EF30A"/>
    <w:rsid w:val="3A40EB8D"/>
    <w:rsid w:val="3AAC9097"/>
    <w:rsid w:val="3ACDD4AE"/>
    <w:rsid w:val="3C40F228"/>
    <w:rsid w:val="3C885923"/>
    <w:rsid w:val="3C99E1CD"/>
    <w:rsid w:val="3D2936D4"/>
    <w:rsid w:val="3DB0F036"/>
    <w:rsid w:val="3DE1ABE5"/>
    <w:rsid w:val="3DFBFAC1"/>
    <w:rsid w:val="3E2E9352"/>
    <w:rsid w:val="3F33569C"/>
    <w:rsid w:val="3F37222D"/>
    <w:rsid w:val="3F7BE5F6"/>
    <w:rsid w:val="3FB70EB2"/>
    <w:rsid w:val="3FCE0985"/>
    <w:rsid w:val="4008EAC1"/>
    <w:rsid w:val="40293B29"/>
    <w:rsid w:val="40A184CB"/>
    <w:rsid w:val="40B9EB78"/>
    <w:rsid w:val="41210C30"/>
    <w:rsid w:val="416A89F0"/>
    <w:rsid w:val="41BB3E3D"/>
    <w:rsid w:val="41CB221F"/>
    <w:rsid w:val="41D941B6"/>
    <w:rsid w:val="41E5EB45"/>
    <w:rsid w:val="420DC795"/>
    <w:rsid w:val="422C4181"/>
    <w:rsid w:val="427700CB"/>
    <w:rsid w:val="4287C176"/>
    <w:rsid w:val="42EDFF84"/>
    <w:rsid w:val="42EDFF84"/>
    <w:rsid w:val="43228AC7"/>
    <w:rsid w:val="439B8B2B"/>
    <w:rsid w:val="44401EFC"/>
    <w:rsid w:val="444BE7A6"/>
    <w:rsid w:val="447BB9B9"/>
    <w:rsid w:val="44A38560"/>
    <w:rsid w:val="44F2393B"/>
    <w:rsid w:val="452832A8"/>
    <w:rsid w:val="45374CC8"/>
    <w:rsid w:val="4597AC96"/>
    <w:rsid w:val="45995D87"/>
    <w:rsid w:val="45BE2D25"/>
    <w:rsid w:val="461E9ECF"/>
    <w:rsid w:val="464EBCC6"/>
    <w:rsid w:val="465F2E8D"/>
    <w:rsid w:val="468A1BE7"/>
    <w:rsid w:val="46901FF6"/>
    <w:rsid w:val="46F219D9"/>
    <w:rsid w:val="47114C86"/>
    <w:rsid w:val="472847DA"/>
    <w:rsid w:val="4744A031"/>
    <w:rsid w:val="474DB4A2"/>
    <w:rsid w:val="47693C48"/>
    <w:rsid w:val="47D48360"/>
    <w:rsid w:val="484480D5"/>
    <w:rsid w:val="489B3BE8"/>
    <w:rsid w:val="48D3A7D4"/>
    <w:rsid w:val="49B989F0"/>
    <w:rsid w:val="49D29075"/>
    <w:rsid w:val="4A0FA428"/>
    <w:rsid w:val="4A43CB71"/>
    <w:rsid w:val="4A4961CE"/>
    <w:rsid w:val="4AD6B0A8"/>
    <w:rsid w:val="4B21C0E2"/>
    <w:rsid w:val="4B3F58A0"/>
    <w:rsid w:val="4B4F5363"/>
    <w:rsid w:val="4B873305"/>
    <w:rsid w:val="4BB31537"/>
    <w:rsid w:val="4BC4FA32"/>
    <w:rsid w:val="4C13812D"/>
    <w:rsid w:val="4C1D31C5"/>
    <w:rsid w:val="4C253D5D"/>
    <w:rsid w:val="4C32CBAD"/>
    <w:rsid w:val="4C53C8E8"/>
    <w:rsid w:val="4CA6B0B2"/>
    <w:rsid w:val="4D296DFC"/>
    <w:rsid w:val="4D8EC34A"/>
    <w:rsid w:val="4DEC904F"/>
    <w:rsid w:val="4E298BE7"/>
    <w:rsid w:val="4E321B54"/>
    <w:rsid w:val="4E392B7E"/>
    <w:rsid w:val="4E8C8C01"/>
    <w:rsid w:val="4EAD7FC1"/>
    <w:rsid w:val="4EF06A26"/>
    <w:rsid w:val="4F3C4A37"/>
    <w:rsid w:val="4F882B3B"/>
    <w:rsid w:val="502D0033"/>
    <w:rsid w:val="50A64DF4"/>
    <w:rsid w:val="50D3430F"/>
    <w:rsid w:val="51A99493"/>
    <w:rsid w:val="51B1B6FB"/>
    <w:rsid w:val="51D67F0A"/>
    <w:rsid w:val="51E2CE95"/>
    <w:rsid w:val="51F21754"/>
    <w:rsid w:val="521042FE"/>
    <w:rsid w:val="5232E307"/>
    <w:rsid w:val="529D6F00"/>
    <w:rsid w:val="53041AB6"/>
    <w:rsid w:val="53050963"/>
    <w:rsid w:val="533E4CF7"/>
    <w:rsid w:val="533E4CF7"/>
    <w:rsid w:val="534334D9"/>
    <w:rsid w:val="534AAB2C"/>
    <w:rsid w:val="535BEEDA"/>
    <w:rsid w:val="535DBB99"/>
    <w:rsid w:val="53600220"/>
    <w:rsid w:val="538036A2"/>
    <w:rsid w:val="538036A2"/>
    <w:rsid w:val="53DE8D8A"/>
    <w:rsid w:val="53EB37EE"/>
    <w:rsid w:val="53F0A842"/>
    <w:rsid w:val="5450DB28"/>
    <w:rsid w:val="54909CF6"/>
    <w:rsid w:val="549E8700"/>
    <w:rsid w:val="54A889EF"/>
    <w:rsid w:val="54EF6FBE"/>
    <w:rsid w:val="55087B37"/>
    <w:rsid w:val="555E301F"/>
    <w:rsid w:val="55763D8A"/>
    <w:rsid w:val="559E2028"/>
    <w:rsid w:val="55CA4F7B"/>
    <w:rsid w:val="55DEBD3E"/>
    <w:rsid w:val="55E1B07F"/>
    <w:rsid w:val="55EDDE71"/>
    <w:rsid w:val="561CB0A2"/>
    <w:rsid w:val="566836DE"/>
    <w:rsid w:val="5676B771"/>
    <w:rsid w:val="56C45D41"/>
    <w:rsid w:val="57091B9F"/>
    <w:rsid w:val="570A50FC"/>
    <w:rsid w:val="5727B0B0"/>
    <w:rsid w:val="57551DA3"/>
    <w:rsid w:val="57831F0C"/>
    <w:rsid w:val="57A32ABF"/>
    <w:rsid w:val="57FFAA58"/>
    <w:rsid w:val="5829D4F5"/>
    <w:rsid w:val="587B9960"/>
    <w:rsid w:val="588A5701"/>
    <w:rsid w:val="58AADA39"/>
    <w:rsid w:val="58C7C316"/>
    <w:rsid w:val="58E90523"/>
    <w:rsid w:val="59029379"/>
    <w:rsid w:val="59045CFE"/>
    <w:rsid w:val="59A8896A"/>
    <w:rsid w:val="5A19FE76"/>
    <w:rsid w:val="5A3D9C19"/>
    <w:rsid w:val="5ACA326E"/>
    <w:rsid w:val="5BD1D2F6"/>
    <w:rsid w:val="5BE2C2A6"/>
    <w:rsid w:val="5BE8CD45"/>
    <w:rsid w:val="5C03EEF5"/>
    <w:rsid w:val="5C7248AB"/>
    <w:rsid w:val="5C793240"/>
    <w:rsid w:val="5C99D08C"/>
    <w:rsid w:val="5CE8813E"/>
    <w:rsid w:val="5D192DB8"/>
    <w:rsid w:val="5D56637F"/>
    <w:rsid w:val="5D6F2CBF"/>
    <w:rsid w:val="5D7110B4"/>
    <w:rsid w:val="5D73BF5D"/>
    <w:rsid w:val="5DA5A4A4"/>
    <w:rsid w:val="5EA7FFA6"/>
    <w:rsid w:val="5F0B553A"/>
    <w:rsid w:val="5F4CAD87"/>
    <w:rsid w:val="5F7E1AC6"/>
    <w:rsid w:val="5F7F9C7A"/>
    <w:rsid w:val="5F7FFC8A"/>
    <w:rsid w:val="607A0977"/>
    <w:rsid w:val="60C7F02F"/>
    <w:rsid w:val="610B64A2"/>
    <w:rsid w:val="61C8C28D"/>
    <w:rsid w:val="61ECD9AE"/>
    <w:rsid w:val="623AF383"/>
    <w:rsid w:val="623B8257"/>
    <w:rsid w:val="624B0B59"/>
    <w:rsid w:val="625ABAE1"/>
    <w:rsid w:val="628E50EE"/>
    <w:rsid w:val="628E9A93"/>
    <w:rsid w:val="62BD677F"/>
    <w:rsid w:val="62EB4A12"/>
    <w:rsid w:val="637B7733"/>
    <w:rsid w:val="638F46F1"/>
    <w:rsid w:val="63C2874D"/>
    <w:rsid w:val="644731B6"/>
    <w:rsid w:val="6482DC2C"/>
    <w:rsid w:val="6483FC79"/>
    <w:rsid w:val="649CCC4F"/>
    <w:rsid w:val="64B8B839"/>
    <w:rsid w:val="64BA28A3"/>
    <w:rsid w:val="64E1DAF4"/>
    <w:rsid w:val="6600C48E"/>
    <w:rsid w:val="660F5568"/>
    <w:rsid w:val="66274417"/>
    <w:rsid w:val="66477439"/>
    <w:rsid w:val="66B70859"/>
    <w:rsid w:val="66B8732F"/>
    <w:rsid w:val="66F104CF"/>
    <w:rsid w:val="67443454"/>
    <w:rsid w:val="67870821"/>
    <w:rsid w:val="679D1E35"/>
    <w:rsid w:val="67A2A09B"/>
    <w:rsid w:val="684AE374"/>
    <w:rsid w:val="699017AA"/>
    <w:rsid w:val="69BDCB95"/>
    <w:rsid w:val="69F2A8E4"/>
    <w:rsid w:val="6A116E0F"/>
    <w:rsid w:val="6A4B3C75"/>
    <w:rsid w:val="6A8A868B"/>
    <w:rsid w:val="6A9B8555"/>
    <w:rsid w:val="6AFD8453"/>
    <w:rsid w:val="6B105B72"/>
    <w:rsid w:val="6B1D05DB"/>
    <w:rsid w:val="6B4A7A65"/>
    <w:rsid w:val="6B590868"/>
    <w:rsid w:val="6BB01F98"/>
    <w:rsid w:val="6BD98D74"/>
    <w:rsid w:val="6C2E1A80"/>
    <w:rsid w:val="6C58135E"/>
    <w:rsid w:val="6C595F32"/>
    <w:rsid w:val="6C8C61DE"/>
    <w:rsid w:val="6D16B46C"/>
    <w:rsid w:val="6D359267"/>
    <w:rsid w:val="6D5B51F4"/>
    <w:rsid w:val="6DAC09D4"/>
    <w:rsid w:val="6DAF9B39"/>
    <w:rsid w:val="6DBFA23F"/>
    <w:rsid w:val="6DE8E220"/>
    <w:rsid w:val="6E5D0E95"/>
    <w:rsid w:val="6E8DA3D4"/>
    <w:rsid w:val="6E9197C8"/>
    <w:rsid w:val="6ECEAFD7"/>
    <w:rsid w:val="6EDCA9C3"/>
    <w:rsid w:val="6F2AC4B5"/>
    <w:rsid w:val="6F4202EB"/>
    <w:rsid w:val="6F8D9F2E"/>
    <w:rsid w:val="6FAAB9EB"/>
    <w:rsid w:val="6FAEBEBD"/>
    <w:rsid w:val="70080E97"/>
    <w:rsid w:val="706A631F"/>
    <w:rsid w:val="707EEAFA"/>
    <w:rsid w:val="7103FFDB"/>
    <w:rsid w:val="711632ED"/>
    <w:rsid w:val="7127AD44"/>
    <w:rsid w:val="71D8AD27"/>
    <w:rsid w:val="72264FD0"/>
    <w:rsid w:val="723B8ACB"/>
    <w:rsid w:val="723C2EE7"/>
    <w:rsid w:val="726F186A"/>
    <w:rsid w:val="7279981B"/>
    <w:rsid w:val="727AFEC0"/>
    <w:rsid w:val="728DFD1E"/>
    <w:rsid w:val="728E2238"/>
    <w:rsid w:val="731E398F"/>
    <w:rsid w:val="73290F27"/>
    <w:rsid w:val="73928005"/>
    <w:rsid w:val="73A99636"/>
    <w:rsid w:val="73FC1126"/>
    <w:rsid w:val="74101F88"/>
    <w:rsid w:val="7437FABD"/>
    <w:rsid w:val="743F7BDD"/>
    <w:rsid w:val="746012E5"/>
    <w:rsid w:val="74962B94"/>
    <w:rsid w:val="74F03E93"/>
    <w:rsid w:val="7580CA03"/>
    <w:rsid w:val="75C3191B"/>
    <w:rsid w:val="75E6A818"/>
    <w:rsid w:val="76025C08"/>
    <w:rsid w:val="76588BBF"/>
    <w:rsid w:val="7678ED2D"/>
    <w:rsid w:val="771B4606"/>
    <w:rsid w:val="77EDFAA1"/>
    <w:rsid w:val="7831D81A"/>
    <w:rsid w:val="783FF8C5"/>
    <w:rsid w:val="78498FCC"/>
    <w:rsid w:val="78B27A9D"/>
    <w:rsid w:val="78FDE491"/>
    <w:rsid w:val="795D6FCC"/>
    <w:rsid w:val="796D170D"/>
    <w:rsid w:val="7979001B"/>
    <w:rsid w:val="79C5552C"/>
    <w:rsid w:val="7A405A03"/>
    <w:rsid w:val="7A54D86C"/>
    <w:rsid w:val="7A80EB6A"/>
    <w:rsid w:val="7A8E94E8"/>
    <w:rsid w:val="7A93E005"/>
    <w:rsid w:val="7AA9D0B2"/>
    <w:rsid w:val="7B0391D2"/>
    <w:rsid w:val="7B5CD872"/>
    <w:rsid w:val="7B81F733"/>
    <w:rsid w:val="7B828C32"/>
    <w:rsid w:val="7B891D20"/>
    <w:rsid w:val="7B8E617E"/>
    <w:rsid w:val="7B921BDC"/>
    <w:rsid w:val="7BCADDCE"/>
    <w:rsid w:val="7BCD329B"/>
    <w:rsid w:val="7C183333"/>
    <w:rsid w:val="7C4F14E8"/>
    <w:rsid w:val="7C72AA4F"/>
    <w:rsid w:val="7C9F000D"/>
    <w:rsid w:val="7CA3E2F3"/>
    <w:rsid w:val="7CAF94C7"/>
    <w:rsid w:val="7D44E94C"/>
    <w:rsid w:val="7D84E673"/>
    <w:rsid w:val="7D9605DF"/>
    <w:rsid w:val="7E0F58D8"/>
    <w:rsid w:val="7EA3502A"/>
    <w:rsid w:val="7EA3D45F"/>
    <w:rsid w:val="7EA5F30C"/>
    <w:rsid w:val="7ECF4F83"/>
    <w:rsid w:val="7EF69070"/>
    <w:rsid w:val="7F6EF33F"/>
    <w:rsid w:val="7FA7C55F"/>
    <w:rsid w:val="7FB132D0"/>
    <w:rsid w:val="7FEE756A"/>
    <w:rsid w:val="7FF61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8A4AD"/>
  <w15:chartTrackingRefBased/>
  <w15:docId w15:val="{D7900CD5-AC76-4174-B1A5-ACD9373471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F882B3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F882B3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F882B3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F882B3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F882B3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F882B3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F882B3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F882B3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F882B3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F882B3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F882B3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F882B3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F882B3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F882B3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F882B3B"/>
    <w:rPr>
      <w:color w:val="467886"/>
      <w:u w:val="single"/>
    </w:rPr>
  </w:style>
  <w:style w:type="paragraph" w:styleId="ListParagraph">
    <w:uiPriority w:val="34"/>
    <w:name w:val="List Paragraph"/>
    <w:basedOn w:val="Normal"/>
    <w:qFormat/>
    <w:rsid w:val="4F882B3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777613673" /><Relationship Type="http://schemas.openxmlformats.org/officeDocument/2006/relationships/hyperlink" Target="https://doi.org/10.1007/s40211-020-00346-w" TargetMode="External" Id="R68dccafaa2114799" /><Relationship Type="http://schemas.openxmlformats.org/officeDocument/2006/relationships/hyperlink" Target="https://doi.org/10.1007/978-3-662-67662-2_3" TargetMode="External" Id="R17656cede56045bf" /><Relationship Type="http://schemas.openxmlformats.org/officeDocument/2006/relationships/hyperlink" Target="https://doi.org/10.1016/S0140-6736(24)00874-2" TargetMode="External" Id="R9a02afd6e82a46cd" /><Relationship Type="http://schemas.openxmlformats.org/officeDocument/2006/relationships/hyperlink" Target="https://doi.org/10.1136/bmjment-2025-301760" TargetMode="External" Id="Rcfa6a08209cb4588" /><Relationship Type="http://schemas.openxmlformats.org/officeDocument/2006/relationships/hyperlink" Target="https://doi.org/10.1186/s40337-025-01493-7" TargetMode="External" Id="R3888dbcab9124265" /><Relationship Type="http://schemas.openxmlformats.org/officeDocument/2006/relationships/hyperlink" Target="https://www.nice.org.uk/guidance/ng69/ifp/chapter/Binge-eating-disorder" TargetMode="External" Id="Rb282417c39ab469a" /><Relationship Type="http://schemas.openxmlformats.org/officeDocument/2006/relationships/hyperlink" Target="https://doi.org/10.1007/s13679-024-00553-4" TargetMode="External" Id="Ree279f8750604bba" /><Relationship Type="http://schemas.openxmlformats.org/officeDocument/2006/relationships/hyperlink" Target="https://doi.org/10.1016/s2215-0366(23)00372-3" TargetMode="External" Id="Rec3c339a3b154bfd" /><Relationship Type="http://schemas.openxmlformats.org/officeDocument/2006/relationships/hyperlink" Target="https://doi.org/10.1017/9781009182232" TargetMode="External" Id="R882f302dadcf4bec" /><Relationship Type="http://schemas.microsoft.com/office/2020/10/relationships/intelligence" Target="intelligence2.xml" Id="R479834223722457b" /><Relationship Type="http://schemas.openxmlformats.org/officeDocument/2006/relationships/numbering" Target="numbering.xml" Id="Rf6afef9f8f924a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2025-12-09T12:50:45.5683773Z</dcterms:created>
  <dcterms:modified xsi:type="dcterms:W3CDTF">2025-12-16T08:54:21.1719072Z</dcterms:modified>
  <dc:creator>Celina Krawczyk (2317548)</dc:creator>
  <lastModifiedBy>Celina Krawczyk (2317548)</lastModifiedBy>
</coreProperties>
</file>