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36B9" w:rsidRDefault="00083725">
      <w:pPr>
        <w:rPr>
          <w:b/>
          <w:u w:val="single"/>
        </w:rPr>
      </w:pPr>
      <w:r w:rsidRPr="00083725">
        <w:rPr>
          <w:b/>
          <w:u w:val="single"/>
        </w:rPr>
        <w:t xml:space="preserve">Section one </w:t>
      </w:r>
      <w:r w:rsidR="003D6CEB">
        <w:rPr>
          <w:b/>
          <w:u w:val="single"/>
        </w:rPr>
        <w:t>– 1,648</w:t>
      </w:r>
      <w:r w:rsidR="009D4083">
        <w:rPr>
          <w:b/>
          <w:u w:val="single"/>
        </w:rPr>
        <w:t xml:space="preserve"> words in total</w:t>
      </w:r>
    </w:p>
    <w:p w:rsidR="00083725" w:rsidRDefault="00083725" w:rsidP="00083725">
      <w:pPr>
        <w:pStyle w:val="ListParagraph"/>
        <w:numPr>
          <w:ilvl w:val="0"/>
          <w:numId w:val="2"/>
        </w:numPr>
        <w:rPr>
          <w:rFonts w:cstheme="minorHAnsi"/>
          <w:b/>
          <w:color w:val="000000"/>
        </w:rPr>
      </w:pPr>
      <w:r w:rsidRPr="009D4083">
        <w:rPr>
          <w:rFonts w:cstheme="minorHAnsi"/>
          <w:b/>
        </w:rPr>
        <w:t xml:space="preserve">Review emerging developments to inform approaches to employee voice and engagement. </w:t>
      </w:r>
      <w:r w:rsidRPr="009D4083">
        <w:rPr>
          <w:rFonts w:cstheme="minorHAnsi"/>
          <w:b/>
          <w:color w:val="000000"/>
        </w:rPr>
        <w:t>(AC 1.1)</w:t>
      </w:r>
    </w:p>
    <w:p w:rsidR="00EE25A0" w:rsidRDefault="00BD453D" w:rsidP="003B4B3D">
      <w:pPr>
        <w:jc w:val="both"/>
        <w:rPr>
          <w:rFonts w:cstheme="minorHAnsi"/>
          <w:color w:val="000000"/>
        </w:rPr>
      </w:pPr>
      <w:r>
        <w:rPr>
          <w:rFonts w:cstheme="minorHAnsi"/>
          <w:color w:val="000000"/>
        </w:rPr>
        <w:t>CIPD</w:t>
      </w:r>
      <w:r w:rsidR="00663303">
        <w:rPr>
          <w:rFonts w:cstheme="minorHAnsi"/>
          <w:color w:val="000000"/>
        </w:rPr>
        <w:t xml:space="preserve"> (2023a</w:t>
      </w:r>
      <w:r w:rsidR="00810896">
        <w:rPr>
          <w:rFonts w:cstheme="minorHAnsi"/>
          <w:color w:val="000000"/>
        </w:rPr>
        <w:t>)</w:t>
      </w:r>
      <w:r>
        <w:rPr>
          <w:rFonts w:cstheme="minorHAnsi"/>
          <w:color w:val="000000"/>
        </w:rPr>
        <w:t xml:space="preserve"> advise that employee voice is where employees feel able to safely express their views </w:t>
      </w:r>
      <w:r w:rsidR="008578C0">
        <w:rPr>
          <w:rFonts w:cstheme="minorHAnsi"/>
          <w:color w:val="000000"/>
        </w:rPr>
        <w:t>on their</w:t>
      </w:r>
      <w:r>
        <w:rPr>
          <w:rFonts w:cstheme="minorHAnsi"/>
          <w:color w:val="000000"/>
        </w:rPr>
        <w:t xml:space="preserve"> work </w:t>
      </w:r>
      <w:r w:rsidR="00EE25A0">
        <w:rPr>
          <w:rFonts w:cstheme="minorHAnsi"/>
          <w:color w:val="000000"/>
        </w:rPr>
        <w:t>regardless of how, when or where.</w:t>
      </w:r>
      <w:r w:rsidR="004A1D36">
        <w:rPr>
          <w:rFonts w:cstheme="minorHAnsi"/>
          <w:color w:val="000000"/>
        </w:rPr>
        <w:t xml:space="preserve"> According to Dix (2020) it is essential that the employee voice is organised, even when individual, and is considered by the employer as part of a dialogue.  </w:t>
      </w:r>
      <w:r w:rsidR="004A1EBC">
        <w:rPr>
          <w:rFonts w:cstheme="minorHAnsi"/>
          <w:color w:val="000000"/>
        </w:rPr>
        <w:t>She further notes t</w:t>
      </w:r>
      <w:r w:rsidR="008578C0">
        <w:rPr>
          <w:rFonts w:cstheme="minorHAnsi"/>
          <w:color w:val="000000"/>
        </w:rPr>
        <w:t>hat those employers who invest</w:t>
      </w:r>
      <w:r w:rsidR="004A1EBC">
        <w:rPr>
          <w:rFonts w:cstheme="minorHAnsi"/>
          <w:color w:val="000000"/>
        </w:rPr>
        <w:t xml:space="preserve"> in employee voice had employees with a greater commitment and increased productivity.</w:t>
      </w:r>
      <w:r w:rsidR="00810896">
        <w:rPr>
          <w:rFonts w:cstheme="minorHAnsi"/>
          <w:color w:val="000000"/>
        </w:rPr>
        <w:t xml:space="preserve">  CIPD (2021a) echo this explaining that employee voice can build trust, help share ideas, </w:t>
      </w:r>
      <w:r w:rsidR="0080214C">
        <w:rPr>
          <w:rFonts w:cstheme="minorHAnsi"/>
          <w:color w:val="000000"/>
        </w:rPr>
        <w:t>assist</w:t>
      </w:r>
      <w:r w:rsidR="00810896">
        <w:rPr>
          <w:rFonts w:cstheme="minorHAnsi"/>
          <w:color w:val="000000"/>
        </w:rPr>
        <w:t xml:space="preserve"> recruitment through improved reputation and allow employer a quicker understanding of risks, issues and opportunities.  </w:t>
      </w:r>
      <w:r w:rsidR="00B57ECD">
        <w:rPr>
          <w:rFonts w:cstheme="minorHAnsi"/>
          <w:color w:val="000000"/>
        </w:rPr>
        <w:t xml:space="preserve">The HSE (n.d.) advised that employees that are given the opportunity to be a part of the decisions work in a healthier and safer way.  </w:t>
      </w:r>
      <w:r w:rsidR="00810896">
        <w:rPr>
          <w:rFonts w:cstheme="minorHAnsi"/>
          <w:color w:val="000000"/>
        </w:rPr>
        <w:t xml:space="preserve">Therefore, effective employee voice is deemed very beneficial to an employer.  </w:t>
      </w:r>
    </w:p>
    <w:p w:rsidR="00A61168" w:rsidRDefault="00A4625B" w:rsidP="003B4B3D">
      <w:pPr>
        <w:jc w:val="both"/>
        <w:rPr>
          <w:rFonts w:cstheme="minorHAnsi"/>
          <w:color w:val="000000"/>
        </w:rPr>
      </w:pPr>
      <w:r>
        <w:rPr>
          <w:rFonts w:cstheme="minorHAnsi"/>
          <w:color w:val="000000"/>
        </w:rPr>
        <w:t xml:space="preserve">Not everyone agrees however.  </w:t>
      </w:r>
      <w:r w:rsidR="00293DE1">
        <w:rPr>
          <w:rFonts w:cstheme="minorHAnsi"/>
          <w:color w:val="000000"/>
        </w:rPr>
        <w:t xml:space="preserve">Boxall and Purcell (2016) argues that employee voice is variable and </w:t>
      </w:r>
      <w:r w:rsidR="001F1F0F" w:rsidRPr="00293DE1">
        <w:rPr>
          <w:rFonts w:cstheme="minorHAnsi"/>
          <w:color w:val="000000"/>
        </w:rPr>
        <w:t xml:space="preserve">Dundon et al (2017) </w:t>
      </w:r>
      <w:r w:rsidR="00293DE1">
        <w:rPr>
          <w:rFonts w:cstheme="minorHAnsi"/>
          <w:color w:val="000000"/>
        </w:rPr>
        <w:t>feels that some companies are only in place to create profit and not to provide employee voice.</w:t>
      </w:r>
      <w:r w:rsidR="0080214C">
        <w:rPr>
          <w:rFonts w:cstheme="minorHAnsi"/>
          <w:color w:val="000000"/>
        </w:rPr>
        <w:t xml:space="preserve">  Armstrong (2020) raised the question whether managers have the right to manage their employees without their input.  It is down to the employer to find a good balance whilst ensuring that their employees are able to have a voice and speak safely Galanou (2021).</w:t>
      </w:r>
    </w:p>
    <w:p w:rsidR="0080214C" w:rsidRPr="00293DE1" w:rsidRDefault="00663303" w:rsidP="003B4B3D">
      <w:pPr>
        <w:jc w:val="both"/>
        <w:rPr>
          <w:rFonts w:cstheme="minorHAnsi"/>
          <w:color w:val="000000"/>
        </w:rPr>
      </w:pPr>
      <w:r>
        <w:rPr>
          <w:rFonts w:cstheme="minorHAnsi"/>
          <w:color w:val="000000"/>
        </w:rPr>
        <w:t>According to CIPD (2023a</w:t>
      </w:r>
      <w:r w:rsidR="0080214C">
        <w:rPr>
          <w:rFonts w:cstheme="minorHAnsi"/>
          <w:color w:val="000000"/>
        </w:rPr>
        <w:t xml:space="preserve">) there are two distinct forms of employee voice.  </w:t>
      </w:r>
      <w:r w:rsidR="00284987">
        <w:rPr>
          <w:rFonts w:cstheme="minorHAnsi"/>
          <w:color w:val="000000"/>
        </w:rPr>
        <w:t>C</w:t>
      </w:r>
      <w:r w:rsidR="0080214C">
        <w:rPr>
          <w:rFonts w:cstheme="minorHAnsi"/>
          <w:color w:val="000000"/>
        </w:rPr>
        <w:t>ollective voice where employees are giv</w:t>
      </w:r>
      <w:r w:rsidR="00284987">
        <w:rPr>
          <w:rFonts w:cstheme="minorHAnsi"/>
          <w:color w:val="000000"/>
        </w:rPr>
        <w:t xml:space="preserve">en a collective voice through </w:t>
      </w:r>
      <w:r w:rsidR="0080214C">
        <w:rPr>
          <w:rFonts w:cstheme="minorHAnsi"/>
          <w:color w:val="000000"/>
        </w:rPr>
        <w:t>trade union</w:t>
      </w:r>
      <w:r w:rsidR="00284987">
        <w:rPr>
          <w:rFonts w:cstheme="minorHAnsi"/>
          <w:color w:val="000000"/>
        </w:rPr>
        <w:t>s</w:t>
      </w:r>
      <w:r w:rsidR="0080214C">
        <w:rPr>
          <w:rFonts w:cstheme="minorHAnsi"/>
          <w:color w:val="000000"/>
        </w:rPr>
        <w:t xml:space="preserve"> or where there is no union, an employee representative through staff</w:t>
      </w:r>
      <w:r w:rsidR="00671E4C">
        <w:rPr>
          <w:rFonts w:cstheme="minorHAnsi"/>
          <w:color w:val="000000"/>
        </w:rPr>
        <w:t xml:space="preserve"> forums.  Individual voice</w:t>
      </w:r>
      <w:r w:rsidR="0080214C">
        <w:rPr>
          <w:rFonts w:cstheme="minorHAnsi"/>
          <w:color w:val="000000"/>
        </w:rPr>
        <w:t xml:space="preserve"> through direct dialogue with management </w:t>
      </w:r>
      <w:r w:rsidR="003B4B3D">
        <w:rPr>
          <w:rFonts w:cstheme="minorHAnsi"/>
          <w:color w:val="000000"/>
        </w:rPr>
        <w:t xml:space="preserve">where employees can express their thoughts, views and ideas.  </w:t>
      </w:r>
      <w:r w:rsidR="0080214C">
        <w:rPr>
          <w:rFonts w:cstheme="minorHAnsi"/>
          <w:color w:val="000000"/>
        </w:rPr>
        <w:t xml:space="preserve"> </w:t>
      </w:r>
    </w:p>
    <w:p w:rsidR="009D4083" w:rsidRDefault="003B4B3D" w:rsidP="00B44404">
      <w:pPr>
        <w:jc w:val="both"/>
        <w:rPr>
          <w:rFonts w:cstheme="minorHAnsi"/>
          <w:color w:val="000000"/>
        </w:rPr>
      </w:pPr>
      <w:r>
        <w:rPr>
          <w:rFonts w:cstheme="minorHAnsi"/>
          <w:color w:val="000000"/>
        </w:rPr>
        <w:t xml:space="preserve">Marchington et al (2020) introduces the facilitation of employee voice through employee involvement and participation (EIP).  Employment involvement could be increased with use of technology via social media and communication platforms such as Teams, Zoom and email.  </w:t>
      </w:r>
      <w:r w:rsidR="004723FB">
        <w:rPr>
          <w:rFonts w:cstheme="minorHAnsi"/>
          <w:color w:val="000000"/>
        </w:rPr>
        <w:t xml:space="preserve">With increased amounts of employees now hybrid working the use of social media and technology is especially important.  Holland et al (2016) feels that social media can be used to provide wider access to EIP with it allowing employees a voice where otherwise they would feel they do not have one.  </w:t>
      </w:r>
      <w:r w:rsidR="00284987">
        <w:rPr>
          <w:rFonts w:cstheme="minorHAnsi"/>
          <w:color w:val="000000"/>
        </w:rPr>
        <w:t xml:space="preserve">Go Quest may wish to consider various avenues to increase employee voice in their company.  </w:t>
      </w:r>
    </w:p>
    <w:p w:rsidR="00B44404" w:rsidRPr="00B44404" w:rsidRDefault="00B44404" w:rsidP="00B44404">
      <w:pPr>
        <w:rPr>
          <w:rFonts w:cstheme="minorHAnsi"/>
          <w:color w:val="000000"/>
        </w:rPr>
      </w:pPr>
    </w:p>
    <w:p w:rsidR="009D4083" w:rsidRDefault="009D4083" w:rsidP="009D4083">
      <w:pPr>
        <w:pStyle w:val="Listparag"/>
        <w:numPr>
          <w:ilvl w:val="0"/>
          <w:numId w:val="2"/>
        </w:numPr>
        <w:spacing w:after="0" w:line="240" w:lineRule="auto"/>
        <w:rPr>
          <w:b/>
          <w:color w:val="000000" w:themeColor="text1"/>
        </w:rPr>
      </w:pPr>
      <w:r w:rsidRPr="009D4083">
        <w:rPr>
          <w:b/>
          <w:color w:val="000000" w:themeColor="text1"/>
        </w:rPr>
        <w:t xml:space="preserve">Differentiate between employee involvement and employee participation and how it builds relationships. (AC 1.2) </w:t>
      </w:r>
    </w:p>
    <w:p w:rsidR="005233BA" w:rsidRDefault="005233BA" w:rsidP="005233BA">
      <w:pPr>
        <w:pStyle w:val="Listparag"/>
        <w:numPr>
          <w:ilvl w:val="0"/>
          <w:numId w:val="0"/>
        </w:numPr>
        <w:spacing w:after="0" w:line="240" w:lineRule="auto"/>
        <w:ind w:left="720" w:hanging="360"/>
        <w:rPr>
          <w:b/>
          <w:color w:val="000000" w:themeColor="text1"/>
        </w:rPr>
      </w:pPr>
    </w:p>
    <w:p w:rsidR="00D959D5" w:rsidRDefault="008655D8" w:rsidP="000056F9">
      <w:pPr>
        <w:jc w:val="both"/>
        <w:rPr>
          <w:shd w:val="clear" w:color="auto" w:fill="FFFFFF"/>
        </w:rPr>
      </w:pPr>
      <w:r>
        <w:rPr>
          <w:shd w:val="clear" w:color="auto" w:fill="FFFFFF"/>
        </w:rPr>
        <w:t>Taylor and Woodhams (2022) advise that e</w:t>
      </w:r>
      <w:r w:rsidR="00D959D5">
        <w:rPr>
          <w:shd w:val="clear" w:color="auto" w:fill="FFFFFF"/>
        </w:rPr>
        <w:t xml:space="preserve">mployee involvement refers to the employee having a part in problem solving and decision making by using their expertise and knowledge to help the company meets its objectives. Employee involvement is a collaborative team approach where employees will all be able to contribute in a structured way, which is usually </w:t>
      </w:r>
      <w:r>
        <w:rPr>
          <w:shd w:val="clear" w:color="auto" w:fill="FFFFFF"/>
        </w:rPr>
        <w:t>introduced by management via means such as email, management briefings, problem-solving groups, suggestion schemes etc.</w:t>
      </w:r>
    </w:p>
    <w:p w:rsidR="009D4083" w:rsidRDefault="003648A2" w:rsidP="000056F9">
      <w:pPr>
        <w:jc w:val="both"/>
        <w:rPr>
          <w:shd w:val="clear" w:color="auto" w:fill="FFFFFF"/>
        </w:rPr>
      </w:pPr>
      <w:r>
        <w:rPr>
          <w:shd w:val="clear" w:color="auto" w:fill="FFFFFF"/>
        </w:rPr>
        <w:t>Employee participation refers to the act of involving the employees with the decision making process of the employer</w:t>
      </w:r>
      <w:r w:rsidR="007716E7">
        <w:rPr>
          <w:shd w:val="clear" w:color="auto" w:fill="FFFFFF"/>
        </w:rPr>
        <w:t>.  The employee plays an act</w:t>
      </w:r>
      <w:r w:rsidR="00671E4C">
        <w:rPr>
          <w:shd w:val="clear" w:color="auto" w:fill="FFFFFF"/>
        </w:rPr>
        <w:t>ive part in making decisions on</w:t>
      </w:r>
      <w:r w:rsidR="007716E7">
        <w:rPr>
          <w:shd w:val="clear" w:color="auto" w:fill="FFFFFF"/>
        </w:rPr>
        <w:t xml:space="preserve"> how the company moves forward to obtain the shared goal</w:t>
      </w:r>
      <w:r w:rsidR="008655D8">
        <w:rPr>
          <w:shd w:val="clear" w:color="auto" w:fill="FFFFFF"/>
        </w:rPr>
        <w:t xml:space="preserve">.  This is usually done through a union or employee representation.  </w:t>
      </w:r>
    </w:p>
    <w:p w:rsidR="007716E7" w:rsidRDefault="007716E7" w:rsidP="000056F9">
      <w:pPr>
        <w:jc w:val="both"/>
        <w:rPr>
          <w:shd w:val="clear" w:color="auto" w:fill="FFFFFF"/>
        </w:rPr>
      </w:pPr>
      <w:r>
        <w:rPr>
          <w:shd w:val="clear" w:color="auto" w:fill="FFFFFF"/>
        </w:rPr>
        <w:t>Employee participation and employee involvement differ in that</w:t>
      </w:r>
      <w:r w:rsidR="008655D8">
        <w:rPr>
          <w:shd w:val="clear" w:color="auto" w:fill="FFFFFF"/>
        </w:rPr>
        <w:t xml:space="preserve"> employee involvement is usually through direct voice, whereby employees with communicate directly with management.  This can be </w:t>
      </w:r>
      <w:r w:rsidR="008655D8">
        <w:rPr>
          <w:shd w:val="clear" w:color="auto" w:fill="FFFFFF"/>
        </w:rPr>
        <w:lastRenderedPageBreak/>
        <w:t>informally or formally.  However, it can also be through indirect voice via Unions or collective collaboration.  Employee participation is generally only through indirect voice.</w:t>
      </w:r>
    </w:p>
    <w:p w:rsidR="008D6065" w:rsidRPr="008D6065" w:rsidRDefault="008D6065" w:rsidP="000056F9">
      <w:pPr>
        <w:jc w:val="both"/>
        <w:rPr>
          <w:shd w:val="clear" w:color="auto" w:fill="FFFFFF"/>
        </w:rPr>
      </w:pPr>
      <w:r>
        <w:rPr>
          <w:shd w:val="clear" w:color="auto" w:fill="FFFFFF"/>
        </w:rPr>
        <w:t>CIPD (2019) point out the benefits of employee involvement and participation stating that engaged employees are healthier, happier, more fulfilled and motivated.  It creates a sense of trust between employees and management and also gives the employees a sense of community leading to loyalty towards the company.</w:t>
      </w:r>
    </w:p>
    <w:p w:rsidR="007716E7" w:rsidRPr="000056F9" w:rsidRDefault="009C17C5" w:rsidP="000056F9">
      <w:pPr>
        <w:jc w:val="both"/>
        <w:rPr>
          <w:color w:val="000000" w:themeColor="text1"/>
        </w:rPr>
      </w:pPr>
      <w:r w:rsidRPr="000056F9">
        <w:rPr>
          <w:color w:val="000000" w:themeColor="text1"/>
        </w:rPr>
        <w:t>Go quest should consi</w:t>
      </w:r>
      <w:r w:rsidR="008D6065" w:rsidRPr="000056F9">
        <w:rPr>
          <w:color w:val="000000" w:themeColor="text1"/>
        </w:rPr>
        <w:t>der using</w:t>
      </w:r>
      <w:r w:rsidR="000056F9" w:rsidRPr="000056F9">
        <w:rPr>
          <w:color w:val="000000" w:themeColor="text1"/>
        </w:rPr>
        <w:t xml:space="preserve"> a mixture of bot</w:t>
      </w:r>
      <w:r w:rsidR="000056F9">
        <w:rPr>
          <w:color w:val="000000" w:themeColor="text1"/>
        </w:rPr>
        <w:t>h approaches to ensure the best employee engagement.</w:t>
      </w:r>
    </w:p>
    <w:p w:rsidR="009D4083" w:rsidRPr="009D4083" w:rsidRDefault="009D4083" w:rsidP="009D4083">
      <w:pPr>
        <w:pStyle w:val="Listparag"/>
        <w:numPr>
          <w:ilvl w:val="0"/>
          <w:numId w:val="0"/>
        </w:numPr>
        <w:spacing w:after="0" w:line="240" w:lineRule="auto"/>
        <w:ind w:left="720" w:hanging="360"/>
        <w:rPr>
          <w:b/>
          <w:color w:val="000000" w:themeColor="text1"/>
        </w:rPr>
      </w:pPr>
    </w:p>
    <w:p w:rsidR="009D4083" w:rsidRPr="009C17C5" w:rsidRDefault="009D4083" w:rsidP="009D4083">
      <w:pPr>
        <w:pStyle w:val="Nornal"/>
        <w:numPr>
          <w:ilvl w:val="0"/>
          <w:numId w:val="2"/>
        </w:numPr>
        <w:spacing w:after="0" w:line="240" w:lineRule="auto"/>
        <w:rPr>
          <w:rFonts w:asciiTheme="minorHAnsi" w:hAnsiTheme="minorHAnsi" w:cstheme="minorHAnsi"/>
          <w:b/>
          <w:color w:val="000000"/>
        </w:rPr>
      </w:pPr>
      <w:r w:rsidRPr="009D4083">
        <w:rPr>
          <w:rFonts w:asciiTheme="minorHAnsi" w:hAnsiTheme="minorHAnsi" w:cstheme="minorHAnsi"/>
          <w:b/>
          <w:color w:val="000000" w:themeColor="text1"/>
        </w:rPr>
        <w:t xml:space="preserve">Assess </w:t>
      </w:r>
      <w:r w:rsidRPr="009D4083">
        <w:rPr>
          <w:rFonts w:asciiTheme="minorHAnsi" w:hAnsiTheme="minorHAnsi" w:cstheme="minorHAnsi"/>
          <w:b/>
          <w:bCs/>
          <w:color w:val="000000" w:themeColor="text1"/>
        </w:rPr>
        <w:t>three</w:t>
      </w:r>
      <w:r w:rsidRPr="009D4083">
        <w:rPr>
          <w:rFonts w:asciiTheme="minorHAnsi" w:hAnsiTheme="minorHAnsi" w:cstheme="minorHAnsi"/>
          <w:b/>
          <w:color w:val="000000" w:themeColor="text1"/>
        </w:rPr>
        <w:t xml:space="preserve"> employee voice tools and </w:t>
      </w:r>
      <w:r w:rsidRPr="009D4083">
        <w:rPr>
          <w:rFonts w:asciiTheme="minorHAnsi" w:hAnsiTheme="minorHAnsi" w:cstheme="minorHAnsi"/>
          <w:b/>
          <w:bCs/>
          <w:color w:val="000000" w:themeColor="text1"/>
        </w:rPr>
        <w:t>two</w:t>
      </w:r>
      <w:r w:rsidRPr="009D4083">
        <w:rPr>
          <w:rFonts w:asciiTheme="minorHAnsi" w:hAnsiTheme="minorHAnsi" w:cstheme="minorHAnsi"/>
          <w:b/>
          <w:color w:val="000000" w:themeColor="text1"/>
        </w:rPr>
        <w:t xml:space="preserve"> approaches that might be used to drive employee engagement. (AC 1.3)</w:t>
      </w:r>
    </w:p>
    <w:p w:rsidR="009C17C5" w:rsidRDefault="009C17C5" w:rsidP="009C17C5">
      <w:pPr>
        <w:pStyle w:val="Nornal"/>
        <w:spacing w:after="0" w:line="240" w:lineRule="auto"/>
        <w:rPr>
          <w:rFonts w:asciiTheme="minorHAnsi" w:hAnsiTheme="minorHAnsi" w:cstheme="minorHAnsi"/>
          <w:b/>
          <w:color w:val="000000" w:themeColor="text1"/>
        </w:rPr>
      </w:pPr>
    </w:p>
    <w:p w:rsidR="009C17C5" w:rsidRDefault="00413E12" w:rsidP="000177C6">
      <w:pPr>
        <w:pStyle w:val="Nornal"/>
        <w:spacing w:after="0" w:line="240" w:lineRule="auto"/>
        <w:jc w:val="both"/>
        <w:rPr>
          <w:rFonts w:asciiTheme="minorHAnsi" w:hAnsiTheme="minorHAnsi" w:cstheme="minorHAnsi"/>
          <w:color w:val="000000"/>
        </w:rPr>
      </w:pPr>
      <w:r>
        <w:rPr>
          <w:rFonts w:asciiTheme="minorHAnsi" w:hAnsiTheme="minorHAnsi" w:cstheme="minorHAnsi"/>
          <w:color w:val="000000"/>
        </w:rPr>
        <w:t xml:space="preserve">There are a variety of different employee voice tools that </w:t>
      </w:r>
      <w:r w:rsidR="00131676">
        <w:rPr>
          <w:rFonts w:asciiTheme="minorHAnsi" w:hAnsiTheme="minorHAnsi" w:cstheme="minorHAnsi"/>
          <w:color w:val="000000"/>
        </w:rPr>
        <w:t>Go Quest could adopt</w:t>
      </w:r>
      <w:r>
        <w:rPr>
          <w:rFonts w:asciiTheme="minorHAnsi" w:hAnsiTheme="minorHAnsi" w:cstheme="minorHAnsi"/>
          <w:color w:val="000000"/>
        </w:rPr>
        <w:t>.  Campbell et al (2021</w:t>
      </w:r>
      <w:r w:rsidR="002B6364">
        <w:rPr>
          <w:rFonts w:asciiTheme="minorHAnsi" w:hAnsiTheme="minorHAnsi" w:cstheme="minorHAnsi"/>
          <w:color w:val="000000"/>
        </w:rPr>
        <w:t>b</w:t>
      </w:r>
      <w:r w:rsidR="0008091C">
        <w:rPr>
          <w:rFonts w:asciiTheme="minorHAnsi" w:hAnsiTheme="minorHAnsi" w:cstheme="minorHAnsi"/>
          <w:color w:val="000000"/>
        </w:rPr>
        <w:t xml:space="preserve"> &amp; 2021b</w:t>
      </w:r>
      <w:r>
        <w:rPr>
          <w:rFonts w:asciiTheme="minorHAnsi" w:hAnsiTheme="minorHAnsi" w:cstheme="minorHAnsi"/>
          <w:color w:val="000000"/>
        </w:rPr>
        <w:t>) outlines the following tools as being effective at driving employee engagement:</w:t>
      </w:r>
    </w:p>
    <w:p w:rsidR="00413E12" w:rsidRDefault="00413E12" w:rsidP="000177C6">
      <w:pPr>
        <w:pStyle w:val="Nornal"/>
        <w:spacing w:after="0" w:line="240" w:lineRule="auto"/>
        <w:jc w:val="both"/>
        <w:rPr>
          <w:rFonts w:asciiTheme="minorHAnsi" w:hAnsiTheme="minorHAnsi" w:cstheme="minorHAnsi"/>
          <w:color w:val="000000"/>
        </w:rPr>
      </w:pPr>
    </w:p>
    <w:p w:rsidR="00413E12" w:rsidRDefault="00413E12" w:rsidP="000177C6">
      <w:pPr>
        <w:pStyle w:val="Nornal"/>
        <w:numPr>
          <w:ilvl w:val="0"/>
          <w:numId w:val="7"/>
        </w:numPr>
        <w:spacing w:after="0" w:line="240" w:lineRule="auto"/>
        <w:jc w:val="both"/>
        <w:rPr>
          <w:rFonts w:asciiTheme="minorHAnsi" w:hAnsiTheme="minorHAnsi" w:cstheme="minorHAnsi"/>
          <w:color w:val="000000"/>
          <w:u w:val="single"/>
        </w:rPr>
      </w:pPr>
      <w:r>
        <w:rPr>
          <w:rFonts w:asciiTheme="minorHAnsi" w:hAnsiTheme="minorHAnsi" w:cstheme="minorHAnsi"/>
          <w:color w:val="000000"/>
          <w:u w:val="single"/>
        </w:rPr>
        <w:t>Focus g</w:t>
      </w:r>
      <w:r w:rsidRPr="00413E12">
        <w:rPr>
          <w:rFonts w:asciiTheme="minorHAnsi" w:hAnsiTheme="minorHAnsi" w:cstheme="minorHAnsi"/>
          <w:color w:val="000000"/>
          <w:u w:val="single"/>
        </w:rPr>
        <w:t>roups</w:t>
      </w:r>
    </w:p>
    <w:p w:rsidR="00413E12" w:rsidRDefault="00C542C8" w:rsidP="000177C6">
      <w:pPr>
        <w:pStyle w:val="Nornal"/>
        <w:spacing w:after="0" w:line="240" w:lineRule="auto"/>
        <w:ind w:left="720"/>
        <w:jc w:val="both"/>
        <w:rPr>
          <w:rFonts w:asciiTheme="minorHAnsi" w:hAnsiTheme="minorHAnsi" w:cstheme="minorHAnsi"/>
          <w:color w:val="000000"/>
        </w:rPr>
      </w:pPr>
      <w:r>
        <w:rPr>
          <w:rFonts w:asciiTheme="minorHAnsi" w:hAnsiTheme="minorHAnsi" w:cstheme="minorHAnsi"/>
          <w:color w:val="000000"/>
        </w:rPr>
        <w:t xml:space="preserve">A focus </w:t>
      </w:r>
      <w:r w:rsidR="00413E12">
        <w:rPr>
          <w:rFonts w:asciiTheme="minorHAnsi" w:hAnsiTheme="minorHAnsi" w:cstheme="minorHAnsi"/>
          <w:color w:val="000000"/>
        </w:rPr>
        <w:t xml:space="preserve">group should represent a </w:t>
      </w:r>
      <w:r>
        <w:rPr>
          <w:rFonts w:asciiTheme="minorHAnsi" w:hAnsiTheme="minorHAnsi" w:cstheme="minorHAnsi"/>
          <w:color w:val="000000"/>
        </w:rPr>
        <w:t xml:space="preserve">small </w:t>
      </w:r>
      <w:r w:rsidR="00413E12">
        <w:rPr>
          <w:rFonts w:asciiTheme="minorHAnsi" w:hAnsiTheme="minorHAnsi" w:cstheme="minorHAnsi"/>
          <w:color w:val="000000"/>
        </w:rPr>
        <w:t>cross section of the workforce with employee</w:t>
      </w:r>
      <w:r w:rsidR="000F2A7B">
        <w:rPr>
          <w:rFonts w:asciiTheme="minorHAnsi" w:hAnsiTheme="minorHAnsi" w:cstheme="minorHAnsi"/>
          <w:color w:val="000000"/>
        </w:rPr>
        <w:t xml:space="preserve">s from different </w:t>
      </w:r>
      <w:r w:rsidR="00661E79">
        <w:rPr>
          <w:rFonts w:asciiTheme="minorHAnsi" w:hAnsiTheme="minorHAnsi" w:cstheme="minorHAnsi"/>
          <w:color w:val="000000"/>
        </w:rPr>
        <w:t xml:space="preserve">groups and </w:t>
      </w:r>
      <w:r>
        <w:rPr>
          <w:rFonts w:asciiTheme="minorHAnsi" w:hAnsiTheme="minorHAnsi" w:cstheme="minorHAnsi"/>
          <w:color w:val="000000"/>
        </w:rPr>
        <w:t xml:space="preserve">diverse backgrounds to discuss in detail a particular chosen topic. </w:t>
      </w:r>
    </w:p>
    <w:p w:rsidR="00413E12" w:rsidRPr="00413E12" w:rsidRDefault="00413E12" w:rsidP="000177C6">
      <w:pPr>
        <w:pStyle w:val="Nornal"/>
        <w:spacing w:after="0" w:line="240" w:lineRule="auto"/>
        <w:ind w:left="720"/>
        <w:jc w:val="both"/>
        <w:rPr>
          <w:rFonts w:asciiTheme="minorHAnsi" w:hAnsiTheme="minorHAnsi" w:cstheme="minorHAnsi"/>
          <w:color w:val="000000"/>
        </w:rPr>
      </w:pPr>
    </w:p>
    <w:p w:rsidR="00413E12" w:rsidRDefault="00C542C8" w:rsidP="000177C6">
      <w:pPr>
        <w:pStyle w:val="Nornal"/>
        <w:numPr>
          <w:ilvl w:val="0"/>
          <w:numId w:val="7"/>
        </w:numPr>
        <w:spacing w:after="0" w:line="240" w:lineRule="auto"/>
        <w:jc w:val="both"/>
        <w:rPr>
          <w:rFonts w:asciiTheme="minorHAnsi" w:hAnsiTheme="minorHAnsi" w:cstheme="minorHAnsi"/>
          <w:color w:val="000000"/>
          <w:u w:val="single"/>
        </w:rPr>
      </w:pPr>
      <w:r>
        <w:rPr>
          <w:rFonts w:asciiTheme="minorHAnsi" w:hAnsiTheme="minorHAnsi" w:cstheme="minorHAnsi"/>
          <w:color w:val="000000"/>
          <w:u w:val="single"/>
        </w:rPr>
        <w:t>Meetings</w:t>
      </w:r>
    </w:p>
    <w:p w:rsidR="000177C6" w:rsidRPr="0008349F" w:rsidRDefault="0008349F" w:rsidP="008578C0">
      <w:pPr>
        <w:pStyle w:val="Nornal"/>
        <w:spacing w:after="0" w:line="240" w:lineRule="auto"/>
        <w:ind w:left="720"/>
        <w:jc w:val="both"/>
        <w:rPr>
          <w:rFonts w:asciiTheme="minorHAnsi" w:hAnsiTheme="minorHAnsi" w:cstheme="minorHAnsi"/>
          <w:color w:val="000000"/>
        </w:rPr>
      </w:pPr>
      <w:r>
        <w:rPr>
          <w:rFonts w:asciiTheme="minorHAnsi" w:hAnsiTheme="minorHAnsi" w:cstheme="minorHAnsi"/>
          <w:color w:val="000000"/>
        </w:rPr>
        <w:t xml:space="preserve">Meetings are a very valuable tool </w:t>
      </w:r>
      <w:r w:rsidR="001C1F91">
        <w:rPr>
          <w:rFonts w:asciiTheme="minorHAnsi" w:hAnsiTheme="minorHAnsi" w:cstheme="minorHAnsi"/>
          <w:color w:val="000000"/>
        </w:rPr>
        <w:t>when use</w:t>
      </w:r>
      <w:r w:rsidR="00450AF8">
        <w:rPr>
          <w:rFonts w:asciiTheme="minorHAnsi" w:hAnsiTheme="minorHAnsi" w:cstheme="minorHAnsi"/>
          <w:color w:val="000000"/>
        </w:rPr>
        <w:t>d</w:t>
      </w:r>
      <w:r w:rsidR="001C1F91">
        <w:rPr>
          <w:rFonts w:asciiTheme="minorHAnsi" w:hAnsiTheme="minorHAnsi" w:cstheme="minorHAnsi"/>
          <w:color w:val="000000"/>
        </w:rPr>
        <w:t xml:space="preserve"> effectively</w:t>
      </w:r>
      <w:r w:rsidR="00450AF8">
        <w:rPr>
          <w:rFonts w:asciiTheme="minorHAnsi" w:hAnsiTheme="minorHAnsi" w:cstheme="minorHAnsi"/>
          <w:color w:val="000000"/>
        </w:rPr>
        <w:t xml:space="preserve">. Perlow (2017) gives 5 points that can help make a meeting </w:t>
      </w:r>
      <w:r w:rsidR="00661E79">
        <w:rPr>
          <w:rFonts w:asciiTheme="minorHAnsi" w:hAnsiTheme="minorHAnsi" w:cstheme="minorHAnsi"/>
          <w:color w:val="000000"/>
        </w:rPr>
        <w:t>more efficient.  Collecting data</w:t>
      </w:r>
      <w:r w:rsidR="00450AF8">
        <w:rPr>
          <w:rFonts w:asciiTheme="minorHAnsi" w:hAnsiTheme="minorHAnsi" w:cstheme="minorHAnsi"/>
          <w:color w:val="000000"/>
        </w:rPr>
        <w:t xml:space="preserve"> from each person, interpreting data together, agree on a coll</w:t>
      </w:r>
      <w:r w:rsidR="00661E79">
        <w:rPr>
          <w:rFonts w:asciiTheme="minorHAnsi" w:hAnsiTheme="minorHAnsi" w:cstheme="minorHAnsi"/>
          <w:color w:val="000000"/>
        </w:rPr>
        <w:t>ective</w:t>
      </w:r>
      <w:r w:rsidR="00450AF8">
        <w:rPr>
          <w:rFonts w:asciiTheme="minorHAnsi" w:hAnsiTheme="minorHAnsi" w:cstheme="minorHAnsi"/>
          <w:color w:val="000000"/>
        </w:rPr>
        <w:t xml:space="preserve"> personally relevant goal, set milestone and monitor progress and regularly debrief as a group.  </w:t>
      </w:r>
    </w:p>
    <w:p w:rsidR="00661E79" w:rsidRDefault="00661E79" w:rsidP="008578C0">
      <w:pPr>
        <w:pStyle w:val="Nornal"/>
        <w:spacing w:after="0" w:line="240" w:lineRule="auto"/>
        <w:jc w:val="both"/>
        <w:rPr>
          <w:rFonts w:asciiTheme="minorHAnsi" w:hAnsiTheme="minorHAnsi" w:cstheme="minorHAnsi"/>
          <w:color w:val="000000"/>
        </w:rPr>
      </w:pPr>
    </w:p>
    <w:p w:rsidR="00413E12" w:rsidRDefault="000177C6" w:rsidP="00EF1157">
      <w:pPr>
        <w:pStyle w:val="Nornal"/>
        <w:numPr>
          <w:ilvl w:val="0"/>
          <w:numId w:val="7"/>
        </w:numPr>
        <w:spacing w:after="0" w:line="240" w:lineRule="auto"/>
        <w:jc w:val="both"/>
        <w:rPr>
          <w:rFonts w:asciiTheme="minorHAnsi" w:hAnsiTheme="minorHAnsi" w:cstheme="minorHAnsi"/>
          <w:color w:val="000000"/>
          <w:u w:val="single"/>
        </w:rPr>
      </w:pPr>
      <w:r w:rsidRPr="000177C6">
        <w:rPr>
          <w:rFonts w:asciiTheme="minorHAnsi" w:hAnsiTheme="minorHAnsi" w:cstheme="minorHAnsi"/>
          <w:color w:val="000000"/>
          <w:u w:val="single"/>
        </w:rPr>
        <w:t>E</w:t>
      </w:r>
      <w:r w:rsidR="009D4321">
        <w:rPr>
          <w:rFonts w:asciiTheme="minorHAnsi" w:hAnsiTheme="minorHAnsi" w:cstheme="minorHAnsi"/>
          <w:color w:val="000000"/>
          <w:u w:val="single"/>
        </w:rPr>
        <w:t xml:space="preserve">mployee </w:t>
      </w:r>
      <w:r w:rsidR="00BF5DCF">
        <w:rPr>
          <w:rFonts w:asciiTheme="minorHAnsi" w:hAnsiTheme="minorHAnsi" w:cstheme="minorHAnsi"/>
          <w:color w:val="000000"/>
          <w:u w:val="single"/>
        </w:rPr>
        <w:t>surveys</w:t>
      </w:r>
    </w:p>
    <w:p w:rsidR="00131676" w:rsidRPr="00BF5DCF" w:rsidRDefault="00BF5DCF" w:rsidP="00284987">
      <w:pPr>
        <w:pStyle w:val="Nornal"/>
        <w:spacing w:after="0" w:line="240" w:lineRule="auto"/>
        <w:ind w:left="720"/>
        <w:jc w:val="both"/>
        <w:rPr>
          <w:rFonts w:asciiTheme="minorHAnsi" w:hAnsiTheme="minorHAnsi" w:cstheme="minorHAnsi"/>
          <w:color w:val="000000"/>
        </w:rPr>
      </w:pPr>
      <w:r>
        <w:rPr>
          <w:rFonts w:asciiTheme="minorHAnsi" w:hAnsiTheme="minorHAnsi" w:cstheme="minorHAnsi"/>
          <w:color w:val="000000"/>
        </w:rPr>
        <w:t xml:space="preserve">Surveys are a widely used, simple and cost effective way to collect views and feedback from employees.  </w:t>
      </w:r>
      <w:r w:rsidR="00337A12">
        <w:rPr>
          <w:rFonts w:asciiTheme="minorHAnsi" w:hAnsiTheme="minorHAnsi" w:cstheme="minorHAnsi"/>
          <w:color w:val="000000"/>
        </w:rPr>
        <w:t xml:space="preserve">Accordingly to Baumgartner (2021) 77% of employees said they would be more honest in surveys than they would in a meeting with a manager and 58% of employees want to be surveyed more often.   </w:t>
      </w:r>
    </w:p>
    <w:p w:rsidR="000177C6" w:rsidRDefault="000177C6" w:rsidP="000177C6">
      <w:pPr>
        <w:pStyle w:val="Nornal"/>
        <w:spacing w:after="0" w:line="240" w:lineRule="auto"/>
        <w:jc w:val="both"/>
        <w:rPr>
          <w:rFonts w:asciiTheme="minorHAnsi" w:hAnsiTheme="minorHAnsi" w:cstheme="minorHAnsi"/>
          <w:color w:val="000000"/>
          <w:u w:val="single"/>
        </w:rPr>
      </w:pPr>
    </w:p>
    <w:p w:rsidR="000177C6" w:rsidRDefault="00C650A9" w:rsidP="00DC7296">
      <w:pPr>
        <w:pStyle w:val="Nornal"/>
        <w:spacing w:after="0" w:line="240" w:lineRule="auto"/>
        <w:jc w:val="both"/>
        <w:rPr>
          <w:rFonts w:asciiTheme="minorHAnsi" w:hAnsiTheme="minorHAnsi" w:cstheme="minorHAnsi"/>
          <w:color w:val="000000"/>
        </w:rPr>
      </w:pPr>
      <w:r>
        <w:rPr>
          <w:rFonts w:asciiTheme="minorHAnsi" w:hAnsiTheme="minorHAnsi" w:cstheme="minorHAnsi"/>
          <w:color w:val="000000"/>
        </w:rPr>
        <w:t xml:space="preserve">The social exchange theory </w:t>
      </w:r>
      <w:r w:rsidR="001753FB">
        <w:rPr>
          <w:rFonts w:asciiTheme="minorHAnsi" w:hAnsiTheme="minorHAnsi" w:cstheme="minorHAnsi"/>
          <w:color w:val="000000"/>
        </w:rPr>
        <w:t>is based on the view that employees who feel they</w:t>
      </w:r>
      <w:r w:rsidR="00861CC6">
        <w:rPr>
          <w:rFonts w:asciiTheme="minorHAnsi" w:hAnsiTheme="minorHAnsi" w:cstheme="minorHAnsi"/>
          <w:color w:val="000000"/>
        </w:rPr>
        <w:t xml:space="preserve"> will b</w:t>
      </w:r>
      <w:r w:rsidR="001753FB">
        <w:rPr>
          <w:rFonts w:asciiTheme="minorHAnsi" w:hAnsiTheme="minorHAnsi" w:cstheme="minorHAnsi"/>
          <w:color w:val="000000"/>
        </w:rPr>
        <w:t xml:space="preserve">enefit from continuing a relationship with a company are more likely to commit and fully engage with their employers.   An employee reward scheme is an example </w:t>
      </w:r>
      <w:r w:rsidR="00EE72EF">
        <w:rPr>
          <w:rFonts w:asciiTheme="minorHAnsi" w:hAnsiTheme="minorHAnsi" w:cstheme="minorHAnsi"/>
          <w:color w:val="000000"/>
        </w:rPr>
        <w:t xml:space="preserve">this.  </w:t>
      </w:r>
      <w:r w:rsidR="000177C6">
        <w:rPr>
          <w:rFonts w:asciiTheme="minorHAnsi" w:hAnsiTheme="minorHAnsi" w:cstheme="minorHAnsi"/>
          <w:color w:val="000000"/>
        </w:rPr>
        <w:t>Having an</w:t>
      </w:r>
      <w:r>
        <w:rPr>
          <w:rFonts w:asciiTheme="minorHAnsi" w:hAnsiTheme="minorHAnsi" w:cstheme="minorHAnsi"/>
          <w:color w:val="000000"/>
        </w:rPr>
        <w:t xml:space="preserve"> effective </w:t>
      </w:r>
      <w:r w:rsidR="000177C6">
        <w:rPr>
          <w:rFonts w:asciiTheme="minorHAnsi" w:hAnsiTheme="minorHAnsi" w:cstheme="minorHAnsi"/>
          <w:color w:val="000000"/>
        </w:rPr>
        <w:t>employee recognition program is an approach to help</w:t>
      </w:r>
      <w:r>
        <w:rPr>
          <w:rFonts w:asciiTheme="minorHAnsi" w:hAnsiTheme="minorHAnsi" w:cstheme="minorHAnsi"/>
          <w:color w:val="000000"/>
        </w:rPr>
        <w:t xml:space="preserve"> drive employee</w:t>
      </w:r>
      <w:r w:rsidR="000177C6">
        <w:rPr>
          <w:rFonts w:asciiTheme="minorHAnsi" w:hAnsiTheme="minorHAnsi" w:cstheme="minorHAnsi"/>
          <w:color w:val="000000"/>
        </w:rPr>
        <w:t xml:space="preserve"> engagement according to Stefanski (2022).  A recognition program </w:t>
      </w:r>
      <w:r w:rsidR="00671E4C">
        <w:rPr>
          <w:rFonts w:asciiTheme="minorHAnsi" w:hAnsiTheme="minorHAnsi" w:cstheme="minorHAnsi"/>
          <w:color w:val="000000"/>
        </w:rPr>
        <w:t>rewards</w:t>
      </w:r>
      <w:r w:rsidR="000177C6">
        <w:rPr>
          <w:rFonts w:asciiTheme="minorHAnsi" w:hAnsiTheme="minorHAnsi" w:cstheme="minorHAnsi"/>
          <w:color w:val="000000"/>
        </w:rPr>
        <w:t xml:space="preserve"> staff for t</w:t>
      </w:r>
      <w:r w:rsidR="00671E4C">
        <w:rPr>
          <w:rFonts w:asciiTheme="minorHAnsi" w:hAnsiTheme="minorHAnsi" w:cstheme="minorHAnsi"/>
          <w:color w:val="000000"/>
        </w:rPr>
        <w:t>heir loyalty and hard work,</w:t>
      </w:r>
      <w:r w:rsidR="000177C6">
        <w:rPr>
          <w:rFonts w:asciiTheme="minorHAnsi" w:hAnsiTheme="minorHAnsi" w:cstheme="minorHAnsi"/>
          <w:color w:val="000000"/>
        </w:rPr>
        <w:t xml:space="preserve"> giving employees a feeling of being valued and appreciated.  Rewards can take many different form</w:t>
      </w:r>
      <w:r w:rsidR="0015606B">
        <w:rPr>
          <w:rFonts w:asciiTheme="minorHAnsi" w:hAnsiTheme="minorHAnsi" w:cstheme="minorHAnsi"/>
          <w:color w:val="000000"/>
        </w:rPr>
        <w:t>s</w:t>
      </w:r>
      <w:r w:rsidR="00661E79">
        <w:rPr>
          <w:rFonts w:asciiTheme="minorHAnsi" w:hAnsiTheme="minorHAnsi" w:cstheme="minorHAnsi"/>
          <w:color w:val="000000"/>
        </w:rPr>
        <w:t>.</w:t>
      </w:r>
      <w:r w:rsidR="000177C6">
        <w:rPr>
          <w:rFonts w:asciiTheme="minorHAnsi" w:hAnsiTheme="minorHAnsi" w:cstheme="minorHAnsi"/>
          <w:color w:val="000000"/>
        </w:rPr>
        <w:t xml:space="preserve">  </w:t>
      </w:r>
      <w:r w:rsidR="001753FB">
        <w:rPr>
          <w:rFonts w:asciiTheme="minorHAnsi" w:hAnsiTheme="minorHAnsi" w:cstheme="minorHAnsi"/>
          <w:color w:val="000000"/>
        </w:rPr>
        <w:t xml:space="preserve">The success of a reward scheme was also seen to be very effective in increasing engagement </w:t>
      </w:r>
      <w:r w:rsidR="0015606B">
        <w:rPr>
          <w:rFonts w:asciiTheme="minorHAnsi" w:hAnsiTheme="minorHAnsi" w:cstheme="minorHAnsi"/>
          <w:color w:val="000000"/>
        </w:rPr>
        <w:t xml:space="preserve">according to </w:t>
      </w:r>
      <w:r w:rsidR="001753FB">
        <w:rPr>
          <w:rFonts w:asciiTheme="minorHAnsi" w:hAnsiTheme="minorHAnsi" w:cstheme="minorHAnsi"/>
          <w:color w:val="000000"/>
        </w:rPr>
        <w:t>Lupton et al. (2015).</w:t>
      </w:r>
    </w:p>
    <w:p w:rsidR="00C650A9" w:rsidRDefault="00C650A9" w:rsidP="000177C6">
      <w:pPr>
        <w:pStyle w:val="Nornal"/>
        <w:spacing w:after="0" w:line="240" w:lineRule="auto"/>
        <w:ind w:left="720"/>
        <w:jc w:val="both"/>
        <w:rPr>
          <w:rFonts w:asciiTheme="minorHAnsi" w:hAnsiTheme="minorHAnsi" w:cstheme="minorHAnsi"/>
          <w:color w:val="000000"/>
        </w:rPr>
      </w:pPr>
    </w:p>
    <w:p w:rsidR="00413E12" w:rsidRDefault="006E6F02" w:rsidP="00DC7296">
      <w:pPr>
        <w:pStyle w:val="Nornal"/>
        <w:spacing w:after="0" w:line="240" w:lineRule="auto"/>
        <w:jc w:val="both"/>
        <w:rPr>
          <w:rFonts w:asciiTheme="minorHAnsi" w:hAnsiTheme="minorHAnsi" w:cstheme="minorHAnsi"/>
          <w:color w:val="000000"/>
        </w:rPr>
      </w:pPr>
      <w:r>
        <w:rPr>
          <w:rFonts w:asciiTheme="minorHAnsi" w:hAnsiTheme="minorHAnsi" w:cstheme="minorHAnsi"/>
          <w:color w:val="000000"/>
        </w:rPr>
        <w:t>According to Gifford and Young (2021) a</w:t>
      </w:r>
      <w:r w:rsidR="00C650A9">
        <w:rPr>
          <w:rFonts w:asciiTheme="minorHAnsi" w:hAnsiTheme="minorHAnsi" w:cstheme="minorHAnsi"/>
          <w:color w:val="000000"/>
        </w:rPr>
        <w:t xml:space="preserve">nother approach to help drive employee engagement </w:t>
      </w:r>
      <w:r>
        <w:rPr>
          <w:rFonts w:asciiTheme="minorHAnsi" w:hAnsiTheme="minorHAnsi" w:cstheme="minorHAnsi"/>
          <w:color w:val="000000"/>
        </w:rPr>
        <w:t>is autonomy or self-determination.  By giving employees control over how they do their job it gives them a</w:t>
      </w:r>
      <w:r w:rsidR="00661E79">
        <w:rPr>
          <w:rFonts w:asciiTheme="minorHAnsi" w:hAnsiTheme="minorHAnsi" w:cstheme="minorHAnsi"/>
          <w:color w:val="000000"/>
        </w:rPr>
        <w:t xml:space="preserve"> feeling of meaningfulness and</w:t>
      </w:r>
      <w:r>
        <w:rPr>
          <w:rFonts w:asciiTheme="minorHAnsi" w:hAnsiTheme="minorHAnsi" w:cstheme="minorHAnsi"/>
          <w:color w:val="000000"/>
        </w:rPr>
        <w:t xml:space="preserve"> </w:t>
      </w:r>
      <w:r w:rsidR="00661E79">
        <w:rPr>
          <w:rFonts w:asciiTheme="minorHAnsi" w:hAnsiTheme="minorHAnsi" w:cstheme="minorHAnsi"/>
          <w:color w:val="000000"/>
        </w:rPr>
        <w:t xml:space="preserve">motivation which in turn </w:t>
      </w:r>
      <w:r w:rsidR="00671E4C">
        <w:rPr>
          <w:rFonts w:asciiTheme="minorHAnsi" w:hAnsiTheme="minorHAnsi" w:cstheme="minorHAnsi"/>
          <w:color w:val="000000"/>
        </w:rPr>
        <w:t>increases engagement</w:t>
      </w:r>
      <w:r w:rsidR="00F6515D">
        <w:rPr>
          <w:rFonts w:asciiTheme="minorHAnsi" w:hAnsiTheme="minorHAnsi" w:cstheme="minorHAnsi"/>
          <w:color w:val="000000"/>
        </w:rPr>
        <w:t>.  Gagne and Deci</w:t>
      </w:r>
      <w:r>
        <w:rPr>
          <w:rFonts w:asciiTheme="minorHAnsi" w:hAnsiTheme="minorHAnsi" w:cstheme="minorHAnsi"/>
          <w:color w:val="000000"/>
        </w:rPr>
        <w:t xml:space="preserve"> (2005) </w:t>
      </w:r>
      <w:r w:rsidR="00F6515D">
        <w:rPr>
          <w:rFonts w:asciiTheme="minorHAnsi" w:hAnsiTheme="minorHAnsi" w:cstheme="minorHAnsi"/>
          <w:color w:val="000000"/>
        </w:rPr>
        <w:t>support this approach advising that employees who have the ability to control their own work perform better, develop trust in their employer and have higher levels of job satisfaction and well-being in the workplace.</w:t>
      </w:r>
    </w:p>
    <w:p w:rsidR="002E415B" w:rsidRPr="00131676" w:rsidRDefault="002E415B" w:rsidP="00DC7296">
      <w:pPr>
        <w:pStyle w:val="Nornal"/>
        <w:spacing w:after="0" w:line="240" w:lineRule="auto"/>
        <w:jc w:val="both"/>
        <w:rPr>
          <w:rFonts w:asciiTheme="minorHAnsi" w:hAnsiTheme="minorHAnsi" w:cstheme="minorHAnsi"/>
          <w:color w:val="000000"/>
        </w:rPr>
      </w:pPr>
    </w:p>
    <w:p w:rsidR="009D4083" w:rsidRPr="009D4083" w:rsidRDefault="009D4083" w:rsidP="009D4083">
      <w:pPr>
        <w:pStyle w:val="Nornal"/>
        <w:spacing w:after="0" w:line="240" w:lineRule="auto"/>
        <w:ind w:left="720"/>
        <w:rPr>
          <w:rFonts w:asciiTheme="minorHAnsi" w:hAnsiTheme="minorHAnsi" w:cstheme="minorHAnsi"/>
          <w:b/>
          <w:color w:val="000000"/>
        </w:rPr>
      </w:pPr>
    </w:p>
    <w:p w:rsidR="009D4083" w:rsidRPr="009D4083" w:rsidRDefault="009D4083" w:rsidP="009D4083">
      <w:pPr>
        <w:pStyle w:val="Nornal"/>
        <w:spacing w:after="0" w:line="240" w:lineRule="auto"/>
        <w:rPr>
          <w:rFonts w:asciiTheme="minorHAnsi" w:hAnsiTheme="minorHAnsi" w:cstheme="minorHAnsi"/>
          <w:b/>
          <w:color w:val="000000"/>
        </w:rPr>
      </w:pPr>
    </w:p>
    <w:p w:rsidR="009D4083" w:rsidRPr="009D4083" w:rsidRDefault="009D4083" w:rsidP="00EF1157">
      <w:pPr>
        <w:pStyle w:val="Nornal"/>
        <w:numPr>
          <w:ilvl w:val="0"/>
          <w:numId w:val="7"/>
        </w:numPr>
        <w:spacing w:after="0" w:line="240" w:lineRule="auto"/>
        <w:rPr>
          <w:rFonts w:asciiTheme="minorHAnsi" w:hAnsiTheme="minorHAnsi" w:cstheme="minorHAnsi"/>
          <w:b/>
          <w:color w:val="000000"/>
        </w:rPr>
      </w:pPr>
      <w:r w:rsidRPr="009D4083">
        <w:rPr>
          <w:rFonts w:asciiTheme="minorHAnsi" w:hAnsiTheme="minorHAnsi" w:cstheme="minorHAnsi"/>
          <w:b/>
          <w:color w:val="000000" w:themeColor="text1"/>
        </w:rPr>
        <w:lastRenderedPageBreak/>
        <w:t>Critically evaluate the interrelationships between employee voice and organisational performance. (AC 1.4)</w:t>
      </w:r>
    </w:p>
    <w:p w:rsidR="009D4083" w:rsidRDefault="009D4083" w:rsidP="009D4083">
      <w:pPr>
        <w:pStyle w:val="ListParagraph"/>
        <w:rPr>
          <w:rFonts w:cstheme="minorHAnsi"/>
          <w:b/>
          <w:color w:val="000000"/>
        </w:rPr>
      </w:pPr>
    </w:p>
    <w:p w:rsidR="00061A40" w:rsidRDefault="00DB5C07" w:rsidP="00DC7296">
      <w:pPr>
        <w:spacing w:after="0"/>
        <w:jc w:val="both"/>
      </w:pPr>
      <w:r w:rsidRPr="00DC7296">
        <w:rPr>
          <w:rFonts w:cstheme="minorHAnsi"/>
          <w:color w:val="000000"/>
        </w:rPr>
        <w:t xml:space="preserve">Employee voice describes how comfortable employees feel to voice their opinions, concerns and views about their job and employer.  Organisational performance is how well a company is doing in obtaining its targets and goals.   Gosling and Sloan (2016) point out that companies who have made engagement a priority </w:t>
      </w:r>
      <w:r w:rsidR="00671E4C" w:rsidRPr="00DC7296">
        <w:rPr>
          <w:rFonts w:cstheme="minorHAnsi"/>
          <w:color w:val="000000"/>
        </w:rPr>
        <w:t xml:space="preserve">are </w:t>
      </w:r>
      <w:r w:rsidRPr="00DC7296">
        <w:rPr>
          <w:rFonts w:cstheme="minorHAnsi"/>
          <w:color w:val="000000"/>
        </w:rPr>
        <w:t xml:space="preserve">‘reaping the rewards’.  Therefore, there appears to be a positive correlation between employee voice and high engagement to how well a company performs.  </w:t>
      </w:r>
      <w:r w:rsidR="00C11140" w:rsidRPr="00DC7296">
        <w:rPr>
          <w:rFonts w:cstheme="minorHAnsi"/>
          <w:color w:val="000000"/>
        </w:rPr>
        <w:t xml:space="preserve">This view is further supported by an evidence review carried out by CIPD in January 2021 by </w:t>
      </w:r>
      <w:r w:rsidR="00C11140">
        <w:t>Young, J. and Gifford, J. (2021)</w:t>
      </w:r>
      <w:r w:rsidRPr="00DC7296">
        <w:rPr>
          <w:rFonts w:cstheme="minorHAnsi"/>
          <w:color w:val="000000"/>
        </w:rPr>
        <w:t xml:space="preserve"> </w:t>
      </w:r>
      <w:r w:rsidR="00C11140" w:rsidRPr="00DC7296">
        <w:rPr>
          <w:rFonts w:cstheme="minorHAnsi"/>
          <w:color w:val="000000"/>
        </w:rPr>
        <w:t xml:space="preserve">that found that employees who were </w:t>
      </w:r>
      <w:r w:rsidR="00061A40" w:rsidRPr="00DC7296">
        <w:rPr>
          <w:rFonts w:cstheme="minorHAnsi"/>
          <w:color w:val="000000"/>
        </w:rPr>
        <w:t>more engaged generally performed better at their jobs, which in turn increased the organisations performance.  This was summed up well by Bakker and Demerouti (2008) when they stated that “</w:t>
      </w:r>
      <w:r w:rsidR="00061A40">
        <w:t xml:space="preserve">There are at least four reasons why engaged workers perform better than non-engaged workers. </w:t>
      </w:r>
      <w:r w:rsidR="00061A40" w:rsidRPr="00DC7296">
        <w:rPr>
          <w:rFonts w:cstheme="minorHAnsi"/>
        </w:rPr>
        <w:t>Engaged employees often experience positive emotions, including happiness, joy, and enthusiasm; experience better health; create their own job and personal resources; and transfer their engagement to others</w:t>
      </w:r>
      <w:r w:rsidR="00061A40" w:rsidRPr="00DC7296">
        <w:rPr>
          <w:rFonts w:cstheme="minorHAnsi"/>
          <w:color w:val="000000"/>
        </w:rPr>
        <w:t xml:space="preserve">”.  </w:t>
      </w:r>
      <w:r w:rsidR="00061A40">
        <w:t xml:space="preserve">Bailey et al (2017) also conducted a review of studies into the relationship between employee engagement and performance, finding a positive association between employee engagement and performance outcomes.  </w:t>
      </w:r>
    </w:p>
    <w:p w:rsidR="00061A40" w:rsidRDefault="00061A40" w:rsidP="00DC7296">
      <w:pPr>
        <w:pStyle w:val="ListParagraph"/>
        <w:spacing w:after="0"/>
        <w:jc w:val="both"/>
      </w:pPr>
    </w:p>
    <w:p w:rsidR="00651147" w:rsidRDefault="00061A40" w:rsidP="00DC7296">
      <w:pPr>
        <w:spacing w:after="0"/>
        <w:jc w:val="both"/>
      </w:pPr>
      <w:r>
        <w:t xml:space="preserve">Furthermore, employee voice encourages a sharing or opinions and ideas.  </w:t>
      </w:r>
      <w:r w:rsidR="004F02C7">
        <w:t xml:space="preserve">Trivette (2019) argues that even negative feedback is important to encourage a company to make changes and grow.  </w:t>
      </w:r>
      <w:r w:rsidR="00651147">
        <w:t xml:space="preserve">Sharing of ideas and viewpoints gives a company a more collaborative approach and can help build performance.  </w:t>
      </w:r>
    </w:p>
    <w:p w:rsidR="00651147" w:rsidRDefault="00651147" w:rsidP="00DC7296">
      <w:pPr>
        <w:pStyle w:val="ListParagraph"/>
        <w:spacing w:after="0"/>
        <w:jc w:val="both"/>
      </w:pPr>
    </w:p>
    <w:p w:rsidR="00DB5C07" w:rsidRDefault="000D6F05" w:rsidP="00DC7296">
      <w:pPr>
        <w:spacing w:after="0"/>
        <w:jc w:val="both"/>
        <w:rPr>
          <w:rFonts w:cstheme="minorHAnsi"/>
          <w:color w:val="202020"/>
          <w:shd w:val="clear" w:color="auto" w:fill="FFFFFF"/>
        </w:rPr>
      </w:pPr>
      <w:r>
        <w:t>CIPD (n.</w:t>
      </w:r>
      <w:r w:rsidR="00651147">
        <w:t>d</w:t>
      </w:r>
      <w:r>
        <w:t>.</w:t>
      </w:r>
      <w:r w:rsidR="00651147">
        <w:t xml:space="preserve">) state </w:t>
      </w:r>
      <w:r w:rsidR="00651147" w:rsidRPr="00DC7296">
        <w:rPr>
          <w:rFonts w:cstheme="minorHAnsi"/>
        </w:rPr>
        <w:t>that “</w:t>
      </w:r>
      <w:r w:rsidR="00651147" w:rsidRPr="00DC7296">
        <w:rPr>
          <w:rFonts w:cstheme="minorHAnsi"/>
          <w:color w:val="202020"/>
          <w:shd w:val="clear" w:color="auto" w:fill="FFFFFF"/>
        </w:rPr>
        <w:t>For employers, effective employee voice can mean better relationships with their employees and, ultimately, improved organisational performance”.   In summary, Go Quest should see positive changes to their organisational performance if investment is made in employee voice and thus employed engagement.</w:t>
      </w:r>
    </w:p>
    <w:p w:rsidR="00D651EC" w:rsidRPr="00DC7296" w:rsidRDefault="00D651EC" w:rsidP="00DC7296">
      <w:pPr>
        <w:spacing w:after="0"/>
        <w:jc w:val="both"/>
        <w:rPr>
          <w:rFonts w:cstheme="minorHAnsi"/>
          <w:color w:val="000000"/>
        </w:rPr>
      </w:pPr>
    </w:p>
    <w:p w:rsidR="009D4083" w:rsidRPr="009D4083" w:rsidRDefault="009D4083" w:rsidP="009D4083">
      <w:pPr>
        <w:pStyle w:val="Nornal"/>
        <w:spacing w:after="0" w:line="240" w:lineRule="auto"/>
        <w:rPr>
          <w:rFonts w:asciiTheme="minorHAnsi" w:hAnsiTheme="minorHAnsi" w:cstheme="minorHAnsi"/>
          <w:b/>
          <w:color w:val="000000"/>
        </w:rPr>
      </w:pPr>
    </w:p>
    <w:p w:rsidR="00EF1157" w:rsidRDefault="009D4083" w:rsidP="00EF1157">
      <w:pPr>
        <w:pStyle w:val="Nornal"/>
        <w:numPr>
          <w:ilvl w:val="0"/>
          <w:numId w:val="7"/>
        </w:numPr>
        <w:spacing w:after="0" w:line="240" w:lineRule="auto"/>
        <w:rPr>
          <w:rFonts w:asciiTheme="minorHAnsi" w:hAnsiTheme="minorHAnsi" w:cstheme="minorHAnsi"/>
          <w:b/>
          <w:color w:val="000000"/>
        </w:rPr>
      </w:pPr>
      <w:r w:rsidRPr="009D4083">
        <w:rPr>
          <w:rFonts w:asciiTheme="minorHAnsi" w:hAnsiTheme="minorHAnsi" w:cstheme="minorHAnsi"/>
          <w:b/>
          <w:color w:val="000000" w:themeColor="text1"/>
        </w:rPr>
        <w:t>Explain the concept of better working lives and how this can be designed</w:t>
      </w:r>
      <w:r w:rsidR="00EF1157">
        <w:rPr>
          <w:rFonts w:asciiTheme="minorHAnsi" w:hAnsiTheme="minorHAnsi" w:cstheme="minorHAnsi"/>
          <w:b/>
          <w:color w:val="000000"/>
        </w:rPr>
        <w:t>. (AC 1.5)</w:t>
      </w:r>
    </w:p>
    <w:p w:rsidR="00EF1157" w:rsidRDefault="00EF1157" w:rsidP="00EF1157">
      <w:pPr>
        <w:pStyle w:val="Nornal"/>
        <w:spacing w:after="0" w:line="240" w:lineRule="auto"/>
        <w:ind w:left="720"/>
        <w:rPr>
          <w:rFonts w:asciiTheme="minorHAnsi" w:hAnsiTheme="minorHAnsi" w:cstheme="minorHAnsi"/>
          <w:b/>
          <w:color w:val="000000"/>
        </w:rPr>
      </w:pPr>
    </w:p>
    <w:p w:rsidR="00EF1157" w:rsidRPr="00F54DFF" w:rsidRDefault="00EF1157" w:rsidP="00DC7296">
      <w:pPr>
        <w:pStyle w:val="Nornal"/>
        <w:spacing w:after="0" w:line="240" w:lineRule="auto"/>
        <w:jc w:val="both"/>
        <w:rPr>
          <w:rFonts w:asciiTheme="minorHAnsi" w:hAnsiTheme="minorHAnsi" w:cstheme="minorHAnsi"/>
          <w:color w:val="000000"/>
        </w:rPr>
      </w:pPr>
      <w:r w:rsidRPr="00F54DFF">
        <w:rPr>
          <w:rFonts w:asciiTheme="minorHAnsi" w:hAnsiTheme="minorHAnsi" w:cstheme="minorHAnsi"/>
          <w:color w:val="000000" w:themeColor="text1"/>
        </w:rPr>
        <w:t xml:space="preserve">The concept of better working lives refers to the development of a better work environment and conditions for employees.  Work should not just be to earn money but should also help to create personal growth, wellbeing and a sense of fulfilment.  Norris-Green and Wheatley (2022) set out factors which should be considered when designing better working lives.  </w:t>
      </w:r>
    </w:p>
    <w:p w:rsidR="00EF1157" w:rsidRPr="00F54DFF" w:rsidRDefault="00EF1157" w:rsidP="00D25805">
      <w:pPr>
        <w:pStyle w:val="Nornal"/>
        <w:spacing w:after="0" w:line="240" w:lineRule="auto"/>
        <w:jc w:val="both"/>
        <w:rPr>
          <w:rFonts w:asciiTheme="minorHAnsi" w:hAnsiTheme="minorHAnsi" w:cstheme="minorHAnsi"/>
          <w:color w:val="000000"/>
        </w:rPr>
      </w:pPr>
    </w:p>
    <w:p w:rsidR="00EF1157" w:rsidRPr="00F54DFF" w:rsidRDefault="00EF1157" w:rsidP="00D25805">
      <w:pPr>
        <w:pStyle w:val="Nornal"/>
        <w:numPr>
          <w:ilvl w:val="0"/>
          <w:numId w:val="10"/>
        </w:numPr>
        <w:spacing w:after="0" w:line="240" w:lineRule="auto"/>
        <w:jc w:val="both"/>
        <w:rPr>
          <w:rFonts w:asciiTheme="minorHAnsi" w:hAnsiTheme="minorHAnsi" w:cstheme="minorHAnsi"/>
          <w:color w:val="000000"/>
        </w:rPr>
      </w:pPr>
      <w:r w:rsidRPr="00F54DFF">
        <w:rPr>
          <w:rFonts w:asciiTheme="minorHAnsi" w:hAnsiTheme="minorHAnsi" w:cstheme="minorHAnsi"/>
          <w:u w:val="single"/>
        </w:rPr>
        <w:t>Pay and benefits</w:t>
      </w:r>
    </w:p>
    <w:p w:rsidR="00EF1157" w:rsidRPr="00F54DFF" w:rsidRDefault="00D25805" w:rsidP="00DC7296">
      <w:pPr>
        <w:pStyle w:val="Nornal"/>
        <w:spacing w:after="0" w:line="240" w:lineRule="auto"/>
        <w:ind w:left="720"/>
        <w:jc w:val="both"/>
        <w:rPr>
          <w:rFonts w:asciiTheme="minorHAnsi" w:hAnsiTheme="minorHAnsi" w:cstheme="minorHAnsi"/>
          <w:color w:val="000000"/>
        </w:rPr>
      </w:pPr>
      <w:r w:rsidRPr="00F54DFF">
        <w:rPr>
          <w:rFonts w:asciiTheme="minorHAnsi" w:hAnsiTheme="minorHAnsi" w:cstheme="minorHAnsi"/>
          <w:color w:val="000000"/>
        </w:rPr>
        <w:t>The primary driver for employees to leave a company is an offer of higher pay and benefits.  Therefore it is important that pay and benefits are regularly reviewed.</w:t>
      </w:r>
    </w:p>
    <w:p w:rsidR="00EF1157" w:rsidRPr="00F54DFF" w:rsidRDefault="00EF1157" w:rsidP="00D25805">
      <w:pPr>
        <w:pStyle w:val="Nornal"/>
        <w:numPr>
          <w:ilvl w:val="0"/>
          <w:numId w:val="10"/>
        </w:numPr>
        <w:spacing w:after="0" w:line="240" w:lineRule="auto"/>
        <w:jc w:val="both"/>
        <w:rPr>
          <w:rFonts w:asciiTheme="minorHAnsi" w:hAnsiTheme="minorHAnsi" w:cstheme="minorHAnsi"/>
          <w:color w:val="000000"/>
          <w:u w:val="single"/>
        </w:rPr>
      </w:pPr>
      <w:r w:rsidRPr="00F54DFF">
        <w:rPr>
          <w:rFonts w:asciiTheme="minorHAnsi" w:hAnsiTheme="minorHAnsi" w:cstheme="minorHAnsi"/>
          <w:u w:val="single"/>
        </w:rPr>
        <w:t>Employment contracts</w:t>
      </w:r>
    </w:p>
    <w:p w:rsidR="00D25805" w:rsidRPr="00F54DFF" w:rsidRDefault="00D25805" w:rsidP="00DC7296">
      <w:pPr>
        <w:pStyle w:val="Nornal"/>
        <w:spacing w:after="0" w:line="240" w:lineRule="auto"/>
        <w:ind w:left="720"/>
        <w:jc w:val="both"/>
        <w:rPr>
          <w:rFonts w:asciiTheme="minorHAnsi" w:hAnsiTheme="minorHAnsi" w:cstheme="minorHAnsi"/>
          <w:color w:val="000000"/>
        </w:rPr>
      </w:pPr>
      <w:r w:rsidRPr="00F54DFF">
        <w:rPr>
          <w:rFonts w:asciiTheme="minorHAnsi" w:hAnsiTheme="minorHAnsi" w:cstheme="minorHAnsi"/>
        </w:rPr>
        <w:t>Offering employees more security in their roles can help increase wellbeing.  Employees who were in temporary contracts are much likely to leave a company than those given a perma</w:t>
      </w:r>
      <w:r w:rsidR="00661E79">
        <w:rPr>
          <w:rFonts w:asciiTheme="minorHAnsi" w:hAnsiTheme="minorHAnsi" w:cstheme="minorHAnsi"/>
        </w:rPr>
        <w:t>nent contract.</w:t>
      </w:r>
    </w:p>
    <w:p w:rsidR="00EF1157" w:rsidRPr="00F54DFF" w:rsidRDefault="00EF1157" w:rsidP="00D25805">
      <w:pPr>
        <w:pStyle w:val="Nornal"/>
        <w:numPr>
          <w:ilvl w:val="0"/>
          <w:numId w:val="10"/>
        </w:numPr>
        <w:spacing w:after="0" w:line="240" w:lineRule="auto"/>
        <w:jc w:val="both"/>
        <w:rPr>
          <w:rFonts w:asciiTheme="minorHAnsi" w:hAnsiTheme="minorHAnsi" w:cstheme="minorHAnsi"/>
          <w:color w:val="000000"/>
          <w:u w:val="single"/>
        </w:rPr>
      </w:pPr>
      <w:r w:rsidRPr="00F54DFF">
        <w:rPr>
          <w:rFonts w:asciiTheme="minorHAnsi" w:hAnsiTheme="minorHAnsi" w:cstheme="minorHAnsi"/>
          <w:u w:val="single"/>
        </w:rPr>
        <w:t>Work–life balance</w:t>
      </w:r>
    </w:p>
    <w:p w:rsidR="00EF1157" w:rsidRPr="00F54DFF" w:rsidRDefault="00EF1157" w:rsidP="00DC7296">
      <w:pPr>
        <w:pStyle w:val="Nornal"/>
        <w:spacing w:after="0" w:line="240" w:lineRule="auto"/>
        <w:ind w:left="720"/>
        <w:jc w:val="both"/>
        <w:rPr>
          <w:rFonts w:asciiTheme="minorHAnsi" w:hAnsiTheme="minorHAnsi" w:cstheme="minorHAnsi"/>
          <w:color w:val="000000"/>
        </w:rPr>
      </w:pPr>
      <w:r w:rsidRPr="00F54DFF">
        <w:rPr>
          <w:rFonts w:asciiTheme="minorHAnsi" w:hAnsiTheme="minorHAnsi" w:cstheme="minorHAnsi"/>
        </w:rPr>
        <w:t>Promoting a healthy balance between work life and personal life for your employees allowing them to better manage both aspects.  This can be done by offering employees options such as flexible working hours, remote wor</w:t>
      </w:r>
      <w:r w:rsidR="00D25805" w:rsidRPr="00F54DFF">
        <w:rPr>
          <w:rFonts w:asciiTheme="minorHAnsi" w:hAnsiTheme="minorHAnsi" w:cstheme="minorHAnsi"/>
        </w:rPr>
        <w:t xml:space="preserve">king, and hybrid working.  </w:t>
      </w:r>
    </w:p>
    <w:p w:rsidR="00DC7296" w:rsidRDefault="00EF1157" w:rsidP="00DC7296">
      <w:pPr>
        <w:pStyle w:val="Nornal"/>
        <w:numPr>
          <w:ilvl w:val="0"/>
          <w:numId w:val="10"/>
        </w:numPr>
        <w:spacing w:after="0" w:line="240" w:lineRule="auto"/>
        <w:jc w:val="both"/>
        <w:rPr>
          <w:rFonts w:asciiTheme="minorHAnsi" w:hAnsiTheme="minorHAnsi" w:cstheme="minorHAnsi"/>
          <w:color w:val="000000"/>
          <w:u w:val="single"/>
        </w:rPr>
      </w:pPr>
      <w:r w:rsidRPr="00F54DFF">
        <w:rPr>
          <w:rFonts w:asciiTheme="minorHAnsi" w:hAnsiTheme="minorHAnsi" w:cstheme="minorHAnsi"/>
          <w:u w:val="single"/>
        </w:rPr>
        <w:t>Job design and the nature of work</w:t>
      </w:r>
    </w:p>
    <w:p w:rsidR="00D25805" w:rsidRPr="00DC7296" w:rsidRDefault="00D25805" w:rsidP="00DC7296">
      <w:pPr>
        <w:pStyle w:val="Nornal"/>
        <w:spacing w:after="0" w:line="240" w:lineRule="auto"/>
        <w:ind w:left="786"/>
        <w:jc w:val="both"/>
        <w:rPr>
          <w:rFonts w:asciiTheme="minorHAnsi" w:hAnsiTheme="minorHAnsi" w:cstheme="minorHAnsi"/>
          <w:color w:val="000000"/>
          <w:u w:val="single"/>
        </w:rPr>
      </w:pPr>
      <w:r w:rsidRPr="00DC7296">
        <w:rPr>
          <w:rFonts w:asciiTheme="minorHAnsi" w:hAnsiTheme="minorHAnsi" w:cstheme="minorHAnsi"/>
        </w:rPr>
        <w:t xml:space="preserve">This includes </w:t>
      </w:r>
      <w:r w:rsidR="00E82005" w:rsidRPr="00DC7296">
        <w:rPr>
          <w:rFonts w:asciiTheme="minorHAnsi" w:hAnsiTheme="minorHAnsi" w:cstheme="minorHAnsi"/>
        </w:rPr>
        <w:t>employee’s</w:t>
      </w:r>
      <w:r w:rsidRPr="00DC7296">
        <w:rPr>
          <w:rFonts w:asciiTheme="minorHAnsi" w:hAnsiTheme="minorHAnsi" w:cstheme="minorHAnsi"/>
        </w:rPr>
        <w:t xml:space="preserve"> workload and intensity, job complexity and development opportunities.</w:t>
      </w:r>
      <w:r w:rsidR="00E82005" w:rsidRPr="00DC7296">
        <w:rPr>
          <w:rFonts w:asciiTheme="minorHAnsi" w:hAnsiTheme="minorHAnsi" w:cstheme="minorHAnsi"/>
        </w:rPr>
        <w:t xml:space="preserve">  </w:t>
      </w:r>
      <w:r w:rsidR="00824082" w:rsidRPr="00DC7296">
        <w:rPr>
          <w:rFonts w:asciiTheme="minorHAnsi" w:hAnsiTheme="minorHAnsi" w:cstheme="minorHAnsi"/>
        </w:rPr>
        <w:t xml:space="preserve">Jobs that are aligned with employees interests and values can increase job </w:t>
      </w:r>
      <w:r w:rsidR="00824082" w:rsidRPr="00DC7296">
        <w:rPr>
          <w:rFonts w:asciiTheme="minorHAnsi" w:hAnsiTheme="minorHAnsi" w:cstheme="minorHAnsi"/>
        </w:rPr>
        <w:lastRenderedPageBreak/>
        <w:t xml:space="preserve">satisfaction.  Having good learning and development opportunities encourages personal and professional growth in employees.  </w:t>
      </w:r>
    </w:p>
    <w:p w:rsidR="00EF1157" w:rsidRPr="00F54DFF" w:rsidRDefault="00EF1157" w:rsidP="00D25805">
      <w:pPr>
        <w:pStyle w:val="Nornal"/>
        <w:numPr>
          <w:ilvl w:val="0"/>
          <w:numId w:val="10"/>
        </w:numPr>
        <w:spacing w:after="0" w:line="240" w:lineRule="auto"/>
        <w:jc w:val="both"/>
        <w:rPr>
          <w:rFonts w:asciiTheme="minorHAnsi" w:hAnsiTheme="minorHAnsi" w:cstheme="minorHAnsi"/>
          <w:color w:val="000000"/>
          <w:u w:val="single"/>
        </w:rPr>
      </w:pPr>
      <w:r w:rsidRPr="00F54DFF">
        <w:rPr>
          <w:rFonts w:asciiTheme="minorHAnsi" w:hAnsiTheme="minorHAnsi" w:cstheme="minorHAnsi"/>
          <w:u w:val="single"/>
        </w:rPr>
        <w:t>Relationships at work</w:t>
      </w:r>
    </w:p>
    <w:p w:rsidR="00824082" w:rsidRPr="00F54DFF" w:rsidRDefault="00680D36" w:rsidP="00DC7296">
      <w:pPr>
        <w:pStyle w:val="Nornal"/>
        <w:spacing w:after="0" w:line="240" w:lineRule="auto"/>
        <w:ind w:left="720"/>
        <w:jc w:val="both"/>
        <w:rPr>
          <w:rFonts w:asciiTheme="minorHAnsi" w:hAnsiTheme="minorHAnsi" w:cstheme="minorHAnsi"/>
          <w:color w:val="000000"/>
          <w:u w:val="single"/>
        </w:rPr>
      </w:pPr>
      <w:r w:rsidRPr="00F54DFF">
        <w:rPr>
          <w:rFonts w:asciiTheme="minorHAnsi" w:hAnsiTheme="minorHAnsi" w:cstheme="minorHAnsi"/>
        </w:rPr>
        <w:t xml:space="preserve">This refers to social cohesion, management support and psychological safety.  Social cohesion is where employees feel they are all working together to </w:t>
      </w:r>
      <w:r w:rsidR="00F54DFF" w:rsidRPr="00F54DFF">
        <w:rPr>
          <w:rFonts w:asciiTheme="minorHAnsi" w:hAnsiTheme="minorHAnsi" w:cstheme="minorHAnsi"/>
        </w:rPr>
        <w:t>a common goal as an effective team.  This can only be done in an environment with trust and good colleague relations Herrity (2023).  Management support should be in place so that employees feel that they are working in a trusting</w:t>
      </w:r>
      <w:r w:rsidR="00EE72EF">
        <w:rPr>
          <w:rFonts w:asciiTheme="minorHAnsi" w:hAnsiTheme="minorHAnsi" w:cstheme="minorHAnsi"/>
        </w:rPr>
        <w:t xml:space="preserve"> environment</w:t>
      </w:r>
      <w:r w:rsidR="00F54DFF" w:rsidRPr="00F54DFF">
        <w:rPr>
          <w:rFonts w:asciiTheme="minorHAnsi" w:hAnsiTheme="minorHAnsi" w:cstheme="minorHAnsi"/>
        </w:rPr>
        <w:t>. Psychological safety is where employees feel safe to express their ideas, concerns, admit mistakes and question things without the fear of negative consequences.</w:t>
      </w:r>
    </w:p>
    <w:p w:rsidR="00680D36" w:rsidRPr="00F54DFF" w:rsidRDefault="00EF1157" w:rsidP="00680D36">
      <w:pPr>
        <w:pStyle w:val="Nornal"/>
        <w:numPr>
          <w:ilvl w:val="0"/>
          <w:numId w:val="10"/>
        </w:numPr>
        <w:spacing w:after="0" w:line="240" w:lineRule="auto"/>
        <w:jc w:val="both"/>
        <w:rPr>
          <w:rFonts w:asciiTheme="minorHAnsi" w:hAnsiTheme="minorHAnsi" w:cstheme="minorHAnsi"/>
          <w:color w:val="000000"/>
          <w:u w:val="single"/>
        </w:rPr>
      </w:pPr>
      <w:r w:rsidRPr="00F54DFF">
        <w:rPr>
          <w:rFonts w:asciiTheme="minorHAnsi" w:hAnsiTheme="minorHAnsi" w:cstheme="minorHAnsi"/>
          <w:u w:val="single"/>
        </w:rPr>
        <w:t>Employee voice</w:t>
      </w:r>
    </w:p>
    <w:p w:rsidR="00680D36" w:rsidRPr="00F54DFF" w:rsidRDefault="00680D36" w:rsidP="00DC7296">
      <w:pPr>
        <w:pStyle w:val="Nornal"/>
        <w:spacing w:after="0" w:line="240" w:lineRule="auto"/>
        <w:ind w:left="720"/>
        <w:jc w:val="both"/>
        <w:rPr>
          <w:rFonts w:asciiTheme="minorHAnsi" w:hAnsiTheme="minorHAnsi" w:cstheme="minorHAnsi"/>
          <w:color w:val="000000"/>
        </w:rPr>
      </w:pPr>
      <w:r w:rsidRPr="00F54DFF">
        <w:rPr>
          <w:rFonts w:asciiTheme="minorHAnsi" w:hAnsiTheme="minorHAnsi" w:cstheme="minorHAnsi"/>
          <w:color w:val="000000"/>
        </w:rPr>
        <w:t>Allows employees to voice their own opinions, ideas and feedback.  Offers employees greater engagement and develops trust and community in a company.</w:t>
      </w:r>
    </w:p>
    <w:p w:rsidR="00E82005" w:rsidRPr="00F54DFF" w:rsidRDefault="00EF1157" w:rsidP="00E82005">
      <w:pPr>
        <w:pStyle w:val="Nornal"/>
        <w:numPr>
          <w:ilvl w:val="0"/>
          <w:numId w:val="10"/>
        </w:numPr>
        <w:spacing w:after="0" w:line="240" w:lineRule="auto"/>
        <w:jc w:val="both"/>
        <w:rPr>
          <w:rFonts w:asciiTheme="minorHAnsi" w:hAnsiTheme="minorHAnsi" w:cstheme="minorHAnsi"/>
          <w:color w:val="000000"/>
        </w:rPr>
      </w:pPr>
      <w:r w:rsidRPr="00F54DFF">
        <w:rPr>
          <w:rFonts w:asciiTheme="minorHAnsi" w:hAnsiTheme="minorHAnsi" w:cstheme="minorHAnsi"/>
          <w:u w:val="single"/>
        </w:rPr>
        <w:t>Health and wellbeing</w:t>
      </w:r>
    </w:p>
    <w:p w:rsidR="00FC3375" w:rsidRPr="00F54DFF" w:rsidRDefault="00FC3375" w:rsidP="00DC7296">
      <w:pPr>
        <w:pStyle w:val="Nornal"/>
        <w:spacing w:after="0" w:line="240" w:lineRule="auto"/>
        <w:ind w:left="720"/>
        <w:jc w:val="both"/>
        <w:rPr>
          <w:rFonts w:asciiTheme="minorHAnsi" w:hAnsiTheme="minorHAnsi" w:cstheme="minorHAnsi"/>
          <w:color w:val="000000"/>
        </w:rPr>
      </w:pPr>
      <w:r w:rsidRPr="00F54DFF">
        <w:rPr>
          <w:rFonts w:asciiTheme="minorHAnsi" w:hAnsiTheme="minorHAnsi" w:cstheme="minorHAnsi"/>
        </w:rPr>
        <w:t>Making employee’s health and wellbeing a priority promotes a positive working environment.  Companies can offer wellness programs, promote physical activates and</w:t>
      </w:r>
      <w:r w:rsidR="00680D36" w:rsidRPr="00F54DFF">
        <w:rPr>
          <w:rFonts w:asciiTheme="minorHAnsi" w:hAnsiTheme="minorHAnsi" w:cstheme="minorHAnsi"/>
        </w:rPr>
        <w:t xml:space="preserve"> ensure managers create a trusting relationship with employees so they feel comfortable discussing their wellbeing CIPD (2022).  O</w:t>
      </w:r>
      <w:r w:rsidRPr="00F54DFF">
        <w:rPr>
          <w:rFonts w:asciiTheme="minorHAnsi" w:hAnsiTheme="minorHAnsi" w:cstheme="minorHAnsi"/>
        </w:rPr>
        <w:t xml:space="preserve">rganisations who have a strategic approach to wellbeing were far more likely to find a positive effect on a </w:t>
      </w:r>
      <w:r w:rsidRPr="00F54DFF">
        <w:rPr>
          <w:rFonts w:asciiTheme="minorHAnsi" w:hAnsiTheme="minorHAnsi" w:cstheme="majorHAnsi"/>
        </w:rPr>
        <w:t xml:space="preserve">personal and organisational level CIPD (2022).  </w:t>
      </w:r>
    </w:p>
    <w:p w:rsidR="00E82005" w:rsidRPr="00F54DFF" w:rsidRDefault="00E82005" w:rsidP="00E82005">
      <w:pPr>
        <w:pStyle w:val="Nornal"/>
        <w:spacing w:after="0" w:line="240" w:lineRule="auto"/>
        <w:ind w:left="1080"/>
        <w:jc w:val="both"/>
        <w:rPr>
          <w:rFonts w:asciiTheme="minorHAnsi" w:hAnsiTheme="minorHAnsi" w:cstheme="minorHAnsi"/>
          <w:color w:val="000000"/>
        </w:rPr>
      </w:pPr>
    </w:p>
    <w:p w:rsidR="00680D36" w:rsidRPr="00F54DFF" w:rsidRDefault="00680D36" w:rsidP="00DC7296">
      <w:pPr>
        <w:pStyle w:val="Nornal"/>
        <w:spacing w:after="0" w:line="240" w:lineRule="auto"/>
        <w:jc w:val="both"/>
        <w:rPr>
          <w:rFonts w:asciiTheme="minorHAnsi" w:hAnsiTheme="minorHAnsi" w:cstheme="minorHAnsi"/>
        </w:rPr>
      </w:pPr>
      <w:r w:rsidRPr="00F54DFF">
        <w:rPr>
          <w:rFonts w:asciiTheme="minorHAnsi" w:hAnsiTheme="minorHAnsi" w:cstheme="minorHAnsi"/>
        </w:rPr>
        <w:t xml:space="preserve">Go Quest should consider the above factors in their design for better working lives. </w:t>
      </w:r>
    </w:p>
    <w:p w:rsidR="009D4083" w:rsidRDefault="009D4083" w:rsidP="009D4083">
      <w:pPr>
        <w:pStyle w:val="Nornal"/>
        <w:spacing w:after="0" w:line="240" w:lineRule="auto"/>
        <w:rPr>
          <w:rFonts w:asciiTheme="minorHAnsi" w:hAnsiTheme="minorHAnsi" w:cstheme="minorHAnsi"/>
          <w:b/>
          <w:color w:val="000000"/>
        </w:rPr>
      </w:pPr>
    </w:p>
    <w:p w:rsidR="009D4083" w:rsidRDefault="009D4083" w:rsidP="009D4083">
      <w:pPr>
        <w:rPr>
          <w:b/>
          <w:u w:val="single"/>
        </w:rPr>
      </w:pPr>
      <w:r>
        <w:rPr>
          <w:b/>
          <w:u w:val="single"/>
        </w:rPr>
        <w:t>Section two</w:t>
      </w:r>
      <w:r w:rsidRPr="00083725">
        <w:rPr>
          <w:b/>
          <w:u w:val="single"/>
        </w:rPr>
        <w:t xml:space="preserve"> </w:t>
      </w:r>
      <w:r>
        <w:rPr>
          <w:b/>
          <w:u w:val="single"/>
        </w:rPr>
        <w:t>–</w:t>
      </w:r>
      <w:r w:rsidR="00B67366">
        <w:rPr>
          <w:b/>
          <w:u w:val="single"/>
        </w:rPr>
        <w:t xml:space="preserve"> 2</w:t>
      </w:r>
      <w:r w:rsidR="008150F0">
        <w:rPr>
          <w:b/>
          <w:u w:val="single"/>
        </w:rPr>
        <w:t>638</w:t>
      </w:r>
      <w:r>
        <w:rPr>
          <w:b/>
          <w:u w:val="single"/>
        </w:rPr>
        <w:t xml:space="preserve"> words in total</w:t>
      </w:r>
    </w:p>
    <w:p w:rsidR="009D4083" w:rsidRPr="009D4083" w:rsidRDefault="009D4083" w:rsidP="009D4083">
      <w:pPr>
        <w:pStyle w:val="Nornal"/>
        <w:spacing w:after="0" w:line="240" w:lineRule="auto"/>
        <w:rPr>
          <w:rFonts w:asciiTheme="minorHAnsi" w:hAnsiTheme="minorHAnsi" w:cstheme="minorHAnsi"/>
          <w:b/>
          <w:color w:val="000000"/>
        </w:rPr>
      </w:pPr>
    </w:p>
    <w:p w:rsidR="00B67366" w:rsidRPr="00452D6C" w:rsidRDefault="00B67366" w:rsidP="00B67366">
      <w:pPr>
        <w:pStyle w:val="ListParagraph"/>
        <w:numPr>
          <w:ilvl w:val="0"/>
          <w:numId w:val="5"/>
        </w:numPr>
        <w:rPr>
          <w:b/>
          <w:bCs/>
        </w:rPr>
      </w:pPr>
      <w:r w:rsidRPr="00B67366">
        <w:rPr>
          <w:b/>
        </w:rPr>
        <w:t>Distinguish between organisational conflict and misbehaviour, and between informal and formal conflict. (AC 2.1)</w:t>
      </w:r>
    </w:p>
    <w:p w:rsidR="003E1E44" w:rsidRDefault="00F725C3" w:rsidP="00DC7296">
      <w:pPr>
        <w:spacing w:after="0"/>
        <w:jc w:val="both"/>
      </w:pPr>
      <w:r>
        <w:rPr>
          <w:rFonts w:cstheme="minorHAnsi"/>
        </w:rPr>
        <w:t>O</w:t>
      </w:r>
      <w:r w:rsidR="00452D6C" w:rsidRPr="00305484">
        <w:rPr>
          <w:rFonts w:cstheme="minorHAnsi"/>
        </w:rPr>
        <w:t>rganisational</w:t>
      </w:r>
      <w:r w:rsidR="00452D6C">
        <w:t xml:space="preserve"> conflict </w:t>
      </w:r>
      <w:r w:rsidR="003E1E44">
        <w:t>refers to a difference in opinions, approaches and view</w:t>
      </w:r>
      <w:r w:rsidR="00DC7296">
        <w:t>s</w:t>
      </w:r>
      <w:r w:rsidR="00BD2A64">
        <w:t xml:space="preserve"> between individuals/</w:t>
      </w:r>
      <w:r w:rsidR="00F5448C">
        <w:t xml:space="preserve">groups inside an organisation resulting in </w:t>
      </w:r>
      <w:r w:rsidR="00D744F6">
        <w:t xml:space="preserve">damage to motivation, moral and relationships.  </w:t>
      </w:r>
      <w:r w:rsidR="00BD2A64">
        <w:t xml:space="preserve">Pluralists </w:t>
      </w:r>
      <w:r w:rsidR="00E533AD">
        <w:t>argue that conflict can</w:t>
      </w:r>
      <w:r w:rsidR="00F5448C">
        <w:t xml:space="preserve"> be positive and </w:t>
      </w:r>
      <w:r w:rsidR="00D744F6">
        <w:t>lead</w:t>
      </w:r>
      <w:r w:rsidR="00F5448C">
        <w:t>’s</w:t>
      </w:r>
      <w:r w:rsidR="00D744F6">
        <w:t xml:space="preserve"> to</w:t>
      </w:r>
      <w:r w:rsidR="00E533AD">
        <w:t xml:space="preserve"> innovation and problem solving</w:t>
      </w:r>
      <w:r w:rsidR="00D744F6">
        <w:t xml:space="preserve"> </w:t>
      </w:r>
      <w:r w:rsidR="00F5448C">
        <w:t>(</w:t>
      </w:r>
      <w:r w:rsidR="00E533AD">
        <w:t>Furnham, 2005)</w:t>
      </w:r>
      <w:r w:rsidR="00BD2A64">
        <w:t xml:space="preserve">.  Unitarians </w:t>
      </w:r>
      <w:r w:rsidR="004235E8">
        <w:t>argue that conflict does not exist, as employees and employers</w:t>
      </w:r>
      <w:r w:rsidR="00BD2A64">
        <w:t xml:space="preserve"> have the same goals</w:t>
      </w:r>
      <w:r w:rsidR="004235E8">
        <w:t>.</w:t>
      </w:r>
      <w:r w:rsidR="00D744F6">
        <w:t xml:space="preserve"> </w:t>
      </w:r>
    </w:p>
    <w:p w:rsidR="00DC7296" w:rsidRDefault="00DC7296" w:rsidP="00DC7296">
      <w:pPr>
        <w:spacing w:after="0"/>
        <w:jc w:val="both"/>
      </w:pPr>
    </w:p>
    <w:p w:rsidR="00DC7296" w:rsidRDefault="003E1E44" w:rsidP="00DC7296">
      <w:pPr>
        <w:spacing w:after="0"/>
        <w:jc w:val="both"/>
      </w:pPr>
      <w:r>
        <w:t>Misbehaviour refers to a violation of the organisations rules, regulati</w:t>
      </w:r>
      <w:r w:rsidR="00BD2A64">
        <w:t>ons and norms by individuals/</w:t>
      </w:r>
      <w:r>
        <w:t xml:space="preserve">groups. </w:t>
      </w:r>
      <w:r w:rsidR="00F5448C">
        <w:t xml:space="preserve"> M</w:t>
      </w:r>
      <w:r w:rsidR="00D744F6">
        <w:t>isbehavio</w:t>
      </w:r>
      <w:r w:rsidR="00F5448C">
        <w:t>ur is usually</w:t>
      </w:r>
      <w:r w:rsidR="00D744F6">
        <w:t xml:space="preserve"> inappropriate, unet</w:t>
      </w:r>
      <w:r w:rsidR="007D23DA">
        <w:t xml:space="preserve">hical and disruptive behaviour.  </w:t>
      </w:r>
      <w:r w:rsidR="00D744F6">
        <w:t>Misbehaviour generally results in negative co</w:t>
      </w:r>
      <w:r w:rsidR="00305484">
        <w:t xml:space="preserve">nsequences for the organisation and is a form of unorganised </w:t>
      </w:r>
      <w:r w:rsidR="00F725C3">
        <w:t xml:space="preserve">conflict </w:t>
      </w:r>
      <w:r w:rsidR="00F725C3">
        <w:rPr>
          <w:rFonts w:cstheme="minorHAnsi"/>
        </w:rPr>
        <w:t>a</w:t>
      </w:r>
      <w:r w:rsidR="00F725C3" w:rsidRPr="00305484">
        <w:rPr>
          <w:rFonts w:cstheme="minorHAnsi"/>
        </w:rPr>
        <w:t xml:space="preserve">ccording to </w:t>
      </w:r>
      <w:r w:rsidR="00F725C3" w:rsidRPr="00305484">
        <w:rPr>
          <w:rFonts w:cstheme="minorHAnsi"/>
          <w:shd w:val="clear" w:color="auto" w:fill="FFFFFF"/>
        </w:rPr>
        <w:t>Willams, S and Adam-Smith, D (2010)</w:t>
      </w:r>
      <w:r w:rsidR="00F725C3">
        <w:rPr>
          <w:rFonts w:cstheme="minorHAnsi"/>
          <w:shd w:val="clear" w:color="auto" w:fill="FFFFFF"/>
        </w:rPr>
        <w:t>.</w:t>
      </w:r>
    </w:p>
    <w:p w:rsidR="00DC7296" w:rsidRDefault="00DC7296" w:rsidP="00DC7296">
      <w:pPr>
        <w:spacing w:after="0"/>
        <w:jc w:val="both"/>
      </w:pPr>
    </w:p>
    <w:p w:rsidR="00D744F6" w:rsidRDefault="003E1E44" w:rsidP="00DC7296">
      <w:pPr>
        <w:spacing w:after="0"/>
        <w:jc w:val="both"/>
      </w:pPr>
      <w:r>
        <w:t xml:space="preserve">Informal conflicts </w:t>
      </w:r>
      <w:r w:rsidR="00F5448C">
        <w:t>are</w:t>
      </w:r>
      <w:r>
        <w:t xml:space="preserve"> conflicts that are not formally structured or recognised by the organisation</w:t>
      </w:r>
      <w:r w:rsidR="00F5448C">
        <w:t xml:space="preserve"> such as</w:t>
      </w:r>
      <w:r w:rsidR="00AF32C8">
        <w:t xml:space="preserve"> personal conflicts between employees</w:t>
      </w:r>
      <w:r w:rsidR="00D744F6">
        <w:t>, differences of personalities and can affect the team dynamics a</w:t>
      </w:r>
      <w:r w:rsidR="00F725C3">
        <w:t xml:space="preserve">nd </w:t>
      </w:r>
      <w:r w:rsidR="00F725C3" w:rsidRPr="00F725C3">
        <w:rPr>
          <w:rFonts w:cstheme="minorHAnsi"/>
        </w:rPr>
        <w:t xml:space="preserve">relationships amongst a team according to </w:t>
      </w:r>
      <w:r w:rsidR="00F725C3" w:rsidRPr="00F725C3">
        <w:rPr>
          <w:rFonts w:eastAsia="Times New Roman" w:cstheme="minorHAnsi"/>
          <w:lang w:eastAsia="en-GB"/>
        </w:rPr>
        <w:t>Taylor, S. and Woodhams, C. (2022).</w:t>
      </w:r>
    </w:p>
    <w:p w:rsidR="00DC7296" w:rsidRDefault="00DC7296" w:rsidP="00DC7296">
      <w:pPr>
        <w:spacing w:after="0"/>
        <w:jc w:val="both"/>
      </w:pPr>
    </w:p>
    <w:p w:rsidR="00D744F6" w:rsidRDefault="00D744F6" w:rsidP="00DC7296">
      <w:pPr>
        <w:spacing w:after="0"/>
        <w:jc w:val="both"/>
      </w:pPr>
      <w:r>
        <w:t>Formal confl</w:t>
      </w:r>
      <w:r w:rsidR="00F5448C">
        <w:t xml:space="preserve">icts </w:t>
      </w:r>
      <w:r>
        <w:t>refer to conflicts that are formally addressed, documented and recog</w:t>
      </w:r>
      <w:r w:rsidR="006D16AF">
        <w:t xml:space="preserve">nised by the organisation such as through a Trade Union.  These </w:t>
      </w:r>
      <w:r>
        <w:t>often result in a formal resolution process.</w:t>
      </w:r>
      <w:r w:rsidR="00305484">
        <w:t xml:space="preserve">  </w:t>
      </w:r>
    </w:p>
    <w:p w:rsidR="00F725C3" w:rsidRDefault="00F725C3" w:rsidP="00DC7296">
      <w:pPr>
        <w:spacing w:after="0"/>
        <w:jc w:val="both"/>
      </w:pPr>
    </w:p>
    <w:p w:rsidR="00F725C3" w:rsidRPr="00452D6C" w:rsidRDefault="00F725C3" w:rsidP="00DC7296">
      <w:pPr>
        <w:spacing w:after="0"/>
        <w:jc w:val="both"/>
      </w:pPr>
      <w:r>
        <w:t xml:space="preserve">Go Quest should ensure that any conflict is dealt with in the correct manner and offer </w:t>
      </w:r>
      <w:r w:rsidR="00B21FB7">
        <w:t>employee’s</w:t>
      </w:r>
      <w:r>
        <w:t xml:space="preserve"> ways of expressing any discontent at the first instance and make them aware of the correct channels to use to address this. </w:t>
      </w:r>
    </w:p>
    <w:p w:rsidR="00F725C3" w:rsidRDefault="00F725C3" w:rsidP="00BA2236">
      <w:pPr>
        <w:rPr>
          <w:b/>
          <w:bCs/>
        </w:rPr>
      </w:pPr>
    </w:p>
    <w:p w:rsidR="002E415B" w:rsidRPr="00B67366" w:rsidRDefault="002E415B" w:rsidP="00BA2236">
      <w:pPr>
        <w:rPr>
          <w:b/>
          <w:bCs/>
        </w:rPr>
      </w:pPr>
    </w:p>
    <w:p w:rsidR="00B67366" w:rsidRPr="00B67366" w:rsidRDefault="00B67366" w:rsidP="00162596">
      <w:pPr>
        <w:pStyle w:val="ListParagraph"/>
        <w:numPr>
          <w:ilvl w:val="0"/>
          <w:numId w:val="5"/>
        </w:numPr>
        <w:rPr>
          <w:b/>
          <w:bCs/>
        </w:rPr>
      </w:pPr>
      <w:r w:rsidRPr="00B67366">
        <w:rPr>
          <w:b/>
        </w:rPr>
        <w:lastRenderedPageBreak/>
        <w:t>Distinguish between official and unofficial employee action. (AC 2.2)</w:t>
      </w:r>
    </w:p>
    <w:p w:rsidR="00290B2F" w:rsidRDefault="00BD2A64" w:rsidP="00271DEE">
      <w:pPr>
        <w:jc w:val="both"/>
      </w:pPr>
      <w:r>
        <w:t>O</w:t>
      </w:r>
      <w:r w:rsidR="00290B2F">
        <w:t>fficial action is where the Union has followed all legalities, including a ballot for all members to vote.</w:t>
      </w:r>
      <w:r w:rsidR="0073637F">
        <w:t xml:space="preserve">  Examples of official action are strikes, picketing and filing a formal grievance.  In the event of official action the employees are protect by law</w:t>
      </w:r>
      <w:r w:rsidRPr="00BD2A64">
        <w:t xml:space="preserve"> </w:t>
      </w:r>
      <w:r>
        <w:t>(ACAS 2023a)</w:t>
      </w:r>
      <w:r w:rsidR="0073637F">
        <w:t>.</w:t>
      </w:r>
      <w:r w:rsidR="00B55712" w:rsidRPr="00B55712">
        <w:t xml:space="preserve"> </w:t>
      </w:r>
      <w:r w:rsidR="00B55712">
        <w:t xml:space="preserve">Sections 226 to 235 of TULRCA 1992, further altered by the Employment Relations Act of 1991 and 2004 and the Trade Union Act 2016 outline the process that enables industrial action to be lawful.  Picketing, </w:t>
      </w:r>
      <w:r w:rsidR="00BA2236">
        <w:t xml:space="preserve">is </w:t>
      </w:r>
      <w:r w:rsidR="00B55712">
        <w:t xml:space="preserve">not deemed to be unlawful although mass picketing could be argued to break the ‘peaceful persuasion’ as found </w:t>
      </w:r>
      <w:r w:rsidR="0026656D">
        <w:t>in</w:t>
      </w:r>
      <w:r w:rsidR="00B55712">
        <w:t xml:space="preserve"> </w:t>
      </w:r>
      <w:r w:rsidR="00B55712">
        <w:rPr>
          <w:i/>
        </w:rPr>
        <w:t>Thomas v National Union of Mineworkers (South Wales) (1985)</w:t>
      </w:r>
      <w:r w:rsidR="00B55712" w:rsidRPr="00BA2236">
        <w:t xml:space="preserve"> where</w:t>
      </w:r>
      <w:r w:rsidR="00B55712">
        <w:rPr>
          <w:i/>
        </w:rPr>
        <w:t xml:space="preserve"> </w:t>
      </w:r>
      <w:r w:rsidR="00B55712">
        <w:t xml:space="preserve">an injunction was placed restricting the number of members on the picket (Daniels, K. 2022).  </w:t>
      </w:r>
      <w:r w:rsidR="00B55712">
        <w:rPr>
          <w:i/>
        </w:rPr>
        <w:t xml:space="preserve"> </w:t>
      </w:r>
    </w:p>
    <w:p w:rsidR="00B55712" w:rsidRDefault="00290B2F" w:rsidP="00B55712">
      <w:pPr>
        <w:jc w:val="both"/>
      </w:pPr>
      <w:r>
        <w:t xml:space="preserve">Unofficial action </w:t>
      </w:r>
      <w:r w:rsidR="0026656D">
        <w:t xml:space="preserve">is when </w:t>
      </w:r>
      <w:r>
        <w:t xml:space="preserve">legalities are not met by the union or </w:t>
      </w:r>
      <w:r w:rsidR="0073637F">
        <w:t>employees</w:t>
      </w:r>
      <w:r>
        <w:t xml:space="preserve"> take action</w:t>
      </w:r>
      <w:r w:rsidR="0073637F">
        <w:t xml:space="preserve"> that</w:t>
      </w:r>
      <w:r>
        <w:t xml:space="preserve"> is</w:t>
      </w:r>
      <w:r w:rsidR="0073637F">
        <w:t xml:space="preserve"> not sanctioned by the employer or </w:t>
      </w:r>
      <w:r>
        <w:t>the Union.</w:t>
      </w:r>
      <w:r w:rsidR="001829CD">
        <w:t xml:space="preserve">  </w:t>
      </w:r>
      <w:r w:rsidR="00B55712">
        <w:t>This</w:t>
      </w:r>
      <w:r w:rsidR="001829CD">
        <w:t xml:space="preserve"> can include sit-in’s, work-to-rile, refusal to work overtime and strike action.</w:t>
      </w:r>
      <w:r w:rsidR="0073637F">
        <w:t xml:space="preserve">  Employees are not protected by law in the event of unofficial action and could face disciplinary </w:t>
      </w:r>
      <w:r w:rsidR="0026656D">
        <w:t xml:space="preserve">or legal action </w:t>
      </w:r>
      <w:r w:rsidR="00F5448C" w:rsidRPr="00F5448C">
        <w:t>(Gilligan and Marsden, 2022)</w:t>
      </w:r>
      <w:r w:rsidR="0073637F">
        <w:t xml:space="preserve">.  </w:t>
      </w:r>
      <w:r w:rsidR="00B55712">
        <w:t>In the case of unlawful industrial action, whereby there void ballot or action taken without a ballot (‘wildcat strike’), the employer can apply to the Court for interim or permanent injunction to stop the action taking place</w:t>
      </w:r>
      <w:r w:rsidR="00BA2236">
        <w:t xml:space="preserve">, if successful, </w:t>
      </w:r>
      <w:r w:rsidR="00B55712">
        <w:t xml:space="preserve">could also be awarded damages as set out in Section 22 of TULRCA. </w:t>
      </w:r>
    </w:p>
    <w:p w:rsidR="00F725C3" w:rsidRDefault="00B21FB7" w:rsidP="00271DEE">
      <w:pPr>
        <w:jc w:val="both"/>
        <w:rPr>
          <w:bCs/>
        </w:rPr>
      </w:pPr>
      <w:r>
        <w:rPr>
          <w:rFonts w:cstheme="minorHAnsi"/>
        </w:rPr>
        <w:t xml:space="preserve">Go Quest should ensure </w:t>
      </w:r>
      <w:r w:rsidR="002053B1">
        <w:rPr>
          <w:rFonts w:cstheme="minorHAnsi"/>
        </w:rPr>
        <w:t>that employees are aware of what is expected of them and that this is clearly outlined in their contract</w:t>
      </w:r>
      <w:r w:rsidR="00A02F28">
        <w:rPr>
          <w:rFonts w:cstheme="minorHAnsi"/>
        </w:rPr>
        <w:t xml:space="preserve">.  </w:t>
      </w:r>
      <w:r w:rsidR="002053B1">
        <w:rPr>
          <w:rFonts w:cstheme="minorHAnsi"/>
        </w:rPr>
        <w:t>It is also important that behaviours that would be deemed unacceptable</w:t>
      </w:r>
      <w:r w:rsidR="00A02F28">
        <w:rPr>
          <w:rFonts w:cstheme="minorHAnsi"/>
        </w:rPr>
        <w:t xml:space="preserve"> are also outlined and the consequences of such </w:t>
      </w:r>
      <w:r w:rsidR="00AC3D61">
        <w:rPr>
          <w:rFonts w:cstheme="minorHAnsi"/>
        </w:rPr>
        <w:t xml:space="preserve">(Suff, R. </w:t>
      </w:r>
      <w:r w:rsidR="00A02F28">
        <w:rPr>
          <w:rFonts w:cstheme="minorHAnsi"/>
        </w:rPr>
        <w:t xml:space="preserve">nd). </w:t>
      </w:r>
    </w:p>
    <w:p w:rsidR="00B67366" w:rsidRPr="00B67366" w:rsidRDefault="00B67366" w:rsidP="00B67366">
      <w:pPr>
        <w:pStyle w:val="ListParagraph"/>
        <w:rPr>
          <w:b/>
          <w:bCs/>
        </w:rPr>
      </w:pPr>
    </w:p>
    <w:p w:rsidR="00B67366" w:rsidRPr="00007CA2" w:rsidRDefault="00B67366" w:rsidP="00B67366">
      <w:pPr>
        <w:pStyle w:val="ListParagraph"/>
        <w:numPr>
          <w:ilvl w:val="0"/>
          <w:numId w:val="5"/>
        </w:numPr>
        <w:rPr>
          <w:b/>
          <w:bCs/>
        </w:rPr>
      </w:pPr>
      <w:r w:rsidRPr="00B67366">
        <w:rPr>
          <w:b/>
        </w:rPr>
        <w:t>Assess emerging trends in the types of conflict and industrial sanctions. (AC 2.3)</w:t>
      </w:r>
    </w:p>
    <w:p w:rsidR="005A0F0D" w:rsidRDefault="001829CD" w:rsidP="005E3053">
      <w:pPr>
        <w:jc w:val="both"/>
      </w:pPr>
      <w:r>
        <w:rPr>
          <w:rFonts w:cstheme="minorHAnsi"/>
          <w:bCs/>
        </w:rPr>
        <w:t>CIPD (2022)</w:t>
      </w:r>
      <w:r w:rsidR="006D16AF">
        <w:rPr>
          <w:rFonts w:cstheme="minorHAnsi"/>
          <w:bCs/>
        </w:rPr>
        <w:t xml:space="preserve"> report that</w:t>
      </w:r>
      <w:r>
        <w:rPr>
          <w:rFonts w:cstheme="minorHAnsi"/>
          <w:bCs/>
        </w:rPr>
        <w:t xml:space="preserve"> the Covid19</w:t>
      </w:r>
      <w:r w:rsidR="002F35F5">
        <w:t xml:space="preserve"> pandemic put pressure on organisations and employees with the introduction of working from home, hybrid working and increased health and safety measures.  Conflicts arose from lack of communication, feelings of isolation and the impact on natural collaboration.  </w:t>
      </w:r>
      <w:r w:rsidR="006D16AF">
        <w:t>Re</w:t>
      </w:r>
      <w:r w:rsidR="005A0F0D">
        <w:t xml:space="preserve">search indicates that mental health issues have increased during the pandemic with employees in the workplace suffering from stress, anxiety and depression, </w:t>
      </w:r>
      <w:r w:rsidR="006D16AF">
        <w:t>which increased</w:t>
      </w:r>
      <w:r w:rsidR="005A0F0D">
        <w:t xml:space="preserve"> the level of workplace conflict</w:t>
      </w:r>
      <w:r w:rsidR="006D16AF">
        <w:t xml:space="preserve"> (Liddle, D. 2020)</w:t>
      </w:r>
      <w:r w:rsidR="005A0F0D">
        <w:t xml:space="preserve">. </w:t>
      </w:r>
    </w:p>
    <w:p w:rsidR="005A0F0D" w:rsidRDefault="005A0F0D" w:rsidP="005E3053">
      <w:pPr>
        <w:jc w:val="both"/>
      </w:pPr>
      <w:r>
        <w:t xml:space="preserve">With the introduction of the Equality Act 2010 workplaces are striving to </w:t>
      </w:r>
      <w:r w:rsidR="00AB38E8">
        <w:t xml:space="preserve">be more diverse and inclusive with </w:t>
      </w:r>
      <w:r w:rsidR="006E2D75">
        <w:t>Ali, L</w:t>
      </w:r>
      <w:r w:rsidR="00AB38E8">
        <w:t xml:space="preserve"> (2022</w:t>
      </w:r>
      <w:r w:rsidR="00AB38E8" w:rsidRPr="00AB38E8">
        <w:rPr>
          <w:rFonts w:cstheme="minorHAnsi"/>
        </w:rPr>
        <w:t xml:space="preserve">) saying that it is </w:t>
      </w:r>
      <w:r w:rsidR="00AB38E8">
        <w:rPr>
          <w:rFonts w:cstheme="minorHAnsi"/>
        </w:rPr>
        <w:t>“</w:t>
      </w:r>
      <w:r w:rsidR="00AB38E8" w:rsidRPr="00AB38E8">
        <w:rPr>
          <w:rFonts w:cstheme="minorHAnsi"/>
          <w:color w:val="202020"/>
          <w:shd w:val="clear" w:color="auto" w:fill="FFFFFF"/>
        </w:rPr>
        <w:t>vital for the sustainability of businesses and economies</w:t>
      </w:r>
      <w:r w:rsidR="00BD2A64">
        <w:rPr>
          <w:rFonts w:cstheme="minorHAnsi"/>
          <w:color w:val="202020"/>
          <w:shd w:val="clear" w:color="auto" w:fill="FFFFFF"/>
        </w:rPr>
        <w:t>”. Co</w:t>
      </w:r>
      <w:r w:rsidR="00BD2A64">
        <w:t>nflict has arisen from</w:t>
      </w:r>
      <w:r w:rsidR="00AB38E8">
        <w:t xml:space="preserve"> differences in pe</w:t>
      </w:r>
      <w:r w:rsidR="00BD2A64">
        <w:t>rspectives, cultures</w:t>
      </w:r>
      <w:r w:rsidR="00AB38E8">
        <w:t xml:space="preserve"> and unconscious bias.</w:t>
      </w:r>
    </w:p>
    <w:p w:rsidR="00233751" w:rsidRDefault="005E3053" w:rsidP="005E3053">
      <w:pPr>
        <w:jc w:val="both"/>
        <w:rPr>
          <w:rFonts w:cstheme="minorHAnsi"/>
        </w:rPr>
      </w:pPr>
      <w:r>
        <w:rPr>
          <w:rFonts w:cstheme="minorHAnsi"/>
          <w:bCs/>
        </w:rPr>
        <w:t xml:space="preserve">With </w:t>
      </w:r>
      <w:r w:rsidR="004556A2">
        <w:rPr>
          <w:rFonts w:cstheme="minorHAnsi"/>
          <w:bCs/>
        </w:rPr>
        <w:t>the cost of living crisis and t</w:t>
      </w:r>
      <w:r w:rsidR="006D16AF">
        <w:rPr>
          <w:rFonts w:cstheme="minorHAnsi"/>
          <w:bCs/>
        </w:rPr>
        <w:t>he decrease in wages there has been an increase in</w:t>
      </w:r>
      <w:r w:rsidR="004556A2">
        <w:rPr>
          <w:rFonts w:cstheme="minorHAnsi"/>
          <w:bCs/>
        </w:rPr>
        <w:t xml:space="preserve"> industrial action (CIPD, 2022a).</w:t>
      </w:r>
      <w:r w:rsidR="004556A2" w:rsidRPr="004556A2">
        <w:rPr>
          <w:rFonts w:cstheme="minorHAnsi"/>
          <w:bCs/>
        </w:rPr>
        <w:t xml:space="preserve"> </w:t>
      </w:r>
      <w:r w:rsidR="004556A2">
        <w:rPr>
          <w:rFonts w:cstheme="minorHAnsi"/>
          <w:bCs/>
        </w:rPr>
        <w:t xml:space="preserve"> </w:t>
      </w:r>
      <w:r w:rsidR="006D16AF">
        <w:rPr>
          <w:rFonts w:cstheme="minorHAnsi"/>
          <w:bCs/>
        </w:rPr>
        <w:t>The</w:t>
      </w:r>
      <w:r w:rsidR="00397A92">
        <w:rPr>
          <w:rFonts w:cstheme="minorHAnsi"/>
          <w:bCs/>
        </w:rPr>
        <w:t xml:space="preserve"> ONS (2023)</w:t>
      </w:r>
      <w:r w:rsidR="006D16AF">
        <w:rPr>
          <w:rFonts w:cstheme="minorHAnsi"/>
          <w:bCs/>
        </w:rPr>
        <w:t xml:space="preserve"> state</w:t>
      </w:r>
      <w:r w:rsidR="00397A92">
        <w:rPr>
          <w:rFonts w:cstheme="minorHAnsi"/>
          <w:bCs/>
        </w:rPr>
        <w:t xml:space="preserve"> the number of days lost because of labour disputes has risen from 93,000 in June 2022 to 843,0</w:t>
      </w:r>
      <w:r w:rsidR="006D16AF">
        <w:rPr>
          <w:rFonts w:cstheme="minorHAnsi"/>
          <w:bCs/>
        </w:rPr>
        <w:t>00 in December 2022.  I</w:t>
      </w:r>
      <w:r w:rsidR="00397A92">
        <w:rPr>
          <w:rFonts w:cstheme="minorHAnsi"/>
          <w:bCs/>
        </w:rPr>
        <w:t>ndustrial st</w:t>
      </w:r>
      <w:r w:rsidR="00374A8C">
        <w:rPr>
          <w:rFonts w:cstheme="minorHAnsi"/>
          <w:bCs/>
        </w:rPr>
        <w:t>r</w:t>
      </w:r>
      <w:r w:rsidR="00397A92">
        <w:rPr>
          <w:rFonts w:cstheme="minorHAnsi"/>
          <w:bCs/>
        </w:rPr>
        <w:t xml:space="preserve">ike action periods are decreasing from longer periods to shorter more </w:t>
      </w:r>
      <w:r w:rsidR="00374A8C">
        <w:rPr>
          <w:rFonts w:cstheme="minorHAnsi"/>
          <w:bCs/>
        </w:rPr>
        <w:t>specific hard hitting dates</w:t>
      </w:r>
      <w:r w:rsidR="00BD2A64">
        <w:rPr>
          <w:rFonts w:cstheme="minorHAnsi"/>
          <w:bCs/>
        </w:rPr>
        <w:t>,</w:t>
      </w:r>
      <w:r w:rsidR="00374A8C">
        <w:rPr>
          <w:rFonts w:cstheme="minorHAnsi"/>
          <w:bCs/>
        </w:rPr>
        <w:t xml:space="preserve"> as seen by the strikes held by the Royal College of Nursing/</w:t>
      </w:r>
      <w:r w:rsidR="00374A8C" w:rsidRPr="00374A8C">
        <w:rPr>
          <w:rFonts w:cstheme="minorHAnsi"/>
          <w:bCs/>
        </w:rPr>
        <w:t xml:space="preserve">NHS and the </w:t>
      </w:r>
      <w:r w:rsidR="00374A8C" w:rsidRPr="00374A8C">
        <w:rPr>
          <w:rFonts w:cstheme="minorHAnsi"/>
        </w:rPr>
        <w:t>Rail, Maritime and</w:t>
      </w:r>
      <w:r w:rsidR="00374A8C">
        <w:rPr>
          <w:rFonts w:cstheme="minorHAnsi"/>
        </w:rPr>
        <w:t xml:space="preserve"> Transport Workers' union in 2022</w:t>
      </w:r>
      <w:r w:rsidR="003B249C">
        <w:rPr>
          <w:rFonts w:cstheme="minorHAnsi"/>
        </w:rPr>
        <w:t xml:space="preserve"> (Strike: Inside the Unions, 2023)</w:t>
      </w:r>
      <w:r w:rsidR="006D16AF">
        <w:rPr>
          <w:rFonts w:cstheme="minorHAnsi"/>
        </w:rPr>
        <w:t xml:space="preserve">.  The </w:t>
      </w:r>
      <w:r w:rsidR="00233751">
        <w:rPr>
          <w:rFonts w:cstheme="minorHAnsi"/>
        </w:rPr>
        <w:t xml:space="preserve">Department of Business and Trade (2023) </w:t>
      </w:r>
      <w:r w:rsidR="006D16AF">
        <w:rPr>
          <w:rFonts w:cstheme="minorHAnsi"/>
        </w:rPr>
        <w:t xml:space="preserve">report </w:t>
      </w:r>
      <w:r w:rsidR="008B5315">
        <w:rPr>
          <w:rFonts w:cstheme="minorHAnsi"/>
        </w:rPr>
        <w:t xml:space="preserve">that in 2022 the levels of membership to a Trade Union were </w:t>
      </w:r>
      <w:r w:rsidR="00233751">
        <w:rPr>
          <w:rFonts w:cstheme="minorHAnsi"/>
        </w:rPr>
        <w:t>at its lowest since 2017</w:t>
      </w:r>
      <w:r>
        <w:rPr>
          <w:rFonts w:cstheme="minorHAnsi"/>
        </w:rPr>
        <w:t>.</w:t>
      </w:r>
    </w:p>
    <w:p w:rsidR="00BA2236" w:rsidRPr="00233751" w:rsidRDefault="00BA2236" w:rsidP="005E3053">
      <w:pPr>
        <w:jc w:val="both"/>
        <w:rPr>
          <w:rFonts w:cstheme="minorHAnsi"/>
        </w:rPr>
      </w:pPr>
    </w:p>
    <w:p w:rsidR="00A02F28" w:rsidRPr="00A02F28" w:rsidRDefault="00B67366" w:rsidP="00A02F28">
      <w:pPr>
        <w:pStyle w:val="ListParagraph"/>
        <w:numPr>
          <w:ilvl w:val="0"/>
          <w:numId w:val="5"/>
        </w:numPr>
        <w:rPr>
          <w:b/>
          <w:bCs/>
        </w:rPr>
      </w:pPr>
      <w:r w:rsidRPr="00B67366">
        <w:rPr>
          <w:b/>
        </w:rPr>
        <w:t>Distinguish between third-party conciliation, mediation and arbitration. (AC 2.4)</w:t>
      </w:r>
    </w:p>
    <w:p w:rsidR="00A02F28" w:rsidRDefault="00A02F28" w:rsidP="00271DEE">
      <w:pPr>
        <w:jc w:val="both"/>
        <w:rPr>
          <w:bCs/>
        </w:rPr>
      </w:pPr>
      <w:r w:rsidRPr="00A02F28">
        <w:rPr>
          <w:bCs/>
        </w:rPr>
        <w:t>Third-party conciliation, mediation and arbitration are all types of Alternative Dispute R</w:t>
      </w:r>
      <w:r>
        <w:rPr>
          <w:bCs/>
        </w:rPr>
        <w:t>esolution</w:t>
      </w:r>
      <w:r w:rsidRPr="00A02F28">
        <w:rPr>
          <w:bCs/>
        </w:rPr>
        <w:t xml:space="preserve"> (ADR)</w:t>
      </w:r>
      <w:r>
        <w:rPr>
          <w:bCs/>
        </w:rPr>
        <w:t>.  ADR give the parties the opportunity to resolve disputes without the need to proceed through legal channels</w:t>
      </w:r>
      <w:r w:rsidR="005E3053">
        <w:rPr>
          <w:bCs/>
        </w:rPr>
        <w:t>.</w:t>
      </w:r>
    </w:p>
    <w:p w:rsidR="00A02F28" w:rsidRDefault="00271DEE" w:rsidP="00271DEE">
      <w:pPr>
        <w:jc w:val="both"/>
        <w:rPr>
          <w:bCs/>
        </w:rPr>
      </w:pPr>
      <w:r>
        <w:rPr>
          <w:bCs/>
        </w:rPr>
        <w:lastRenderedPageBreak/>
        <w:t xml:space="preserve">According to GOV.uk (2023) </w:t>
      </w:r>
      <w:r w:rsidR="00A02F28">
        <w:rPr>
          <w:bCs/>
        </w:rPr>
        <w:t>Mediation is where a</w:t>
      </w:r>
      <w:r w:rsidR="00A52BF5">
        <w:rPr>
          <w:bCs/>
        </w:rPr>
        <w:t xml:space="preserve">n independent </w:t>
      </w:r>
      <w:r w:rsidR="00A02F28">
        <w:rPr>
          <w:bCs/>
        </w:rPr>
        <w:t>third party</w:t>
      </w:r>
      <w:r w:rsidR="00A52BF5">
        <w:rPr>
          <w:bCs/>
        </w:rPr>
        <w:t xml:space="preserve"> (usually ACAS)</w:t>
      </w:r>
      <w:r w:rsidR="00A02F28">
        <w:rPr>
          <w:bCs/>
        </w:rPr>
        <w:t xml:space="preserve"> enters a discussio</w:t>
      </w:r>
      <w:r>
        <w:rPr>
          <w:bCs/>
        </w:rPr>
        <w:t>n with the disputing parties</w:t>
      </w:r>
      <w:r w:rsidR="0051153A">
        <w:rPr>
          <w:bCs/>
        </w:rPr>
        <w:t xml:space="preserve"> </w:t>
      </w:r>
      <w:r w:rsidR="00A02F28">
        <w:rPr>
          <w:bCs/>
        </w:rPr>
        <w:t>to try and</w:t>
      </w:r>
      <w:r>
        <w:rPr>
          <w:bCs/>
        </w:rPr>
        <w:t xml:space="preserve"> </w:t>
      </w:r>
      <w:r w:rsidR="005E3053">
        <w:rPr>
          <w:bCs/>
        </w:rPr>
        <w:t xml:space="preserve">reach </w:t>
      </w:r>
      <w:r>
        <w:rPr>
          <w:bCs/>
        </w:rPr>
        <w:t>a solution amica</w:t>
      </w:r>
      <w:r w:rsidR="005E3053">
        <w:rPr>
          <w:bCs/>
        </w:rPr>
        <w:t>bly.  Mediation is voluntary,</w:t>
      </w:r>
      <w:r>
        <w:rPr>
          <w:bCs/>
        </w:rPr>
        <w:t xml:space="preserve"> the third party cannot force the parties to come to a solution but can make recommendations.  Mediation cannot be used where a formal investigation needs to be completed</w:t>
      </w:r>
      <w:r w:rsidR="0051153A">
        <w:rPr>
          <w:bCs/>
        </w:rPr>
        <w:t>,</w:t>
      </w:r>
      <w:r w:rsidR="00AC3D61">
        <w:rPr>
          <w:bCs/>
        </w:rPr>
        <w:t xml:space="preserve"> a decision between r</w:t>
      </w:r>
      <w:r w:rsidR="005E3053">
        <w:rPr>
          <w:bCs/>
        </w:rPr>
        <w:t>ight and wrong is needed or</w:t>
      </w:r>
      <w:r w:rsidR="0051153A">
        <w:rPr>
          <w:bCs/>
        </w:rPr>
        <w:t xml:space="preserve"> </w:t>
      </w:r>
      <w:r w:rsidR="00AC3D61">
        <w:rPr>
          <w:bCs/>
        </w:rPr>
        <w:t>there is a capacity issues (Young, 2022)</w:t>
      </w:r>
      <w:r>
        <w:rPr>
          <w:bCs/>
        </w:rPr>
        <w:t>.  Mediation is seen as being confidential, private, informal, flexible and not legally binding ACAS (2022</w:t>
      </w:r>
      <w:r w:rsidR="00C90819">
        <w:rPr>
          <w:bCs/>
        </w:rPr>
        <w:t>b</w:t>
      </w:r>
      <w:r>
        <w:rPr>
          <w:bCs/>
        </w:rPr>
        <w:t xml:space="preserve">).  </w:t>
      </w:r>
    </w:p>
    <w:p w:rsidR="00B67366" w:rsidRDefault="00A02F28" w:rsidP="00EF47BF">
      <w:pPr>
        <w:jc w:val="both"/>
        <w:rPr>
          <w:bCs/>
        </w:rPr>
      </w:pPr>
      <w:r>
        <w:rPr>
          <w:bCs/>
        </w:rPr>
        <w:t xml:space="preserve">Third-party conciliation </w:t>
      </w:r>
      <w:r w:rsidR="00AC3D61">
        <w:rPr>
          <w:bCs/>
        </w:rPr>
        <w:t>is similar to mediation but is used to try and find a solution</w:t>
      </w:r>
      <w:r w:rsidR="00EF47BF">
        <w:rPr>
          <w:bCs/>
        </w:rPr>
        <w:t xml:space="preserve"> either prior to entering a claim to an employment tribunal (early conciliation) or after/during an employment tribunal (conciliation</w:t>
      </w:r>
      <w:r w:rsidR="004E6C2A">
        <w:rPr>
          <w:bCs/>
        </w:rPr>
        <w:t>) (GOV.uk, 2023).  C</w:t>
      </w:r>
      <w:r w:rsidR="00EF47BF">
        <w:rPr>
          <w:bCs/>
        </w:rPr>
        <w:t xml:space="preserve">onciliation </w:t>
      </w:r>
      <w:r w:rsidR="00A52BF5">
        <w:rPr>
          <w:bCs/>
        </w:rPr>
        <w:t>is where an independent third party (usually ACA</w:t>
      </w:r>
      <w:r w:rsidR="005E3053">
        <w:rPr>
          <w:bCs/>
        </w:rPr>
        <w:t>S) acts as a go-between</w:t>
      </w:r>
      <w:r w:rsidR="00C90819">
        <w:rPr>
          <w:bCs/>
        </w:rPr>
        <w:t xml:space="preserve"> (ACAS 2021</w:t>
      </w:r>
      <w:r w:rsidR="004E6C2A">
        <w:rPr>
          <w:bCs/>
        </w:rPr>
        <w:t>)</w:t>
      </w:r>
      <w:r w:rsidR="005E3053">
        <w:rPr>
          <w:bCs/>
        </w:rPr>
        <w:t xml:space="preserve">. </w:t>
      </w:r>
      <w:r w:rsidR="00A52BF5">
        <w:rPr>
          <w:bCs/>
        </w:rPr>
        <w:t xml:space="preserve"> If an agree</w:t>
      </w:r>
      <w:r w:rsidR="0051153A">
        <w:rPr>
          <w:bCs/>
        </w:rPr>
        <w:t xml:space="preserve">ment is reached, it is </w:t>
      </w:r>
      <w:r w:rsidR="00A52BF5">
        <w:rPr>
          <w:bCs/>
        </w:rPr>
        <w:t xml:space="preserve">signed by both parties, which would stop any tribunal claim proceeding.  If an agreement cannot be reached </w:t>
      </w:r>
      <w:r w:rsidR="005E3053">
        <w:rPr>
          <w:bCs/>
        </w:rPr>
        <w:t>then a claim can go through tribunal</w:t>
      </w:r>
      <w:r w:rsidR="00A52BF5">
        <w:rPr>
          <w:bCs/>
        </w:rPr>
        <w:t xml:space="preserve"> until the Judge makes a decision.</w:t>
      </w:r>
    </w:p>
    <w:p w:rsidR="00E011F4" w:rsidRDefault="00E011F4" w:rsidP="00EF47BF">
      <w:pPr>
        <w:jc w:val="both"/>
        <w:rPr>
          <w:bCs/>
        </w:rPr>
      </w:pPr>
      <w:r>
        <w:rPr>
          <w:bCs/>
        </w:rPr>
        <w:t>Arbitration is where both parties agree for a third party (normally ACAS) to make a firm decision abou</w:t>
      </w:r>
      <w:r w:rsidR="005E3053">
        <w:rPr>
          <w:bCs/>
        </w:rPr>
        <w:t>t the claim (GOV.uk, 2023).  T</w:t>
      </w:r>
      <w:r w:rsidR="0051153A">
        <w:rPr>
          <w:bCs/>
        </w:rPr>
        <w:t xml:space="preserve">he arbitrator </w:t>
      </w:r>
      <w:r>
        <w:rPr>
          <w:bCs/>
        </w:rPr>
        <w:t>will take an impartial view, consider both sides and review the evidence before making a decision</w:t>
      </w:r>
      <w:r w:rsidR="005E3053">
        <w:rPr>
          <w:bCs/>
        </w:rPr>
        <w:t xml:space="preserve"> (ACAS 2022</w:t>
      </w:r>
      <w:r w:rsidR="00C90819">
        <w:rPr>
          <w:bCs/>
        </w:rPr>
        <w:t>a</w:t>
      </w:r>
      <w:r w:rsidR="005E3053">
        <w:rPr>
          <w:bCs/>
        </w:rPr>
        <w:t>)</w:t>
      </w:r>
      <w:r>
        <w:rPr>
          <w:bCs/>
        </w:rPr>
        <w:t>.  Arbitration can be collective arbitr</w:t>
      </w:r>
      <w:r w:rsidR="005E3053">
        <w:rPr>
          <w:bCs/>
        </w:rPr>
        <w:t>ation between an employer/</w:t>
      </w:r>
      <w:r>
        <w:rPr>
          <w:bCs/>
        </w:rPr>
        <w:t>group of employees or individual arbitration between an employer and an individual employee.</w:t>
      </w:r>
    </w:p>
    <w:p w:rsidR="00CC31CE" w:rsidRDefault="00CC31CE" w:rsidP="00CC31CE">
      <w:pPr>
        <w:pStyle w:val="ListParagraph"/>
        <w:spacing w:after="0" w:line="256" w:lineRule="auto"/>
        <w:ind w:left="0"/>
        <w:rPr>
          <w:color w:val="000000" w:themeColor="text1"/>
        </w:rPr>
      </w:pPr>
      <w:r>
        <w:rPr>
          <w:color w:val="000000" w:themeColor="text1"/>
        </w:rPr>
        <w:t xml:space="preserve">Go Quest should consider all possible avenues of alternative dispute resolution and take advice from ACAS should a dispute arise. </w:t>
      </w:r>
    </w:p>
    <w:p w:rsidR="00BA2236" w:rsidRDefault="00BA2236" w:rsidP="00CC31CE">
      <w:pPr>
        <w:pStyle w:val="ListParagraph"/>
        <w:spacing w:after="0" w:line="256" w:lineRule="auto"/>
        <w:ind w:left="0"/>
        <w:rPr>
          <w:color w:val="000000" w:themeColor="text1"/>
        </w:rPr>
      </w:pPr>
    </w:p>
    <w:p w:rsidR="00B67366" w:rsidRPr="00B67366" w:rsidRDefault="00B67366" w:rsidP="00B67366">
      <w:pPr>
        <w:pStyle w:val="ListParagraph"/>
        <w:rPr>
          <w:b/>
          <w:bCs/>
        </w:rPr>
      </w:pPr>
    </w:p>
    <w:p w:rsidR="00B67366" w:rsidRPr="005F76A8" w:rsidRDefault="00B67366" w:rsidP="00B67366">
      <w:pPr>
        <w:pStyle w:val="ListParagraph"/>
        <w:numPr>
          <w:ilvl w:val="0"/>
          <w:numId w:val="5"/>
        </w:numPr>
        <w:rPr>
          <w:b/>
          <w:bCs/>
        </w:rPr>
      </w:pPr>
      <w:r w:rsidRPr="00B67366">
        <w:rPr>
          <w:b/>
        </w:rPr>
        <w:t>Explain the principles of legislation relating to unfair dismissal in respect of capability and misconduct issues. (AC 3.1)</w:t>
      </w:r>
    </w:p>
    <w:p w:rsidR="00596425" w:rsidRPr="00596425" w:rsidRDefault="0097655D" w:rsidP="00F469F2">
      <w:pPr>
        <w:jc w:val="both"/>
        <w:rPr>
          <w:bCs/>
        </w:rPr>
      </w:pPr>
      <w:r>
        <w:rPr>
          <w:bCs/>
        </w:rPr>
        <w:t>Section 94 of the</w:t>
      </w:r>
      <w:r w:rsidR="005F76A8">
        <w:rPr>
          <w:bCs/>
        </w:rPr>
        <w:t xml:space="preserve"> Employment Rights Act 1996 outlines </w:t>
      </w:r>
      <w:r>
        <w:rPr>
          <w:bCs/>
        </w:rPr>
        <w:t xml:space="preserve">that the employee has the right not to be unfairly dismissed by an employer.  The employee must be an employee and not a worker or self-employed and must have at least 2 </w:t>
      </w:r>
      <w:r w:rsidR="003B1E3F">
        <w:rPr>
          <w:bCs/>
        </w:rPr>
        <w:t>years’ service</w:t>
      </w:r>
      <w:r>
        <w:rPr>
          <w:bCs/>
        </w:rPr>
        <w:t xml:space="preserve"> unless the dismissal was for one of the automatically unfair reaso</w:t>
      </w:r>
      <w:r w:rsidR="00F469F2">
        <w:rPr>
          <w:bCs/>
        </w:rPr>
        <w:t>ns as outlined by ACAS (2022).</w:t>
      </w:r>
    </w:p>
    <w:p w:rsidR="0097655D" w:rsidRDefault="0097655D" w:rsidP="0097655D">
      <w:pPr>
        <w:jc w:val="both"/>
        <w:rPr>
          <w:bCs/>
        </w:rPr>
      </w:pPr>
      <w:r>
        <w:rPr>
          <w:bCs/>
        </w:rPr>
        <w:t>Section 98 of the Employ</w:t>
      </w:r>
      <w:r w:rsidR="0051153A">
        <w:rPr>
          <w:bCs/>
        </w:rPr>
        <w:t>ment Rights Act 1996 outline the five fair reasons for dismissal.</w:t>
      </w:r>
    </w:p>
    <w:p w:rsidR="00596425" w:rsidRDefault="003B1E3F" w:rsidP="003B1E3F">
      <w:pPr>
        <w:jc w:val="both"/>
        <w:rPr>
          <w:bCs/>
        </w:rPr>
      </w:pPr>
      <w:r>
        <w:rPr>
          <w:bCs/>
        </w:rPr>
        <w:t xml:space="preserve">Capability is defined by the Employment Rights Act 1996 as ‘skill, aptitude, health or any other physical mental quality’ (Daniels, K 2022). The Employer must ensure that the employee understands the </w:t>
      </w:r>
      <w:r w:rsidR="004E6C2A">
        <w:rPr>
          <w:bCs/>
        </w:rPr>
        <w:t>job</w:t>
      </w:r>
      <w:r w:rsidR="00856960">
        <w:rPr>
          <w:bCs/>
        </w:rPr>
        <w:t xml:space="preserve"> requirements </w:t>
      </w:r>
      <w:r w:rsidR="0051153A">
        <w:rPr>
          <w:bCs/>
        </w:rPr>
        <w:t>and identifies</w:t>
      </w:r>
      <w:r w:rsidR="00856960">
        <w:rPr>
          <w:bCs/>
        </w:rPr>
        <w:t xml:space="preserve"> </w:t>
      </w:r>
      <w:r w:rsidR="0051153A">
        <w:rPr>
          <w:bCs/>
        </w:rPr>
        <w:t>and act</w:t>
      </w:r>
      <w:r w:rsidR="004E6C2A">
        <w:rPr>
          <w:bCs/>
        </w:rPr>
        <w:t>s</w:t>
      </w:r>
      <w:r w:rsidR="0051153A">
        <w:rPr>
          <w:bCs/>
        </w:rPr>
        <w:t xml:space="preserve"> on</w:t>
      </w:r>
      <w:r w:rsidR="00856960">
        <w:rPr>
          <w:bCs/>
        </w:rPr>
        <w:t xml:space="preserve"> tra</w:t>
      </w:r>
      <w:r w:rsidR="007D3DC3">
        <w:rPr>
          <w:bCs/>
        </w:rPr>
        <w:t xml:space="preserve">ining needs.  The employee </w:t>
      </w:r>
      <w:r w:rsidR="004E6C2A">
        <w:rPr>
          <w:bCs/>
        </w:rPr>
        <w:t>should</w:t>
      </w:r>
      <w:r w:rsidR="0051153A">
        <w:rPr>
          <w:bCs/>
        </w:rPr>
        <w:t xml:space="preserve"> be advised of</w:t>
      </w:r>
      <w:r w:rsidR="004E6C2A">
        <w:rPr>
          <w:bCs/>
        </w:rPr>
        <w:t xml:space="preserve"> repercussions of</w:t>
      </w:r>
      <w:r w:rsidR="00856960">
        <w:rPr>
          <w:bCs/>
        </w:rPr>
        <w:t xml:space="preserve"> failing to meet these </w:t>
      </w:r>
      <w:r w:rsidR="0051153A">
        <w:rPr>
          <w:bCs/>
        </w:rPr>
        <w:t>requirements.  If the capability issue relates to ill-health</w:t>
      </w:r>
      <w:r w:rsidR="00856960">
        <w:rPr>
          <w:bCs/>
        </w:rPr>
        <w:t>, the employer needs to consider the illness, the expected/actual length of absence and the effect the absence has on the business.  The Equality Act 2010 provides guidance in relation to ill health related capability.</w:t>
      </w:r>
    </w:p>
    <w:p w:rsidR="00596425" w:rsidRDefault="0051153A" w:rsidP="003B1E3F">
      <w:pPr>
        <w:jc w:val="both"/>
        <w:rPr>
          <w:bCs/>
        </w:rPr>
      </w:pPr>
      <w:r>
        <w:rPr>
          <w:bCs/>
        </w:rPr>
        <w:t xml:space="preserve">Conduct </w:t>
      </w:r>
      <w:r w:rsidR="00596425">
        <w:rPr>
          <w:bCs/>
        </w:rPr>
        <w:t>types:</w:t>
      </w:r>
    </w:p>
    <w:p w:rsidR="003B1E3F" w:rsidRDefault="00596425" w:rsidP="00596425">
      <w:pPr>
        <w:pStyle w:val="ListParagraph"/>
        <w:numPr>
          <w:ilvl w:val="0"/>
          <w:numId w:val="13"/>
        </w:numPr>
        <w:jc w:val="both"/>
        <w:rPr>
          <w:bCs/>
        </w:rPr>
      </w:pPr>
      <w:r>
        <w:rPr>
          <w:bCs/>
        </w:rPr>
        <w:t>Gross misconduct</w:t>
      </w:r>
      <w:r w:rsidR="00500A4A">
        <w:rPr>
          <w:bCs/>
        </w:rPr>
        <w:t>, which can result in summ</w:t>
      </w:r>
      <w:r w:rsidR="0051153A">
        <w:rPr>
          <w:bCs/>
        </w:rPr>
        <w:t>ary dismissal.  Examples:</w:t>
      </w:r>
      <w:r w:rsidR="00500A4A">
        <w:rPr>
          <w:bCs/>
        </w:rPr>
        <w:t xml:space="preserve"> t</w:t>
      </w:r>
      <w:r w:rsidR="0051153A">
        <w:rPr>
          <w:bCs/>
        </w:rPr>
        <w:t xml:space="preserve">heft, assault </w:t>
      </w:r>
      <w:r w:rsidR="00500A4A">
        <w:rPr>
          <w:bCs/>
        </w:rPr>
        <w:t>and vandalism</w:t>
      </w:r>
    </w:p>
    <w:p w:rsidR="00596425" w:rsidRDefault="00596425" w:rsidP="00596425">
      <w:pPr>
        <w:pStyle w:val="ListParagraph"/>
        <w:numPr>
          <w:ilvl w:val="0"/>
          <w:numId w:val="13"/>
        </w:numPr>
        <w:jc w:val="both"/>
        <w:rPr>
          <w:bCs/>
        </w:rPr>
      </w:pPr>
      <w:r>
        <w:rPr>
          <w:bCs/>
        </w:rPr>
        <w:t>Misconduct</w:t>
      </w:r>
      <w:r w:rsidR="004D7100">
        <w:rPr>
          <w:bCs/>
        </w:rPr>
        <w:t xml:space="preserve">, </w:t>
      </w:r>
      <w:r w:rsidR="00500A4A">
        <w:rPr>
          <w:bCs/>
        </w:rPr>
        <w:t>is less serious</w:t>
      </w:r>
      <w:r w:rsidR="0051153A">
        <w:rPr>
          <w:bCs/>
        </w:rPr>
        <w:t>,</w:t>
      </w:r>
      <w:r w:rsidR="00500A4A">
        <w:rPr>
          <w:bCs/>
        </w:rPr>
        <w:t xml:space="preserve"> usually dealt with by way of disciplinary warnings and potentially dismissal if behaviour doesn’t improve.  Examples</w:t>
      </w:r>
      <w:r w:rsidR="004D7100">
        <w:rPr>
          <w:bCs/>
        </w:rPr>
        <w:t>:</w:t>
      </w:r>
      <w:r w:rsidR="00500A4A">
        <w:rPr>
          <w:bCs/>
        </w:rPr>
        <w:t xml:space="preserve"> lateness, bad language and </w:t>
      </w:r>
      <w:r w:rsidR="004E6C2A">
        <w:rPr>
          <w:bCs/>
        </w:rPr>
        <w:t>excessive absences.</w:t>
      </w:r>
    </w:p>
    <w:p w:rsidR="00B67366" w:rsidRPr="00F469F2" w:rsidRDefault="00500A4A" w:rsidP="00F469F2">
      <w:pPr>
        <w:jc w:val="both"/>
        <w:rPr>
          <w:bCs/>
        </w:rPr>
      </w:pPr>
      <w:r>
        <w:rPr>
          <w:bCs/>
        </w:rPr>
        <w:t>A dismissal for misconduct put</w:t>
      </w:r>
      <w:r w:rsidR="007D3DC3">
        <w:rPr>
          <w:bCs/>
        </w:rPr>
        <w:t>s</w:t>
      </w:r>
      <w:r>
        <w:rPr>
          <w:bCs/>
        </w:rPr>
        <w:t xml:space="preserve"> the emphasis on the employer </w:t>
      </w:r>
      <w:r w:rsidR="004D7100">
        <w:rPr>
          <w:bCs/>
        </w:rPr>
        <w:t xml:space="preserve">to </w:t>
      </w:r>
      <w:r>
        <w:rPr>
          <w:bCs/>
        </w:rPr>
        <w:t xml:space="preserve">proving </w:t>
      </w:r>
      <w:r w:rsidR="004D7100">
        <w:rPr>
          <w:bCs/>
        </w:rPr>
        <w:t xml:space="preserve">they have </w:t>
      </w:r>
      <w:r>
        <w:rPr>
          <w:bCs/>
        </w:rPr>
        <w:t xml:space="preserve">investigated the matter, had a reasonable belief that the employee committed the act and they acted reasonably to </w:t>
      </w:r>
      <w:r>
        <w:rPr>
          <w:bCs/>
        </w:rPr>
        <w:lastRenderedPageBreak/>
        <w:t>dismiss the employee</w:t>
      </w:r>
      <w:r w:rsidR="00F469F2">
        <w:rPr>
          <w:bCs/>
        </w:rPr>
        <w:t xml:space="preserve"> (known as acting within the ‘range of reasonable responses’ (Daniels, K</w:t>
      </w:r>
      <w:r w:rsidR="004E6C2A">
        <w:rPr>
          <w:bCs/>
        </w:rPr>
        <w:t>.</w:t>
      </w:r>
      <w:r w:rsidR="00F469F2">
        <w:rPr>
          <w:bCs/>
        </w:rPr>
        <w:t xml:space="preserve"> 2022)</w:t>
      </w:r>
      <w:r>
        <w:rPr>
          <w:bCs/>
        </w:rPr>
        <w:t>.</w:t>
      </w:r>
      <w:r w:rsidR="004D7100">
        <w:rPr>
          <w:bCs/>
        </w:rPr>
        <w:t xml:space="preserve">  The </w:t>
      </w:r>
      <w:r w:rsidR="007D3DC3">
        <w:rPr>
          <w:bCs/>
        </w:rPr>
        <w:t>employer</w:t>
      </w:r>
      <w:r w:rsidR="004D7100">
        <w:rPr>
          <w:bCs/>
        </w:rPr>
        <w:t xml:space="preserve"> should keep</w:t>
      </w:r>
      <w:r w:rsidR="00F469F2">
        <w:rPr>
          <w:bCs/>
        </w:rPr>
        <w:t xml:space="preserve"> accurate records of any conduct issues and </w:t>
      </w:r>
      <w:r w:rsidR="004D7100">
        <w:rPr>
          <w:bCs/>
        </w:rPr>
        <w:t xml:space="preserve">ensure </w:t>
      </w:r>
      <w:r w:rsidR="00F469F2">
        <w:rPr>
          <w:bCs/>
        </w:rPr>
        <w:t>the employee is aware of their right to be accompanied to any disciplinary hearing in line with Section 10 of the Employment Rights Act 1996.</w:t>
      </w:r>
      <w:r>
        <w:rPr>
          <w:bCs/>
        </w:rPr>
        <w:t xml:space="preserve"> </w:t>
      </w:r>
    </w:p>
    <w:p w:rsidR="00B67366" w:rsidRPr="00B67366" w:rsidRDefault="00B67366" w:rsidP="00B67366">
      <w:pPr>
        <w:pStyle w:val="ListParagraph"/>
        <w:rPr>
          <w:b/>
          <w:bCs/>
        </w:rPr>
      </w:pPr>
    </w:p>
    <w:p w:rsidR="00B67366" w:rsidRPr="007D3DC3" w:rsidRDefault="00B67366" w:rsidP="00B67366">
      <w:pPr>
        <w:pStyle w:val="ListParagraph"/>
        <w:numPr>
          <w:ilvl w:val="0"/>
          <w:numId w:val="5"/>
        </w:numPr>
        <w:rPr>
          <w:b/>
          <w:bCs/>
        </w:rPr>
      </w:pPr>
      <w:r w:rsidRPr="00B67366">
        <w:rPr>
          <w:b/>
        </w:rPr>
        <w:t>Analyse key causes of employee grievances. (AC 3.2)</w:t>
      </w:r>
    </w:p>
    <w:p w:rsidR="005556D8" w:rsidRDefault="002676CC" w:rsidP="0067453D">
      <w:pPr>
        <w:jc w:val="both"/>
        <w:rPr>
          <w:bCs/>
        </w:rPr>
      </w:pPr>
      <w:r>
        <w:rPr>
          <w:rFonts w:cstheme="minorHAnsi"/>
          <w:bCs/>
        </w:rPr>
        <w:t>Saundry, R (2021) for an ACAS report</w:t>
      </w:r>
      <w:r w:rsidR="001E63D1" w:rsidRPr="001E63D1">
        <w:rPr>
          <w:rFonts w:cstheme="minorHAnsi"/>
          <w:bCs/>
        </w:rPr>
        <w:t xml:space="preserve"> </w:t>
      </w:r>
      <w:r w:rsidR="001E63D1" w:rsidRPr="001E63D1">
        <w:rPr>
          <w:rFonts w:cstheme="minorHAnsi"/>
          <w:color w:val="000000"/>
        </w:rPr>
        <w:t>estimate that there are an average of 374,760 formal grievances annually</w:t>
      </w:r>
      <w:r w:rsidR="0067453D" w:rsidRPr="001E63D1">
        <w:rPr>
          <w:rFonts w:cstheme="minorHAnsi"/>
          <w:bCs/>
        </w:rPr>
        <w:t xml:space="preserve"> </w:t>
      </w:r>
      <w:r w:rsidR="001E63D1" w:rsidRPr="001E63D1">
        <w:rPr>
          <w:rFonts w:cstheme="minorHAnsi"/>
          <w:bCs/>
        </w:rPr>
        <w:t>costing</w:t>
      </w:r>
      <w:r w:rsidR="001E63D1">
        <w:rPr>
          <w:rFonts w:cstheme="minorHAnsi"/>
          <w:bCs/>
        </w:rPr>
        <w:t xml:space="preserve"> the UK economy</w:t>
      </w:r>
      <w:r w:rsidR="001E63D1" w:rsidRPr="001E63D1">
        <w:rPr>
          <w:rFonts w:cstheme="minorHAnsi"/>
          <w:bCs/>
        </w:rPr>
        <w:t xml:space="preserve"> </w:t>
      </w:r>
      <w:r w:rsidR="001E63D1" w:rsidRPr="001E63D1">
        <w:rPr>
          <w:rFonts w:cstheme="minorHAnsi"/>
          <w:color w:val="000000"/>
        </w:rPr>
        <w:t>£356 million</w:t>
      </w:r>
      <w:r w:rsidR="001E63D1">
        <w:rPr>
          <w:rFonts w:cstheme="minorHAnsi"/>
          <w:color w:val="000000"/>
        </w:rPr>
        <w:t xml:space="preserve"> per year.</w:t>
      </w:r>
      <w:r>
        <w:rPr>
          <w:rFonts w:cstheme="minorHAnsi"/>
          <w:color w:val="000000"/>
        </w:rPr>
        <w:t xml:space="preserve">  Wanrooy et al</w:t>
      </w:r>
      <w:r w:rsidR="001E63D1" w:rsidRPr="001E63D1">
        <w:rPr>
          <w:rFonts w:cstheme="minorHAnsi"/>
          <w:bCs/>
        </w:rPr>
        <w:t xml:space="preserve"> </w:t>
      </w:r>
      <w:r>
        <w:rPr>
          <w:rFonts w:cstheme="minorHAnsi"/>
          <w:bCs/>
        </w:rPr>
        <w:t>(2011</w:t>
      </w:r>
      <w:r w:rsidR="003A76F3">
        <w:rPr>
          <w:bCs/>
        </w:rPr>
        <w:t>)</w:t>
      </w:r>
      <w:r w:rsidR="004D7100">
        <w:rPr>
          <w:bCs/>
        </w:rPr>
        <w:t xml:space="preserve"> </w:t>
      </w:r>
      <w:r>
        <w:rPr>
          <w:bCs/>
        </w:rPr>
        <w:t>report</w:t>
      </w:r>
      <w:r w:rsidR="004D7100">
        <w:rPr>
          <w:bCs/>
        </w:rPr>
        <w:t>s</w:t>
      </w:r>
      <w:r>
        <w:rPr>
          <w:bCs/>
        </w:rPr>
        <w:t xml:space="preserve"> that </w:t>
      </w:r>
      <w:r w:rsidR="00714375">
        <w:rPr>
          <w:bCs/>
        </w:rPr>
        <w:t>p</w:t>
      </w:r>
      <w:r w:rsidR="00714375">
        <w:t xml:space="preserve">ercentage of workplaces where an employee raised a grievance in the 12 months prior to the survey decreased from 38% in 2004 to 29% in 2011.  ACAS (2020) </w:t>
      </w:r>
      <w:r w:rsidR="0067453D">
        <w:rPr>
          <w:bCs/>
        </w:rPr>
        <w:t>advise that you should always try and resolve any d</w:t>
      </w:r>
      <w:r w:rsidR="004D7100">
        <w:rPr>
          <w:bCs/>
        </w:rPr>
        <w:t>isputes or problems (grievances)</w:t>
      </w:r>
      <w:r w:rsidR="0067453D">
        <w:rPr>
          <w:bCs/>
        </w:rPr>
        <w:t xml:space="preserve"> in an informal basis in the first instance.  If this is not possible or been </w:t>
      </w:r>
      <w:r w:rsidR="005556D8">
        <w:rPr>
          <w:bCs/>
        </w:rPr>
        <w:t>un</w:t>
      </w:r>
      <w:r w:rsidR="0067453D">
        <w:rPr>
          <w:bCs/>
        </w:rPr>
        <w:t xml:space="preserve">successful </w:t>
      </w:r>
      <w:r w:rsidR="005556D8">
        <w:rPr>
          <w:bCs/>
        </w:rPr>
        <w:t xml:space="preserve">then </w:t>
      </w:r>
      <w:r w:rsidR="0067453D">
        <w:rPr>
          <w:bCs/>
        </w:rPr>
        <w:t>a formal grievance</w:t>
      </w:r>
      <w:r w:rsidR="005556D8">
        <w:rPr>
          <w:bCs/>
        </w:rPr>
        <w:t xml:space="preserve"> can be raised</w:t>
      </w:r>
      <w:r w:rsidR="0067453D">
        <w:rPr>
          <w:bCs/>
        </w:rPr>
        <w:t xml:space="preserve">. </w:t>
      </w:r>
    </w:p>
    <w:p w:rsidR="008E7C04" w:rsidRDefault="008E7C04" w:rsidP="005556D8">
      <w:pPr>
        <w:jc w:val="both"/>
        <w:rPr>
          <w:bCs/>
        </w:rPr>
      </w:pPr>
      <w:r w:rsidRPr="005E3053">
        <w:rPr>
          <w:bCs/>
        </w:rPr>
        <w:t>Individual grievance</w:t>
      </w:r>
      <w:r w:rsidR="005556D8">
        <w:rPr>
          <w:bCs/>
        </w:rPr>
        <w:t xml:space="preserve"> </w:t>
      </w:r>
      <w:r w:rsidR="00B7253F" w:rsidRPr="005E3053">
        <w:rPr>
          <w:bCs/>
        </w:rPr>
        <w:t xml:space="preserve">relates to an </w:t>
      </w:r>
      <w:r w:rsidRPr="005E3053">
        <w:rPr>
          <w:bCs/>
        </w:rPr>
        <w:t>individual’s</w:t>
      </w:r>
      <w:r w:rsidR="00B7253F" w:rsidRPr="005E3053">
        <w:rPr>
          <w:bCs/>
        </w:rPr>
        <w:t xml:space="preserve"> employment related issues based on their own work, </w:t>
      </w:r>
      <w:r w:rsidR="005E3053" w:rsidRPr="005E3053">
        <w:rPr>
          <w:bCs/>
        </w:rPr>
        <w:t xml:space="preserve">such as </w:t>
      </w:r>
      <w:r w:rsidR="005E3053">
        <w:rPr>
          <w:bCs/>
        </w:rPr>
        <w:t>bullying, h</w:t>
      </w:r>
      <w:r w:rsidRPr="005E3053">
        <w:rPr>
          <w:bCs/>
        </w:rPr>
        <w:t xml:space="preserve">arassment, </w:t>
      </w:r>
      <w:r w:rsidR="005556D8">
        <w:rPr>
          <w:bCs/>
        </w:rPr>
        <w:t>discrimination or victimisation and relationship clashes.  Collective grievances relate</w:t>
      </w:r>
      <w:r w:rsidRPr="005556D8">
        <w:rPr>
          <w:bCs/>
        </w:rPr>
        <w:t xml:space="preserve"> to a group or collective of employees who have shared c</w:t>
      </w:r>
      <w:r w:rsidR="005E3053" w:rsidRPr="005556D8">
        <w:rPr>
          <w:bCs/>
        </w:rPr>
        <w:t xml:space="preserve">oncerns and complaints, such as pay, </w:t>
      </w:r>
      <w:r w:rsidRPr="005556D8">
        <w:rPr>
          <w:bCs/>
        </w:rPr>
        <w:t>benefits</w:t>
      </w:r>
      <w:r w:rsidR="005E3053" w:rsidRPr="005556D8">
        <w:rPr>
          <w:bCs/>
        </w:rPr>
        <w:t>, w</w:t>
      </w:r>
      <w:r w:rsidRPr="005556D8">
        <w:rPr>
          <w:bCs/>
        </w:rPr>
        <w:t>orking conditions</w:t>
      </w:r>
      <w:r w:rsidR="005556D8">
        <w:rPr>
          <w:bCs/>
        </w:rPr>
        <w:t xml:space="preserve"> and m</w:t>
      </w:r>
      <w:r>
        <w:rPr>
          <w:bCs/>
        </w:rPr>
        <w:t>anagement decisions</w:t>
      </w:r>
      <w:r w:rsidR="005556D8">
        <w:rPr>
          <w:bCs/>
        </w:rPr>
        <w:t>.</w:t>
      </w:r>
    </w:p>
    <w:p w:rsidR="00634513" w:rsidRDefault="009E0597" w:rsidP="009E0597">
      <w:pPr>
        <w:jc w:val="both"/>
        <w:rPr>
          <w:bCs/>
        </w:rPr>
      </w:pPr>
      <w:r>
        <w:rPr>
          <w:bCs/>
        </w:rPr>
        <w:t>The UK Government state that all businesses’ should have a written formal grievance procedure in place and that this should set out how the process works and how long it should take (GOV.UK, nd).</w:t>
      </w:r>
      <w:r w:rsidR="00634513">
        <w:rPr>
          <w:bCs/>
        </w:rPr>
        <w:t xml:space="preserve">  </w:t>
      </w:r>
    </w:p>
    <w:p w:rsidR="00B67366" w:rsidRPr="00B67366" w:rsidRDefault="00634513" w:rsidP="009E0597">
      <w:pPr>
        <w:jc w:val="both"/>
        <w:rPr>
          <w:b/>
          <w:bCs/>
        </w:rPr>
      </w:pPr>
      <w:r>
        <w:rPr>
          <w:bCs/>
        </w:rPr>
        <w:t>G</w:t>
      </w:r>
      <w:r w:rsidR="005556D8">
        <w:rPr>
          <w:bCs/>
        </w:rPr>
        <w:t xml:space="preserve">o Quest should </w:t>
      </w:r>
      <w:r>
        <w:rPr>
          <w:bCs/>
        </w:rPr>
        <w:t xml:space="preserve">have a formal grievance procedure in place, which is shared with employees and that </w:t>
      </w:r>
      <w:r w:rsidR="005556D8">
        <w:rPr>
          <w:bCs/>
        </w:rPr>
        <w:t>they encourage informal</w:t>
      </w:r>
      <w:r>
        <w:rPr>
          <w:bCs/>
        </w:rPr>
        <w:t xml:space="preserve"> discuss</w:t>
      </w:r>
      <w:r w:rsidR="005556D8">
        <w:rPr>
          <w:bCs/>
        </w:rPr>
        <w:t xml:space="preserve">ions of </w:t>
      </w:r>
      <w:r>
        <w:rPr>
          <w:bCs/>
        </w:rPr>
        <w:t xml:space="preserve">problems as </w:t>
      </w:r>
      <w:r w:rsidR="005556D8">
        <w:rPr>
          <w:bCs/>
        </w:rPr>
        <w:t>they arise reducing the need of raising</w:t>
      </w:r>
      <w:r>
        <w:rPr>
          <w:bCs/>
        </w:rPr>
        <w:t xml:space="preserve"> formal grievance</w:t>
      </w:r>
      <w:r w:rsidR="005556D8">
        <w:rPr>
          <w:bCs/>
        </w:rPr>
        <w:t>s</w:t>
      </w:r>
      <w:r>
        <w:rPr>
          <w:bCs/>
        </w:rPr>
        <w:t>.</w:t>
      </w:r>
    </w:p>
    <w:p w:rsidR="00B67366" w:rsidRPr="00B67366" w:rsidRDefault="00B67366" w:rsidP="00B67366">
      <w:pPr>
        <w:pStyle w:val="ListParagraph"/>
        <w:rPr>
          <w:b/>
          <w:bCs/>
        </w:rPr>
      </w:pPr>
    </w:p>
    <w:p w:rsidR="00B67366" w:rsidRDefault="00B67366" w:rsidP="008E7C04">
      <w:pPr>
        <w:pStyle w:val="ListParagraph"/>
        <w:numPr>
          <w:ilvl w:val="0"/>
          <w:numId w:val="5"/>
        </w:numPr>
        <w:rPr>
          <w:b/>
        </w:rPr>
      </w:pPr>
      <w:r w:rsidRPr="00B67366">
        <w:rPr>
          <w:b/>
        </w:rPr>
        <w:t>Explain the skills required for effective grievance and discipline-handling procedures. (AC 3.3)</w:t>
      </w:r>
    </w:p>
    <w:p w:rsidR="00634513" w:rsidRDefault="001F788F" w:rsidP="00634513">
      <w:pPr>
        <w:jc w:val="both"/>
        <w:rPr>
          <w:rFonts w:cstheme="minorHAnsi"/>
          <w:color w:val="202020"/>
          <w:shd w:val="clear" w:color="auto" w:fill="FFFFFF"/>
        </w:rPr>
      </w:pPr>
      <w:r>
        <w:t>Managers who are dealing with these disputes need to ensure they are not bias, judgmental and can remain objective throughout the process.  Active listening and acknowledgement of the issue are essential along with the ability to</w:t>
      </w:r>
      <w:r w:rsidR="005556D8">
        <w:t xml:space="preserve"> investigate, ask relevant questions,</w:t>
      </w:r>
      <w:r>
        <w:t xml:space="preserve"> interview the parties involved</w:t>
      </w:r>
      <w:r w:rsidR="005556D8">
        <w:t xml:space="preserve"> and made records and notes</w:t>
      </w:r>
      <w:r>
        <w:t xml:space="preserve">.  There should also be a level of mediation involved, whereby the manager and employee/trade union representative discuss </w:t>
      </w:r>
      <w:r w:rsidR="005D2817">
        <w:t>amicable ways to move forward.</w:t>
      </w:r>
      <w:r w:rsidR="00BE3D66">
        <w:t xml:space="preserve">  The CIPD (2020) state that managers should </w:t>
      </w:r>
      <w:r w:rsidR="00BE3D66">
        <w:rPr>
          <w:rFonts w:cstheme="minorHAnsi"/>
          <w:color w:val="202020"/>
          <w:shd w:val="clear" w:color="auto" w:fill="FFFFFF"/>
        </w:rPr>
        <w:t>deal</w:t>
      </w:r>
      <w:r w:rsidR="00BE3D66" w:rsidRPr="00BE3D66">
        <w:rPr>
          <w:rFonts w:cstheme="minorHAnsi"/>
          <w:color w:val="202020"/>
          <w:shd w:val="clear" w:color="auto" w:fill="FFFFFF"/>
        </w:rPr>
        <w:t xml:space="preserve"> with employee conflicts early, effectively and following up</w:t>
      </w:r>
      <w:r w:rsidR="00BE3D66">
        <w:rPr>
          <w:rFonts w:cstheme="minorHAnsi"/>
          <w:color w:val="202020"/>
          <w:shd w:val="clear" w:color="auto" w:fill="FFFFFF"/>
        </w:rPr>
        <w:t xml:space="preserve"> with the parties</w:t>
      </w:r>
      <w:r w:rsidR="00BE3D66" w:rsidRPr="00BE3D66">
        <w:rPr>
          <w:rFonts w:cstheme="minorHAnsi"/>
          <w:color w:val="202020"/>
          <w:shd w:val="clear" w:color="auto" w:fill="FFFFFF"/>
        </w:rPr>
        <w:t xml:space="preserve"> as appropriate</w:t>
      </w:r>
      <w:r w:rsidR="00BE3D66">
        <w:rPr>
          <w:rFonts w:cstheme="minorHAnsi"/>
          <w:color w:val="202020"/>
          <w:shd w:val="clear" w:color="auto" w:fill="FFFFFF"/>
        </w:rPr>
        <w:t>.</w:t>
      </w:r>
      <w:r w:rsidR="005B207C">
        <w:rPr>
          <w:rFonts w:cstheme="minorHAnsi"/>
          <w:color w:val="202020"/>
          <w:shd w:val="clear" w:color="auto" w:fill="FFFFFF"/>
        </w:rPr>
        <w:t xml:space="preserve">  They also point out the importance over training managers to deal with grievances.</w:t>
      </w:r>
    </w:p>
    <w:p w:rsidR="00BE3D66" w:rsidRPr="00916027" w:rsidRDefault="00BE3D66" w:rsidP="00634513">
      <w:pPr>
        <w:jc w:val="both"/>
        <w:rPr>
          <w:rFonts w:cstheme="minorHAnsi"/>
          <w:color w:val="202020"/>
          <w:shd w:val="clear" w:color="auto" w:fill="FFFFFF"/>
        </w:rPr>
      </w:pPr>
      <w:r>
        <w:rPr>
          <w:rFonts w:cstheme="minorHAnsi"/>
          <w:color w:val="202020"/>
          <w:shd w:val="clear" w:color="auto" w:fill="FFFFFF"/>
        </w:rPr>
        <w:t xml:space="preserve">CIPD (2020) point out that good managers who have healthy team relationships are more likely to spot any conflicts and grievances early on. Employees who trust their managers are likely to open informal discussions around an issue before it </w:t>
      </w:r>
      <w:r w:rsidRPr="00916027">
        <w:rPr>
          <w:rFonts w:cstheme="minorHAnsi"/>
          <w:color w:val="202020"/>
          <w:shd w:val="clear" w:color="auto" w:fill="FFFFFF"/>
        </w:rPr>
        <w:t>escalates to a formal grievance.</w:t>
      </w:r>
      <w:r w:rsidR="00916027" w:rsidRPr="00916027">
        <w:rPr>
          <w:rFonts w:cstheme="minorHAnsi"/>
          <w:color w:val="202020"/>
          <w:shd w:val="clear" w:color="auto" w:fill="FFFFFF"/>
        </w:rPr>
        <w:t xml:space="preserve">  </w:t>
      </w:r>
    </w:p>
    <w:p w:rsidR="00B67366" w:rsidRPr="00916027" w:rsidRDefault="00916027" w:rsidP="00916027">
      <w:pPr>
        <w:jc w:val="both"/>
        <w:rPr>
          <w:rFonts w:cstheme="minorHAnsi"/>
        </w:rPr>
      </w:pPr>
      <w:r w:rsidRPr="00916027">
        <w:rPr>
          <w:rFonts w:cstheme="minorHAnsi"/>
          <w:color w:val="202020"/>
          <w:shd w:val="clear" w:color="auto" w:fill="FFFFFF"/>
        </w:rPr>
        <w:t xml:space="preserve">Go Quest should consider carrying out </w:t>
      </w:r>
      <w:r w:rsidRPr="00916027">
        <w:rPr>
          <w:rFonts w:cstheme="minorHAnsi"/>
          <w:shd w:val="clear" w:color="auto" w:fill="FFFFFF"/>
        </w:rPr>
        <w:t>skills gap analysis to identify areas that may need further attention with targeted training.  Tucker, M.A. (2002) notes that Conducting a skills gap analysis can help ensure the organization is ready for whatever changes and challenges lie ahead.</w:t>
      </w:r>
      <w:r w:rsidR="005556D8">
        <w:rPr>
          <w:rFonts w:cstheme="minorHAnsi"/>
          <w:shd w:val="clear" w:color="auto" w:fill="FFFFFF"/>
        </w:rPr>
        <w:t xml:space="preserve">  </w:t>
      </w:r>
      <w:r w:rsidR="00A60BBD">
        <w:rPr>
          <w:rFonts w:cstheme="minorHAnsi"/>
          <w:shd w:val="clear" w:color="auto" w:fill="FFFFFF"/>
        </w:rPr>
        <w:t xml:space="preserve">This will </w:t>
      </w:r>
      <w:r w:rsidR="00A60BBD">
        <w:t xml:space="preserve">also </w:t>
      </w:r>
      <w:r w:rsidR="005556D8">
        <w:t xml:space="preserve">increase </w:t>
      </w:r>
      <w:r w:rsidR="00A60BBD">
        <w:t xml:space="preserve">manager’s </w:t>
      </w:r>
      <w:r w:rsidR="005556D8">
        <w:t xml:space="preserve">confidence dealing with employees and Trade Unions over any future issues.  </w:t>
      </w:r>
    </w:p>
    <w:p w:rsidR="00B67366" w:rsidRDefault="00B67366" w:rsidP="00B67366">
      <w:pPr>
        <w:pStyle w:val="ListParagraph"/>
        <w:rPr>
          <w:b/>
        </w:rPr>
      </w:pPr>
    </w:p>
    <w:p w:rsidR="002E415B" w:rsidRDefault="002E415B" w:rsidP="00B67366">
      <w:pPr>
        <w:pStyle w:val="ListParagraph"/>
        <w:rPr>
          <w:b/>
        </w:rPr>
      </w:pPr>
    </w:p>
    <w:p w:rsidR="002E415B" w:rsidRPr="00B67366" w:rsidRDefault="002E415B" w:rsidP="00B67366">
      <w:pPr>
        <w:pStyle w:val="ListParagraph"/>
        <w:rPr>
          <w:b/>
        </w:rPr>
      </w:pPr>
    </w:p>
    <w:p w:rsidR="00B67366" w:rsidRDefault="00B67366" w:rsidP="008E7C04">
      <w:pPr>
        <w:pStyle w:val="ListParagraph"/>
        <w:numPr>
          <w:ilvl w:val="0"/>
          <w:numId w:val="5"/>
        </w:numPr>
        <w:rPr>
          <w:b/>
        </w:rPr>
      </w:pPr>
      <w:r w:rsidRPr="00B67366">
        <w:rPr>
          <w:b/>
        </w:rPr>
        <w:lastRenderedPageBreak/>
        <w:t>Advise on the importance of handling grievances effectively. (AC 3.4)</w:t>
      </w:r>
    </w:p>
    <w:p w:rsidR="00FE2B8A" w:rsidRDefault="007E52A7" w:rsidP="000F3653">
      <w:pPr>
        <w:jc w:val="both"/>
      </w:pPr>
      <w:r>
        <w:t xml:space="preserve">ACAS (2020) report that </w:t>
      </w:r>
      <w:r w:rsidR="00745D8E">
        <w:t xml:space="preserve">employers and employees </w:t>
      </w:r>
      <w:r w:rsidR="0047267F">
        <w:t>should</w:t>
      </w:r>
      <w:r>
        <w:t xml:space="preserve"> seek to resolve disciplinary and grievance issues in the workplace</w:t>
      </w:r>
      <w:r w:rsidR="0047267F">
        <w:t xml:space="preserve"> effectively</w:t>
      </w:r>
      <w:r w:rsidR="00A60BBD">
        <w:t xml:space="preserve"> outlining that those that </w:t>
      </w:r>
      <w:r>
        <w:t>are settled at a</w:t>
      </w:r>
      <w:r w:rsidR="0047267F">
        <w:t xml:space="preserve">n early stage they are </w:t>
      </w:r>
      <w:r>
        <w:t>less time-consuming and less likely to damage working relationships</w:t>
      </w:r>
      <w:r w:rsidR="00745D8E">
        <w:t>.  Employees who p</w:t>
      </w:r>
      <w:r w:rsidR="0047267F">
        <w:t xml:space="preserve">roceed to legal claims are </w:t>
      </w:r>
      <w:r w:rsidR="00745D8E">
        <w:t>more likely to leave the company as relati</w:t>
      </w:r>
      <w:r w:rsidR="0047267F">
        <w:t>ons are sometimes irreparable.  T</w:t>
      </w:r>
      <w:r w:rsidR="00745D8E">
        <w:t xml:space="preserve">herefore effective management of grievances can </w:t>
      </w:r>
      <w:r w:rsidR="0047267F">
        <w:t>increase retention of staff, decreasing</w:t>
      </w:r>
      <w:r w:rsidR="00745D8E">
        <w:t xml:space="preserve"> staff turnover.  </w:t>
      </w:r>
    </w:p>
    <w:p w:rsidR="00745D8E" w:rsidRPr="007E52A7" w:rsidRDefault="00745D8E" w:rsidP="000F3653">
      <w:pPr>
        <w:jc w:val="both"/>
      </w:pPr>
      <w:r>
        <w:t>Employees who have a grievance</w:t>
      </w:r>
      <w:r w:rsidR="00160AFF">
        <w:t xml:space="preserve"> </w:t>
      </w:r>
      <w:r w:rsidR="00A60BBD">
        <w:t>will likely</w:t>
      </w:r>
      <w:r w:rsidR="00160AFF">
        <w:t xml:space="preserve"> withdraw any goodwill, be frustrated and have low levels of mora</w:t>
      </w:r>
      <w:r w:rsidR="00A60BBD">
        <w:t xml:space="preserve">l and engagement impacting on </w:t>
      </w:r>
      <w:r w:rsidR="00160AFF">
        <w:t xml:space="preserve">productivity and performance.  </w:t>
      </w:r>
      <w:r w:rsidR="00A60BBD">
        <w:t>Suff, R. (2020) stated</w:t>
      </w:r>
      <w:r w:rsidR="000F3653">
        <w:t xml:space="preserve"> 46% of </w:t>
      </w:r>
      <w:r w:rsidR="00A60BBD">
        <w:t xml:space="preserve">employees who </w:t>
      </w:r>
      <w:r w:rsidR="000F3653">
        <w:t>exp</w:t>
      </w:r>
      <w:r w:rsidR="00A60BBD">
        <w:t>erienced conflict felt a lack of motivation and 54% of employees who experienced</w:t>
      </w:r>
      <w:r w:rsidR="000F3653">
        <w:t xml:space="preserve"> grievances reported increa</w:t>
      </w:r>
      <w:r w:rsidR="00A60BBD">
        <w:t>sed levels of stress resulting</w:t>
      </w:r>
      <w:r w:rsidR="000F3653">
        <w:t xml:space="preserve"> in sick absence.  </w:t>
      </w:r>
      <w:r w:rsidR="004D7100">
        <w:t>I</w:t>
      </w:r>
      <w:r w:rsidR="00160AFF">
        <w:t>t is beneficial</w:t>
      </w:r>
      <w:r w:rsidR="004D7100">
        <w:t xml:space="preserve"> to the employer to ensure </w:t>
      </w:r>
      <w:r w:rsidR="00160AFF">
        <w:t>grievances</w:t>
      </w:r>
      <w:r w:rsidR="00A60BBD">
        <w:t xml:space="preserve"> are dealt with quickly so </w:t>
      </w:r>
      <w:r w:rsidR="00160AFF">
        <w:t>employees can focus on their work and perfo</w:t>
      </w:r>
      <w:r w:rsidR="004D7100">
        <w:t xml:space="preserve">rm at their best.  </w:t>
      </w:r>
    </w:p>
    <w:p w:rsidR="00A70464" w:rsidRPr="00160AFF" w:rsidRDefault="00DF4505" w:rsidP="004D7100">
      <w:pPr>
        <w:jc w:val="both"/>
      </w:pPr>
      <w:r>
        <w:t>Dealing with grievances effectively help</w:t>
      </w:r>
      <w:r w:rsidR="0094110D">
        <w:t>s</w:t>
      </w:r>
      <w:r w:rsidR="0047267F">
        <w:t xml:space="preserve"> stop </w:t>
      </w:r>
      <w:r w:rsidR="00A60BBD">
        <w:t xml:space="preserve">issues </w:t>
      </w:r>
      <w:r>
        <w:t>into legal claims</w:t>
      </w:r>
      <w:r w:rsidR="0047267F">
        <w:t>, which has a</w:t>
      </w:r>
      <w:r w:rsidR="0094110D">
        <w:t xml:space="preserve"> negative reflection on an employee and the </w:t>
      </w:r>
      <w:r w:rsidR="0047267F">
        <w:t>company involved and stops it having</w:t>
      </w:r>
      <w:r w:rsidR="00160AFF">
        <w:t xml:space="preserve"> a larger more harmful</w:t>
      </w:r>
      <w:r w:rsidR="0047267F">
        <w:t xml:space="preserve"> and financial impact.</w:t>
      </w:r>
      <w:r w:rsidR="00A60BBD">
        <w:t xml:space="preserve">  </w:t>
      </w:r>
      <w:r w:rsidR="00160AFF">
        <w:t xml:space="preserve">There is also a risk of mishandling grievances, </w:t>
      </w:r>
      <w:r w:rsidR="00A60BBD">
        <w:t>leading to</w:t>
      </w:r>
      <w:r w:rsidR="00160AFF">
        <w:t xml:space="preserve"> legal consequences</w:t>
      </w:r>
      <w:r w:rsidR="00A60BBD">
        <w:t xml:space="preserve"> for the company.  G</w:t>
      </w:r>
      <w:r w:rsidR="00160AFF">
        <w:t>rievances need to be dealt with in line with the guidance, legislation and regulations.</w:t>
      </w:r>
      <w:r w:rsidR="009658FD">
        <w:t xml:space="preserve">  </w:t>
      </w:r>
      <w:r w:rsidR="000F3653">
        <w:t xml:space="preserve">Suff, R. (2020) reports that </w:t>
      </w:r>
      <w:r w:rsidR="009658FD">
        <w:t>32% of people who had experienced conflict in the workplace felt that their manager had made the situation worse.</w:t>
      </w:r>
      <w:r w:rsidR="004D7100">
        <w:t xml:space="preserve"> </w:t>
      </w:r>
      <w:r w:rsidR="00D3749D">
        <w:t xml:space="preserve"> </w:t>
      </w:r>
    </w:p>
    <w:p w:rsidR="00B67366" w:rsidRDefault="00B67366" w:rsidP="00B67366">
      <w:pPr>
        <w:pStyle w:val="ListParagraph"/>
        <w:rPr>
          <w:b/>
        </w:rPr>
      </w:pPr>
    </w:p>
    <w:p w:rsidR="00B67366" w:rsidRDefault="00B67366" w:rsidP="008E7C04">
      <w:pPr>
        <w:pStyle w:val="ListParagraph"/>
        <w:numPr>
          <w:ilvl w:val="0"/>
          <w:numId w:val="5"/>
        </w:numPr>
        <w:rPr>
          <w:b/>
        </w:rPr>
      </w:pPr>
      <w:r w:rsidRPr="00B67366">
        <w:rPr>
          <w:b/>
        </w:rPr>
        <w:t>Explain the main provisions of collective employment law. (AC 4.1)</w:t>
      </w:r>
    </w:p>
    <w:p w:rsidR="00705338" w:rsidRDefault="00947288" w:rsidP="000F1A16">
      <w:pPr>
        <w:jc w:val="both"/>
      </w:pPr>
      <w:r w:rsidRPr="00947288">
        <w:t xml:space="preserve">Collective employee law </w:t>
      </w:r>
      <w:r>
        <w:t>includes regulations, statutes and case law that govern the relationship between employers, employees and unions</w:t>
      </w:r>
      <w:r w:rsidR="00663303">
        <w:t xml:space="preserve"> (CIPD, 2003b</w:t>
      </w:r>
      <w:r w:rsidR="00BA2236">
        <w:t>)</w:t>
      </w:r>
      <w:r>
        <w:t xml:space="preserve">.  </w:t>
      </w:r>
      <w:r w:rsidR="009B32A6">
        <w:t>Daniels, K. (2022) states that e</w:t>
      </w:r>
      <w:r w:rsidR="00705338">
        <w:t>mployment law is primarily civil, however, there are some areas covered by criminal law.</w:t>
      </w:r>
    </w:p>
    <w:p w:rsidR="00705338" w:rsidRDefault="00705338" w:rsidP="000F1A16">
      <w:pPr>
        <w:jc w:val="both"/>
      </w:pPr>
      <w:r>
        <w:t xml:space="preserve">Criminal law focuses on punishment of </w:t>
      </w:r>
      <w:r w:rsidR="009B32A6">
        <w:t>crimes such as the following:</w:t>
      </w:r>
    </w:p>
    <w:p w:rsidR="00705338" w:rsidRDefault="00705338" w:rsidP="00705338">
      <w:pPr>
        <w:pStyle w:val="ListParagraph"/>
        <w:numPr>
          <w:ilvl w:val="0"/>
          <w:numId w:val="25"/>
        </w:numPr>
        <w:jc w:val="both"/>
      </w:pPr>
      <w:r>
        <w:t>The Trade Union and Labour Relations (Consolidation) Act 1992 – legal action in relation to industrial action</w:t>
      </w:r>
    </w:p>
    <w:p w:rsidR="00705338" w:rsidRDefault="00705338" w:rsidP="00705338">
      <w:pPr>
        <w:pStyle w:val="ListParagraph"/>
        <w:numPr>
          <w:ilvl w:val="0"/>
          <w:numId w:val="25"/>
        </w:numPr>
        <w:jc w:val="both"/>
      </w:pPr>
      <w:r>
        <w:t>The Data Protection Act 2018 – improper use of confidential data</w:t>
      </w:r>
    </w:p>
    <w:p w:rsidR="00705338" w:rsidRDefault="00705338" w:rsidP="00705338">
      <w:pPr>
        <w:pStyle w:val="ListParagraph"/>
        <w:numPr>
          <w:ilvl w:val="0"/>
          <w:numId w:val="25"/>
        </w:numPr>
        <w:jc w:val="both"/>
      </w:pPr>
      <w:r>
        <w:t>The Health and Safety at Work Act (1974) – health and safety breaches</w:t>
      </w:r>
    </w:p>
    <w:p w:rsidR="00705338" w:rsidRDefault="00705338" w:rsidP="00705338">
      <w:pPr>
        <w:pStyle w:val="ListParagraph"/>
        <w:numPr>
          <w:ilvl w:val="0"/>
          <w:numId w:val="25"/>
        </w:numPr>
        <w:jc w:val="both"/>
      </w:pPr>
      <w:r>
        <w:t>The Racial and Religious Hatred Act 2006 – racial abuse</w:t>
      </w:r>
    </w:p>
    <w:p w:rsidR="00705338" w:rsidRDefault="00705338" w:rsidP="00705338">
      <w:pPr>
        <w:pStyle w:val="ListParagraph"/>
        <w:numPr>
          <w:ilvl w:val="0"/>
          <w:numId w:val="25"/>
        </w:numPr>
        <w:jc w:val="both"/>
      </w:pPr>
      <w:r>
        <w:t>The Corporate Manslaughter and Corporate Homicide Act 2007 – death by serious breaches to health and safety responsibilities</w:t>
      </w:r>
    </w:p>
    <w:p w:rsidR="00705338" w:rsidRDefault="009B32A6" w:rsidP="00705338">
      <w:pPr>
        <w:jc w:val="both"/>
      </w:pPr>
      <w:r>
        <w:t xml:space="preserve">Civil Law focuses on resolving a dispute between two parties.  Claims can be made in relation to the following through an employment tribunal: </w:t>
      </w:r>
    </w:p>
    <w:p w:rsidR="00705338" w:rsidRDefault="009B32A6" w:rsidP="00705338">
      <w:pPr>
        <w:pStyle w:val="ListParagraph"/>
        <w:numPr>
          <w:ilvl w:val="0"/>
          <w:numId w:val="26"/>
        </w:numPr>
        <w:jc w:val="both"/>
      </w:pPr>
      <w:r>
        <w:t>Contracts</w:t>
      </w:r>
    </w:p>
    <w:p w:rsidR="009B32A6" w:rsidRDefault="009B32A6" w:rsidP="00705338">
      <w:pPr>
        <w:pStyle w:val="ListParagraph"/>
        <w:numPr>
          <w:ilvl w:val="0"/>
          <w:numId w:val="26"/>
        </w:numPr>
        <w:jc w:val="both"/>
      </w:pPr>
      <w:r>
        <w:t>Tort</w:t>
      </w:r>
    </w:p>
    <w:p w:rsidR="009B32A6" w:rsidRDefault="009B32A6" w:rsidP="00705338">
      <w:pPr>
        <w:pStyle w:val="ListParagraph"/>
        <w:numPr>
          <w:ilvl w:val="0"/>
          <w:numId w:val="26"/>
        </w:numPr>
        <w:jc w:val="both"/>
      </w:pPr>
      <w:r>
        <w:t>Property</w:t>
      </w:r>
    </w:p>
    <w:p w:rsidR="009B32A6" w:rsidRDefault="009B32A6" w:rsidP="009B32A6">
      <w:pPr>
        <w:jc w:val="both"/>
      </w:pPr>
      <w:r>
        <w:t>There are a few different sources of law:</w:t>
      </w:r>
    </w:p>
    <w:p w:rsidR="009B32A6" w:rsidRDefault="009B32A6" w:rsidP="009B32A6">
      <w:pPr>
        <w:pStyle w:val="ListParagraph"/>
        <w:numPr>
          <w:ilvl w:val="0"/>
          <w:numId w:val="27"/>
        </w:numPr>
        <w:jc w:val="both"/>
      </w:pPr>
      <w:r>
        <w:t>Statue</w:t>
      </w:r>
    </w:p>
    <w:p w:rsidR="009B32A6" w:rsidRDefault="009B32A6" w:rsidP="009B32A6">
      <w:pPr>
        <w:pStyle w:val="ListParagraph"/>
        <w:numPr>
          <w:ilvl w:val="0"/>
          <w:numId w:val="27"/>
        </w:numPr>
        <w:jc w:val="both"/>
      </w:pPr>
      <w:r>
        <w:t>Codes of practice</w:t>
      </w:r>
    </w:p>
    <w:p w:rsidR="00705338" w:rsidRDefault="009B32A6" w:rsidP="000F1A16">
      <w:pPr>
        <w:pStyle w:val="ListParagraph"/>
        <w:numPr>
          <w:ilvl w:val="0"/>
          <w:numId w:val="27"/>
        </w:numPr>
        <w:jc w:val="both"/>
      </w:pPr>
      <w:r>
        <w:t>Common law</w:t>
      </w:r>
    </w:p>
    <w:p w:rsidR="00683EE7" w:rsidRDefault="002E7529" w:rsidP="00683EE7">
      <w:pPr>
        <w:jc w:val="both"/>
        <w:rPr>
          <w:rFonts w:cstheme="minorHAnsi"/>
        </w:rPr>
      </w:pPr>
      <w:r>
        <w:rPr>
          <w:rFonts w:cstheme="minorHAnsi"/>
          <w:shd w:val="clear" w:color="auto" w:fill="FFFFFF"/>
        </w:rPr>
        <w:lastRenderedPageBreak/>
        <w:t>The Employment Rights Act</w:t>
      </w:r>
      <w:r w:rsidRPr="002E7529">
        <w:rPr>
          <w:rFonts w:cstheme="minorHAnsi"/>
          <w:shd w:val="clear" w:color="auto" w:fill="FFFFFF"/>
        </w:rPr>
        <w:t xml:space="preserve"> 1996</w:t>
      </w:r>
      <w:r>
        <w:rPr>
          <w:rFonts w:cstheme="minorHAnsi"/>
          <w:shd w:val="clear" w:color="auto" w:fill="FFFFFF"/>
        </w:rPr>
        <w:t xml:space="preserve"> sets out employee’s rights and protections in the UK </w:t>
      </w:r>
      <w:r w:rsidRPr="002E7529">
        <w:rPr>
          <w:rFonts w:cstheme="minorHAnsi"/>
          <w:shd w:val="clear" w:color="auto" w:fill="FFFFFF"/>
        </w:rPr>
        <w:t>(Gov.UK, 2022)</w:t>
      </w:r>
      <w:r>
        <w:rPr>
          <w:rFonts w:cstheme="minorHAnsi"/>
          <w:shd w:val="clear" w:color="auto" w:fill="FFFFFF"/>
        </w:rPr>
        <w:t>.</w:t>
      </w:r>
      <w:r w:rsidRPr="002E7529">
        <w:rPr>
          <w:rFonts w:cstheme="minorHAnsi"/>
          <w:shd w:val="clear" w:color="auto" w:fill="FFFFFF"/>
        </w:rPr>
        <w:t xml:space="preserve"> </w:t>
      </w:r>
      <w:r>
        <w:rPr>
          <w:rFonts w:cstheme="minorHAnsi"/>
          <w:shd w:val="clear" w:color="auto" w:fill="FFFFFF"/>
        </w:rPr>
        <w:t xml:space="preserve">covers </w:t>
      </w:r>
      <w:r w:rsidR="00B712D0" w:rsidRPr="002E7529">
        <w:rPr>
          <w:rFonts w:cstheme="minorHAnsi"/>
        </w:rPr>
        <w:t>AC.2.2. outlines the use of law between the trade unions and employers.</w:t>
      </w:r>
    </w:p>
    <w:p w:rsidR="0026656D" w:rsidRPr="002E7529" w:rsidRDefault="0026656D" w:rsidP="00683EE7">
      <w:pPr>
        <w:jc w:val="both"/>
        <w:rPr>
          <w:rFonts w:cstheme="minorHAnsi"/>
          <w:b/>
        </w:rPr>
      </w:pPr>
    </w:p>
    <w:p w:rsidR="00B67366" w:rsidRDefault="00B67366" w:rsidP="008E7C04">
      <w:pPr>
        <w:pStyle w:val="ListParagraph"/>
        <w:numPr>
          <w:ilvl w:val="0"/>
          <w:numId w:val="5"/>
        </w:numPr>
        <w:rPr>
          <w:b/>
        </w:rPr>
      </w:pPr>
      <w:r w:rsidRPr="00B67366">
        <w:rPr>
          <w:b/>
        </w:rPr>
        <w:t>Compare the types of employee bodies, union and non-union forms of employee representation. (AC 4.2)</w:t>
      </w:r>
    </w:p>
    <w:p w:rsidR="00EC3F76" w:rsidRDefault="00E37392" w:rsidP="00EC3F76">
      <w:pPr>
        <w:jc w:val="both"/>
      </w:pPr>
      <w:r>
        <w:t>Peace</w:t>
      </w:r>
      <w:r w:rsidR="003956F5">
        <w:t xml:space="preserve"> in a workplace is essential to its smooth running and therefore having an open communication channel with employees and employers is essential.  </w:t>
      </w:r>
      <w:r w:rsidR="00DE7D28">
        <w:t>According to Taylor and Woodhams (2022) t</w:t>
      </w:r>
      <w:r w:rsidR="003956F5">
        <w:t xml:space="preserve">his can either be directly or through an employee representative.  </w:t>
      </w:r>
    </w:p>
    <w:p w:rsidR="00EC3F76" w:rsidRDefault="00A60BBD" w:rsidP="00EC3F76">
      <w:pPr>
        <w:jc w:val="both"/>
      </w:pPr>
      <w:r>
        <w:t xml:space="preserve">Employee representatives </w:t>
      </w:r>
      <w:r w:rsidR="00EC3F76">
        <w:t xml:space="preserve">represent the employees and advocate for their rights whilst also providing employees with guidance and advice.  </w:t>
      </w:r>
      <w:r>
        <w:t>They</w:t>
      </w:r>
      <w:r w:rsidR="00EC3F76">
        <w:t xml:space="preserve"> facilitate communication between the employee and employer.  </w:t>
      </w:r>
      <w:r>
        <w:t>R</w:t>
      </w:r>
      <w:r w:rsidR="00EC3F76">
        <w:t>epresentatives may be afforded paid time off, paid training and also facilities to allow them to carry out their duties</w:t>
      </w:r>
      <w:r w:rsidR="00E30998">
        <w:t xml:space="preserve"> such as workspace and equipment</w:t>
      </w:r>
      <w:r w:rsidR="0037745E">
        <w:t xml:space="preserve"> (ACAS 2023b</w:t>
      </w:r>
      <w:r w:rsidR="000F1A16">
        <w:t>)</w:t>
      </w:r>
      <w:r w:rsidR="00E30998">
        <w:t>.</w:t>
      </w:r>
      <w:r w:rsidR="00EC3F76">
        <w:t xml:space="preserve"> </w:t>
      </w:r>
    </w:p>
    <w:p w:rsidR="00EC3F76" w:rsidRDefault="00B271F9" w:rsidP="00B271F9">
      <w:pPr>
        <w:jc w:val="both"/>
      </w:pPr>
      <w:r>
        <w:t xml:space="preserve">ACAS (2014) state that </w:t>
      </w:r>
      <w:r w:rsidR="00E37392">
        <w:t>n</w:t>
      </w:r>
      <w:r w:rsidR="0029135E">
        <w:t xml:space="preserve">on-union representatives </w:t>
      </w:r>
      <w:r w:rsidR="00E37392">
        <w:t>(</w:t>
      </w:r>
      <w:r w:rsidR="00EC3F76">
        <w:t>represent</w:t>
      </w:r>
      <w:r w:rsidR="00E37392">
        <w:t>ing</w:t>
      </w:r>
      <w:r w:rsidR="00EC3F76">
        <w:t xml:space="preserve"> non-union members) </w:t>
      </w:r>
      <w:r w:rsidR="00E37392">
        <w:t>are</w:t>
      </w:r>
      <w:r w:rsidR="0029135E">
        <w:t xml:space="preserve"> elected by </w:t>
      </w:r>
      <w:r w:rsidR="00E37392">
        <w:t xml:space="preserve">the employees or are </w:t>
      </w:r>
      <w:r w:rsidR="00EC3F76">
        <w:t xml:space="preserve">appointed by the employer whereas </w:t>
      </w:r>
      <w:r>
        <w:t>Union representative</w:t>
      </w:r>
      <w:r w:rsidR="00E37392">
        <w:t>s (</w:t>
      </w:r>
      <w:r w:rsidR="00EC3F76">
        <w:t>represent</w:t>
      </w:r>
      <w:r w:rsidR="00E37392">
        <w:t>ing u</w:t>
      </w:r>
      <w:r w:rsidR="00EC3F76">
        <w:t>nion members)</w:t>
      </w:r>
      <w:r>
        <w:t xml:space="preserve"> are appointed in line with the rules set out by their Union.</w:t>
      </w:r>
    </w:p>
    <w:p w:rsidR="00B67366" w:rsidRDefault="00EC3F76" w:rsidP="00E30998">
      <w:pPr>
        <w:jc w:val="both"/>
      </w:pPr>
      <w:r>
        <w:t xml:space="preserve">Union representatives have a legal status and are recognised by the employer, operate under the framework of collective employment law and will usually have collective bargaining rights.  However, non-union representatives do not have the same status, may not be recognised by their employer and do not have the same bargaining power. </w:t>
      </w:r>
    </w:p>
    <w:p w:rsidR="00E30998" w:rsidRDefault="00E30998" w:rsidP="00E30998">
      <w:pPr>
        <w:jc w:val="both"/>
      </w:pPr>
      <w:r>
        <w:t xml:space="preserve">There are many different forms of non-union representative such as employee forums, joint negotiation </w:t>
      </w:r>
      <w:r w:rsidR="00E37392">
        <w:t>committees, staff/</w:t>
      </w:r>
      <w:r w:rsidR="00C73757">
        <w:t>w</w:t>
      </w:r>
      <w:r w:rsidR="007F19CD">
        <w:t>ork councils and staff associations.</w:t>
      </w:r>
    </w:p>
    <w:p w:rsidR="007F19CD" w:rsidRDefault="00E37392" w:rsidP="00E30998">
      <w:pPr>
        <w:jc w:val="both"/>
        <w:rPr>
          <w:b/>
        </w:rPr>
      </w:pPr>
      <w:r>
        <w:t xml:space="preserve">Go Quest should welcome </w:t>
      </w:r>
      <w:r w:rsidR="007F19CD">
        <w:t>employee representation and provide them with the provisions as outlined in the ACAS guidance.  Working with employee representatives can be a positive experience and can help with employee voice and general workplace satisfaction.</w:t>
      </w:r>
    </w:p>
    <w:p w:rsidR="00B67366" w:rsidRDefault="00B67366" w:rsidP="00B67366">
      <w:pPr>
        <w:pStyle w:val="ListParagraph"/>
        <w:rPr>
          <w:b/>
        </w:rPr>
      </w:pPr>
    </w:p>
    <w:p w:rsidR="00B67366" w:rsidRDefault="00B67366" w:rsidP="008E7C04">
      <w:pPr>
        <w:pStyle w:val="ListParagraph"/>
        <w:numPr>
          <w:ilvl w:val="0"/>
          <w:numId w:val="5"/>
        </w:numPr>
        <w:rPr>
          <w:b/>
        </w:rPr>
      </w:pPr>
      <w:r w:rsidRPr="00B67366">
        <w:rPr>
          <w:b/>
        </w:rPr>
        <w:t>Evaluate the purpose of collective bargaining and how it works. (AC 4.3)</w:t>
      </w:r>
    </w:p>
    <w:p w:rsidR="00C83E8A" w:rsidRDefault="00E37392" w:rsidP="00E00083">
      <w:pPr>
        <w:jc w:val="both"/>
      </w:pPr>
      <w:r>
        <w:t>C</w:t>
      </w:r>
      <w:r w:rsidR="00E00083">
        <w:t xml:space="preserve">ollective bargaining </w:t>
      </w:r>
      <w:r w:rsidR="0047267F">
        <w:t>are</w:t>
      </w:r>
      <w:r w:rsidR="00E00083">
        <w:t xml:space="preserve"> negotiations between trade unions on issues such as terms and conditions of employment, disciplinary matters and grievances</w:t>
      </w:r>
      <w:r>
        <w:t xml:space="preserve"> (Daniels, K. 2022)</w:t>
      </w:r>
      <w:r w:rsidR="00E00083">
        <w:t xml:space="preserve">.  </w:t>
      </w:r>
      <w:r w:rsidR="00A86A48">
        <w:t>Collective bargaining can only take place whereby the employer recognises the trade union</w:t>
      </w:r>
      <w:r>
        <w:t xml:space="preserve">. </w:t>
      </w:r>
      <w:r w:rsidR="00A86A48">
        <w:t xml:space="preserve"> </w:t>
      </w:r>
      <w:r>
        <w:t>This was not the case</w:t>
      </w:r>
      <w:r w:rsidR="00A86A48">
        <w:t xml:space="preserve"> with Amazon</w:t>
      </w:r>
      <w:r w:rsidR="0047267F">
        <w:t xml:space="preserve"> and the GMB Union, where</w:t>
      </w:r>
      <w:r w:rsidR="00884673">
        <w:t xml:space="preserve"> Am</w:t>
      </w:r>
      <w:r w:rsidR="00E92B00">
        <w:t>azon refused to recognise the GMB</w:t>
      </w:r>
      <w:r w:rsidR="00A86A48">
        <w:t xml:space="preserve"> </w:t>
      </w:r>
      <w:r w:rsidR="00884673">
        <w:t xml:space="preserve">(Strike: Inside the Unions, </w:t>
      </w:r>
      <w:r w:rsidR="00A86A48">
        <w:t>2023)</w:t>
      </w:r>
      <w:r w:rsidR="00884673">
        <w:t>.</w:t>
      </w:r>
      <w:r w:rsidR="00596C5E">
        <w:t xml:space="preserve">  </w:t>
      </w:r>
      <w:r w:rsidR="00E92B00">
        <w:t>Laws can force recognition</w:t>
      </w:r>
      <w:r w:rsidR="00596C5E">
        <w:t xml:space="preserve"> where there are enough wor</w:t>
      </w:r>
      <w:r>
        <w:t xml:space="preserve">kers who join the union known as </w:t>
      </w:r>
      <w:r w:rsidR="00596C5E">
        <w:t>statutory recognition</w:t>
      </w:r>
      <w:r>
        <w:t xml:space="preserve"> (TUC 2022)</w:t>
      </w:r>
      <w:r w:rsidR="00596C5E">
        <w:t>.</w:t>
      </w:r>
    </w:p>
    <w:p w:rsidR="00596C5E" w:rsidRDefault="008210BF" w:rsidP="00E00083">
      <w:pPr>
        <w:jc w:val="both"/>
      </w:pPr>
      <w:r>
        <w:t xml:space="preserve">Recognised unions </w:t>
      </w:r>
      <w:r w:rsidR="00E92B00">
        <w:t>produce</w:t>
      </w:r>
      <w:r>
        <w:t xml:space="preserve"> a system of rules agreed with the employee on negotiating matters</w:t>
      </w:r>
      <w:r w:rsidR="00E92B00">
        <w:t xml:space="preserve"> to</w:t>
      </w:r>
      <w:r w:rsidR="00D47529">
        <w:t xml:space="preserve"> assist in orderly negotiations </w:t>
      </w:r>
      <w:r w:rsidR="00E92B00">
        <w:t xml:space="preserve">and </w:t>
      </w:r>
      <w:r w:rsidR="00D47529">
        <w:t>in</w:t>
      </w:r>
      <w:r w:rsidR="00E92B00">
        <w:t xml:space="preserve">dustrial action </w:t>
      </w:r>
      <w:r w:rsidR="00D47529">
        <w:t>will not take place until the process is exhausted</w:t>
      </w:r>
      <w:r w:rsidR="005711F8">
        <w:t>.</w:t>
      </w:r>
    </w:p>
    <w:p w:rsidR="005711F8" w:rsidRDefault="00E92B00" w:rsidP="00E00083">
      <w:pPr>
        <w:jc w:val="both"/>
      </w:pPr>
      <w:r>
        <w:t>Stages of</w:t>
      </w:r>
      <w:r w:rsidR="005711F8">
        <w:t xml:space="preserve"> collective bargaining:</w:t>
      </w:r>
    </w:p>
    <w:p w:rsidR="005711F8" w:rsidRDefault="005711F8" w:rsidP="005711F8">
      <w:pPr>
        <w:pStyle w:val="ListParagraph"/>
        <w:numPr>
          <w:ilvl w:val="0"/>
          <w:numId w:val="24"/>
        </w:numPr>
        <w:jc w:val="both"/>
      </w:pPr>
      <w:r>
        <w:t>Preparation</w:t>
      </w:r>
      <w:r w:rsidR="00F472B5">
        <w:t xml:space="preserve"> – analysing the</w:t>
      </w:r>
      <w:r w:rsidR="00E92B00">
        <w:t xml:space="preserve"> situation, identifying aims (ideal, realistic and fall back) and </w:t>
      </w:r>
      <w:r w:rsidR="00F472B5">
        <w:t>planning a strategy</w:t>
      </w:r>
    </w:p>
    <w:p w:rsidR="005711F8" w:rsidRDefault="00F472B5" w:rsidP="005711F8">
      <w:pPr>
        <w:pStyle w:val="ListParagraph"/>
        <w:numPr>
          <w:ilvl w:val="0"/>
          <w:numId w:val="24"/>
        </w:numPr>
        <w:jc w:val="both"/>
      </w:pPr>
      <w:r>
        <w:t xml:space="preserve">Presentation – </w:t>
      </w:r>
      <w:r w:rsidR="00E37392">
        <w:t>parties</w:t>
      </w:r>
      <w:r>
        <w:t xml:space="preserve"> present their proposals</w:t>
      </w:r>
    </w:p>
    <w:p w:rsidR="005711F8" w:rsidRDefault="00F472B5" w:rsidP="005711F8">
      <w:pPr>
        <w:pStyle w:val="ListParagraph"/>
        <w:numPr>
          <w:ilvl w:val="0"/>
          <w:numId w:val="24"/>
        </w:numPr>
        <w:jc w:val="both"/>
      </w:pPr>
      <w:r>
        <w:t xml:space="preserve">Identifying common ground – </w:t>
      </w:r>
      <w:r w:rsidR="00BC0149">
        <w:t xml:space="preserve">understanding </w:t>
      </w:r>
      <w:r>
        <w:t xml:space="preserve">areas where </w:t>
      </w:r>
      <w:r w:rsidR="00E92B00">
        <w:t>there is agreement</w:t>
      </w:r>
    </w:p>
    <w:p w:rsidR="005711F8" w:rsidRDefault="00F472B5" w:rsidP="005711F8">
      <w:pPr>
        <w:pStyle w:val="ListParagraph"/>
        <w:numPr>
          <w:ilvl w:val="0"/>
          <w:numId w:val="24"/>
        </w:numPr>
        <w:jc w:val="both"/>
      </w:pPr>
      <w:r>
        <w:t>Negotiating/reaching an agreement – including purposeful persuasion and constructive compromise with a co-operative approach.</w:t>
      </w:r>
    </w:p>
    <w:p w:rsidR="005711F8" w:rsidRDefault="00F472B5" w:rsidP="005711F8">
      <w:pPr>
        <w:pStyle w:val="ListParagraph"/>
        <w:numPr>
          <w:ilvl w:val="0"/>
          <w:numId w:val="24"/>
        </w:numPr>
        <w:jc w:val="both"/>
      </w:pPr>
      <w:r>
        <w:lastRenderedPageBreak/>
        <w:t>Decision</w:t>
      </w:r>
      <w:r w:rsidR="005711F8">
        <w:t xml:space="preserve"> – If the collective bargaining results in an agreement being reached this is known as collective agreement.</w:t>
      </w:r>
      <w:r>
        <w:t xml:space="preserve">  The decision should be written down immediately, </w:t>
      </w:r>
      <w:r w:rsidR="00BC0149">
        <w:t>usually by manag</w:t>
      </w:r>
      <w:r w:rsidR="00E92B00">
        <w:t>ement, and signed</w:t>
      </w:r>
      <w:r>
        <w:t>.</w:t>
      </w:r>
    </w:p>
    <w:p w:rsidR="00DE57C8" w:rsidRDefault="00DE57C8" w:rsidP="00DE57C8">
      <w:pPr>
        <w:jc w:val="both"/>
      </w:pPr>
      <w:r>
        <w:t xml:space="preserve">If </w:t>
      </w:r>
      <w:r w:rsidR="00E37392">
        <w:rPr>
          <w:rFonts w:cstheme="minorHAnsi"/>
        </w:rPr>
        <w:t>negotiatio</w:t>
      </w:r>
      <w:r w:rsidR="00BC0149">
        <w:rPr>
          <w:rFonts w:cstheme="minorHAnsi"/>
        </w:rPr>
        <w:t>ns are un</w:t>
      </w:r>
      <w:r w:rsidR="00E37392">
        <w:rPr>
          <w:rFonts w:cstheme="minorHAnsi"/>
        </w:rPr>
        <w:t xml:space="preserve">successful, unions can take </w:t>
      </w:r>
      <w:r w:rsidRPr="00DE57C8">
        <w:rPr>
          <w:rFonts w:cstheme="minorHAnsi"/>
          <w:color w:val="202020"/>
          <w:shd w:val="clear" w:color="auto" w:fill="FFFFFF"/>
        </w:rPr>
        <w:t>Industrial action</w:t>
      </w:r>
      <w:r>
        <w:rPr>
          <w:rFonts w:cstheme="minorHAnsi"/>
          <w:color w:val="202020"/>
          <w:shd w:val="clear" w:color="auto" w:fill="FFFFFF"/>
        </w:rPr>
        <w:t xml:space="preserve"> in order to put pressure on an </w:t>
      </w:r>
      <w:r w:rsidR="00E37392">
        <w:rPr>
          <w:rFonts w:cstheme="minorHAnsi"/>
          <w:color w:val="202020"/>
          <w:shd w:val="clear" w:color="auto" w:fill="FFFFFF"/>
        </w:rPr>
        <w:t>employer</w:t>
      </w:r>
      <w:r>
        <w:rPr>
          <w:rFonts w:cstheme="minorHAnsi"/>
          <w:color w:val="202020"/>
          <w:shd w:val="clear" w:color="auto" w:fill="FFFFFF"/>
        </w:rPr>
        <w:t xml:space="preserve"> (CIPD, 2023b).</w:t>
      </w:r>
      <w:r w:rsidRPr="00DE57C8">
        <w:rPr>
          <w:rFonts w:cstheme="minorHAnsi"/>
          <w:color w:val="202020"/>
          <w:shd w:val="clear" w:color="auto" w:fill="FFFFFF"/>
        </w:rPr>
        <w:t xml:space="preserve"> </w:t>
      </w:r>
    </w:p>
    <w:p w:rsidR="00006ACE" w:rsidRDefault="00DE57C8" w:rsidP="0047267F">
      <w:pPr>
        <w:jc w:val="both"/>
      </w:pPr>
      <w:r>
        <w:t xml:space="preserve">Go Quest should adhere to the advice given by </w:t>
      </w:r>
      <w:r w:rsidRPr="008134CF">
        <w:t>CI</w:t>
      </w:r>
      <w:r w:rsidR="00663303">
        <w:rPr>
          <w:rFonts w:cstheme="minorHAnsi"/>
        </w:rPr>
        <w:t>PD (2023c</w:t>
      </w:r>
      <w:r w:rsidRPr="008134CF">
        <w:rPr>
          <w:rFonts w:cstheme="minorHAnsi"/>
        </w:rPr>
        <w:t xml:space="preserve">) who say they should </w:t>
      </w:r>
      <w:r w:rsidRPr="008134CF">
        <w:rPr>
          <w:rFonts w:cstheme="minorHAnsi"/>
          <w:shd w:val="clear" w:color="auto" w:fill="FFFFFF"/>
        </w:rPr>
        <w:t>ensure a positive joint working ethos is cascaded throughout the organisation, so that managers at all levels approach working relationships with representatives in a constructive way and build trus</w:t>
      </w:r>
      <w:r w:rsidR="008134CF">
        <w:t>t.</w:t>
      </w:r>
    </w:p>
    <w:p w:rsidR="00D651EC" w:rsidRDefault="00D651EC" w:rsidP="0047267F">
      <w:pPr>
        <w:jc w:val="both"/>
      </w:pPr>
    </w:p>
    <w:p w:rsidR="00D651EC" w:rsidRPr="0047267F" w:rsidRDefault="00D651EC" w:rsidP="0047267F">
      <w:pPr>
        <w:jc w:val="both"/>
      </w:pPr>
    </w:p>
    <w:p w:rsidR="005B60E5" w:rsidRPr="005B60E5" w:rsidRDefault="005B60E5" w:rsidP="005B60E5">
      <w:pPr>
        <w:spacing w:after="240" w:line="360" w:lineRule="auto"/>
        <w:rPr>
          <w:rFonts w:eastAsia="Times New Roman" w:cstheme="minorHAnsi"/>
          <w:b/>
          <w:u w:val="single"/>
          <w:lang w:eastAsia="en-GB"/>
        </w:rPr>
      </w:pPr>
      <w:r w:rsidRPr="005B60E5">
        <w:rPr>
          <w:rFonts w:eastAsia="Times New Roman" w:cstheme="minorHAnsi"/>
          <w:b/>
          <w:u w:val="single"/>
          <w:lang w:eastAsia="en-GB"/>
        </w:rPr>
        <w:t>Reference list</w:t>
      </w:r>
    </w:p>
    <w:p w:rsidR="005B60E5" w:rsidRPr="005B60E5" w:rsidRDefault="005B60E5" w:rsidP="005B60E5">
      <w:pPr>
        <w:spacing w:after="240" w:line="360" w:lineRule="auto"/>
        <w:rPr>
          <w:rFonts w:eastAsia="Times New Roman" w:cstheme="minorHAnsi"/>
          <w:lang w:eastAsia="en-GB"/>
        </w:rPr>
      </w:pPr>
      <w:r w:rsidRPr="005B60E5">
        <w:rPr>
          <w:rFonts w:eastAsia="Times New Roman" w:cstheme="minorHAnsi"/>
          <w:lang w:eastAsia="en-GB"/>
        </w:rPr>
        <w:t xml:space="preserve">ACAS (2003). </w:t>
      </w:r>
      <w:r w:rsidRPr="005B60E5">
        <w:rPr>
          <w:rFonts w:eastAsia="Times New Roman" w:cstheme="minorHAnsi"/>
          <w:i/>
          <w:iCs/>
          <w:lang w:eastAsia="en-GB"/>
        </w:rPr>
        <w:t>Code of Practice on disclosure of information to trade unions for collective bargaining purposes | Acas</w:t>
      </w:r>
      <w:r w:rsidRPr="005B60E5">
        <w:rPr>
          <w:rFonts w:eastAsia="Times New Roman" w:cstheme="minorHAnsi"/>
          <w:lang w:eastAsia="en-GB"/>
        </w:rPr>
        <w:t>. [online] www.acas.org.uk. Available at: https://www.acas.org.uk/acas-code-of-practice-on-disclosure-of-information-to-trade-unions-for-collective-bargaining/html [Accessed 2 Jul. 2023].</w:t>
      </w:r>
    </w:p>
    <w:p w:rsidR="005B60E5" w:rsidRPr="005B60E5" w:rsidRDefault="005B60E5" w:rsidP="005B60E5">
      <w:pPr>
        <w:spacing w:after="240" w:line="360" w:lineRule="auto"/>
        <w:rPr>
          <w:rFonts w:eastAsia="Times New Roman" w:cstheme="minorHAnsi"/>
          <w:lang w:eastAsia="en-GB"/>
        </w:rPr>
      </w:pPr>
      <w:r w:rsidRPr="005B60E5">
        <w:rPr>
          <w:rFonts w:eastAsia="Times New Roman" w:cstheme="minorHAnsi"/>
          <w:lang w:eastAsia="en-GB"/>
        </w:rPr>
        <w:t xml:space="preserve">ACAS (2014). </w:t>
      </w:r>
      <w:r w:rsidRPr="005B60E5">
        <w:rPr>
          <w:rFonts w:eastAsia="Times New Roman" w:cstheme="minorHAnsi"/>
          <w:i/>
          <w:iCs/>
          <w:lang w:eastAsia="en-GB"/>
        </w:rPr>
        <w:t>Non-Union Representation in the Workplace booklet</w:t>
      </w:r>
      <w:r w:rsidRPr="005B60E5">
        <w:rPr>
          <w:rFonts w:eastAsia="Times New Roman" w:cstheme="minorHAnsi"/>
          <w:lang w:eastAsia="en-GB"/>
        </w:rPr>
        <w:t xml:space="preserve">. [online] </w:t>
      </w:r>
      <w:r w:rsidRPr="005B60E5">
        <w:rPr>
          <w:rFonts w:eastAsia="Times New Roman" w:cstheme="minorHAnsi"/>
          <w:i/>
          <w:iCs/>
          <w:lang w:eastAsia="en-GB"/>
        </w:rPr>
        <w:t>Acas</w:t>
      </w:r>
      <w:r w:rsidRPr="005B60E5">
        <w:rPr>
          <w:rFonts w:eastAsia="Times New Roman" w:cstheme="minorHAnsi"/>
          <w:lang w:eastAsia="en-GB"/>
        </w:rPr>
        <w:t>. Available at: https://www.acas.org.uk/sites/default/files/2021-03/non-union-representation-in-the-workplace.pdf [Accessed 2 Jul. 2023].</w:t>
      </w:r>
    </w:p>
    <w:p w:rsidR="005B60E5" w:rsidRPr="00C90819" w:rsidRDefault="005B60E5" w:rsidP="005B60E5">
      <w:pPr>
        <w:spacing w:after="240" w:line="360" w:lineRule="auto"/>
        <w:rPr>
          <w:rFonts w:eastAsia="Times New Roman" w:cstheme="minorHAnsi"/>
          <w:lang w:eastAsia="en-GB"/>
        </w:rPr>
      </w:pPr>
      <w:r w:rsidRPr="005B60E5">
        <w:rPr>
          <w:rFonts w:eastAsia="Times New Roman" w:cstheme="minorHAnsi"/>
          <w:lang w:eastAsia="en-GB"/>
        </w:rPr>
        <w:t xml:space="preserve">ACAS (2020). </w:t>
      </w:r>
      <w:r w:rsidRPr="005B60E5">
        <w:rPr>
          <w:rFonts w:eastAsia="Times New Roman" w:cstheme="minorHAnsi"/>
          <w:i/>
          <w:iCs/>
          <w:lang w:eastAsia="en-GB"/>
        </w:rPr>
        <w:t>How to raise a problem at work | Acas</w:t>
      </w:r>
      <w:r w:rsidRPr="005B60E5">
        <w:rPr>
          <w:rFonts w:eastAsia="Times New Roman" w:cstheme="minorHAnsi"/>
          <w:lang w:eastAsia="en-GB"/>
        </w:rPr>
        <w:t xml:space="preserve">. [online] Acas.org.uk. Available at: </w:t>
      </w:r>
      <w:r w:rsidRPr="00C90819">
        <w:rPr>
          <w:rFonts w:eastAsia="Times New Roman" w:cstheme="minorHAnsi"/>
          <w:lang w:eastAsia="en-GB"/>
        </w:rPr>
        <w:t>https://www.acas.org.uk/how-to-raise-a-problem-at-work [Accessed 29 Jun. 2023].</w:t>
      </w:r>
    </w:p>
    <w:p w:rsidR="00C90819" w:rsidRPr="00C90819" w:rsidRDefault="00C90819" w:rsidP="00C90819">
      <w:pPr>
        <w:pStyle w:val="NormalWeb"/>
        <w:spacing w:before="0" w:beforeAutospacing="0" w:after="240" w:afterAutospacing="0" w:line="360" w:lineRule="auto"/>
        <w:rPr>
          <w:rFonts w:asciiTheme="minorHAnsi" w:hAnsiTheme="minorHAnsi" w:cstheme="minorHAnsi"/>
          <w:sz w:val="22"/>
          <w:szCs w:val="22"/>
        </w:rPr>
      </w:pPr>
      <w:r w:rsidRPr="00C90819">
        <w:rPr>
          <w:rFonts w:asciiTheme="minorHAnsi" w:hAnsiTheme="minorHAnsi" w:cstheme="minorHAnsi"/>
          <w:sz w:val="22"/>
          <w:szCs w:val="22"/>
        </w:rPr>
        <w:t xml:space="preserve">ACAS (2021). </w:t>
      </w:r>
      <w:r w:rsidRPr="00C90819">
        <w:rPr>
          <w:rFonts w:asciiTheme="minorHAnsi" w:hAnsiTheme="minorHAnsi" w:cstheme="minorHAnsi"/>
          <w:i/>
          <w:iCs/>
          <w:sz w:val="22"/>
          <w:szCs w:val="22"/>
        </w:rPr>
        <w:t>How early conciliation works</w:t>
      </w:r>
      <w:r w:rsidRPr="00C90819">
        <w:rPr>
          <w:rFonts w:asciiTheme="minorHAnsi" w:hAnsiTheme="minorHAnsi" w:cstheme="minorHAnsi"/>
          <w:sz w:val="22"/>
          <w:szCs w:val="22"/>
        </w:rPr>
        <w:t>. [</w:t>
      </w:r>
      <w:proofErr w:type="gramStart"/>
      <w:r w:rsidRPr="00C90819">
        <w:rPr>
          <w:rFonts w:asciiTheme="minorHAnsi" w:hAnsiTheme="minorHAnsi" w:cstheme="minorHAnsi"/>
          <w:sz w:val="22"/>
          <w:szCs w:val="22"/>
        </w:rPr>
        <w:t>online</w:t>
      </w:r>
      <w:proofErr w:type="gramEnd"/>
      <w:r w:rsidRPr="00C90819">
        <w:rPr>
          <w:rFonts w:asciiTheme="minorHAnsi" w:hAnsiTheme="minorHAnsi" w:cstheme="minorHAnsi"/>
          <w:sz w:val="22"/>
          <w:szCs w:val="22"/>
        </w:rPr>
        <w:t>] Acas.org.uk. Available at: https://www.acas.org.uk/early-conciliation/how-early-conciliation-works [Accessed 16 Jun. 2023].</w:t>
      </w:r>
    </w:p>
    <w:p w:rsidR="00C90819" w:rsidRDefault="005B60E5" w:rsidP="00C90819">
      <w:pPr>
        <w:spacing w:after="240" w:line="360" w:lineRule="auto"/>
        <w:rPr>
          <w:rFonts w:eastAsia="Times New Roman" w:cstheme="minorHAnsi"/>
          <w:lang w:eastAsia="en-GB"/>
        </w:rPr>
      </w:pPr>
      <w:r w:rsidRPr="005B60E5">
        <w:rPr>
          <w:rFonts w:eastAsia="Times New Roman" w:cstheme="minorHAnsi"/>
          <w:lang w:eastAsia="en-GB"/>
        </w:rPr>
        <w:t xml:space="preserve">ACAS (2022a). Arbitration. </w:t>
      </w:r>
      <w:r w:rsidRPr="005B60E5">
        <w:rPr>
          <w:rFonts w:eastAsia="Times New Roman" w:cstheme="minorHAnsi"/>
          <w:i/>
          <w:iCs/>
          <w:lang w:eastAsia="en-GB"/>
        </w:rPr>
        <w:t>Acas</w:t>
      </w:r>
      <w:r w:rsidRPr="005B60E5">
        <w:rPr>
          <w:rFonts w:eastAsia="Times New Roman" w:cstheme="minorHAnsi"/>
          <w:lang w:eastAsia="en-GB"/>
        </w:rPr>
        <w:t>. [online] Available at: https://www.acas.org.uk/arbitration [Accessed 16 Jun. 2023].</w:t>
      </w:r>
      <w:r w:rsidR="00C90819" w:rsidRPr="00C90819">
        <w:rPr>
          <w:rFonts w:eastAsia="Times New Roman" w:cstheme="minorHAnsi"/>
          <w:lang w:eastAsia="en-GB"/>
        </w:rPr>
        <w:t xml:space="preserve"> </w:t>
      </w:r>
    </w:p>
    <w:p w:rsidR="005B60E5" w:rsidRDefault="00C90819" w:rsidP="005B60E5">
      <w:pPr>
        <w:spacing w:after="240" w:line="360" w:lineRule="auto"/>
        <w:rPr>
          <w:rFonts w:eastAsia="Times New Roman" w:cstheme="minorHAnsi"/>
          <w:lang w:eastAsia="en-GB"/>
        </w:rPr>
      </w:pPr>
      <w:r>
        <w:rPr>
          <w:rFonts w:eastAsia="Times New Roman" w:cstheme="minorHAnsi"/>
          <w:lang w:eastAsia="en-GB"/>
        </w:rPr>
        <w:t>ACAS (2022b</w:t>
      </w:r>
      <w:r w:rsidR="005B60E5" w:rsidRPr="005B60E5">
        <w:rPr>
          <w:rFonts w:eastAsia="Times New Roman" w:cstheme="minorHAnsi"/>
          <w:lang w:eastAsia="en-GB"/>
        </w:rPr>
        <w:t xml:space="preserve">). </w:t>
      </w:r>
      <w:r w:rsidR="005B60E5" w:rsidRPr="005B60E5">
        <w:rPr>
          <w:rFonts w:eastAsia="Times New Roman" w:cstheme="minorHAnsi"/>
          <w:i/>
          <w:iCs/>
          <w:lang w:eastAsia="en-GB"/>
        </w:rPr>
        <w:t>Mediation at work</w:t>
      </w:r>
      <w:r w:rsidR="005B60E5" w:rsidRPr="005B60E5">
        <w:rPr>
          <w:rFonts w:eastAsia="Times New Roman" w:cstheme="minorHAnsi"/>
          <w:lang w:eastAsia="en-GB"/>
        </w:rPr>
        <w:t>. [online] ACAS. Available at: https://www.acas.org.uk/mediation [Accessed 16 Jun. 2023].</w:t>
      </w:r>
    </w:p>
    <w:p w:rsidR="001829CD" w:rsidRPr="001829CD" w:rsidRDefault="001829CD" w:rsidP="001829CD">
      <w:pPr>
        <w:spacing w:after="240" w:line="360" w:lineRule="auto"/>
        <w:rPr>
          <w:rFonts w:eastAsia="Times New Roman" w:cstheme="minorHAnsi"/>
          <w:lang w:eastAsia="en-GB"/>
        </w:rPr>
      </w:pPr>
      <w:r w:rsidRPr="001829CD">
        <w:rPr>
          <w:rFonts w:eastAsia="Times New Roman" w:cstheme="minorHAnsi"/>
          <w:lang w:eastAsia="en-GB"/>
        </w:rPr>
        <w:t xml:space="preserve">ACAS (2023a). </w:t>
      </w:r>
      <w:r w:rsidRPr="001829CD">
        <w:rPr>
          <w:rFonts w:eastAsia="Times New Roman" w:cstheme="minorHAnsi"/>
          <w:i/>
          <w:iCs/>
          <w:lang w:eastAsia="en-GB"/>
        </w:rPr>
        <w:t>Strikes and industrial action</w:t>
      </w:r>
      <w:r w:rsidRPr="001829CD">
        <w:rPr>
          <w:rFonts w:eastAsia="Times New Roman" w:cstheme="minorHAnsi"/>
          <w:lang w:eastAsia="en-GB"/>
        </w:rPr>
        <w:t>. [online] Acas. Available at: https://www.acas.org.uk/strikes#:~:text=A%20strike%20is%20unofficial%20if [Accessed 22 Jul. 2023].</w:t>
      </w:r>
    </w:p>
    <w:p w:rsidR="005B60E5" w:rsidRPr="005B60E5" w:rsidRDefault="005B60E5" w:rsidP="005B60E5">
      <w:pPr>
        <w:spacing w:after="240" w:line="360" w:lineRule="auto"/>
        <w:rPr>
          <w:rFonts w:eastAsia="Times New Roman" w:cstheme="minorHAnsi"/>
          <w:lang w:eastAsia="en-GB"/>
        </w:rPr>
      </w:pPr>
      <w:r w:rsidRPr="005B60E5">
        <w:rPr>
          <w:rFonts w:eastAsia="Times New Roman" w:cstheme="minorHAnsi"/>
          <w:lang w:eastAsia="en-GB"/>
        </w:rPr>
        <w:t>ACAS (2023</w:t>
      </w:r>
      <w:r w:rsidR="001829CD">
        <w:rPr>
          <w:rFonts w:eastAsia="Times New Roman" w:cstheme="minorHAnsi"/>
          <w:lang w:eastAsia="en-GB"/>
        </w:rPr>
        <w:t>b</w:t>
      </w:r>
      <w:r w:rsidRPr="005B60E5">
        <w:rPr>
          <w:rFonts w:eastAsia="Times New Roman" w:cstheme="minorHAnsi"/>
          <w:lang w:eastAsia="en-GB"/>
        </w:rPr>
        <w:t xml:space="preserve">). </w:t>
      </w:r>
      <w:r w:rsidRPr="005B60E5">
        <w:rPr>
          <w:rFonts w:eastAsia="Times New Roman" w:cstheme="minorHAnsi"/>
          <w:i/>
          <w:iCs/>
          <w:lang w:eastAsia="en-GB"/>
        </w:rPr>
        <w:t xml:space="preserve">Trade Union Representation in the Workplace </w:t>
      </w:r>
      <w:r w:rsidRPr="005B60E5">
        <w:rPr>
          <w:rFonts w:eastAsia="Times New Roman" w:cstheme="minorHAnsi"/>
          <w:lang w:eastAsia="en-GB"/>
        </w:rPr>
        <w:t>. [online] https://www.acas.org.uk/sites/default/files/2021-03/trade-union-representation-in-the-</w:t>
      </w:r>
      <w:r w:rsidRPr="005B60E5">
        <w:rPr>
          <w:rFonts w:eastAsia="Times New Roman" w:cstheme="minorHAnsi"/>
          <w:lang w:eastAsia="en-GB"/>
        </w:rPr>
        <w:lastRenderedPageBreak/>
        <w:t>workplace.pdf. Available at: https://www.acas.org.uk/sites/default/files/2021-03/trade-union-representation-in-the-workplace.pdf [Accessed 2 Jul. 2023].</w:t>
      </w:r>
    </w:p>
    <w:p w:rsidR="005B60E5" w:rsidRPr="005B60E5" w:rsidRDefault="005B60E5" w:rsidP="005B60E5">
      <w:pPr>
        <w:spacing w:after="240" w:line="360" w:lineRule="auto"/>
        <w:rPr>
          <w:rFonts w:eastAsia="Times New Roman" w:cstheme="minorHAnsi"/>
          <w:lang w:eastAsia="en-GB"/>
        </w:rPr>
      </w:pPr>
      <w:r w:rsidRPr="005B60E5">
        <w:rPr>
          <w:rFonts w:eastAsia="Times New Roman" w:cstheme="minorHAnsi"/>
          <w:lang w:eastAsia="en-GB"/>
        </w:rPr>
        <w:t xml:space="preserve">Ali, L. (2022). </w:t>
      </w:r>
      <w:r w:rsidRPr="005B60E5">
        <w:rPr>
          <w:rFonts w:eastAsia="Times New Roman" w:cstheme="minorHAnsi"/>
          <w:i/>
          <w:iCs/>
          <w:lang w:eastAsia="en-GB"/>
        </w:rPr>
        <w:t>CIPD | Equality, Diversity and Inclusion in the Workplace | Factsheets</w:t>
      </w:r>
      <w:r w:rsidRPr="005B60E5">
        <w:rPr>
          <w:rFonts w:eastAsia="Times New Roman" w:cstheme="minorHAnsi"/>
          <w:lang w:eastAsia="en-GB"/>
        </w:rPr>
        <w:t>. [online] CIPD. Available at: https://www.cipd.org/uk/knowledge/factsheets/diversity-factsheet/ [Accessed 21 Jun. 2023].</w:t>
      </w:r>
    </w:p>
    <w:p w:rsidR="005B60E5" w:rsidRPr="002B6364" w:rsidRDefault="005B60E5" w:rsidP="005B60E5">
      <w:pPr>
        <w:spacing w:after="240" w:line="360" w:lineRule="auto"/>
        <w:rPr>
          <w:rFonts w:eastAsia="Times New Roman" w:cstheme="minorHAnsi"/>
          <w:lang w:eastAsia="en-GB"/>
        </w:rPr>
      </w:pPr>
      <w:r w:rsidRPr="005B60E5">
        <w:rPr>
          <w:rFonts w:eastAsia="Times New Roman" w:cstheme="minorHAnsi"/>
          <w:lang w:eastAsia="en-GB"/>
        </w:rPr>
        <w:t xml:space="preserve">Boxall, P. and Purcell, J. (2023). </w:t>
      </w:r>
      <w:r w:rsidRPr="005B60E5">
        <w:rPr>
          <w:rFonts w:eastAsia="Times New Roman" w:cstheme="minorHAnsi"/>
          <w:i/>
          <w:iCs/>
          <w:lang w:eastAsia="en-GB"/>
        </w:rPr>
        <w:t>(PDF) Strategy and Human Resource Management</w:t>
      </w:r>
      <w:r w:rsidRPr="005B60E5">
        <w:rPr>
          <w:rFonts w:eastAsia="Times New Roman" w:cstheme="minorHAnsi"/>
          <w:lang w:eastAsia="en-GB"/>
        </w:rPr>
        <w:t>. [online] ResearchGate. Available at: https://www.researchgate.net/publication/37149236_Strategy_and_Human_Resource_</w:t>
      </w:r>
      <w:r w:rsidRPr="002B6364">
        <w:rPr>
          <w:rFonts w:eastAsia="Times New Roman" w:cstheme="minorHAnsi"/>
          <w:lang w:eastAsia="en-GB"/>
        </w:rPr>
        <w:t>Management [Accessed 8 Jun. 2023].</w:t>
      </w:r>
    </w:p>
    <w:p w:rsidR="002B6364" w:rsidRPr="002B6364" w:rsidRDefault="002B6364" w:rsidP="002B6364">
      <w:pPr>
        <w:pStyle w:val="NormalWeb"/>
        <w:spacing w:before="0" w:beforeAutospacing="0" w:after="240" w:afterAutospacing="0" w:line="360" w:lineRule="auto"/>
        <w:rPr>
          <w:rFonts w:asciiTheme="minorHAnsi" w:hAnsiTheme="minorHAnsi"/>
          <w:sz w:val="22"/>
          <w:szCs w:val="22"/>
        </w:rPr>
      </w:pPr>
      <w:r w:rsidRPr="002B6364">
        <w:rPr>
          <w:rFonts w:asciiTheme="minorHAnsi" w:hAnsiTheme="minorHAnsi"/>
          <w:sz w:val="22"/>
          <w:szCs w:val="22"/>
        </w:rPr>
        <w:t xml:space="preserve">Campbell, R., Saunders, C., Hallam, K., </w:t>
      </w:r>
      <w:proofErr w:type="spellStart"/>
      <w:r w:rsidRPr="002B6364">
        <w:rPr>
          <w:rFonts w:asciiTheme="minorHAnsi" w:hAnsiTheme="minorHAnsi"/>
          <w:sz w:val="22"/>
          <w:szCs w:val="22"/>
        </w:rPr>
        <w:t>Tommasi</w:t>
      </w:r>
      <w:proofErr w:type="spellEnd"/>
      <w:r w:rsidRPr="002B6364">
        <w:rPr>
          <w:rFonts w:asciiTheme="minorHAnsi" w:hAnsiTheme="minorHAnsi"/>
          <w:sz w:val="22"/>
          <w:szCs w:val="22"/>
        </w:rPr>
        <w:t xml:space="preserve">, L. and Cherry, S. (2021a). </w:t>
      </w:r>
      <w:r w:rsidRPr="002B6364">
        <w:rPr>
          <w:rFonts w:asciiTheme="minorHAnsi" w:hAnsiTheme="minorHAnsi"/>
          <w:i/>
          <w:iCs/>
          <w:sz w:val="22"/>
          <w:szCs w:val="22"/>
        </w:rPr>
        <w:t>CIPD | A guide to using individual voice channels</w:t>
      </w:r>
      <w:r w:rsidRPr="002B6364">
        <w:rPr>
          <w:rFonts w:asciiTheme="minorHAnsi" w:hAnsiTheme="minorHAnsi"/>
          <w:sz w:val="22"/>
          <w:szCs w:val="22"/>
        </w:rPr>
        <w:t>. [</w:t>
      </w:r>
      <w:proofErr w:type="gramStart"/>
      <w:r w:rsidRPr="002B6364">
        <w:rPr>
          <w:rFonts w:asciiTheme="minorHAnsi" w:hAnsiTheme="minorHAnsi"/>
          <w:sz w:val="22"/>
          <w:szCs w:val="22"/>
        </w:rPr>
        <w:t>online</w:t>
      </w:r>
      <w:proofErr w:type="gramEnd"/>
      <w:r w:rsidRPr="002B6364">
        <w:rPr>
          <w:rFonts w:asciiTheme="minorHAnsi" w:hAnsiTheme="minorHAnsi"/>
          <w:sz w:val="22"/>
          <w:szCs w:val="22"/>
        </w:rPr>
        <w:t>] CIPD. Available at: https://www.cipd.org/en/knowledge/guides/employee-voice-individuals-guide/ [Accessed 18 May 2023].</w:t>
      </w:r>
    </w:p>
    <w:p w:rsidR="002B6364" w:rsidRPr="002B6364" w:rsidRDefault="002B6364" w:rsidP="002B6364">
      <w:pPr>
        <w:pStyle w:val="NormalWeb"/>
        <w:spacing w:before="0" w:beforeAutospacing="0" w:after="240" w:afterAutospacing="0" w:line="360" w:lineRule="auto"/>
        <w:rPr>
          <w:rFonts w:asciiTheme="minorHAnsi" w:hAnsiTheme="minorHAnsi"/>
          <w:sz w:val="22"/>
          <w:szCs w:val="22"/>
        </w:rPr>
      </w:pPr>
      <w:r w:rsidRPr="002B6364">
        <w:rPr>
          <w:rFonts w:asciiTheme="minorHAnsi" w:hAnsiTheme="minorHAnsi"/>
          <w:sz w:val="22"/>
          <w:szCs w:val="22"/>
        </w:rPr>
        <w:t xml:space="preserve">Campbell, R., Saunders, C., Hallam, K., </w:t>
      </w:r>
      <w:proofErr w:type="spellStart"/>
      <w:r w:rsidRPr="002B6364">
        <w:rPr>
          <w:rFonts w:asciiTheme="minorHAnsi" w:hAnsiTheme="minorHAnsi"/>
          <w:sz w:val="22"/>
          <w:szCs w:val="22"/>
        </w:rPr>
        <w:t>Tommasi</w:t>
      </w:r>
      <w:proofErr w:type="spellEnd"/>
      <w:r w:rsidRPr="002B6364">
        <w:rPr>
          <w:rFonts w:asciiTheme="minorHAnsi" w:hAnsiTheme="minorHAnsi"/>
          <w:sz w:val="22"/>
          <w:szCs w:val="22"/>
        </w:rPr>
        <w:t xml:space="preserve">, L. and Cherry, S. (2021b). </w:t>
      </w:r>
      <w:r w:rsidRPr="002B6364">
        <w:rPr>
          <w:rFonts w:asciiTheme="minorHAnsi" w:hAnsiTheme="minorHAnsi"/>
          <w:i/>
          <w:iCs/>
          <w:sz w:val="22"/>
          <w:szCs w:val="22"/>
        </w:rPr>
        <w:t>CIPD | Guide to using group voice channels</w:t>
      </w:r>
      <w:r w:rsidRPr="002B6364">
        <w:rPr>
          <w:rFonts w:asciiTheme="minorHAnsi" w:hAnsiTheme="minorHAnsi"/>
          <w:sz w:val="22"/>
          <w:szCs w:val="22"/>
        </w:rPr>
        <w:t>. [</w:t>
      </w:r>
      <w:proofErr w:type="gramStart"/>
      <w:r w:rsidRPr="002B6364">
        <w:rPr>
          <w:rFonts w:asciiTheme="minorHAnsi" w:hAnsiTheme="minorHAnsi"/>
          <w:sz w:val="22"/>
          <w:szCs w:val="22"/>
        </w:rPr>
        <w:t>online</w:t>
      </w:r>
      <w:proofErr w:type="gramEnd"/>
      <w:r w:rsidRPr="002B6364">
        <w:rPr>
          <w:rFonts w:asciiTheme="minorHAnsi" w:hAnsiTheme="minorHAnsi"/>
          <w:sz w:val="22"/>
          <w:szCs w:val="22"/>
        </w:rPr>
        <w:t>] CIPD. Available at: https://www.cipd.org/uk/knowledge/guides/employee-voice-guide/?_gl=1 [Accessed 18 May 2023].</w:t>
      </w:r>
    </w:p>
    <w:p w:rsidR="005B60E5" w:rsidRPr="005B60E5" w:rsidRDefault="005B60E5" w:rsidP="005B60E5">
      <w:pPr>
        <w:spacing w:after="240" w:line="360" w:lineRule="auto"/>
        <w:rPr>
          <w:rFonts w:eastAsia="Times New Roman" w:cstheme="minorHAnsi"/>
          <w:lang w:eastAsia="en-GB"/>
        </w:rPr>
      </w:pPr>
      <w:r w:rsidRPr="005B60E5">
        <w:rPr>
          <w:rFonts w:eastAsia="Times New Roman" w:cstheme="minorHAnsi"/>
          <w:lang w:eastAsia="en-GB"/>
        </w:rPr>
        <w:t xml:space="preserve">CIPD (2020a). </w:t>
      </w:r>
      <w:r w:rsidRPr="005B60E5">
        <w:rPr>
          <w:rFonts w:eastAsia="Times New Roman" w:cstheme="minorHAnsi"/>
          <w:i/>
          <w:iCs/>
          <w:lang w:eastAsia="en-GB"/>
        </w:rPr>
        <w:t>CIPD | Information on Discipline &amp; Grievance</w:t>
      </w:r>
      <w:r w:rsidRPr="005B60E5">
        <w:rPr>
          <w:rFonts w:eastAsia="Times New Roman" w:cstheme="minorHAnsi"/>
          <w:lang w:eastAsia="en-GB"/>
        </w:rPr>
        <w:t>. [online] CIPD. Available at: https://www.cipd.org/uk/knowledge/employment-law/discipline/ [Accessed 29 Jun. 2023].</w:t>
      </w:r>
    </w:p>
    <w:p w:rsidR="005B60E5" w:rsidRPr="005B60E5" w:rsidRDefault="005B60E5" w:rsidP="005B60E5">
      <w:pPr>
        <w:spacing w:after="240" w:line="360" w:lineRule="auto"/>
        <w:rPr>
          <w:rFonts w:eastAsia="Times New Roman" w:cstheme="minorHAnsi"/>
          <w:lang w:eastAsia="en-GB"/>
        </w:rPr>
      </w:pPr>
      <w:r w:rsidRPr="005B60E5">
        <w:rPr>
          <w:rFonts w:eastAsia="Times New Roman" w:cstheme="minorHAnsi"/>
          <w:lang w:eastAsia="en-GB"/>
        </w:rPr>
        <w:t xml:space="preserve">CIPD (2022a). </w:t>
      </w:r>
      <w:r w:rsidRPr="005B60E5">
        <w:rPr>
          <w:rFonts w:eastAsia="Times New Roman" w:cstheme="minorHAnsi"/>
          <w:i/>
          <w:iCs/>
          <w:lang w:eastAsia="en-GB"/>
        </w:rPr>
        <w:t>CIPD | Over half of employers agree that the UK is entering a new, more unstable period of employment relations</w:t>
      </w:r>
      <w:r w:rsidRPr="005B60E5">
        <w:rPr>
          <w:rFonts w:eastAsia="Times New Roman" w:cstheme="minorHAnsi"/>
          <w:lang w:eastAsia="en-GB"/>
        </w:rPr>
        <w:t>. [online] CIPD. Available at: https://www.cipd.org/uk/about/press-releases/110722-cipd-employee-relations/ [Accessed 21 Jun. 2023].</w:t>
      </w:r>
    </w:p>
    <w:p w:rsidR="005B60E5" w:rsidRPr="00663303" w:rsidRDefault="005B60E5" w:rsidP="005B60E5">
      <w:pPr>
        <w:spacing w:after="240" w:line="360" w:lineRule="auto"/>
        <w:rPr>
          <w:rFonts w:eastAsia="Times New Roman" w:cstheme="minorHAnsi"/>
          <w:lang w:eastAsia="en-GB"/>
        </w:rPr>
      </w:pPr>
      <w:r w:rsidRPr="005B60E5">
        <w:rPr>
          <w:rFonts w:eastAsia="Times New Roman" w:cstheme="minorHAnsi"/>
          <w:lang w:eastAsia="en-GB"/>
        </w:rPr>
        <w:t xml:space="preserve">CIPD (2022b). </w:t>
      </w:r>
      <w:r w:rsidRPr="005B60E5">
        <w:rPr>
          <w:rFonts w:eastAsia="Times New Roman" w:cstheme="minorHAnsi"/>
          <w:i/>
          <w:iCs/>
          <w:lang w:eastAsia="en-GB"/>
        </w:rPr>
        <w:t>Survey report HEALTH AND WELLBEING AT WORK 2022 in partnership with</w:t>
      </w:r>
      <w:r w:rsidRPr="005B60E5">
        <w:rPr>
          <w:rFonts w:eastAsia="Times New Roman" w:cstheme="minorHAnsi"/>
          <w:lang w:eastAsia="en-GB"/>
        </w:rPr>
        <w:t xml:space="preserve">. [online] </w:t>
      </w:r>
      <w:r w:rsidRPr="00663303">
        <w:rPr>
          <w:rFonts w:eastAsia="Times New Roman" w:cstheme="minorHAnsi"/>
          <w:lang w:eastAsia="en-GB"/>
        </w:rPr>
        <w:t>Available at: https://www.cipd.org/globalassets/media/comms/news/ahealth-wellbeing-work-report-2022_tcm18-108440.pdf [Accessed 20 May 2023].</w:t>
      </w:r>
    </w:p>
    <w:p w:rsidR="005B60E5" w:rsidRPr="00663303" w:rsidRDefault="005B60E5" w:rsidP="005B60E5">
      <w:pPr>
        <w:spacing w:after="240" w:line="360" w:lineRule="auto"/>
        <w:rPr>
          <w:rFonts w:eastAsia="Times New Roman" w:cstheme="minorHAnsi"/>
          <w:lang w:eastAsia="en-GB"/>
        </w:rPr>
      </w:pPr>
      <w:r w:rsidRPr="00663303">
        <w:rPr>
          <w:rFonts w:eastAsia="Times New Roman" w:cstheme="minorHAnsi"/>
          <w:lang w:eastAsia="en-GB"/>
        </w:rPr>
        <w:t xml:space="preserve">CIPD (2023a). </w:t>
      </w:r>
      <w:r w:rsidRPr="00663303">
        <w:rPr>
          <w:rFonts w:eastAsia="Times New Roman" w:cstheme="minorHAnsi"/>
          <w:i/>
          <w:iCs/>
          <w:lang w:eastAsia="en-GB"/>
        </w:rPr>
        <w:t>CIPD | Employee voice | CIPD Viewpoint</w:t>
      </w:r>
      <w:r w:rsidRPr="00663303">
        <w:rPr>
          <w:rFonts w:eastAsia="Times New Roman" w:cstheme="minorHAnsi"/>
          <w:lang w:eastAsia="en-GB"/>
        </w:rPr>
        <w:t>. [online] CIPD. Available at: https://www.cipd.org/uk/views-and-insights/cipd-viewpoint/employee-voice/ [Accessed 14 May 2023].</w:t>
      </w:r>
    </w:p>
    <w:p w:rsidR="00663303" w:rsidRPr="00663303" w:rsidRDefault="00663303" w:rsidP="00663303">
      <w:pPr>
        <w:pStyle w:val="NormalWeb"/>
        <w:spacing w:before="0" w:beforeAutospacing="0" w:after="240" w:afterAutospacing="0" w:line="360" w:lineRule="auto"/>
        <w:rPr>
          <w:rFonts w:asciiTheme="minorHAnsi" w:hAnsiTheme="minorHAnsi" w:cstheme="minorHAnsi"/>
          <w:sz w:val="22"/>
          <w:szCs w:val="22"/>
        </w:rPr>
      </w:pPr>
      <w:r w:rsidRPr="00663303">
        <w:rPr>
          <w:rFonts w:asciiTheme="minorHAnsi" w:hAnsiTheme="minorHAnsi" w:cstheme="minorHAnsi"/>
          <w:sz w:val="22"/>
          <w:szCs w:val="22"/>
        </w:rPr>
        <w:t xml:space="preserve">CIPD (2023b). </w:t>
      </w:r>
      <w:r w:rsidRPr="00663303">
        <w:rPr>
          <w:rFonts w:asciiTheme="minorHAnsi" w:hAnsiTheme="minorHAnsi" w:cstheme="minorHAnsi"/>
          <w:i/>
          <w:iCs/>
          <w:sz w:val="22"/>
          <w:szCs w:val="22"/>
        </w:rPr>
        <w:t>CIPD | Employment law</w:t>
      </w:r>
      <w:r w:rsidRPr="00663303">
        <w:rPr>
          <w:rFonts w:asciiTheme="minorHAnsi" w:hAnsiTheme="minorHAnsi" w:cstheme="minorHAnsi"/>
          <w:sz w:val="22"/>
          <w:szCs w:val="22"/>
        </w:rPr>
        <w:t>. [online] CIPD. Available at: https://www.cipd.org/uk/knowledge/employment-law/ [Accessed 22 Jul. 2023].</w:t>
      </w:r>
    </w:p>
    <w:p w:rsidR="005B60E5" w:rsidRPr="005B60E5" w:rsidRDefault="00663303" w:rsidP="005B60E5">
      <w:pPr>
        <w:spacing w:after="240" w:line="360" w:lineRule="auto"/>
        <w:rPr>
          <w:rFonts w:eastAsia="Times New Roman" w:cstheme="minorHAnsi"/>
          <w:lang w:eastAsia="en-GB"/>
        </w:rPr>
      </w:pPr>
      <w:r>
        <w:rPr>
          <w:rFonts w:eastAsia="Times New Roman" w:cstheme="minorHAnsi"/>
          <w:lang w:eastAsia="en-GB"/>
        </w:rPr>
        <w:lastRenderedPageBreak/>
        <w:t>CIPD (2023c</w:t>
      </w:r>
      <w:r w:rsidR="005B60E5" w:rsidRPr="00663303">
        <w:rPr>
          <w:rFonts w:eastAsia="Times New Roman" w:cstheme="minorHAnsi"/>
          <w:lang w:eastAsia="en-GB"/>
        </w:rPr>
        <w:t xml:space="preserve">). </w:t>
      </w:r>
      <w:r w:rsidR="005B60E5" w:rsidRPr="00663303">
        <w:rPr>
          <w:rFonts w:eastAsia="Times New Roman" w:cstheme="minorHAnsi"/>
          <w:i/>
          <w:iCs/>
          <w:lang w:eastAsia="en-GB"/>
        </w:rPr>
        <w:t>CIPD | Working with trade unions</w:t>
      </w:r>
      <w:r w:rsidR="005B60E5" w:rsidRPr="00663303">
        <w:rPr>
          <w:rFonts w:eastAsia="Times New Roman" w:cstheme="minorHAnsi"/>
          <w:lang w:eastAsia="en-GB"/>
        </w:rPr>
        <w:t>. [online] CIPD. Available at:</w:t>
      </w:r>
      <w:r w:rsidR="005B60E5" w:rsidRPr="005B60E5">
        <w:rPr>
          <w:rFonts w:eastAsia="Times New Roman" w:cstheme="minorHAnsi"/>
          <w:lang w:eastAsia="en-GB"/>
        </w:rPr>
        <w:t xml:space="preserve"> https://www.cipd.org/uk/knowledge/guides/working-trade-unions/ [Accessed 6 Jul. 2023].</w:t>
      </w:r>
    </w:p>
    <w:p w:rsidR="005B60E5" w:rsidRPr="005B60E5" w:rsidRDefault="005B60E5" w:rsidP="005B60E5">
      <w:pPr>
        <w:spacing w:after="240" w:line="360" w:lineRule="auto"/>
        <w:rPr>
          <w:rFonts w:eastAsia="Times New Roman" w:cstheme="minorHAnsi"/>
          <w:lang w:eastAsia="en-GB"/>
        </w:rPr>
      </w:pPr>
      <w:r w:rsidRPr="005B60E5">
        <w:rPr>
          <w:rFonts w:eastAsia="Times New Roman" w:cstheme="minorHAnsi"/>
          <w:lang w:eastAsia="en-GB"/>
        </w:rPr>
        <w:t xml:space="preserve">CIPD. (2020b). </w:t>
      </w:r>
      <w:r w:rsidRPr="005B60E5">
        <w:rPr>
          <w:rFonts w:eastAsia="Times New Roman" w:cstheme="minorHAnsi"/>
          <w:i/>
          <w:iCs/>
          <w:lang w:eastAsia="en-GB"/>
        </w:rPr>
        <w:t>CIPD | Introduction for line managers</w:t>
      </w:r>
      <w:r w:rsidRPr="005B60E5">
        <w:rPr>
          <w:rFonts w:eastAsia="Times New Roman" w:cstheme="minorHAnsi"/>
          <w:lang w:eastAsia="en-GB"/>
        </w:rPr>
        <w:t>. [online] Available at: https://www.cipd.org/uk/knowledge/tools/line-manager-introduction-to-support-materials/.</w:t>
      </w:r>
    </w:p>
    <w:p w:rsidR="005B60E5" w:rsidRPr="005B60E5" w:rsidRDefault="005B60E5" w:rsidP="005B60E5">
      <w:pPr>
        <w:spacing w:after="240" w:line="360" w:lineRule="auto"/>
        <w:rPr>
          <w:rFonts w:eastAsia="Times New Roman" w:cstheme="minorHAnsi"/>
          <w:lang w:eastAsia="en-GB"/>
        </w:rPr>
      </w:pPr>
      <w:r w:rsidRPr="005B60E5">
        <w:rPr>
          <w:rFonts w:eastAsia="Times New Roman" w:cstheme="minorHAnsi"/>
          <w:lang w:eastAsia="en-GB"/>
        </w:rPr>
        <w:t xml:space="preserve">Daniels, K. (2022). </w:t>
      </w:r>
      <w:r w:rsidRPr="005B60E5">
        <w:rPr>
          <w:rFonts w:eastAsia="Times New Roman" w:cstheme="minorHAnsi"/>
          <w:i/>
          <w:iCs/>
          <w:lang w:eastAsia="en-GB"/>
        </w:rPr>
        <w:t>Introduction to employment law : fundamentals for HR and business students</w:t>
      </w:r>
      <w:r w:rsidRPr="005B60E5">
        <w:rPr>
          <w:rFonts w:eastAsia="Times New Roman" w:cstheme="minorHAnsi"/>
          <w:lang w:eastAsia="en-GB"/>
        </w:rPr>
        <w:t>. 6th ed. London, United Kingdom ; New York, Ny, Usa: Kogan Page Limited.</w:t>
      </w:r>
    </w:p>
    <w:p w:rsidR="005B60E5" w:rsidRPr="005B60E5" w:rsidRDefault="005B60E5" w:rsidP="005B60E5">
      <w:pPr>
        <w:spacing w:after="240" w:line="360" w:lineRule="auto"/>
        <w:rPr>
          <w:rFonts w:eastAsia="Times New Roman" w:cstheme="minorHAnsi"/>
          <w:lang w:eastAsia="en-GB"/>
        </w:rPr>
      </w:pPr>
      <w:r w:rsidRPr="005B60E5">
        <w:rPr>
          <w:rFonts w:eastAsia="Times New Roman" w:cstheme="minorHAnsi"/>
          <w:lang w:eastAsia="en-GB"/>
        </w:rPr>
        <w:t xml:space="preserve">Department of Business &amp; Trade (2023). </w:t>
      </w:r>
      <w:r w:rsidRPr="005B60E5">
        <w:rPr>
          <w:rFonts w:eastAsia="Times New Roman" w:cstheme="minorHAnsi"/>
          <w:i/>
          <w:iCs/>
          <w:lang w:eastAsia="en-GB"/>
        </w:rPr>
        <w:t>Trade Union Membership, UK 1995-2022: Statistical Bulletin</w:t>
      </w:r>
      <w:r w:rsidRPr="005B60E5">
        <w:rPr>
          <w:rFonts w:eastAsia="Times New Roman" w:cstheme="minorHAnsi"/>
          <w:lang w:eastAsia="en-GB"/>
        </w:rPr>
        <w:t xml:space="preserve">. [online] </w:t>
      </w:r>
      <w:r w:rsidRPr="005B60E5">
        <w:rPr>
          <w:rFonts w:eastAsia="Times New Roman" w:cstheme="minorHAnsi"/>
          <w:i/>
          <w:iCs/>
          <w:lang w:eastAsia="en-GB"/>
        </w:rPr>
        <w:t>https://www.gov.uk/government/statistics/trade-union-statistics-2022</w:t>
      </w:r>
      <w:r w:rsidRPr="005B60E5">
        <w:rPr>
          <w:rFonts w:eastAsia="Times New Roman" w:cstheme="minorHAnsi"/>
          <w:lang w:eastAsia="en-GB"/>
        </w:rPr>
        <w:t>, p.39. Available at: https://assets.publishing.service.gov.uk/government/uploads/system/uploads/attachment_data/file/1158789/Trade_Union_Membership_UK_1995-2022_Statistical_Bulletin.pdf [Accessed 22 Jun. 2023].</w:t>
      </w:r>
    </w:p>
    <w:p w:rsidR="005B60E5" w:rsidRPr="005B60E5" w:rsidRDefault="005B60E5" w:rsidP="005B60E5">
      <w:pPr>
        <w:spacing w:after="240" w:line="360" w:lineRule="auto"/>
        <w:rPr>
          <w:rFonts w:eastAsia="Times New Roman" w:cstheme="minorHAnsi"/>
          <w:lang w:eastAsia="en-GB"/>
        </w:rPr>
      </w:pPr>
      <w:r w:rsidRPr="005B60E5">
        <w:rPr>
          <w:rFonts w:eastAsia="Times New Roman" w:cstheme="minorHAnsi"/>
          <w:lang w:eastAsia="en-GB"/>
        </w:rPr>
        <w:t xml:space="preserve">Dix, G., 2020. Employee voice: on mute or mission critical?. The Acas podcast. [Podcast]. [Accessed 24 May 2023.  Available from: Employee voice: on mute or mission critical? | Acas </w:t>
      </w:r>
    </w:p>
    <w:p w:rsidR="005B60E5" w:rsidRPr="005B60E5" w:rsidRDefault="005B60E5" w:rsidP="005B60E5">
      <w:pPr>
        <w:spacing w:after="240" w:line="360" w:lineRule="auto"/>
        <w:rPr>
          <w:rFonts w:eastAsia="Times New Roman" w:cstheme="minorHAnsi"/>
          <w:lang w:eastAsia="en-GB"/>
        </w:rPr>
      </w:pPr>
      <w:r w:rsidRPr="005B60E5">
        <w:rPr>
          <w:rFonts w:eastAsia="Times New Roman" w:cstheme="minorHAnsi"/>
          <w:i/>
          <w:iCs/>
          <w:lang w:eastAsia="en-GB"/>
        </w:rPr>
        <w:t>Equality Act</w:t>
      </w:r>
      <w:r w:rsidRPr="005B60E5">
        <w:rPr>
          <w:rFonts w:eastAsia="Times New Roman" w:cstheme="minorHAnsi"/>
          <w:lang w:eastAsia="en-GB"/>
        </w:rPr>
        <w:t>. Available at: https://www.legislation.gov.uk/ukpga/2010/15 [Accessed 26 Jun. 2023].</w:t>
      </w:r>
    </w:p>
    <w:p w:rsidR="005B60E5" w:rsidRPr="005B60E5" w:rsidRDefault="005B60E5" w:rsidP="005B60E5">
      <w:pPr>
        <w:spacing w:after="240" w:line="360" w:lineRule="auto"/>
        <w:rPr>
          <w:rFonts w:eastAsia="Times New Roman" w:cstheme="minorHAnsi"/>
          <w:lang w:eastAsia="en-GB"/>
        </w:rPr>
      </w:pPr>
      <w:r w:rsidRPr="005B60E5">
        <w:rPr>
          <w:rFonts w:eastAsia="Times New Roman" w:cstheme="minorHAnsi"/>
          <w:lang w:eastAsia="en-GB"/>
        </w:rPr>
        <w:t xml:space="preserve">Francis, S. (2021). </w:t>
      </w:r>
      <w:r w:rsidRPr="005B60E5">
        <w:rPr>
          <w:rFonts w:eastAsia="Times New Roman" w:cstheme="minorHAnsi"/>
          <w:i/>
          <w:iCs/>
          <w:lang w:eastAsia="en-GB"/>
        </w:rPr>
        <w:t>Employee Voice - Does it matter?</w:t>
      </w:r>
      <w:r w:rsidRPr="005B60E5">
        <w:rPr>
          <w:rFonts w:eastAsia="Times New Roman" w:cstheme="minorHAnsi"/>
          <w:lang w:eastAsia="en-GB"/>
        </w:rPr>
        <w:t xml:space="preserve"> [online] www.linkedin.com. Available at: https://www.linkedin.com/pulse/employee-voice-does-matter-stephanie-francis-assoc-cipd?trk=public_profile_article_view [Accessed 8 Jun. 2023].</w:t>
      </w:r>
    </w:p>
    <w:p w:rsidR="005B60E5" w:rsidRPr="005B60E5" w:rsidRDefault="005B60E5" w:rsidP="005B60E5">
      <w:pPr>
        <w:spacing w:after="240" w:line="360" w:lineRule="auto"/>
        <w:rPr>
          <w:rFonts w:eastAsia="Times New Roman" w:cstheme="minorHAnsi"/>
          <w:lang w:eastAsia="en-GB"/>
        </w:rPr>
      </w:pPr>
      <w:r w:rsidRPr="005B60E5">
        <w:rPr>
          <w:rFonts w:eastAsia="Times New Roman" w:cstheme="minorHAnsi"/>
          <w:lang w:eastAsia="en-GB"/>
        </w:rPr>
        <w:t xml:space="preserve">Furnham, A. (2005). </w:t>
      </w:r>
      <w:r w:rsidRPr="005B60E5">
        <w:rPr>
          <w:rFonts w:eastAsia="Times New Roman" w:cstheme="minorHAnsi"/>
          <w:i/>
          <w:iCs/>
          <w:lang w:eastAsia="en-GB"/>
        </w:rPr>
        <w:t>The psychology of behaviour at work : the individual in the organization</w:t>
      </w:r>
      <w:r w:rsidRPr="005B60E5">
        <w:rPr>
          <w:rFonts w:eastAsia="Times New Roman" w:cstheme="minorHAnsi"/>
          <w:lang w:eastAsia="en-GB"/>
        </w:rPr>
        <w:t>. 2nd ed. Hove England ; New York: Psychology Press.</w:t>
      </w:r>
    </w:p>
    <w:p w:rsidR="005B60E5" w:rsidRPr="005B60E5" w:rsidRDefault="005B60E5" w:rsidP="005B60E5">
      <w:pPr>
        <w:spacing w:after="240" w:line="360" w:lineRule="auto"/>
        <w:rPr>
          <w:rFonts w:eastAsia="Times New Roman" w:cstheme="minorHAnsi"/>
          <w:lang w:eastAsia="en-GB"/>
        </w:rPr>
      </w:pPr>
      <w:r w:rsidRPr="005B60E5">
        <w:rPr>
          <w:rFonts w:eastAsia="Times New Roman" w:cstheme="minorHAnsi"/>
          <w:lang w:eastAsia="en-GB"/>
        </w:rPr>
        <w:t xml:space="preserve">Gagné, M. and Deci, E.L. (2005). Self-determination Theory and Work Motivation. </w:t>
      </w:r>
      <w:r w:rsidRPr="005B60E5">
        <w:rPr>
          <w:rFonts w:eastAsia="Times New Roman" w:cstheme="minorHAnsi"/>
          <w:i/>
          <w:iCs/>
          <w:lang w:eastAsia="en-GB"/>
        </w:rPr>
        <w:t>Journal of Organizational Behavior</w:t>
      </w:r>
      <w:r w:rsidRPr="005B60E5">
        <w:rPr>
          <w:rFonts w:eastAsia="Times New Roman" w:cstheme="minorHAnsi"/>
          <w:lang w:eastAsia="en-GB"/>
        </w:rPr>
        <w:t>, [online] 26(4), pp.331–362. doi:https://doi.org/10.1002/job.322.</w:t>
      </w:r>
    </w:p>
    <w:p w:rsidR="005B60E5" w:rsidRPr="005B60E5" w:rsidRDefault="005B60E5" w:rsidP="005B60E5">
      <w:pPr>
        <w:spacing w:after="240" w:line="360" w:lineRule="auto"/>
        <w:rPr>
          <w:rFonts w:eastAsia="Times New Roman" w:cstheme="minorHAnsi"/>
          <w:lang w:eastAsia="en-GB"/>
        </w:rPr>
      </w:pPr>
      <w:r w:rsidRPr="005B60E5">
        <w:rPr>
          <w:rFonts w:eastAsia="Times New Roman" w:cstheme="minorHAnsi"/>
          <w:lang w:eastAsia="en-GB"/>
        </w:rPr>
        <w:t xml:space="preserve">Gallo, A. (2023). </w:t>
      </w:r>
      <w:r w:rsidRPr="005B60E5">
        <w:rPr>
          <w:rFonts w:eastAsia="Times New Roman" w:cstheme="minorHAnsi"/>
          <w:i/>
          <w:iCs/>
          <w:lang w:eastAsia="en-GB"/>
        </w:rPr>
        <w:t>What Is Psychological Safety?</w:t>
      </w:r>
      <w:r w:rsidRPr="005B60E5">
        <w:rPr>
          <w:rFonts w:eastAsia="Times New Roman" w:cstheme="minorHAnsi"/>
          <w:lang w:eastAsia="en-GB"/>
        </w:rPr>
        <w:t xml:space="preserve"> [online] Harvard Business Review. Available at: https://hbr.org/2023/02/what-is-psychological-safety [Accessed 23 May 2023].</w:t>
      </w:r>
    </w:p>
    <w:p w:rsidR="005B60E5" w:rsidRPr="00F5448C" w:rsidRDefault="005B60E5" w:rsidP="005B60E5">
      <w:pPr>
        <w:spacing w:after="240" w:line="360" w:lineRule="auto"/>
        <w:rPr>
          <w:rFonts w:eastAsia="Times New Roman" w:cstheme="minorHAnsi"/>
          <w:lang w:eastAsia="en-GB"/>
        </w:rPr>
      </w:pPr>
      <w:r w:rsidRPr="005B60E5">
        <w:rPr>
          <w:rFonts w:eastAsia="Times New Roman" w:cstheme="minorHAnsi"/>
          <w:lang w:eastAsia="en-GB"/>
        </w:rPr>
        <w:t xml:space="preserve">Gifford, J. and Young, J. (2021). </w:t>
      </w:r>
      <w:r w:rsidRPr="005B60E5">
        <w:rPr>
          <w:rFonts w:eastAsia="Times New Roman" w:cstheme="minorHAnsi"/>
          <w:i/>
          <w:iCs/>
          <w:lang w:eastAsia="en-GB"/>
        </w:rPr>
        <w:t>CIPD | Employee Engagement &amp; Motivation | Factsheets</w:t>
      </w:r>
      <w:r w:rsidRPr="005B60E5">
        <w:rPr>
          <w:rFonts w:eastAsia="Times New Roman" w:cstheme="minorHAnsi"/>
          <w:lang w:eastAsia="en-GB"/>
        </w:rPr>
        <w:t>. [online] CIPD. Available at: https://www.cipd.org/uk/knowledge/factsheets/engagement-factsheet/#how-to-</w:t>
      </w:r>
      <w:r w:rsidRPr="00F5448C">
        <w:rPr>
          <w:rFonts w:eastAsia="Times New Roman" w:cstheme="minorHAnsi"/>
          <w:lang w:eastAsia="en-GB"/>
        </w:rPr>
        <w:t>build-an-engaged-and-motivated-workforce [Accessed 18 May 2023].</w:t>
      </w:r>
    </w:p>
    <w:p w:rsidR="00F5448C" w:rsidRPr="00F5448C" w:rsidRDefault="00F5448C" w:rsidP="00F5448C">
      <w:pPr>
        <w:pStyle w:val="NormalWeb"/>
        <w:spacing w:before="0" w:beforeAutospacing="0" w:after="240" w:afterAutospacing="0" w:line="360" w:lineRule="auto"/>
        <w:rPr>
          <w:rFonts w:asciiTheme="minorHAnsi" w:hAnsiTheme="minorHAnsi" w:cstheme="minorHAnsi"/>
          <w:sz w:val="22"/>
          <w:szCs w:val="22"/>
        </w:rPr>
      </w:pPr>
      <w:r w:rsidRPr="00F5448C">
        <w:rPr>
          <w:rFonts w:asciiTheme="minorHAnsi" w:hAnsiTheme="minorHAnsi" w:cstheme="minorHAnsi"/>
          <w:sz w:val="22"/>
          <w:szCs w:val="22"/>
        </w:rPr>
        <w:lastRenderedPageBreak/>
        <w:t xml:space="preserve">Gilligan, E. and Marsden, T. (2022). </w:t>
      </w:r>
      <w:r w:rsidRPr="00F5448C">
        <w:rPr>
          <w:rFonts w:asciiTheme="minorHAnsi" w:hAnsiTheme="minorHAnsi" w:cstheme="minorHAnsi"/>
          <w:i/>
          <w:iCs/>
          <w:sz w:val="22"/>
          <w:szCs w:val="22"/>
        </w:rPr>
        <w:t>Industrial action: things to consider</w:t>
      </w:r>
      <w:r w:rsidRPr="00F5448C">
        <w:rPr>
          <w:rFonts w:asciiTheme="minorHAnsi" w:hAnsiTheme="minorHAnsi" w:cstheme="minorHAnsi"/>
          <w:sz w:val="22"/>
          <w:szCs w:val="22"/>
        </w:rPr>
        <w:t>. [online] www.peoplemanagement.co.uk. Available at: https://www.peoplemanagement.co.uk/article/1794325/industrial-action-things-consider [Accessed 22 Jul. 2023].</w:t>
      </w:r>
    </w:p>
    <w:p w:rsidR="005B60E5" w:rsidRPr="005B60E5" w:rsidRDefault="005B60E5" w:rsidP="005B60E5">
      <w:pPr>
        <w:spacing w:after="240" w:line="360" w:lineRule="auto"/>
        <w:rPr>
          <w:rFonts w:eastAsia="Times New Roman" w:cstheme="minorHAnsi"/>
          <w:lang w:eastAsia="en-GB"/>
        </w:rPr>
      </w:pPr>
      <w:r w:rsidRPr="00F5448C">
        <w:rPr>
          <w:rFonts w:eastAsia="Times New Roman" w:cstheme="minorHAnsi"/>
          <w:lang w:eastAsia="en-GB"/>
        </w:rPr>
        <w:t xml:space="preserve">Gosling, W. and Sloan, N. (2016). </w:t>
      </w:r>
      <w:r w:rsidRPr="00F5448C">
        <w:rPr>
          <w:rFonts w:eastAsia="Times New Roman" w:cstheme="minorHAnsi"/>
          <w:i/>
          <w:iCs/>
          <w:lang w:eastAsia="en-GB"/>
        </w:rPr>
        <w:t>Engagement</w:t>
      </w:r>
      <w:r w:rsidRPr="00F5448C">
        <w:rPr>
          <w:rFonts w:eastAsia="Times New Roman" w:cstheme="minorHAnsi"/>
          <w:lang w:eastAsia="en-GB"/>
        </w:rPr>
        <w:t>. [online] Deloitte Insights. Available at: https://www2.deloitte.com</w:t>
      </w:r>
      <w:r w:rsidRPr="005B60E5">
        <w:rPr>
          <w:rFonts w:eastAsia="Times New Roman" w:cstheme="minorHAnsi"/>
          <w:lang w:eastAsia="en-GB"/>
        </w:rPr>
        <w:t>/uk/en/insights/focus/human-capital-trends/2016/employee-engagement-and-retention.html [Accessed 20 May 2023].</w:t>
      </w:r>
    </w:p>
    <w:p w:rsidR="005B60E5" w:rsidRPr="005B60E5" w:rsidRDefault="005B60E5" w:rsidP="005B60E5">
      <w:pPr>
        <w:spacing w:after="240" w:line="360" w:lineRule="auto"/>
        <w:rPr>
          <w:rFonts w:eastAsia="Times New Roman" w:cstheme="minorHAnsi"/>
          <w:lang w:eastAsia="en-GB"/>
        </w:rPr>
      </w:pPr>
      <w:r w:rsidRPr="005B60E5">
        <w:rPr>
          <w:rFonts w:eastAsia="Times New Roman" w:cstheme="minorHAnsi"/>
          <w:lang w:eastAsia="en-GB"/>
        </w:rPr>
        <w:t xml:space="preserve">GOV.UK (2023). </w:t>
      </w:r>
      <w:r w:rsidRPr="005B60E5">
        <w:rPr>
          <w:rFonts w:eastAsia="Times New Roman" w:cstheme="minorHAnsi"/>
          <w:i/>
          <w:iCs/>
          <w:lang w:eastAsia="en-GB"/>
        </w:rPr>
        <w:t>Solve a workplace dispute</w:t>
      </w:r>
      <w:r w:rsidRPr="005B60E5">
        <w:rPr>
          <w:rFonts w:eastAsia="Times New Roman" w:cstheme="minorHAnsi"/>
          <w:lang w:eastAsia="en-GB"/>
        </w:rPr>
        <w:t>. [online] GOV.UK. Available at: https://www.gov.uk/solve-workplace-dispute/mediation-conciliation-and-arbitration [Accessed 16 Jun. 2023].</w:t>
      </w:r>
    </w:p>
    <w:p w:rsidR="005B60E5" w:rsidRPr="005B60E5" w:rsidRDefault="005B60E5" w:rsidP="005B60E5">
      <w:pPr>
        <w:spacing w:after="240" w:line="360" w:lineRule="auto"/>
        <w:rPr>
          <w:rFonts w:eastAsia="Times New Roman" w:cstheme="minorHAnsi"/>
          <w:lang w:eastAsia="en-GB"/>
        </w:rPr>
      </w:pPr>
      <w:r w:rsidRPr="005B60E5">
        <w:rPr>
          <w:rFonts w:eastAsia="Times New Roman" w:cstheme="minorHAnsi"/>
          <w:lang w:eastAsia="en-GB"/>
        </w:rPr>
        <w:t xml:space="preserve">GOV.UK. (n.d.). </w:t>
      </w:r>
      <w:r w:rsidRPr="005B60E5">
        <w:rPr>
          <w:rFonts w:eastAsia="Times New Roman" w:cstheme="minorHAnsi"/>
          <w:i/>
          <w:iCs/>
          <w:lang w:eastAsia="en-GB"/>
        </w:rPr>
        <w:t>Handling an employee’s grievance</w:t>
      </w:r>
      <w:r w:rsidRPr="005B60E5">
        <w:rPr>
          <w:rFonts w:eastAsia="Times New Roman" w:cstheme="minorHAnsi"/>
          <w:lang w:eastAsia="en-GB"/>
        </w:rPr>
        <w:t>. [online] Available at: https://www.gov.uk/handling-employee-grievance [Accessed 29 Jun. 2023].</w:t>
      </w:r>
    </w:p>
    <w:p w:rsidR="005B60E5" w:rsidRPr="005B60E5" w:rsidRDefault="005B60E5" w:rsidP="005B60E5">
      <w:pPr>
        <w:spacing w:after="240" w:line="360" w:lineRule="auto"/>
        <w:rPr>
          <w:rFonts w:eastAsia="Times New Roman" w:cstheme="minorHAnsi"/>
          <w:lang w:eastAsia="en-GB"/>
        </w:rPr>
      </w:pPr>
      <w:r w:rsidRPr="005B60E5">
        <w:rPr>
          <w:rFonts w:eastAsia="Times New Roman" w:cstheme="minorHAnsi"/>
          <w:lang w:eastAsia="en-GB"/>
        </w:rPr>
        <w:t xml:space="preserve">Health and Safety Executive (n.d.). </w:t>
      </w:r>
      <w:r w:rsidRPr="005B60E5">
        <w:rPr>
          <w:rFonts w:eastAsia="Times New Roman" w:cstheme="minorHAnsi"/>
          <w:i/>
          <w:iCs/>
          <w:lang w:eastAsia="en-GB"/>
        </w:rPr>
        <w:t>Why talk to your employees about health and safety?</w:t>
      </w:r>
      <w:r w:rsidRPr="005B60E5">
        <w:rPr>
          <w:rFonts w:eastAsia="Times New Roman" w:cstheme="minorHAnsi"/>
          <w:lang w:eastAsia="en-GB"/>
        </w:rPr>
        <w:t xml:space="preserve"> [online] www.hse.gov.uk. Available at: https://www.hse.gov.uk/involvement/talktoyouremployees.htm [Accessed 22 May 2023].</w:t>
      </w:r>
    </w:p>
    <w:p w:rsidR="005B60E5" w:rsidRPr="005B60E5" w:rsidRDefault="005B60E5" w:rsidP="005B60E5">
      <w:pPr>
        <w:spacing w:after="240" w:line="360" w:lineRule="auto"/>
        <w:rPr>
          <w:rFonts w:eastAsia="Times New Roman" w:cstheme="minorHAnsi"/>
          <w:lang w:eastAsia="en-GB"/>
        </w:rPr>
      </w:pPr>
      <w:r w:rsidRPr="005B60E5">
        <w:rPr>
          <w:rFonts w:eastAsia="Times New Roman" w:cstheme="minorHAnsi"/>
          <w:lang w:eastAsia="en-GB"/>
        </w:rPr>
        <w:t xml:space="preserve">Herrity, J. (2021). </w:t>
      </w:r>
      <w:r w:rsidRPr="005B60E5">
        <w:rPr>
          <w:rFonts w:eastAsia="Times New Roman" w:cstheme="minorHAnsi"/>
          <w:i/>
          <w:iCs/>
          <w:lang w:eastAsia="en-GB"/>
        </w:rPr>
        <w:t>10 Steps To Improve Team Cohesiveness in the Workplace</w:t>
      </w:r>
      <w:r w:rsidRPr="005B60E5">
        <w:rPr>
          <w:rFonts w:eastAsia="Times New Roman" w:cstheme="minorHAnsi"/>
          <w:lang w:eastAsia="en-GB"/>
        </w:rPr>
        <w:t>. [online] Indeed Career Guide. Available at: https://www.indeed.com/career-advice/career-development/team-cohesiveness [Accessed 22 May 2023].</w:t>
      </w:r>
    </w:p>
    <w:p w:rsidR="005B60E5" w:rsidRPr="005B60E5" w:rsidRDefault="005B60E5" w:rsidP="005B60E5">
      <w:pPr>
        <w:spacing w:after="240" w:line="360" w:lineRule="auto"/>
        <w:rPr>
          <w:rFonts w:eastAsia="Times New Roman" w:cstheme="minorHAnsi"/>
          <w:lang w:eastAsia="en-GB"/>
        </w:rPr>
      </w:pPr>
      <w:r w:rsidRPr="005B60E5">
        <w:rPr>
          <w:rFonts w:eastAsia="Times New Roman" w:cstheme="minorHAnsi"/>
          <w:lang w:eastAsia="en-GB"/>
        </w:rPr>
        <w:t xml:space="preserve">Liddle, D. (2020). </w:t>
      </w:r>
      <w:r w:rsidRPr="005B60E5">
        <w:rPr>
          <w:rFonts w:eastAsia="Times New Roman" w:cstheme="minorHAnsi"/>
          <w:i/>
          <w:iCs/>
          <w:lang w:eastAsia="en-GB"/>
        </w:rPr>
        <w:t>HR Magazine - Handling conflict mediations triggered by COVID-19</w:t>
      </w:r>
      <w:r w:rsidRPr="005B60E5">
        <w:rPr>
          <w:rFonts w:eastAsia="Times New Roman" w:cstheme="minorHAnsi"/>
          <w:lang w:eastAsia="en-GB"/>
        </w:rPr>
        <w:t>. [online] HR Magazine. Available at: https://www.hrmagazine.co.uk/content/news/handling-conflict-mediations-triggered-by-covid-19 [Accessed 21 Jun. 2023].</w:t>
      </w:r>
    </w:p>
    <w:p w:rsidR="005B60E5" w:rsidRPr="005B60E5" w:rsidRDefault="005B60E5" w:rsidP="005B60E5">
      <w:pPr>
        <w:spacing w:after="240" w:line="360" w:lineRule="auto"/>
        <w:rPr>
          <w:rFonts w:eastAsia="Times New Roman" w:cstheme="minorHAnsi"/>
          <w:lang w:eastAsia="en-GB"/>
        </w:rPr>
      </w:pPr>
      <w:r w:rsidRPr="005B60E5">
        <w:rPr>
          <w:rFonts w:eastAsia="Times New Roman" w:cstheme="minorHAnsi"/>
          <w:lang w:eastAsia="en-GB"/>
        </w:rPr>
        <w:t xml:space="preserve">Lupton, B., Rowe, A. and Whittle, R. (2015). </w:t>
      </w:r>
      <w:r w:rsidRPr="005B60E5">
        <w:rPr>
          <w:rFonts w:eastAsia="Times New Roman" w:cstheme="minorHAnsi"/>
          <w:i/>
          <w:iCs/>
          <w:lang w:eastAsia="en-GB"/>
        </w:rPr>
        <w:t>Show me the money! The behavioural science of reward</w:t>
      </w:r>
      <w:r w:rsidRPr="005B60E5">
        <w:rPr>
          <w:rFonts w:eastAsia="Times New Roman" w:cstheme="minorHAnsi"/>
          <w:lang w:eastAsia="en-GB"/>
        </w:rPr>
        <w:t xml:space="preserve">. [online] </w:t>
      </w:r>
      <w:r w:rsidRPr="005B60E5">
        <w:rPr>
          <w:rFonts w:eastAsia="Times New Roman" w:cstheme="minorHAnsi"/>
          <w:i/>
          <w:iCs/>
          <w:lang w:eastAsia="en-GB"/>
        </w:rPr>
        <w:t>CIPD</w:t>
      </w:r>
      <w:r w:rsidRPr="005B60E5">
        <w:rPr>
          <w:rFonts w:eastAsia="Times New Roman" w:cstheme="minorHAnsi"/>
          <w:lang w:eastAsia="en-GB"/>
        </w:rPr>
        <w:t>. Available at: https://www.cipd.org/globalassets/media/knowledge/knowledge-hub/reports/show-me-the-money_2015-behavioural-science-of-reward_tcm18-9560.pdf [Accessed 21 May 2023].</w:t>
      </w:r>
    </w:p>
    <w:p w:rsidR="005B60E5" w:rsidRPr="005B60E5" w:rsidRDefault="005B60E5" w:rsidP="005B60E5">
      <w:pPr>
        <w:spacing w:after="240" w:line="360" w:lineRule="auto"/>
        <w:rPr>
          <w:rFonts w:eastAsia="Times New Roman" w:cstheme="minorHAnsi"/>
          <w:lang w:eastAsia="en-GB"/>
        </w:rPr>
      </w:pPr>
      <w:r w:rsidRPr="005B60E5">
        <w:rPr>
          <w:rFonts w:eastAsia="Times New Roman" w:cstheme="minorHAnsi"/>
          <w:lang w:eastAsia="en-GB"/>
        </w:rPr>
        <w:t xml:space="preserve">Perlow, L. (2017). </w:t>
      </w:r>
      <w:r w:rsidRPr="005B60E5">
        <w:rPr>
          <w:rFonts w:eastAsia="Times New Roman" w:cstheme="minorHAnsi"/>
          <w:i/>
          <w:iCs/>
          <w:lang w:eastAsia="en-GB"/>
        </w:rPr>
        <w:t>Stop the Meeting Madness</w:t>
      </w:r>
      <w:r w:rsidRPr="005B60E5">
        <w:rPr>
          <w:rFonts w:eastAsia="Times New Roman" w:cstheme="minorHAnsi"/>
          <w:lang w:eastAsia="en-GB"/>
        </w:rPr>
        <w:t>. [online] Harvard Business Review. Available at: https://hbr.org/2017/07/stop-the-meeting-madness [Accessed 16 May 2023].</w:t>
      </w:r>
    </w:p>
    <w:p w:rsidR="005B60E5" w:rsidRPr="005B60E5" w:rsidRDefault="005B60E5" w:rsidP="005B60E5">
      <w:pPr>
        <w:spacing w:after="240" w:line="360" w:lineRule="auto"/>
        <w:rPr>
          <w:rFonts w:eastAsia="Times New Roman" w:cstheme="minorHAnsi"/>
          <w:lang w:eastAsia="en-GB"/>
        </w:rPr>
      </w:pPr>
      <w:r w:rsidRPr="005B60E5">
        <w:rPr>
          <w:rFonts w:eastAsia="Times New Roman" w:cstheme="minorHAnsi"/>
          <w:lang w:eastAsia="en-GB"/>
        </w:rPr>
        <w:t xml:space="preserve">Ron Stefanski (2022). </w:t>
      </w:r>
      <w:r w:rsidRPr="005B60E5">
        <w:rPr>
          <w:rFonts w:eastAsia="Times New Roman" w:cstheme="minorHAnsi"/>
          <w:i/>
          <w:iCs/>
          <w:lang w:eastAsia="en-GB"/>
        </w:rPr>
        <w:t>Employee Recognition Programmes — Benefits &amp; Best Practices</w:t>
      </w:r>
      <w:r w:rsidRPr="005B60E5">
        <w:rPr>
          <w:rFonts w:eastAsia="Times New Roman" w:cstheme="minorHAnsi"/>
          <w:lang w:eastAsia="en-GB"/>
        </w:rPr>
        <w:t>. [online] Engage for Success. Available at: https://engageforsuccess.org/culture-and-working-environment/employee-recognition-programmes-benefits-best-practices/ [Accessed 18 May 2023].</w:t>
      </w:r>
    </w:p>
    <w:p w:rsidR="005B60E5" w:rsidRPr="005B60E5" w:rsidRDefault="005B60E5" w:rsidP="005B60E5">
      <w:pPr>
        <w:spacing w:after="240" w:line="360" w:lineRule="auto"/>
        <w:rPr>
          <w:rFonts w:eastAsia="Times New Roman" w:cstheme="minorHAnsi"/>
          <w:lang w:eastAsia="en-GB"/>
        </w:rPr>
      </w:pPr>
      <w:r w:rsidRPr="005B60E5">
        <w:rPr>
          <w:rFonts w:eastAsia="Times New Roman" w:cstheme="minorHAnsi"/>
          <w:lang w:eastAsia="en-GB"/>
        </w:rPr>
        <w:lastRenderedPageBreak/>
        <w:t xml:space="preserve">Saundry, R. (2021). </w:t>
      </w:r>
      <w:r w:rsidRPr="005B60E5">
        <w:rPr>
          <w:rFonts w:eastAsia="Times New Roman" w:cstheme="minorHAnsi"/>
          <w:i/>
          <w:iCs/>
          <w:lang w:eastAsia="en-GB"/>
        </w:rPr>
        <w:t>Estimating the costs of workplace conflict | Acas</w:t>
      </w:r>
      <w:r w:rsidRPr="005B60E5">
        <w:rPr>
          <w:rFonts w:eastAsia="Times New Roman" w:cstheme="minorHAnsi"/>
          <w:lang w:eastAsia="en-GB"/>
        </w:rPr>
        <w:t>. [online] www.acas.org.uk. Available at: https://www.acas.org.uk/estimating-the-costs-of-workplace-conflict-report [Accessed 29 Jun. 2023].</w:t>
      </w:r>
    </w:p>
    <w:p w:rsidR="005B60E5" w:rsidRPr="005B60E5" w:rsidRDefault="005B60E5" w:rsidP="005B60E5">
      <w:pPr>
        <w:spacing w:after="240" w:line="360" w:lineRule="auto"/>
        <w:rPr>
          <w:rFonts w:eastAsia="Times New Roman" w:cstheme="minorHAnsi"/>
          <w:lang w:eastAsia="en-GB"/>
        </w:rPr>
      </w:pPr>
      <w:r w:rsidRPr="005B60E5">
        <w:rPr>
          <w:rFonts w:eastAsia="Times New Roman" w:cstheme="minorHAnsi"/>
          <w:lang w:eastAsia="en-GB"/>
        </w:rPr>
        <w:t xml:space="preserve">Scott, C., Rogelberg, S. and Kello, J. (2007). The Science and Fiction of Meetings. </w:t>
      </w:r>
      <w:r w:rsidRPr="005B60E5">
        <w:rPr>
          <w:rFonts w:eastAsia="Times New Roman" w:cstheme="minorHAnsi"/>
          <w:i/>
          <w:iCs/>
          <w:lang w:eastAsia="en-GB"/>
        </w:rPr>
        <w:t>MIT Sloan Management Review</w:t>
      </w:r>
      <w:r w:rsidRPr="005B60E5">
        <w:rPr>
          <w:rFonts w:eastAsia="Times New Roman" w:cstheme="minorHAnsi"/>
          <w:lang w:eastAsia="en-GB"/>
        </w:rPr>
        <w:t>. [online] Dec. Available at: https://orgscience.charlotte.edu/sites/orgscience.charlotte.edu/files/media/Rogelberg%20et%20al.%20-%202007%20-%20The%20science%20and%20fiction%20of%20meetings.pdf [Accessed 16 May 2023].</w:t>
      </w:r>
    </w:p>
    <w:p w:rsidR="005B60E5" w:rsidRPr="005B60E5" w:rsidRDefault="005B60E5" w:rsidP="005B60E5">
      <w:pPr>
        <w:spacing w:after="240" w:line="360" w:lineRule="auto"/>
        <w:rPr>
          <w:rFonts w:eastAsia="Times New Roman" w:cstheme="minorHAnsi"/>
          <w:lang w:eastAsia="en-GB"/>
        </w:rPr>
      </w:pPr>
      <w:r w:rsidRPr="005B60E5">
        <w:rPr>
          <w:rFonts w:eastAsia="Times New Roman" w:cstheme="minorHAnsi"/>
          <w:i/>
          <w:iCs/>
          <w:lang w:eastAsia="en-GB"/>
        </w:rPr>
        <w:t xml:space="preserve">Strike: Inside the Unions </w:t>
      </w:r>
      <w:r w:rsidRPr="005B60E5">
        <w:rPr>
          <w:rFonts w:eastAsia="Times New Roman" w:cstheme="minorHAnsi"/>
          <w:lang w:eastAsia="en-GB"/>
        </w:rPr>
        <w:t>, (2023). [TV Series episode] BBC. 1 Jun. Available at: https://www.bbc.co.uk/iplayer/episode/p0fd5nkp/strike-inside-the-unions-series-1-episode-2 [Accessed 21 Jun. 2023].</w:t>
      </w:r>
    </w:p>
    <w:p w:rsidR="005B60E5" w:rsidRPr="005B60E5" w:rsidRDefault="005B60E5" w:rsidP="005B60E5">
      <w:pPr>
        <w:spacing w:after="240" w:line="360" w:lineRule="auto"/>
        <w:rPr>
          <w:rFonts w:eastAsia="Times New Roman" w:cstheme="minorHAnsi"/>
          <w:lang w:eastAsia="en-GB"/>
        </w:rPr>
      </w:pPr>
      <w:r w:rsidRPr="005B60E5">
        <w:rPr>
          <w:rFonts w:eastAsia="Times New Roman" w:cstheme="minorHAnsi"/>
          <w:i/>
          <w:iCs/>
          <w:lang w:eastAsia="en-GB"/>
        </w:rPr>
        <w:t>Strike: Inside the Unions</w:t>
      </w:r>
      <w:r w:rsidRPr="005B60E5">
        <w:rPr>
          <w:rFonts w:eastAsia="Times New Roman" w:cstheme="minorHAnsi"/>
          <w:lang w:eastAsia="en-GB"/>
        </w:rPr>
        <w:t>, (2023). [TV series episode] BBC. 25 May Available at: https://www.bbc.co.uk/iplayer/episode/p0fd5nkp/strike-inside-the-unions-series-1-episode-1 [Accessed 21 Jun. 2023].</w:t>
      </w:r>
    </w:p>
    <w:p w:rsidR="005B60E5" w:rsidRPr="005B60E5" w:rsidRDefault="005B60E5" w:rsidP="005B60E5">
      <w:pPr>
        <w:spacing w:after="240" w:line="360" w:lineRule="auto"/>
        <w:rPr>
          <w:rFonts w:eastAsia="Times New Roman" w:cstheme="minorHAnsi"/>
          <w:lang w:eastAsia="en-GB"/>
        </w:rPr>
      </w:pPr>
      <w:bookmarkStart w:id="0" w:name="_GoBack"/>
      <w:bookmarkEnd w:id="0"/>
      <w:r w:rsidRPr="005B60E5">
        <w:rPr>
          <w:rFonts w:eastAsia="Times New Roman" w:cstheme="minorHAnsi"/>
          <w:lang w:eastAsia="en-GB"/>
        </w:rPr>
        <w:t xml:space="preserve">Suff, R. (n.d.). </w:t>
      </w:r>
      <w:r w:rsidRPr="005B60E5">
        <w:rPr>
          <w:rFonts w:eastAsia="Times New Roman" w:cstheme="minorHAnsi"/>
          <w:i/>
          <w:iCs/>
          <w:lang w:eastAsia="en-GB"/>
        </w:rPr>
        <w:t>CIPD | Discipline &amp; Grievance at Work | Factsheets</w:t>
      </w:r>
      <w:r w:rsidRPr="005B60E5">
        <w:rPr>
          <w:rFonts w:eastAsia="Times New Roman" w:cstheme="minorHAnsi"/>
          <w:lang w:eastAsia="en-GB"/>
        </w:rPr>
        <w:t>. [online] CIPD. Available at: https://www.cipd.org/uk/knowledge/factsheets/discipline-factsheet/#disciplinarygrievanceprocedures [Accessed 16 Jun. 2023].</w:t>
      </w:r>
    </w:p>
    <w:p w:rsidR="005B60E5" w:rsidRPr="005B60E5" w:rsidRDefault="005B60E5" w:rsidP="005B60E5">
      <w:pPr>
        <w:spacing w:after="240" w:line="360" w:lineRule="auto"/>
        <w:rPr>
          <w:rFonts w:eastAsia="Times New Roman" w:cstheme="minorHAnsi"/>
          <w:lang w:eastAsia="en-GB"/>
        </w:rPr>
      </w:pPr>
      <w:r w:rsidRPr="005B60E5">
        <w:rPr>
          <w:rFonts w:eastAsia="Times New Roman" w:cstheme="minorHAnsi"/>
          <w:lang w:eastAsia="en-GB"/>
        </w:rPr>
        <w:t xml:space="preserve">Suff, R. (2020). </w:t>
      </w:r>
      <w:r w:rsidRPr="005B60E5">
        <w:rPr>
          <w:rFonts w:eastAsia="Times New Roman" w:cstheme="minorHAnsi"/>
          <w:i/>
          <w:iCs/>
          <w:lang w:eastAsia="en-GB"/>
        </w:rPr>
        <w:t>Managing conflict in the modern workplace REPORT |</w:t>
      </w:r>
      <w:r w:rsidRPr="005B60E5">
        <w:rPr>
          <w:rFonts w:eastAsia="Times New Roman" w:cstheme="minorHAnsi"/>
          <w:lang w:eastAsia="en-GB"/>
        </w:rPr>
        <w:t>. [online] Available at: https://www.cipd.org/globalassets/media/knowledge/knowledge-hub/reports/managing-conflict-in-the-workplace-2_tcm18-70655.pdf [Accessed 29 Jun. 2023].</w:t>
      </w:r>
    </w:p>
    <w:p w:rsidR="005B60E5" w:rsidRPr="005B60E5" w:rsidRDefault="005B60E5" w:rsidP="005B60E5">
      <w:pPr>
        <w:spacing w:after="240" w:line="360" w:lineRule="auto"/>
        <w:rPr>
          <w:rFonts w:eastAsia="Times New Roman" w:cstheme="minorHAnsi"/>
          <w:lang w:eastAsia="en-GB"/>
        </w:rPr>
      </w:pPr>
      <w:r w:rsidRPr="005B60E5">
        <w:rPr>
          <w:rFonts w:eastAsia="Times New Roman" w:cstheme="minorHAnsi"/>
          <w:lang w:eastAsia="en-GB"/>
        </w:rPr>
        <w:t xml:space="preserve">Taylor, S. and Woodhams, C. (2022). </w:t>
      </w:r>
      <w:r w:rsidRPr="005B60E5">
        <w:rPr>
          <w:rFonts w:eastAsia="Times New Roman" w:cstheme="minorHAnsi"/>
          <w:i/>
          <w:iCs/>
          <w:lang w:eastAsia="en-GB"/>
        </w:rPr>
        <w:t>Human resource management : people and organisations</w:t>
      </w:r>
      <w:r w:rsidRPr="005B60E5">
        <w:rPr>
          <w:rFonts w:eastAsia="Times New Roman" w:cstheme="minorHAnsi"/>
          <w:lang w:eastAsia="en-GB"/>
        </w:rPr>
        <w:t>. Third ed. New York, Ny: Kogan Page Inc.</w:t>
      </w:r>
    </w:p>
    <w:p w:rsidR="005B60E5" w:rsidRPr="005B60E5" w:rsidRDefault="005B60E5" w:rsidP="005B60E5">
      <w:pPr>
        <w:spacing w:after="240" w:line="360" w:lineRule="auto"/>
        <w:rPr>
          <w:rFonts w:eastAsia="Times New Roman" w:cstheme="minorHAnsi"/>
          <w:lang w:eastAsia="en-GB"/>
        </w:rPr>
      </w:pPr>
      <w:r w:rsidRPr="005B60E5">
        <w:rPr>
          <w:rFonts w:eastAsia="Times New Roman" w:cstheme="minorHAnsi"/>
          <w:i/>
          <w:iCs/>
          <w:lang w:eastAsia="en-GB"/>
        </w:rPr>
        <w:t xml:space="preserve">The Employment Rights Act </w:t>
      </w:r>
      <w:r w:rsidRPr="005B60E5">
        <w:rPr>
          <w:rFonts w:eastAsia="Times New Roman" w:cstheme="minorHAnsi"/>
          <w:lang w:eastAsia="en-GB"/>
        </w:rPr>
        <w:t>.94 &amp; 96 [online] Available at: https://www.legislation.gov.uk/ukpga/1998/42 [Accessed 26 Jun. 2023].</w:t>
      </w:r>
    </w:p>
    <w:p w:rsidR="005B60E5" w:rsidRPr="005B60E5" w:rsidRDefault="005B60E5" w:rsidP="005B60E5">
      <w:pPr>
        <w:spacing w:after="240" w:line="360" w:lineRule="auto"/>
        <w:rPr>
          <w:rFonts w:eastAsia="Times New Roman" w:cstheme="minorHAnsi"/>
          <w:lang w:eastAsia="en-GB"/>
        </w:rPr>
      </w:pPr>
      <w:r w:rsidRPr="005B60E5">
        <w:rPr>
          <w:rFonts w:eastAsia="Times New Roman" w:cstheme="minorHAnsi"/>
          <w:lang w:eastAsia="en-GB"/>
        </w:rPr>
        <w:t xml:space="preserve">Trivette, H. (2019). </w:t>
      </w:r>
      <w:r w:rsidRPr="005B60E5">
        <w:rPr>
          <w:rFonts w:eastAsia="Times New Roman" w:cstheme="minorHAnsi"/>
          <w:i/>
          <w:iCs/>
          <w:lang w:eastAsia="en-GB"/>
        </w:rPr>
        <w:t>Council Post: Using Negative Feedback To Improve Your Business</w:t>
      </w:r>
      <w:r w:rsidRPr="005B60E5">
        <w:rPr>
          <w:rFonts w:eastAsia="Times New Roman" w:cstheme="minorHAnsi"/>
          <w:lang w:eastAsia="en-GB"/>
        </w:rPr>
        <w:t>. [online] Forbes. Available at: https://www.forbes.com/sites/forbesagencycouncil/2019/10/04/using-negative-feedback-to-improve-your-business/?sh=44f112753376 [Accessed 20 May 2023].</w:t>
      </w:r>
    </w:p>
    <w:p w:rsidR="005B60E5" w:rsidRPr="005B60E5" w:rsidRDefault="005B60E5" w:rsidP="005B60E5">
      <w:pPr>
        <w:spacing w:after="240" w:line="360" w:lineRule="auto"/>
        <w:rPr>
          <w:rFonts w:eastAsia="Times New Roman" w:cstheme="minorHAnsi"/>
          <w:lang w:eastAsia="en-GB"/>
        </w:rPr>
      </w:pPr>
      <w:r w:rsidRPr="005B60E5">
        <w:rPr>
          <w:rFonts w:eastAsia="Times New Roman" w:cstheme="minorHAnsi"/>
          <w:lang w:eastAsia="en-GB"/>
        </w:rPr>
        <w:lastRenderedPageBreak/>
        <w:t xml:space="preserve">TUC (2022). </w:t>
      </w:r>
      <w:r w:rsidRPr="005B60E5">
        <w:rPr>
          <w:rFonts w:eastAsia="Times New Roman" w:cstheme="minorHAnsi"/>
          <w:i/>
          <w:iCs/>
          <w:lang w:eastAsia="en-GB"/>
        </w:rPr>
        <w:t>Collective bargaining</w:t>
      </w:r>
      <w:r w:rsidRPr="005B60E5">
        <w:rPr>
          <w:rFonts w:eastAsia="Times New Roman" w:cstheme="minorHAnsi"/>
          <w:lang w:eastAsia="en-GB"/>
        </w:rPr>
        <w:t>. [online] www.tuc.org.uk. Available at: https://www.tuc.org.uk/workplace-guidance/organising-and-bargaining/collective-bargaining [Accessed 5 Jul. 2023].</w:t>
      </w:r>
    </w:p>
    <w:p w:rsidR="005B60E5" w:rsidRPr="005B60E5" w:rsidRDefault="005B60E5" w:rsidP="005B60E5">
      <w:pPr>
        <w:spacing w:after="240" w:line="360" w:lineRule="auto"/>
        <w:rPr>
          <w:rFonts w:eastAsia="Times New Roman" w:cstheme="minorHAnsi"/>
          <w:lang w:eastAsia="en-GB"/>
        </w:rPr>
      </w:pPr>
      <w:r w:rsidRPr="005B60E5">
        <w:rPr>
          <w:rFonts w:eastAsia="Times New Roman" w:cstheme="minorHAnsi"/>
          <w:lang w:eastAsia="en-GB"/>
        </w:rPr>
        <w:t xml:space="preserve">Tucker, M.A. (2022). </w:t>
      </w:r>
      <w:r w:rsidRPr="005B60E5">
        <w:rPr>
          <w:rFonts w:eastAsia="Times New Roman" w:cstheme="minorHAnsi"/>
          <w:i/>
          <w:iCs/>
          <w:lang w:eastAsia="en-GB"/>
        </w:rPr>
        <w:t>How to Conduct a Skills Gap Analysis</w:t>
      </w:r>
      <w:r w:rsidRPr="005B60E5">
        <w:rPr>
          <w:rFonts w:eastAsia="Times New Roman" w:cstheme="minorHAnsi"/>
          <w:lang w:eastAsia="en-GB"/>
        </w:rPr>
        <w:t>. [online] SHRM. Available at: https://www.shrm.org/hr-today/news/hr-magazine/winter2022/pages/how-to-conduct-a-skills-gap-analysis.aspx [Accessed 1 Jul. 2023].</w:t>
      </w:r>
    </w:p>
    <w:p w:rsidR="005B60E5" w:rsidRPr="005B60E5" w:rsidRDefault="005B60E5" w:rsidP="005B60E5">
      <w:pPr>
        <w:spacing w:after="240" w:line="360" w:lineRule="auto"/>
        <w:rPr>
          <w:rFonts w:eastAsia="Times New Roman" w:cstheme="minorHAnsi"/>
          <w:lang w:eastAsia="en-GB"/>
        </w:rPr>
      </w:pPr>
      <w:r w:rsidRPr="005B60E5">
        <w:rPr>
          <w:rFonts w:eastAsia="Times New Roman" w:cstheme="minorHAnsi"/>
          <w:lang w:eastAsia="en-GB"/>
        </w:rPr>
        <w:t xml:space="preserve">Van Wanrooy, B., Bewley, H., Bryson, A., Forth, J., Freeth, S., Stokes, L. and Wood, S. (2011). </w:t>
      </w:r>
      <w:r w:rsidRPr="005B60E5">
        <w:rPr>
          <w:rFonts w:eastAsia="Times New Roman" w:cstheme="minorHAnsi"/>
          <w:i/>
          <w:iCs/>
          <w:lang w:eastAsia="en-GB"/>
        </w:rPr>
        <w:t>The 2011 Workplace Employment Relations Study FIRST FINDINGS</w:t>
      </w:r>
      <w:r w:rsidRPr="005B60E5">
        <w:rPr>
          <w:rFonts w:eastAsia="Times New Roman" w:cstheme="minorHAnsi"/>
          <w:lang w:eastAsia="en-GB"/>
        </w:rPr>
        <w:t>. [online] Available at: https://assets.publishing.service.gov.uk/government/uploads/system/uploads/attachment_data/file/336651/bis-14-1008-WERS-first-findings-report-fourth-edition-july-2014.pdf [Accessed 29 Jun. 2023].</w:t>
      </w:r>
    </w:p>
    <w:p w:rsidR="005B60E5" w:rsidRPr="005B60E5" w:rsidRDefault="005B60E5" w:rsidP="005B60E5">
      <w:pPr>
        <w:spacing w:after="240" w:line="360" w:lineRule="auto"/>
        <w:rPr>
          <w:rFonts w:eastAsia="Times New Roman" w:cstheme="minorHAnsi"/>
          <w:lang w:eastAsia="en-GB"/>
        </w:rPr>
      </w:pPr>
      <w:r w:rsidRPr="005B60E5">
        <w:rPr>
          <w:rFonts w:eastAsia="Times New Roman" w:cstheme="minorHAnsi"/>
          <w:lang w:eastAsia="en-GB"/>
        </w:rPr>
        <w:t xml:space="preserve">Williams, S. and Adam-Smith, D. (2010). </w:t>
      </w:r>
      <w:r w:rsidRPr="005B60E5">
        <w:rPr>
          <w:rFonts w:eastAsia="Times New Roman" w:cstheme="minorHAnsi"/>
          <w:i/>
          <w:iCs/>
          <w:lang w:eastAsia="en-GB"/>
        </w:rPr>
        <w:t>Contemporary employment relations : a critical introduction</w:t>
      </w:r>
      <w:r w:rsidRPr="005B60E5">
        <w:rPr>
          <w:rFonts w:eastAsia="Times New Roman" w:cstheme="minorHAnsi"/>
          <w:lang w:eastAsia="en-GB"/>
        </w:rPr>
        <w:t>. Oxford ; New York: Oxford University Press.</w:t>
      </w:r>
    </w:p>
    <w:p w:rsidR="005B60E5" w:rsidRPr="005B60E5" w:rsidRDefault="005B60E5" w:rsidP="005B60E5">
      <w:pPr>
        <w:spacing w:after="240" w:line="360" w:lineRule="auto"/>
        <w:rPr>
          <w:rFonts w:eastAsia="Times New Roman" w:cstheme="minorHAnsi"/>
          <w:lang w:eastAsia="en-GB"/>
        </w:rPr>
      </w:pPr>
      <w:r w:rsidRPr="005B60E5">
        <w:rPr>
          <w:rFonts w:eastAsia="Times New Roman" w:cstheme="minorHAnsi"/>
          <w:lang w:eastAsia="en-GB"/>
        </w:rPr>
        <w:t xml:space="preserve">www.indeed.com. (n.d.). </w:t>
      </w:r>
      <w:r w:rsidRPr="005B60E5">
        <w:rPr>
          <w:rFonts w:eastAsia="Times New Roman" w:cstheme="minorHAnsi"/>
          <w:i/>
          <w:iCs/>
          <w:lang w:eastAsia="en-GB"/>
        </w:rPr>
        <w:t>Recognizing Social Exchange Theory in the Workplace</w:t>
      </w:r>
      <w:r w:rsidRPr="005B60E5">
        <w:rPr>
          <w:rFonts w:eastAsia="Times New Roman" w:cstheme="minorHAnsi"/>
          <w:lang w:eastAsia="en-GB"/>
        </w:rPr>
        <w:t>. [online] Available at: https://www.indeed.com/hire/c/info/social-exchange-theory [Accessed 18 May 2023].</w:t>
      </w:r>
    </w:p>
    <w:p w:rsidR="005B60E5" w:rsidRPr="005B60E5" w:rsidRDefault="005B60E5" w:rsidP="005B60E5">
      <w:pPr>
        <w:spacing w:after="240" w:line="360" w:lineRule="auto"/>
        <w:rPr>
          <w:rFonts w:eastAsia="Times New Roman" w:cstheme="minorHAnsi"/>
          <w:lang w:eastAsia="en-GB"/>
        </w:rPr>
      </w:pPr>
      <w:r w:rsidRPr="005B60E5">
        <w:rPr>
          <w:rFonts w:eastAsia="Times New Roman" w:cstheme="minorHAnsi"/>
          <w:lang w:eastAsia="en-GB"/>
        </w:rPr>
        <w:t xml:space="preserve">Young, J. (2022). </w:t>
      </w:r>
      <w:r w:rsidRPr="005B60E5">
        <w:rPr>
          <w:rFonts w:eastAsia="Times New Roman" w:cstheme="minorHAnsi"/>
          <w:i/>
          <w:iCs/>
          <w:lang w:eastAsia="en-GB"/>
        </w:rPr>
        <w:t>CIPD | Workplace Mediation | Factsheets</w:t>
      </w:r>
      <w:r w:rsidRPr="005B60E5">
        <w:rPr>
          <w:rFonts w:eastAsia="Times New Roman" w:cstheme="minorHAnsi"/>
          <w:lang w:eastAsia="en-GB"/>
        </w:rPr>
        <w:t>. [online] CIPD. Available at: https://www.cipd.org/uk/knowledge/factsheets/mediation-factsheet/ [Accessed 15 Jun. 2023].</w:t>
      </w:r>
    </w:p>
    <w:p w:rsidR="00B57ECD" w:rsidRPr="004A1EBC" w:rsidRDefault="00B57ECD" w:rsidP="008B6EB3">
      <w:pPr>
        <w:spacing w:after="240" w:line="360" w:lineRule="auto"/>
        <w:rPr>
          <w:rFonts w:cstheme="minorHAnsi"/>
        </w:rPr>
      </w:pPr>
    </w:p>
    <w:sectPr w:rsidR="00B57ECD" w:rsidRPr="004A1EBC">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2866" w:rsidRDefault="00932866" w:rsidP="00083725">
      <w:pPr>
        <w:spacing w:after="0" w:line="240" w:lineRule="auto"/>
      </w:pPr>
      <w:r>
        <w:separator/>
      </w:r>
    </w:p>
  </w:endnote>
  <w:endnote w:type="continuationSeparator" w:id="0">
    <w:p w:rsidR="00932866" w:rsidRDefault="00932866" w:rsidP="000837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2866" w:rsidRDefault="00932866" w:rsidP="00083725">
      <w:pPr>
        <w:spacing w:after="0" w:line="240" w:lineRule="auto"/>
      </w:pPr>
      <w:r>
        <w:separator/>
      </w:r>
    </w:p>
  </w:footnote>
  <w:footnote w:type="continuationSeparator" w:id="0">
    <w:p w:rsidR="00932866" w:rsidRDefault="00932866" w:rsidP="000837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3725" w:rsidRDefault="00083725">
    <w:pPr>
      <w:pStyle w:val="Header"/>
    </w:pPr>
    <w:r>
      <w:t>Laura Parry</w:t>
    </w:r>
    <w:r>
      <w:ptab w:relativeTo="margin" w:alignment="center" w:leader="none"/>
    </w:r>
    <w:r>
      <w:t xml:space="preserve">CIPD Employment Relationship Management </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2615E"/>
    <w:multiLevelType w:val="hybridMultilevel"/>
    <w:tmpl w:val="27381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1A22F3"/>
    <w:multiLevelType w:val="hybridMultilevel"/>
    <w:tmpl w:val="056A03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50656E"/>
    <w:multiLevelType w:val="hybridMultilevel"/>
    <w:tmpl w:val="1048069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12416CD5"/>
    <w:multiLevelType w:val="hybridMultilevel"/>
    <w:tmpl w:val="55A64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25317E"/>
    <w:multiLevelType w:val="hybridMultilevel"/>
    <w:tmpl w:val="D24C41E6"/>
    <w:lvl w:ilvl="0" w:tplc="58FC34B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D9460BC"/>
    <w:multiLevelType w:val="hybridMultilevel"/>
    <w:tmpl w:val="32847028"/>
    <w:lvl w:ilvl="0" w:tplc="490E18B2">
      <w:start w:val="1"/>
      <w:numFmt w:val="decimal"/>
      <w:lvlText w:val="%1)"/>
      <w:lvlJc w:val="left"/>
      <w:pPr>
        <w:ind w:left="786" w:hanging="360"/>
      </w:pPr>
      <w:rPr>
        <w:rFonts w:asciiTheme="minorHAnsi" w:hAnsiTheme="minorHAnsi" w:cs="Arial" w:hint="default"/>
        <w:color w:val="auto"/>
        <w:sz w:val="22"/>
        <w:szCs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23E58C7"/>
    <w:multiLevelType w:val="hybridMultilevel"/>
    <w:tmpl w:val="2FCABBE0"/>
    <w:lvl w:ilvl="0" w:tplc="0224A21E">
      <w:start w:val="1"/>
      <w:numFmt w:val="bullet"/>
      <w:lvlText w:val="•"/>
      <w:lvlJc w:val="left"/>
      <w:pPr>
        <w:tabs>
          <w:tab w:val="num" w:pos="720"/>
        </w:tabs>
        <w:ind w:left="720" w:hanging="360"/>
      </w:pPr>
      <w:rPr>
        <w:rFonts w:ascii="Arial" w:hAnsi="Arial" w:hint="default"/>
      </w:rPr>
    </w:lvl>
    <w:lvl w:ilvl="1" w:tplc="D18A3BCC" w:tentative="1">
      <w:start w:val="1"/>
      <w:numFmt w:val="bullet"/>
      <w:lvlText w:val="•"/>
      <w:lvlJc w:val="left"/>
      <w:pPr>
        <w:tabs>
          <w:tab w:val="num" w:pos="1440"/>
        </w:tabs>
        <w:ind w:left="1440" w:hanging="360"/>
      </w:pPr>
      <w:rPr>
        <w:rFonts w:ascii="Arial" w:hAnsi="Arial" w:hint="default"/>
      </w:rPr>
    </w:lvl>
    <w:lvl w:ilvl="2" w:tplc="80BAD966" w:tentative="1">
      <w:start w:val="1"/>
      <w:numFmt w:val="bullet"/>
      <w:lvlText w:val="•"/>
      <w:lvlJc w:val="left"/>
      <w:pPr>
        <w:tabs>
          <w:tab w:val="num" w:pos="2160"/>
        </w:tabs>
        <w:ind w:left="2160" w:hanging="360"/>
      </w:pPr>
      <w:rPr>
        <w:rFonts w:ascii="Arial" w:hAnsi="Arial" w:hint="default"/>
      </w:rPr>
    </w:lvl>
    <w:lvl w:ilvl="3" w:tplc="CEC4DAA2" w:tentative="1">
      <w:start w:val="1"/>
      <w:numFmt w:val="bullet"/>
      <w:lvlText w:val="•"/>
      <w:lvlJc w:val="left"/>
      <w:pPr>
        <w:tabs>
          <w:tab w:val="num" w:pos="2880"/>
        </w:tabs>
        <w:ind w:left="2880" w:hanging="360"/>
      </w:pPr>
      <w:rPr>
        <w:rFonts w:ascii="Arial" w:hAnsi="Arial" w:hint="default"/>
      </w:rPr>
    </w:lvl>
    <w:lvl w:ilvl="4" w:tplc="0C02E570" w:tentative="1">
      <w:start w:val="1"/>
      <w:numFmt w:val="bullet"/>
      <w:lvlText w:val="•"/>
      <w:lvlJc w:val="left"/>
      <w:pPr>
        <w:tabs>
          <w:tab w:val="num" w:pos="3600"/>
        </w:tabs>
        <w:ind w:left="3600" w:hanging="360"/>
      </w:pPr>
      <w:rPr>
        <w:rFonts w:ascii="Arial" w:hAnsi="Arial" w:hint="default"/>
      </w:rPr>
    </w:lvl>
    <w:lvl w:ilvl="5" w:tplc="B6C4F726" w:tentative="1">
      <w:start w:val="1"/>
      <w:numFmt w:val="bullet"/>
      <w:lvlText w:val="•"/>
      <w:lvlJc w:val="left"/>
      <w:pPr>
        <w:tabs>
          <w:tab w:val="num" w:pos="4320"/>
        </w:tabs>
        <w:ind w:left="4320" w:hanging="360"/>
      </w:pPr>
      <w:rPr>
        <w:rFonts w:ascii="Arial" w:hAnsi="Arial" w:hint="default"/>
      </w:rPr>
    </w:lvl>
    <w:lvl w:ilvl="6" w:tplc="FE48940A" w:tentative="1">
      <w:start w:val="1"/>
      <w:numFmt w:val="bullet"/>
      <w:lvlText w:val="•"/>
      <w:lvlJc w:val="left"/>
      <w:pPr>
        <w:tabs>
          <w:tab w:val="num" w:pos="5040"/>
        </w:tabs>
        <w:ind w:left="5040" w:hanging="360"/>
      </w:pPr>
      <w:rPr>
        <w:rFonts w:ascii="Arial" w:hAnsi="Arial" w:hint="default"/>
      </w:rPr>
    </w:lvl>
    <w:lvl w:ilvl="7" w:tplc="D96ED004" w:tentative="1">
      <w:start w:val="1"/>
      <w:numFmt w:val="bullet"/>
      <w:lvlText w:val="•"/>
      <w:lvlJc w:val="left"/>
      <w:pPr>
        <w:tabs>
          <w:tab w:val="num" w:pos="5760"/>
        </w:tabs>
        <w:ind w:left="5760" w:hanging="360"/>
      </w:pPr>
      <w:rPr>
        <w:rFonts w:ascii="Arial" w:hAnsi="Arial" w:hint="default"/>
      </w:rPr>
    </w:lvl>
    <w:lvl w:ilvl="8" w:tplc="BFD4E2B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3CF6491"/>
    <w:multiLevelType w:val="hybridMultilevel"/>
    <w:tmpl w:val="C96A6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0E6930"/>
    <w:multiLevelType w:val="hybridMultilevel"/>
    <w:tmpl w:val="4F329014"/>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9" w15:restartNumberingAfterBreak="0">
    <w:nsid w:val="283B0F58"/>
    <w:multiLevelType w:val="hybridMultilevel"/>
    <w:tmpl w:val="9B3E1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2F17BF"/>
    <w:multiLevelType w:val="hybridMultilevel"/>
    <w:tmpl w:val="6B007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E865E8"/>
    <w:multiLevelType w:val="hybridMultilevel"/>
    <w:tmpl w:val="D96A5A50"/>
    <w:lvl w:ilvl="0" w:tplc="FDA8A38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2910113"/>
    <w:multiLevelType w:val="hybridMultilevel"/>
    <w:tmpl w:val="B9A0A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833C0B"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9267257"/>
    <w:multiLevelType w:val="hybridMultilevel"/>
    <w:tmpl w:val="89C60A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E52529F"/>
    <w:multiLevelType w:val="hybridMultilevel"/>
    <w:tmpl w:val="E662F07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4EFA15CF"/>
    <w:multiLevelType w:val="hybridMultilevel"/>
    <w:tmpl w:val="922E7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156D76"/>
    <w:multiLevelType w:val="multilevel"/>
    <w:tmpl w:val="0DFCF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52D5657"/>
    <w:multiLevelType w:val="hybridMultilevel"/>
    <w:tmpl w:val="2BD4F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9D51F6"/>
    <w:multiLevelType w:val="hybridMultilevel"/>
    <w:tmpl w:val="B99E604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757DC0"/>
    <w:multiLevelType w:val="hybridMultilevel"/>
    <w:tmpl w:val="FB48870A"/>
    <w:lvl w:ilvl="0" w:tplc="A07E7E9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67405931"/>
    <w:multiLevelType w:val="hybridMultilevel"/>
    <w:tmpl w:val="A652420C"/>
    <w:lvl w:ilvl="0" w:tplc="62CCA36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C45911"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CD3E22"/>
    <w:multiLevelType w:val="hybridMultilevel"/>
    <w:tmpl w:val="E2C65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6085E46"/>
    <w:multiLevelType w:val="hybridMultilevel"/>
    <w:tmpl w:val="C7B86C6C"/>
    <w:lvl w:ilvl="0" w:tplc="08090011">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BB762A7"/>
    <w:multiLevelType w:val="hybridMultilevel"/>
    <w:tmpl w:val="E8546968"/>
    <w:lvl w:ilvl="0" w:tplc="8A5C6852">
      <w:start w:val="1"/>
      <w:numFmt w:val="decimal"/>
      <w:lvlText w:val="%1)"/>
      <w:lvlJc w:val="left"/>
      <w:pPr>
        <w:ind w:left="643" w:hanging="360"/>
      </w:pPr>
      <w:rPr>
        <w:rFonts w:hint="default"/>
        <w:b/>
        <w:bCs/>
        <w:color w:val="833C0B"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DE5113C"/>
    <w:multiLevelType w:val="hybridMultilevel"/>
    <w:tmpl w:val="D7046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4"/>
  </w:num>
  <w:num w:numId="3">
    <w:abstractNumId w:val="22"/>
  </w:num>
  <w:num w:numId="4">
    <w:abstractNumId w:val="25"/>
  </w:num>
  <w:num w:numId="5">
    <w:abstractNumId w:val="19"/>
  </w:num>
  <w:num w:numId="6">
    <w:abstractNumId w:val="6"/>
  </w:num>
  <w:num w:numId="7">
    <w:abstractNumId w:val="1"/>
  </w:num>
  <w:num w:numId="8">
    <w:abstractNumId w:val="20"/>
  </w:num>
  <w:num w:numId="9">
    <w:abstractNumId w:val="4"/>
  </w:num>
  <w:num w:numId="10">
    <w:abstractNumId w:val="5"/>
  </w:num>
  <w:num w:numId="11">
    <w:abstractNumId w:val="26"/>
  </w:num>
  <w:num w:numId="12">
    <w:abstractNumId w:val="0"/>
  </w:num>
  <w:num w:numId="13">
    <w:abstractNumId w:val="8"/>
  </w:num>
  <w:num w:numId="14">
    <w:abstractNumId w:val="3"/>
  </w:num>
  <w:num w:numId="15">
    <w:abstractNumId w:val="17"/>
  </w:num>
  <w:num w:numId="16">
    <w:abstractNumId w:val="10"/>
  </w:num>
  <w:num w:numId="17">
    <w:abstractNumId w:val="11"/>
  </w:num>
  <w:num w:numId="18">
    <w:abstractNumId w:val="2"/>
  </w:num>
  <w:num w:numId="19">
    <w:abstractNumId w:val="15"/>
  </w:num>
  <w:num w:numId="20">
    <w:abstractNumId w:val="16"/>
  </w:num>
  <w:num w:numId="21">
    <w:abstractNumId w:val="18"/>
  </w:num>
  <w:num w:numId="22">
    <w:abstractNumId w:val="14"/>
  </w:num>
  <w:num w:numId="23">
    <w:abstractNumId w:val="9"/>
  </w:num>
  <w:num w:numId="24">
    <w:abstractNumId w:val="21"/>
  </w:num>
  <w:num w:numId="25">
    <w:abstractNumId w:val="12"/>
  </w:num>
  <w:num w:numId="26">
    <w:abstractNumId w:val="23"/>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725"/>
    <w:rsid w:val="000056F9"/>
    <w:rsid w:val="00006ACE"/>
    <w:rsid w:val="00007CA2"/>
    <w:rsid w:val="000177C6"/>
    <w:rsid w:val="00046F74"/>
    <w:rsid w:val="00061A40"/>
    <w:rsid w:val="0008091C"/>
    <w:rsid w:val="0008349F"/>
    <w:rsid w:val="00083725"/>
    <w:rsid w:val="000850B3"/>
    <w:rsid w:val="000A7402"/>
    <w:rsid w:val="000C2EFE"/>
    <w:rsid w:val="000D05CB"/>
    <w:rsid w:val="000D6F05"/>
    <w:rsid w:val="000F1A16"/>
    <w:rsid w:val="000F2A7B"/>
    <w:rsid w:val="000F3653"/>
    <w:rsid w:val="00131676"/>
    <w:rsid w:val="0015606B"/>
    <w:rsid w:val="00160AFF"/>
    <w:rsid w:val="00161123"/>
    <w:rsid w:val="001753FB"/>
    <w:rsid w:val="001829CD"/>
    <w:rsid w:val="001C1F91"/>
    <w:rsid w:val="001E63D1"/>
    <w:rsid w:val="001F1F0F"/>
    <w:rsid w:val="001F788F"/>
    <w:rsid w:val="002053B1"/>
    <w:rsid w:val="00233751"/>
    <w:rsid w:val="0024007C"/>
    <w:rsid w:val="0026656D"/>
    <w:rsid w:val="002676CC"/>
    <w:rsid w:val="00271DEE"/>
    <w:rsid w:val="00284987"/>
    <w:rsid w:val="00290B2F"/>
    <w:rsid w:val="0029135E"/>
    <w:rsid w:val="00293DE1"/>
    <w:rsid w:val="002B16A1"/>
    <w:rsid w:val="002B6364"/>
    <w:rsid w:val="002C6DEC"/>
    <w:rsid w:val="002D222F"/>
    <w:rsid w:val="002D3CEF"/>
    <w:rsid w:val="002E415B"/>
    <w:rsid w:val="002E7529"/>
    <w:rsid w:val="002F35F5"/>
    <w:rsid w:val="00305484"/>
    <w:rsid w:val="0031073F"/>
    <w:rsid w:val="00337A12"/>
    <w:rsid w:val="003527D0"/>
    <w:rsid w:val="003530B3"/>
    <w:rsid w:val="003648A2"/>
    <w:rsid w:val="00374A8C"/>
    <w:rsid w:val="0037745E"/>
    <w:rsid w:val="003956F5"/>
    <w:rsid w:val="00397A92"/>
    <w:rsid w:val="003A76F3"/>
    <w:rsid w:val="003B1E3F"/>
    <w:rsid w:val="003B249C"/>
    <w:rsid w:val="003B4B3D"/>
    <w:rsid w:val="003D6CEB"/>
    <w:rsid w:val="003E09F7"/>
    <w:rsid w:val="003E1E44"/>
    <w:rsid w:val="00413E12"/>
    <w:rsid w:val="004235E8"/>
    <w:rsid w:val="004336B9"/>
    <w:rsid w:val="00450AF8"/>
    <w:rsid w:val="00452D6C"/>
    <w:rsid w:val="004556A2"/>
    <w:rsid w:val="004723FB"/>
    <w:rsid w:val="0047267F"/>
    <w:rsid w:val="00485FA6"/>
    <w:rsid w:val="004928EB"/>
    <w:rsid w:val="004A1D36"/>
    <w:rsid w:val="004A1EBC"/>
    <w:rsid w:val="004D7100"/>
    <w:rsid w:val="004E6C2A"/>
    <w:rsid w:val="004F02C7"/>
    <w:rsid w:val="004F17BF"/>
    <w:rsid w:val="00500A4A"/>
    <w:rsid w:val="0051153A"/>
    <w:rsid w:val="005233BA"/>
    <w:rsid w:val="0053464B"/>
    <w:rsid w:val="005556D8"/>
    <w:rsid w:val="005711F8"/>
    <w:rsid w:val="00596425"/>
    <w:rsid w:val="00596C5E"/>
    <w:rsid w:val="005A0F0D"/>
    <w:rsid w:val="005B207C"/>
    <w:rsid w:val="005B3227"/>
    <w:rsid w:val="005B60E5"/>
    <w:rsid w:val="005D2817"/>
    <w:rsid w:val="005E3053"/>
    <w:rsid w:val="005F76A8"/>
    <w:rsid w:val="00603EBC"/>
    <w:rsid w:val="00634513"/>
    <w:rsid w:val="00651147"/>
    <w:rsid w:val="00661E79"/>
    <w:rsid w:val="00663303"/>
    <w:rsid w:val="006656B8"/>
    <w:rsid w:val="00667861"/>
    <w:rsid w:val="00671E4C"/>
    <w:rsid w:val="0067453D"/>
    <w:rsid w:val="00680D36"/>
    <w:rsid w:val="00683EE7"/>
    <w:rsid w:val="006908BC"/>
    <w:rsid w:val="006B33BB"/>
    <w:rsid w:val="006D16AF"/>
    <w:rsid w:val="006E2D75"/>
    <w:rsid w:val="006E6F02"/>
    <w:rsid w:val="006F21C6"/>
    <w:rsid w:val="006F5CF2"/>
    <w:rsid w:val="00705338"/>
    <w:rsid w:val="00712619"/>
    <w:rsid w:val="00714375"/>
    <w:rsid w:val="00715D83"/>
    <w:rsid w:val="0073637F"/>
    <w:rsid w:val="00745D8E"/>
    <w:rsid w:val="00746F4D"/>
    <w:rsid w:val="007716E7"/>
    <w:rsid w:val="0077198C"/>
    <w:rsid w:val="007918CE"/>
    <w:rsid w:val="007D23DA"/>
    <w:rsid w:val="007D3DC3"/>
    <w:rsid w:val="007E52A7"/>
    <w:rsid w:val="007F19CD"/>
    <w:rsid w:val="0080214C"/>
    <w:rsid w:val="00810896"/>
    <w:rsid w:val="008114AE"/>
    <w:rsid w:val="008134CF"/>
    <w:rsid w:val="008150F0"/>
    <w:rsid w:val="008210BF"/>
    <w:rsid w:val="00824082"/>
    <w:rsid w:val="00827ABA"/>
    <w:rsid w:val="00850E4C"/>
    <w:rsid w:val="00856960"/>
    <w:rsid w:val="008578C0"/>
    <w:rsid w:val="00861CC6"/>
    <w:rsid w:val="008655D8"/>
    <w:rsid w:val="00884673"/>
    <w:rsid w:val="008B5315"/>
    <w:rsid w:val="008B6EB3"/>
    <w:rsid w:val="008D6065"/>
    <w:rsid w:val="008E7C04"/>
    <w:rsid w:val="00916027"/>
    <w:rsid w:val="00932866"/>
    <w:rsid w:val="0094110D"/>
    <w:rsid w:val="00947288"/>
    <w:rsid w:val="009503A8"/>
    <w:rsid w:val="00954984"/>
    <w:rsid w:val="00960EE5"/>
    <w:rsid w:val="009658FD"/>
    <w:rsid w:val="00970BB4"/>
    <w:rsid w:val="0097655D"/>
    <w:rsid w:val="009A7ECB"/>
    <w:rsid w:val="009B32A6"/>
    <w:rsid w:val="009C17C5"/>
    <w:rsid w:val="009D4083"/>
    <w:rsid w:val="009D4321"/>
    <w:rsid w:val="009E0597"/>
    <w:rsid w:val="00A02F28"/>
    <w:rsid w:val="00A4625B"/>
    <w:rsid w:val="00A52BF5"/>
    <w:rsid w:val="00A60BBD"/>
    <w:rsid w:val="00A61168"/>
    <w:rsid w:val="00A70464"/>
    <w:rsid w:val="00A86A48"/>
    <w:rsid w:val="00AB38E8"/>
    <w:rsid w:val="00AB546E"/>
    <w:rsid w:val="00AC3D61"/>
    <w:rsid w:val="00AC6796"/>
    <w:rsid w:val="00AD280E"/>
    <w:rsid w:val="00AE68F7"/>
    <w:rsid w:val="00AF32C8"/>
    <w:rsid w:val="00B146B7"/>
    <w:rsid w:val="00B21FB7"/>
    <w:rsid w:val="00B271F9"/>
    <w:rsid w:val="00B44404"/>
    <w:rsid w:val="00B55712"/>
    <w:rsid w:val="00B57ECD"/>
    <w:rsid w:val="00B67366"/>
    <w:rsid w:val="00B712D0"/>
    <w:rsid w:val="00B7253F"/>
    <w:rsid w:val="00BA2236"/>
    <w:rsid w:val="00BA4FBC"/>
    <w:rsid w:val="00BC0149"/>
    <w:rsid w:val="00BD2A64"/>
    <w:rsid w:val="00BD3253"/>
    <w:rsid w:val="00BD453D"/>
    <w:rsid w:val="00BE3D66"/>
    <w:rsid w:val="00BF5DCF"/>
    <w:rsid w:val="00C11140"/>
    <w:rsid w:val="00C422B3"/>
    <w:rsid w:val="00C542C8"/>
    <w:rsid w:val="00C650A9"/>
    <w:rsid w:val="00C73757"/>
    <w:rsid w:val="00C83E8A"/>
    <w:rsid w:val="00C84933"/>
    <w:rsid w:val="00C90819"/>
    <w:rsid w:val="00C96410"/>
    <w:rsid w:val="00C978A1"/>
    <w:rsid w:val="00CC31CE"/>
    <w:rsid w:val="00CE595F"/>
    <w:rsid w:val="00D04F80"/>
    <w:rsid w:val="00D175B2"/>
    <w:rsid w:val="00D25805"/>
    <w:rsid w:val="00D3749D"/>
    <w:rsid w:val="00D47529"/>
    <w:rsid w:val="00D651EC"/>
    <w:rsid w:val="00D713ED"/>
    <w:rsid w:val="00D744F6"/>
    <w:rsid w:val="00D86D7D"/>
    <w:rsid w:val="00D959D5"/>
    <w:rsid w:val="00DA3836"/>
    <w:rsid w:val="00DB32AE"/>
    <w:rsid w:val="00DB5C07"/>
    <w:rsid w:val="00DC7296"/>
    <w:rsid w:val="00DE57C8"/>
    <w:rsid w:val="00DE7D28"/>
    <w:rsid w:val="00DF4505"/>
    <w:rsid w:val="00DF6A27"/>
    <w:rsid w:val="00E00083"/>
    <w:rsid w:val="00E00A64"/>
    <w:rsid w:val="00E011F4"/>
    <w:rsid w:val="00E24B7A"/>
    <w:rsid w:val="00E30998"/>
    <w:rsid w:val="00E37392"/>
    <w:rsid w:val="00E533AD"/>
    <w:rsid w:val="00E648AF"/>
    <w:rsid w:val="00E82005"/>
    <w:rsid w:val="00E92B00"/>
    <w:rsid w:val="00EC3F76"/>
    <w:rsid w:val="00EE25A0"/>
    <w:rsid w:val="00EE72EF"/>
    <w:rsid w:val="00EF1157"/>
    <w:rsid w:val="00EF47BF"/>
    <w:rsid w:val="00F469F2"/>
    <w:rsid w:val="00F472B5"/>
    <w:rsid w:val="00F517A6"/>
    <w:rsid w:val="00F5448C"/>
    <w:rsid w:val="00F54DFF"/>
    <w:rsid w:val="00F6515D"/>
    <w:rsid w:val="00F725C3"/>
    <w:rsid w:val="00FA6562"/>
    <w:rsid w:val="00FC3375"/>
    <w:rsid w:val="00FE2B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5C46135"/>
  <w15:chartTrackingRefBased/>
  <w15:docId w15:val="{F86AEC09-6A0E-49B4-B0FB-FF7B2FB18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3375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37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3725"/>
  </w:style>
  <w:style w:type="paragraph" w:styleId="Footer">
    <w:name w:val="footer"/>
    <w:basedOn w:val="Normal"/>
    <w:link w:val="FooterChar"/>
    <w:uiPriority w:val="99"/>
    <w:unhideWhenUsed/>
    <w:rsid w:val="000837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3725"/>
  </w:style>
  <w:style w:type="paragraph" w:customStyle="1" w:styleId="Nornal">
    <w:name w:val="Nornal"/>
    <w:basedOn w:val="Normal"/>
    <w:link w:val="NornalChar"/>
    <w:qFormat/>
    <w:rsid w:val="00083725"/>
    <w:pPr>
      <w:spacing w:line="264" w:lineRule="auto"/>
    </w:pPr>
    <w:rPr>
      <w:rFonts w:ascii="Arial" w:hAnsi="Arial" w:cs="Arial"/>
    </w:rPr>
  </w:style>
  <w:style w:type="character" w:customStyle="1" w:styleId="NornalChar">
    <w:name w:val="Nornal Char"/>
    <w:basedOn w:val="DefaultParagraphFont"/>
    <w:link w:val="Nornal"/>
    <w:rsid w:val="00083725"/>
    <w:rPr>
      <w:rFonts w:ascii="Arial" w:hAnsi="Arial" w:cs="Arial"/>
    </w:rPr>
  </w:style>
  <w:style w:type="paragraph" w:styleId="ListParagraph">
    <w:name w:val="List Paragraph"/>
    <w:basedOn w:val="Normal"/>
    <w:link w:val="ListParagraphChar"/>
    <w:uiPriority w:val="1"/>
    <w:qFormat/>
    <w:rsid w:val="00083725"/>
    <w:pPr>
      <w:ind w:left="720"/>
      <w:contextualSpacing/>
    </w:pPr>
  </w:style>
  <w:style w:type="paragraph" w:customStyle="1" w:styleId="Listparag">
    <w:name w:val="List parag"/>
    <w:basedOn w:val="ListParagraph"/>
    <w:link w:val="ListparagChar"/>
    <w:qFormat/>
    <w:rsid w:val="009D4083"/>
    <w:pPr>
      <w:numPr>
        <w:numId w:val="3"/>
      </w:numPr>
      <w:spacing w:after="120" w:line="264" w:lineRule="auto"/>
      <w:contextualSpacing w:val="0"/>
    </w:pPr>
    <w:rPr>
      <w:rFonts w:eastAsia="Times New Roman" w:cstheme="minorHAnsi"/>
      <w:color w:val="000000"/>
      <w:lang w:eastAsia="en-GB"/>
    </w:rPr>
  </w:style>
  <w:style w:type="character" w:customStyle="1" w:styleId="ListparagChar">
    <w:name w:val="List parag Char"/>
    <w:basedOn w:val="DefaultParagraphFont"/>
    <w:link w:val="Listparag"/>
    <w:rsid w:val="009D4083"/>
    <w:rPr>
      <w:rFonts w:eastAsia="Times New Roman" w:cstheme="minorHAnsi"/>
      <w:color w:val="000000"/>
      <w:lang w:eastAsia="en-GB"/>
    </w:rPr>
  </w:style>
  <w:style w:type="character" w:customStyle="1" w:styleId="ListParagraphChar">
    <w:name w:val="List Paragraph Char"/>
    <w:basedOn w:val="DefaultParagraphFont"/>
    <w:link w:val="ListParagraph"/>
    <w:uiPriority w:val="1"/>
    <w:rsid w:val="00B67366"/>
  </w:style>
  <w:style w:type="paragraph" w:styleId="NormalWeb">
    <w:name w:val="Normal (Web)"/>
    <w:basedOn w:val="Normal"/>
    <w:uiPriority w:val="99"/>
    <w:unhideWhenUsed/>
    <w:rsid w:val="00006A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06ACE"/>
    <w:rPr>
      <w:color w:val="0563C1" w:themeColor="hyperlink"/>
      <w:u w:val="single"/>
    </w:rPr>
  </w:style>
  <w:style w:type="character" w:styleId="Emphasis">
    <w:name w:val="Emphasis"/>
    <w:basedOn w:val="DefaultParagraphFont"/>
    <w:uiPriority w:val="20"/>
    <w:qFormat/>
    <w:rsid w:val="00305484"/>
    <w:rPr>
      <w:i/>
      <w:iCs/>
    </w:rPr>
  </w:style>
  <w:style w:type="character" w:customStyle="1" w:styleId="Heading1Char">
    <w:name w:val="Heading 1 Char"/>
    <w:basedOn w:val="DefaultParagraphFont"/>
    <w:link w:val="Heading1"/>
    <w:uiPriority w:val="9"/>
    <w:rsid w:val="00233751"/>
    <w:rPr>
      <w:rFonts w:ascii="Times New Roman" w:eastAsia="Times New Roman" w:hAnsi="Times New Roman" w:cs="Times New Roman"/>
      <w:b/>
      <w:bCs/>
      <w:kern w:val="36"/>
      <w:sz w:val="48"/>
      <w:szCs w:val="48"/>
      <w:lang w:eastAsia="en-GB"/>
    </w:rPr>
  </w:style>
  <w:style w:type="character" w:styleId="CommentReference">
    <w:name w:val="annotation reference"/>
    <w:basedOn w:val="DefaultParagraphFont"/>
    <w:uiPriority w:val="99"/>
    <w:semiHidden/>
    <w:unhideWhenUsed/>
    <w:rsid w:val="000D05CB"/>
    <w:rPr>
      <w:sz w:val="16"/>
      <w:szCs w:val="16"/>
    </w:rPr>
  </w:style>
  <w:style w:type="paragraph" w:styleId="CommentText">
    <w:name w:val="annotation text"/>
    <w:basedOn w:val="Normal"/>
    <w:link w:val="CommentTextChar"/>
    <w:uiPriority w:val="99"/>
    <w:semiHidden/>
    <w:unhideWhenUsed/>
    <w:rsid w:val="000D05CB"/>
    <w:pPr>
      <w:spacing w:line="240" w:lineRule="auto"/>
    </w:pPr>
    <w:rPr>
      <w:sz w:val="20"/>
      <w:szCs w:val="20"/>
    </w:rPr>
  </w:style>
  <w:style w:type="character" w:customStyle="1" w:styleId="CommentTextChar">
    <w:name w:val="Comment Text Char"/>
    <w:basedOn w:val="DefaultParagraphFont"/>
    <w:link w:val="CommentText"/>
    <w:uiPriority w:val="99"/>
    <w:semiHidden/>
    <w:rsid w:val="000D05CB"/>
    <w:rPr>
      <w:sz w:val="20"/>
      <w:szCs w:val="20"/>
    </w:rPr>
  </w:style>
  <w:style w:type="paragraph" w:styleId="CommentSubject">
    <w:name w:val="annotation subject"/>
    <w:basedOn w:val="CommentText"/>
    <w:next w:val="CommentText"/>
    <w:link w:val="CommentSubjectChar"/>
    <w:uiPriority w:val="99"/>
    <w:semiHidden/>
    <w:unhideWhenUsed/>
    <w:rsid w:val="000D05CB"/>
    <w:rPr>
      <w:b/>
      <w:bCs/>
    </w:rPr>
  </w:style>
  <w:style w:type="character" w:customStyle="1" w:styleId="CommentSubjectChar">
    <w:name w:val="Comment Subject Char"/>
    <w:basedOn w:val="CommentTextChar"/>
    <w:link w:val="CommentSubject"/>
    <w:uiPriority w:val="99"/>
    <w:semiHidden/>
    <w:rsid w:val="000D05CB"/>
    <w:rPr>
      <w:b/>
      <w:bCs/>
      <w:sz w:val="20"/>
      <w:szCs w:val="20"/>
    </w:rPr>
  </w:style>
  <w:style w:type="paragraph" w:styleId="BalloonText">
    <w:name w:val="Balloon Text"/>
    <w:basedOn w:val="Normal"/>
    <w:link w:val="BalloonTextChar"/>
    <w:uiPriority w:val="99"/>
    <w:semiHidden/>
    <w:unhideWhenUsed/>
    <w:rsid w:val="000D05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05C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859241">
      <w:bodyDiv w:val="1"/>
      <w:marLeft w:val="0"/>
      <w:marRight w:val="0"/>
      <w:marTop w:val="0"/>
      <w:marBottom w:val="0"/>
      <w:divBdr>
        <w:top w:val="none" w:sz="0" w:space="0" w:color="auto"/>
        <w:left w:val="none" w:sz="0" w:space="0" w:color="auto"/>
        <w:bottom w:val="none" w:sz="0" w:space="0" w:color="auto"/>
        <w:right w:val="none" w:sz="0" w:space="0" w:color="auto"/>
      </w:divBdr>
      <w:divsChild>
        <w:div w:id="1195193494">
          <w:marLeft w:val="0"/>
          <w:marRight w:val="0"/>
          <w:marTop w:val="0"/>
          <w:marBottom w:val="0"/>
          <w:divBdr>
            <w:top w:val="none" w:sz="0" w:space="0" w:color="auto"/>
            <w:left w:val="none" w:sz="0" w:space="0" w:color="auto"/>
            <w:bottom w:val="none" w:sz="0" w:space="0" w:color="auto"/>
            <w:right w:val="none" w:sz="0" w:space="0" w:color="auto"/>
          </w:divBdr>
        </w:div>
      </w:divsChild>
    </w:div>
    <w:div w:id="270362594">
      <w:bodyDiv w:val="1"/>
      <w:marLeft w:val="0"/>
      <w:marRight w:val="0"/>
      <w:marTop w:val="0"/>
      <w:marBottom w:val="0"/>
      <w:divBdr>
        <w:top w:val="none" w:sz="0" w:space="0" w:color="auto"/>
        <w:left w:val="none" w:sz="0" w:space="0" w:color="auto"/>
        <w:bottom w:val="none" w:sz="0" w:space="0" w:color="auto"/>
        <w:right w:val="none" w:sz="0" w:space="0" w:color="auto"/>
      </w:divBdr>
      <w:divsChild>
        <w:div w:id="1899389365">
          <w:marLeft w:val="0"/>
          <w:marRight w:val="0"/>
          <w:marTop w:val="0"/>
          <w:marBottom w:val="0"/>
          <w:divBdr>
            <w:top w:val="none" w:sz="0" w:space="0" w:color="auto"/>
            <w:left w:val="none" w:sz="0" w:space="0" w:color="auto"/>
            <w:bottom w:val="none" w:sz="0" w:space="0" w:color="auto"/>
            <w:right w:val="none" w:sz="0" w:space="0" w:color="auto"/>
          </w:divBdr>
        </w:div>
      </w:divsChild>
    </w:div>
    <w:div w:id="391664461">
      <w:bodyDiv w:val="1"/>
      <w:marLeft w:val="0"/>
      <w:marRight w:val="0"/>
      <w:marTop w:val="0"/>
      <w:marBottom w:val="0"/>
      <w:divBdr>
        <w:top w:val="none" w:sz="0" w:space="0" w:color="auto"/>
        <w:left w:val="none" w:sz="0" w:space="0" w:color="auto"/>
        <w:bottom w:val="none" w:sz="0" w:space="0" w:color="auto"/>
        <w:right w:val="none" w:sz="0" w:space="0" w:color="auto"/>
      </w:divBdr>
      <w:divsChild>
        <w:div w:id="1092897277">
          <w:marLeft w:val="0"/>
          <w:marRight w:val="0"/>
          <w:marTop w:val="0"/>
          <w:marBottom w:val="0"/>
          <w:divBdr>
            <w:top w:val="none" w:sz="0" w:space="0" w:color="auto"/>
            <w:left w:val="none" w:sz="0" w:space="0" w:color="auto"/>
            <w:bottom w:val="none" w:sz="0" w:space="0" w:color="auto"/>
            <w:right w:val="none" w:sz="0" w:space="0" w:color="auto"/>
          </w:divBdr>
        </w:div>
      </w:divsChild>
    </w:div>
    <w:div w:id="468324387">
      <w:bodyDiv w:val="1"/>
      <w:marLeft w:val="0"/>
      <w:marRight w:val="0"/>
      <w:marTop w:val="0"/>
      <w:marBottom w:val="0"/>
      <w:divBdr>
        <w:top w:val="none" w:sz="0" w:space="0" w:color="auto"/>
        <w:left w:val="none" w:sz="0" w:space="0" w:color="auto"/>
        <w:bottom w:val="none" w:sz="0" w:space="0" w:color="auto"/>
        <w:right w:val="none" w:sz="0" w:space="0" w:color="auto"/>
      </w:divBdr>
      <w:divsChild>
        <w:div w:id="1316953204">
          <w:marLeft w:val="0"/>
          <w:marRight w:val="0"/>
          <w:marTop w:val="0"/>
          <w:marBottom w:val="0"/>
          <w:divBdr>
            <w:top w:val="none" w:sz="0" w:space="0" w:color="auto"/>
            <w:left w:val="none" w:sz="0" w:space="0" w:color="auto"/>
            <w:bottom w:val="none" w:sz="0" w:space="0" w:color="auto"/>
            <w:right w:val="none" w:sz="0" w:space="0" w:color="auto"/>
          </w:divBdr>
        </w:div>
      </w:divsChild>
    </w:div>
    <w:div w:id="789590569">
      <w:bodyDiv w:val="1"/>
      <w:marLeft w:val="0"/>
      <w:marRight w:val="0"/>
      <w:marTop w:val="0"/>
      <w:marBottom w:val="0"/>
      <w:divBdr>
        <w:top w:val="none" w:sz="0" w:space="0" w:color="auto"/>
        <w:left w:val="none" w:sz="0" w:space="0" w:color="auto"/>
        <w:bottom w:val="none" w:sz="0" w:space="0" w:color="auto"/>
        <w:right w:val="none" w:sz="0" w:space="0" w:color="auto"/>
      </w:divBdr>
      <w:divsChild>
        <w:div w:id="116149531">
          <w:marLeft w:val="0"/>
          <w:marRight w:val="0"/>
          <w:marTop w:val="0"/>
          <w:marBottom w:val="0"/>
          <w:divBdr>
            <w:top w:val="none" w:sz="0" w:space="0" w:color="auto"/>
            <w:left w:val="none" w:sz="0" w:space="0" w:color="auto"/>
            <w:bottom w:val="none" w:sz="0" w:space="0" w:color="auto"/>
            <w:right w:val="none" w:sz="0" w:space="0" w:color="auto"/>
          </w:divBdr>
        </w:div>
      </w:divsChild>
    </w:div>
    <w:div w:id="1208571418">
      <w:bodyDiv w:val="1"/>
      <w:marLeft w:val="0"/>
      <w:marRight w:val="0"/>
      <w:marTop w:val="0"/>
      <w:marBottom w:val="0"/>
      <w:divBdr>
        <w:top w:val="none" w:sz="0" w:space="0" w:color="auto"/>
        <w:left w:val="none" w:sz="0" w:space="0" w:color="auto"/>
        <w:bottom w:val="none" w:sz="0" w:space="0" w:color="auto"/>
        <w:right w:val="none" w:sz="0" w:space="0" w:color="auto"/>
      </w:divBdr>
      <w:divsChild>
        <w:div w:id="417023760">
          <w:marLeft w:val="0"/>
          <w:marRight w:val="0"/>
          <w:marTop w:val="0"/>
          <w:marBottom w:val="0"/>
          <w:divBdr>
            <w:top w:val="none" w:sz="0" w:space="0" w:color="auto"/>
            <w:left w:val="none" w:sz="0" w:space="0" w:color="auto"/>
            <w:bottom w:val="none" w:sz="0" w:space="0" w:color="auto"/>
            <w:right w:val="none" w:sz="0" w:space="0" w:color="auto"/>
          </w:divBdr>
        </w:div>
      </w:divsChild>
    </w:div>
    <w:div w:id="1220361965">
      <w:bodyDiv w:val="1"/>
      <w:marLeft w:val="0"/>
      <w:marRight w:val="0"/>
      <w:marTop w:val="0"/>
      <w:marBottom w:val="0"/>
      <w:divBdr>
        <w:top w:val="none" w:sz="0" w:space="0" w:color="auto"/>
        <w:left w:val="none" w:sz="0" w:space="0" w:color="auto"/>
        <w:bottom w:val="none" w:sz="0" w:space="0" w:color="auto"/>
        <w:right w:val="none" w:sz="0" w:space="0" w:color="auto"/>
      </w:divBdr>
      <w:divsChild>
        <w:div w:id="400714791">
          <w:marLeft w:val="0"/>
          <w:marRight w:val="0"/>
          <w:marTop w:val="0"/>
          <w:marBottom w:val="0"/>
          <w:divBdr>
            <w:top w:val="none" w:sz="0" w:space="0" w:color="auto"/>
            <w:left w:val="none" w:sz="0" w:space="0" w:color="auto"/>
            <w:bottom w:val="none" w:sz="0" w:space="0" w:color="auto"/>
            <w:right w:val="none" w:sz="0" w:space="0" w:color="auto"/>
          </w:divBdr>
        </w:div>
      </w:divsChild>
    </w:div>
    <w:div w:id="1238133330">
      <w:bodyDiv w:val="1"/>
      <w:marLeft w:val="0"/>
      <w:marRight w:val="0"/>
      <w:marTop w:val="0"/>
      <w:marBottom w:val="0"/>
      <w:divBdr>
        <w:top w:val="none" w:sz="0" w:space="0" w:color="auto"/>
        <w:left w:val="none" w:sz="0" w:space="0" w:color="auto"/>
        <w:bottom w:val="none" w:sz="0" w:space="0" w:color="auto"/>
        <w:right w:val="none" w:sz="0" w:space="0" w:color="auto"/>
      </w:divBdr>
      <w:divsChild>
        <w:div w:id="1308167261">
          <w:marLeft w:val="0"/>
          <w:marRight w:val="0"/>
          <w:marTop w:val="0"/>
          <w:marBottom w:val="0"/>
          <w:divBdr>
            <w:top w:val="none" w:sz="0" w:space="0" w:color="auto"/>
            <w:left w:val="none" w:sz="0" w:space="0" w:color="auto"/>
            <w:bottom w:val="none" w:sz="0" w:space="0" w:color="auto"/>
            <w:right w:val="none" w:sz="0" w:space="0" w:color="auto"/>
          </w:divBdr>
        </w:div>
      </w:divsChild>
    </w:div>
    <w:div w:id="1498112574">
      <w:bodyDiv w:val="1"/>
      <w:marLeft w:val="0"/>
      <w:marRight w:val="0"/>
      <w:marTop w:val="0"/>
      <w:marBottom w:val="0"/>
      <w:divBdr>
        <w:top w:val="none" w:sz="0" w:space="0" w:color="auto"/>
        <w:left w:val="none" w:sz="0" w:space="0" w:color="auto"/>
        <w:bottom w:val="none" w:sz="0" w:space="0" w:color="auto"/>
        <w:right w:val="none" w:sz="0" w:space="0" w:color="auto"/>
      </w:divBdr>
    </w:div>
    <w:div w:id="1669820104">
      <w:bodyDiv w:val="1"/>
      <w:marLeft w:val="0"/>
      <w:marRight w:val="0"/>
      <w:marTop w:val="0"/>
      <w:marBottom w:val="0"/>
      <w:divBdr>
        <w:top w:val="none" w:sz="0" w:space="0" w:color="auto"/>
        <w:left w:val="none" w:sz="0" w:space="0" w:color="auto"/>
        <w:bottom w:val="none" w:sz="0" w:space="0" w:color="auto"/>
        <w:right w:val="none" w:sz="0" w:space="0" w:color="auto"/>
      </w:divBdr>
      <w:divsChild>
        <w:div w:id="402291943">
          <w:marLeft w:val="547"/>
          <w:marRight w:val="0"/>
          <w:marTop w:val="140"/>
          <w:marBottom w:val="0"/>
          <w:divBdr>
            <w:top w:val="none" w:sz="0" w:space="0" w:color="auto"/>
            <w:left w:val="none" w:sz="0" w:space="0" w:color="auto"/>
            <w:bottom w:val="none" w:sz="0" w:space="0" w:color="auto"/>
            <w:right w:val="none" w:sz="0" w:space="0" w:color="auto"/>
          </w:divBdr>
        </w:div>
      </w:divsChild>
    </w:div>
    <w:div w:id="1883790617">
      <w:bodyDiv w:val="1"/>
      <w:marLeft w:val="0"/>
      <w:marRight w:val="0"/>
      <w:marTop w:val="0"/>
      <w:marBottom w:val="0"/>
      <w:divBdr>
        <w:top w:val="none" w:sz="0" w:space="0" w:color="auto"/>
        <w:left w:val="none" w:sz="0" w:space="0" w:color="auto"/>
        <w:bottom w:val="none" w:sz="0" w:space="0" w:color="auto"/>
        <w:right w:val="none" w:sz="0" w:space="0" w:color="auto"/>
      </w:divBdr>
    </w:div>
    <w:div w:id="1884906017">
      <w:bodyDiv w:val="1"/>
      <w:marLeft w:val="0"/>
      <w:marRight w:val="0"/>
      <w:marTop w:val="0"/>
      <w:marBottom w:val="0"/>
      <w:divBdr>
        <w:top w:val="none" w:sz="0" w:space="0" w:color="auto"/>
        <w:left w:val="none" w:sz="0" w:space="0" w:color="auto"/>
        <w:bottom w:val="none" w:sz="0" w:space="0" w:color="auto"/>
        <w:right w:val="none" w:sz="0" w:space="0" w:color="auto"/>
      </w:divBdr>
      <w:divsChild>
        <w:div w:id="1993634633">
          <w:marLeft w:val="0"/>
          <w:marRight w:val="0"/>
          <w:marTop w:val="0"/>
          <w:marBottom w:val="0"/>
          <w:divBdr>
            <w:top w:val="none" w:sz="0" w:space="0" w:color="auto"/>
            <w:left w:val="none" w:sz="0" w:space="0" w:color="auto"/>
            <w:bottom w:val="none" w:sz="0" w:space="0" w:color="auto"/>
            <w:right w:val="none" w:sz="0" w:space="0" w:color="auto"/>
          </w:divBdr>
        </w:div>
      </w:divsChild>
    </w:div>
    <w:div w:id="1889954220">
      <w:bodyDiv w:val="1"/>
      <w:marLeft w:val="0"/>
      <w:marRight w:val="0"/>
      <w:marTop w:val="0"/>
      <w:marBottom w:val="0"/>
      <w:divBdr>
        <w:top w:val="none" w:sz="0" w:space="0" w:color="auto"/>
        <w:left w:val="none" w:sz="0" w:space="0" w:color="auto"/>
        <w:bottom w:val="none" w:sz="0" w:space="0" w:color="auto"/>
        <w:right w:val="none" w:sz="0" w:space="0" w:color="auto"/>
      </w:divBdr>
      <w:divsChild>
        <w:div w:id="1977636216">
          <w:marLeft w:val="0"/>
          <w:marRight w:val="0"/>
          <w:marTop w:val="0"/>
          <w:marBottom w:val="0"/>
          <w:divBdr>
            <w:top w:val="none" w:sz="0" w:space="0" w:color="auto"/>
            <w:left w:val="none" w:sz="0" w:space="0" w:color="auto"/>
            <w:bottom w:val="none" w:sz="0" w:space="0" w:color="auto"/>
            <w:right w:val="none" w:sz="0" w:space="0" w:color="auto"/>
          </w:divBdr>
        </w:div>
      </w:divsChild>
    </w:div>
    <w:div w:id="2022586079">
      <w:bodyDiv w:val="1"/>
      <w:marLeft w:val="0"/>
      <w:marRight w:val="0"/>
      <w:marTop w:val="0"/>
      <w:marBottom w:val="0"/>
      <w:divBdr>
        <w:top w:val="none" w:sz="0" w:space="0" w:color="auto"/>
        <w:left w:val="none" w:sz="0" w:space="0" w:color="auto"/>
        <w:bottom w:val="none" w:sz="0" w:space="0" w:color="auto"/>
        <w:right w:val="none" w:sz="0" w:space="0" w:color="auto"/>
      </w:divBdr>
      <w:divsChild>
        <w:div w:id="20619058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E05DD5-DBBF-4265-BC61-80DB0CD1C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15</Pages>
  <Words>6053</Words>
  <Characters>34504</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40477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Parry</dc:creator>
  <cp:keywords/>
  <dc:description/>
  <cp:lastModifiedBy>Laura Parry</cp:lastModifiedBy>
  <cp:revision>17</cp:revision>
  <dcterms:created xsi:type="dcterms:W3CDTF">2023-07-22T15:30:00Z</dcterms:created>
  <dcterms:modified xsi:type="dcterms:W3CDTF">2023-07-25T10:44:00Z</dcterms:modified>
</cp:coreProperties>
</file>