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Conference Proposal</w:t>
      </w:r>
    </w:p>
    <w:p>
      <w:pPr>
        <w:pStyle w:val="Body"/>
        <w:spacing w:line="360" w:lineRule="auto"/>
        <w:jc w:val="center"/>
        <w:rPr>
          <w:rFonts w:ascii="Times New Roman" w:cs="Times New Roman" w:hAnsi="Times New Roman" w:eastAsia="Times New Roman"/>
          <w:sz w:val="24"/>
          <w:szCs w:val="24"/>
        </w:rPr>
      </w:pPr>
    </w:p>
    <w:p>
      <w:pPr>
        <w:pStyle w:val="Body"/>
        <w:spacing w:line="360" w:lineRule="auto"/>
        <w:jc w:val="center"/>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en-US"/>
        </w:rPr>
        <w:t>Beneath the breast, the habitat</w:t>
      </w:r>
    </w:p>
    <w:p>
      <w:pPr>
        <w:pStyle w:val="Body"/>
        <w:spacing w:line="360" w:lineRule="auto"/>
        <w:jc w:val="center"/>
        <w:rPr>
          <w:rFonts w:ascii="Times New Roman" w:cs="Times New Roman" w:hAnsi="Times New Roman" w:eastAsia="Times New Roman"/>
          <w:sz w:val="24"/>
          <w:szCs w:val="24"/>
        </w:rPr>
      </w:pPr>
      <w:r>
        <w:rPr>
          <w:rFonts w:ascii="Times New Roman" w:hAnsi="Times New Roman"/>
          <w:sz w:val="24"/>
          <w:szCs w:val="24"/>
          <w:rtl w:val="0"/>
          <w:lang w:val="en-US"/>
        </w:rPr>
        <w:t>Susana Fabre Uribe</w:t>
      </w:r>
    </w:p>
    <w:p>
      <w:pPr>
        <w:pStyle w:val="Body"/>
        <w:spacing w:line="360" w:lineRule="auto"/>
        <w:jc w:val="center"/>
        <w:rPr>
          <w:rFonts w:ascii="Times New Roman" w:cs="Times New Roman" w:hAnsi="Times New Roman" w:eastAsia="Times New Roman"/>
          <w:sz w:val="24"/>
          <w:szCs w:val="24"/>
        </w:rPr>
      </w:pPr>
    </w:p>
    <w:p>
      <w:pPr>
        <w:pStyle w:val="Body"/>
        <w:spacing w:line="360" w:lineRule="auto"/>
        <w:jc w:val="center"/>
        <w:rPr>
          <w:rFonts w:ascii="Times New Roman" w:cs="Times New Roman" w:hAnsi="Times New Roman" w:eastAsia="Times New Roman"/>
          <w:sz w:val="24"/>
          <w:szCs w:val="24"/>
        </w:rPr>
      </w:pPr>
    </w:p>
    <w:p>
      <w:pPr>
        <w:pStyle w:val="Body"/>
        <w:spacing w:line="360" w:lineRule="auto"/>
        <w:jc w:val="center"/>
        <w:rPr>
          <w:rFonts w:ascii="Times New Roman" w:cs="Times New Roman" w:hAnsi="Times New Roman" w:eastAsia="Times New Roman"/>
          <w:sz w:val="24"/>
          <w:szCs w:val="24"/>
        </w:rPr>
      </w:pPr>
      <w:r>
        <w:rPr>
          <w:rFonts w:ascii="Times New Roman" w:hAnsi="Times New Roman" w:hint="default"/>
          <w:sz w:val="24"/>
          <w:szCs w:val="24"/>
          <w:rtl w:val="0"/>
          <w:lang w:val="en-US"/>
        </w:rPr>
        <w:t xml:space="preserve">• </w:t>
      </w:r>
      <w:r>
        <w:rPr>
          <w:rFonts w:ascii="Arial Unicode MS" w:cs="Arial Unicode MS" w:hAnsi="Arial Unicode MS" w:eastAsia="Arial Unicode MS" w:hint="default"/>
          <w:b w:val="0"/>
          <w:bCs w:val="0"/>
          <w:i w:val="0"/>
          <w:iCs w:val="0"/>
          <w:sz w:val="24"/>
          <w:szCs w:val="24"/>
          <w:rtl w:val="0"/>
          <w:lang w:val="en-US"/>
        </w:rPr>
        <w:t>❖</w:t>
      </w:r>
      <w:r>
        <w:rPr>
          <w:rFonts w:ascii="Times New Roman" w:hAnsi="Times New Roman" w:hint="default"/>
          <w:sz w:val="24"/>
          <w:szCs w:val="24"/>
          <w:rtl w:val="0"/>
          <w:lang w:val="en-US"/>
        </w:rPr>
        <w:t xml:space="preserve"> •</w:t>
      </w:r>
    </w:p>
    <w:p>
      <w:pPr>
        <w:pStyle w:val="Body"/>
        <w:spacing w:line="360" w:lineRule="auto"/>
        <w:ind w:firstLine="283"/>
        <w:jc w:val="both"/>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Breastmilk is the only food source consumed by the entire human species. According to the World Health Organization</w:t>
      </w:r>
      <w:r>
        <w:rPr>
          <w:rFonts w:ascii="Times New Roman" w:hAnsi="Times New Roman" w:hint="default"/>
          <w:sz w:val="24"/>
          <w:szCs w:val="24"/>
          <w:rtl w:val="0"/>
          <w:lang w:val="en-US"/>
        </w:rPr>
        <w:t>’</w:t>
      </w:r>
      <w:r>
        <w:rPr>
          <w:rFonts w:ascii="Times New Roman" w:hAnsi="Times New Roman"/>
          <w:sz w:val="24"/>
          <w:szCs w:val="24"/>
          <w:rtl w:val="0"/>
          <w:lang w:val="en-US"/>
        </w:rPr>
        <w:t xml:space="preserve">s (WHO) guidelines, it should constitute the exclusive food and nutrition source for all humans during the first six months of life, something which is not expected from any other kind of food. Furthermore, it is the only kind of food which is produced by the human body, but not any human body: the body of the adult female. As such, it is inscribed in the same complicated social life in which the producing bodies participate. In light of its enormous benefits, countless efforts to promote breastfeeding have been set in place. However, none target the root problem underlying the abysmally low levels of breastfeeding worldwide. </w:t>
      </w:r>
    </w:p>
    <w:p>
      <w:pPr>
        <w:pStyle w:val="Body"/>
        <w:spacing w:line="360" w:lineRule="auto"/>
        <w:ind w:firstLine="283"/>
        <w:jc w:val="both"/>
        <w:rPr>
          <w:rFonts w:ascii="Times New Roman" w:cs="Times New Roman" w:hAnsi="Times New Roman" w:eastAsia="Times New Roman"/>
          <w:sz w:val="24"/>
          <w:szCs w:val="24"/>
        </w:rPr>
      </w:pPr>
      <w:r>
        <w:rPr>
          <w:rFonts w:ascii="Times New Roman" w:hAnsi="Times New Roman"/>
          <w:sz w:val="24"/>
          <w:szCs w:val="24"/>
          <w:rtl w:val="0"/>
          <w:lang w:val="en-US"/>
        </w:rPr>
        <w:t>Problems with the food are consequences of problems with the food source. The scope of research must be amplified and deepened if we are to untangle a web of social, historical and gendered sets of relations to the female body</w:t>
      </w:r>
      <w:r>
        <w:rPr>
          <w:rFonts w:ascii="Times New Roman" w:hAnsi="Times New Roman" w:hint="default"/>
          <w:sz w:val="24"/>
          <w:szCs w:val="24"/>
          <w:rtl w:val="0"/>
          <w:lang w:val="en-US"/>
        </w:rPr>
        <w:t>—</w:t>
      </w:r>
      <w:r>
        <w:rPr>
          <w:rFonts w:ascii="Times New Roman" w:hAnsi="Times New Roman"/>
          <w:sz w:val="24"/>
          <w:szCs w:val="24"/>
          <w:rtl w:val="0"/>
          <w:lang w:val="en-US"/>
        </w:rPr>
        <w:t>in this case in the form of resource. The form of the mother</w:t>
      </w:r>
      <w:r>
        <w:rPr>
          <w:rFonts w:ascii="Times New Roman" w:hAnsi="Times New Roman" w:hint="default"/>
          <w:sz w:val="24"/>
          <w:szCs w:val="24"/>
          <w:rtl w:val="0"/>
          <w:lang w:val="en-US"/>
        </w:rPr>
        <w:t>’</w:t>
      </w:r>
      <w:r>
        <w:rPr>
          <w:rFonts w:ascii="Times New Roman" w:hAnsi="Times New Roman"/>
          <w:sz w:val="24"/>
          <w:szCs w:val="24"/>
          <w:rtl w:val="0"/>
          <w:lang w:val="en-US"/>
        </w:rPr>
        <w:t xml:space="preserve">s body in relation to its infant is that of </w:t>
      </w:r>
      <w:r>
        <w:rPr>
          <w:rFonts w:ascii="Times New Roman" w:hAnsi="Times New Roman" w:hint="default"/>
          <w:sz w:val="24"/>
          <w:szCs w:val="24"/>
          <w:rtl w:val="0"/>
          <w:lang w:val="en-US"/>
        </w:rPr>
        <w:t>‘</w:t>
      </w:r>
      <w:r>
        <w:rPr>
          <w:rFonts w:ascii="Times New Roman" w:hAnsi="Times New Roman"/>
          <w:sz w:val="24"/>
          <w:szCs w:val="24"/>
          <w:rtl w:val="0"/>
          <w:lang w:val="en-US"/>
        </w:rPr>
        <w:t>habitat</w:t>
      </w:r>
      <w:r>
        <w:rPr>
          <w:rFonts w:ascii="Times New Roman" w:hAnsi="Times New Roman" w:hint="default"/>
          <w:sz w:val="24"/>
          <w:szCs w:val="24"/>
          <w:rtl w:val="0"/>
          <w:lang w:val="en-US"/>
        </w:rPr>
        <w:t xml:space="preserve">’ </w:t>
      </w:r>
      <w:r>
        <w:rPr>
          <w:rFonts w:ascii="Times New Roman" w:hAnsi="Times New Roman"/>
          <w:sz w:val="24"/>
          <w:szCs w:val="24"/>
          <w:rtl w:val="0"/>
          <w:lang w:val="en-US"/>
        </w:rPr>
        <w:t>since it becomes the place in which it is able to function properly as human infant (</w:t>
      </w:r>
      <w:r>
        <w:rPr>
          <w:rFonts w:ascii="Times New Roman" w:hAnsi="Times New Roman"/>
          <w:sz w:val="24"/>
          <w:szCs w:val="24"/>
          <w:rtl w:val="0"/>
          <w:lang w:val="pt-PT"/>
        </w:rPr>
        <w:t>Rodrig</w:t>
      </w:r>
      <w:r>
        <w:rPr>
          <w:rFonts w:ascii="Times New Roman" w:hAnsi="Times New Roman" w:hint="default"/>
          <w:sz w:val="24"/>
          <w:szCs w:val="24"/>
          <w:rtl w:val="0"/>
          <w:lang w:val="es-ES_tradnl"/>
        </w:rPr>
        <w:t>áñ</w:t>
      </w:r>
      <w:r>
        <w:rPr>
          <w:rFonts w:ascii="Times New Roman" w:hAnsi="Times New Roman"/>
          <w:sz w:val="24"/>
          <w:szCs w:val="24"/>
          <w:rtl w:val="0"/>
        </w:rPr>
        <w:t>ez</w:t>
      </w:r>
      <w:r>
        <w:rPr>
          <w:rFonts w:ascii="Times New Roman" w:hAnsi="Times New Roman"/>
          <w:sz w:val="24"/>
          <w:szCs w:val="24"/>
          <w:rtl w:val="0"/>
          <w:lang w:val="en-US"/>
        </w:rPr>
        <w:t>). To borrow Shildrick</w:t>
      </w:r>
      <w:r>
        <w:rPr>
          <w:rFonts w:ascii="Times New Roman" w:hAnsi="Times New Roman" w:hint="default"/>
          <w:sz w:val="24"/>
          <w:szCs w:val="24"/>
          <w:rtl w:val="0"/>
          <w:lang w:val="en-US"/>
        </w:rPr>
        <w:t>’</w:t>
      </w:r>
      <w:r>
        <w:rPr>
          <w:rFonts w:ascii="Times New Roman" w:hAnsi="Times New Roman"/>
          <w:sz w:val="24"/>
          <w:szCs w:val="24"/>
          <w:rtl w:val="0"/>
          <w:lang w:val="en-US"/>
        </w:rPr>
        <w:t xml:space="preserve">s concept of </w:t>
      </w:r>
      <w:r>
        <w:rPr>
          <w:rFonts w:ascii="Times New Roman" w:hAnsi="Times New Roman" w:hint="default"/>
          <w:sz w:val="24"/>
          <w:szCs w:val="24"/>
          <w:rtl w:val="0"/>
          <w:lang w:val="en-US"/>
        </w:rPr>
        <w:t>‘</w:t>
      </w:r>
      <w:r>
        <w:rPr>
          <w:rFonts w:ascii="Times New Roman" w:hAnsi="Times New Roman"/>
          <w:sz w:val="24"/>
          <w:szCs w:val="24"/>
          <w:rtl w:val="0"/>
          <w:lang w:val="en-US"/>
        </w:rPr>
        <w:t>leaky body</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(1994), the female body </w:t>
      </w:r>
      <w:r>
        <w:rPr>
          <w:rFonts w:ascii="Times New Roman" w:hAnsi="Times New Roman"/>
          <w:i w:val="1"/>
          <w:iCs w:val="1"/>
          <w:sz w:val="24"/>
          <w:szCs w:val="24"/>
          <w:rtl w:val="0"/>
          <w:lang w:val="en-US"/>
        </w:rPr>
        <w:t>leaks</w:t>
      </w:r>
      <w:r>
        <w:rPr>
          <w:rFonts w:ascii="Times New Roman" w:hAnsi="Times New Roman"/>
          <w:sz w:val="24"/>
          <w:szCs w:val="24"/>
          <w:rtl w:val="0"/>
          <w:lang w:val="en-US"/>
        </w:rPr>
        <w:t xml:space="preserve"> fluids, but also meanings and deep-rooted dichotomies of the self and other, and particularly of culture and nature. Whereas, to this day of massive ecological crisis, nature is still seen as passive, base matter whose only agency is that of nurturing, its goods are extracted by means of reason and the technological tools of man (Merchant, 1989, 145). A similar thing can be said about women</w:t>
      </w:r>
      <w:r>
        <w:rPr>
          <w:rFonts w:ascii="Times New Roman" w:hAnsi="Times New Roman" w:hint="default"/>
          <w:sz w:val="24"/>
          <w:szCs w:val="24"/>
          <w:rtl w:val="0"/>
          <w:lang w:val="en-US"/>
        </w:rPr>
        <w:t>’</w:t>
      </w:r>
      <w:r>
        <w:rPr>
          <w:rFonts w:ascii="Times New Roman" w:hAnsi="Times New Roman"/>
          <w:sz w:val="24"/>
          <w:szCs w:val="24"/>
          <w:rtl w:val="0"/>
          <w:lang w:val="en-US"/>
        </w:rPr>
        <w:t xml:space="preserve">s bodies and reproductive powers. Conception, pregnancy, labour and breastfeeding are increasingly medicalised and forcefully tried to contain within </w:t>
      </w:r>
      <w:r>
        <w:rPr>
          <w:rFonts w:ascii="Times New Roman" w:hAnsi="Times New Roman" w:hint="default"/>
          <w:sz w:val="24"/>
          <w:szCs w:val="24"/>
          <w:rtl w:val="0"/>
          <w:lang w:val="en-US"/>
        </w:rPr>
        <w:t>‘</w:t>
      </w:r>
      <w:r>
        <w:rPr>
          <w:rFonts w:ascii="Times New Roman" w:hAnsi="Times New Roman"/>
          <w:sz w:val="24"/>
          <w:szCs w:val="24"/>
          <w:rtl w:val="0"/>
          <w:lang w:val="en-US"/>
        </w:rPr>
        <w:t>normal</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ranges. Hence, the treatment of the mothering habitat-body has become no different than the treatment of a habitat intended for use in agriculture. However, in this way, the female habitat-body, like a field, is seen and sees itself as productive, whereas the male body produces only with its mind or hands through manual labour (Mies, 2014, 53). </w:t>
      </w:r>
    </w:p>
    <w:p>
      <w:pPr>
        <w:pStyle w:val="Body"/>
        <w:spacing w:line="360" w:lineRule="auto"/>
        <w:ind w:firstLine="283"/>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Consequently, the logic behind the deep trench dividing culture from nature to can only make sense. By keeping man apart from nature, he avoids being treated (or exploited) as a resource. If, however, the dichotomy were to disappear, man would find himself at great risk of the frontiers between humanity and resources to become blurry, turning human bodies into potential resources subject to exploitation (which is the case regardless). </w:t>
      </w:r>
    </w:p>
    <w:p>
      <w:pPr>
        <w:pStyle w:val="Body"/>
        <w:spacing w:line="360" w:lineRule="auto"/>
        <w:ind w:firstLine="283"/>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departure of most western theorising has, by and large, been within the experienced male body, so, if we are indeed to embark on this project of </w:t>
      </w:r>
      <w:r>
        <w:rPr>
          <w:rFonts w:ascii="Times New Roman" w:hAnsi="Times New Roman" w:hint="default"/>
          <w:sz w:val="24"/>
          <w:szCs w:val="24"/>
          <w:rtl w:val="0"/>
          <w:lang w:val="en-US"/>
        </w:rPr>
        <w:t>‘</w:t>
      </w:r>
      <w:r>
        <w:rPr>
          <w:rFonts w:ascii="Times New Roman" w:hAnsi="Times New Roman"/>
          <w:sz w:val="24"/>
          <w:szCs w:val="24"/>
          <w:rtl w:val="0"/>
          <w:lang w:val="en-US"/>
        </w:rPr>
        <w:t>ecologising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instead of </w:t>
      </w:r>
      <w:r>
        <w:rPr>
          <w:rFonts w:ascii="Times New Roman" w:hAnsi="Times New Roman" w:hint="default"/>
          <w:sz w:val="24"/>
          <w:szCs w:val="24"/>
          <w:rtl w:val="0"/>
          <w:lang w:val="en-US"/>
        </w:rPr>
        <w:t>‘</w:t>
      </w:r>
      <w:r>
        <w:rPr>
          <w:rFonts w:ascii="Times New Roman" w:hAnsi="Times New Roman"/>
          <w:sz w:val="24"/>
          <w:szCs w:val="24"/>
          <w:rtl w:val="0"/>
          <w:lang w:val="en-US"/>
        </w:rPr>
        <w:t>modernising</w:t>
      </w:r>
      <w:r>
        <w:rPr>
          <w:rFonts w:ascii="Times New Roman" w:hAnsi="Times New Roman" w:hint="default"/>
          <w:sz w:val="24"/>
          <w:szCs w:val="24"/>
          <w:rtl w:val="0"/>
          <w:lang w:val="en-US"/>
        </w:rPr>
        <w:t xml:space="preserve">’ </w:t>
      </w:r>
      <w:r>
        <w:rPr>
          <w:rFonts w:ascii="Times New Roman" w:hAnsi="Times New Roman"/>
          <w:sz w:val="24"/>
          <w:szCs w:val="24"/>
          <w:rtl w:val="0"/>
          <w:lang w:val="en-US"/>
        </w:rPr>
        <w:t>(Latour, 2013), what better starting point than a body with the potential of experiencing itself as a productive environment? A deeper discussion into the commodified forms of the female body-habitat could have the potential of shedding much-needed light (and perhaps, bridging the gap) on whatever it is which separates (or not) nature from culture, and the potential future relations of life, as a whole.</w:t>
      </w:r>
    </w:p>
    <w:p>
      <w:pPr>
        <w:pStyle w:val="Body"/>
        <w:spacing w:line="360" w:lineRule="auto"/>
        <w:ind w:firstLine="283"/>
        <w:rPr>
          <w:rFonts w:ascii="Times New Roman" w:cs="Times New Roman" w:hAnsi="Times New Roman" w:eastAsia="Times New Roman"/>
          <w:sz w:val="24"/>
          <w:szCs w:val="24"/>
        </w:rPr>
      </w:pPr>
    </w:p>
    <w:p>
      <w:pPr>
        <w:pStyle w:val="Body"/>
        <w:spacing w:line="360" w:lineRule="auto"/>
        <w:ind w:firstLine="283"/>
      </w:pPr>
      <w:r>
        <w:rPr>
          <w:rFonts w:ascii="Arial Unicode MS" w:cs="Arial Unicode MS" w:hAnsi="Arial Unicode MS" w:eastAsia="Arial Unicode MS"/>
          <w:b w:val="0"/>
          <w:bCs w:val="0"/>
          <w:i w:val="0"/>
          <w:iCs w:val="0"/>
          <w:sz w:val="24"/>
          <w:szCs w:val="24"/>
        </w:rPr>
        <w:br w:type="page"/>
      </w: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References</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Merchant, C. 1989, </w:t>
      </w:r>
      <w:r>
        <w:rPr>
          <w:rFonts w:ascii="Times New Roman" w:hAnsi="Times New Roman"/>
          <w:i w:val="1"/>
          <w:iCs w:val="1"/>
          <w:sz w:val="24"/>
          <w:szCs w:val="24"/>
          <w:rtl w:val="0"/>
          <w:lang w:val="en-US"/>
        </w:rPr>
        <w:t xml:space="preserve">The Death of Nature. Women, Ecology and the Scientific Revolution. </w:t>
      </w:r>
      <w:r>
        <w:rPr>
          <w:rFonts w:ascii="Times New Roman" w:hAnsi="Times New Roman"/>
          <w:sz w:val="24"/>
          <w:szCs w:val="24"/>
          <w:rtl w:val="0"/>
          <w:lang w:val="en-US"/>
        </w:rPr>
        <w:t>New York: Harper Collins</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Mies, M.</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2014</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 xml:space="preserve">Patriarchy and Accumulation on a World Scale. Women in the International Division of Labour. </w:t>
      </w:r>
      <w:r>
        <w:rPr>
          <w:rFonts w:ascii="Times New Roman" w:hAnsi="Times New Roman"/>
          <w:sz w:val="24"/>
          <w:szCs w:val="24"/>
          <w:u w:color="000000"/>
          <w:rtl w:val="0"/>
          <w:lang w:val="en-US"/>
        </w:rPr>
        <w:t>3rd ed. London: Zed Books Ltd</w:t>
      </w:r>
    </w:p>
    <w:p>
      <w:pPr>
        <w:pStyle w:val="Body"/>
        <w:spacing w:line="360" w:lineRule="auto"/>
        <w:rPr>
          <w:rFonts w:ascii="Times New Roman" w:cs="Times New Roman" w:hAnsi="Times New Roman" w:eastAsia="Times New Roman"/>
          <w:sz w:val="24"/>
          <w:szCs w:val="24"/>
        </w:rPr>
      </w:pPr>
    </w:p>
    <w:p>
      <w:pPr>
        <w:pStyle w:val="Body"/>
        <w:spacing w:line="360" w:lineRule="auto"/>
        <w:rPr>
          <w:rFonts w:ascii="Times New Roman" w:cs="Times New Roman" w:hAnsi="Times New Roman" w:eastAsia="Times New Roman"/>
          <w:sz w:val="24"/>
          <w:szCs w:val="24"/>
        </w:rPr>
      </w:pPr>
      <w:r>
        <w:rPr>
          <w:rFonts w:ascii="Times New Roman" w:hAnsi="Times New Roman"/>
          <w:sz w:val="24"/>
          <w:szCs w:val="24"/>
          <w:rtl w:val="0"/>
          <w:lang w:val="en-US"/>
        </w:rPr>
        <w:t xml:space="preserve">Latour, B. 2013, </w:t>
      </w:r>
      <w:r>
        <w:rPr>
          <w:rFonts w:ascii="Times New Roman" w:hAnsi="Times New Roman"/>
          <w:i w:val="1"/>
          <w:iCs w:val="1"/>
          <w:sz w:val="24"/>
          <w:szCs w:val="24"/>
          <w:rtl w:val="0"/>
          <w:lang w:val="en-US"/>
        </w:rPr>
        <w:t xml:space="preserve">An Inquiry into Modes of Existence. An Anthropology of the Moderns. </w:t>
      </w:r>
      <w:r>
        <w:rPr>
          <w:rFonts w:ascii="Times New Roman" w:hAnsi="Times New Roman"/>
          <w:sz w:val="24"/>
          <w:szCs w:val="24"/>
          <w:rtl w:val="0"/>
          <w:lang w:val="en-US"/>
        </w:rPr>
        <w:t>[online] London: Harvard University Press. Available at: &lt;</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"https://ecomig2014.files.wordpress.com/2014/08/178919402-latour-bruno-an-inquiry-into-modes-of-existence-an-anthropology-of-the-moderns-pdf.pdf"</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https://ecomig2014.files.wordpress.com/2014/08/178919402-latour-bruno-an-inquiry-into-modes-of-existence-an-anthropology-of-the-moderns-pdf.pdf</w:t>
      </w:r>
      <w:r>
        <w:rPr>
          <w:rFonts w:ascii="Times New Roman" w:cs="Times New Roman" w:hAnsi="Times New Roman" w:eastAsia="Times New Roman"/>
          <w:sz w:val="24"/>
          <w:szCs w:val="24"/>
        </w:rPr>
        <w:fldChar w:fldCharType="end" w:fldLock="0"/>
      </w:r>
      <w:r>
        <w:rPr>
          <w:rFonts w:ascii="Times New Roman" w:hAnsi="Times New Roman"/>
          <w:sz w:val="24"/>
          <w:szCs w:val="24"/>
          <w:rtl w:val="0"/>
          <w:lang w:val="en-US"/>
        </w:rPr>
        <w:t>&gt; [Accessed 13 Jan 2019]</w:t>
      </w:r>
    </w:p>
    <w:p>
      <w:pPr>
        <w:pStyle w:val="Body"/>
        <w:spacing w:line="360" w:lineRule="auto"/>
        <w:rPr>
          <w:rFonts w:ascii="Times New Roman" w:cs="Times New Roman" w:hAnsi="Times New Roman" w:eastAsia="Times New Roman"/>
          <w:sz w:val="24"/>
          <w:szCs w:val="24"/>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Rodrig</w:t>
      </w:r>
      <w:r>
        <w:rPr>
          <w:rFonts w:ascii="Times New Roman" w:hAnsi="Times New Roman" w:hint="default"/>
          <w:sz w:val="24"/>
          <w:szCs w:val="24"/>
          <w:u w:color="000000"/>
          <w:rtl w:val="0"/>
          <w:lang w:val="en-US"/>
        </w:rPr>
        <w:t>áñ</w:t>
      </w:r>
      <w:r>
        <w:rPr>
          <w:rFonts w:ascii="Times New Roman" w:hAnsi="Times New Roman"/>
          <w:sz w:val="24"/>
          <w:szCs w:val="24"/>
          <w:u w:color="000000"/>
          <w:rtl w:val="0"/>
          <w:lang w:val="en-US"/>
        </w:rPr>
        <w:t>ez</w:t>
      </w:r>
      <w:r>
        <w:rPr>
          <w:rFonts w:ascii="Times New Roman" w:hAnsi="Times New Roman"/>
          <w:sz w:val="24"/>
          <w:szCs w:val="24"/>
          <w:u w:color="000000"/>
          <w:rtl w:val="0"/>
          <w:lang w:val="en-US"/>
        </w:rPr>
        <w:t xml:space="preserve">, C., 2014, </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La socializaci</w:t>
      </w:r>
      <w:r>
        <w:rPr>
          <w:rFonts w:ascii="Times New Roman" w:hAnsi="Times New Roman" w:hint="default"/>
          <w:i w:val="1"/>
          <w:iCs w:val="1"/>
          <w:sz w:val="24"/>
          <w:szCs w:val="24"/>
          <w:u w:color="000000"/>
          <w:rtl w:val="0"/>
          <w:lang w:val="en-US"/>
        </w:rPr>
        <w:t>ó</w:t>
      </w:r>
      <w:r>
        <w:rPr>
          <w:rFonts w:ascii="Times New Roman" w:hAnsi="Times New Roman"/>
          <w:i w:val="1"/>
          <w:iCs w:val="1"/>
          <w:sz w:val="24"/>
          <w:szCs w:val="24"/>
          <w:u w:color="000000"/>
          <w:rtl w:val="0"/>
          <w:lang w:val="en-US"/>
        </w:rPr>
        <w:t>n bajo la presi</w:t>
      </w:r>
      <w:r>
        <w:rPr>
          <w:rFonts w:ascii="Times New Roman" w:hAnsi="Times New Roman" w:hint="default"/>
          <w:i w:val="1"/>
          <w:iCs w:val="1"/>
          <w:sz w:val="24"/>
          <w:szCs w:val="24"/>
          <w:u w:color="000000"/>
          <w:rtl w:val="0"/>
          <w:lang w:val="en-US"/>
        </w:rPr>
        <w:t>ó</w:t>
      </w:r>
      <w:r>
        <w:rPr>
          <w:rFonts w:ascii="Times New Roman" w:hAnsi="Times New Roman"/>
          <w:i w:val="1"/>
          <w:iCs w:val="1"/>
          <w:sz w:val="24"/>
          <w:szCs w:val="24"/>
          <w:u w:color="000000"/>
          <w:rtl w:val="0"/>
          <w:lang w:val="en-US"/>
        </w:rPr>
        <w:t>n del tab</w:t>
      </w:r>
      <w:r>
        <w:rPr>
          <w:rFonts w:ascii="Times New Roman" w:hAnsi="Times New Roman" w:hint="default"/>
          <w:i w:val="1"/>
          <w:iCs w:val="1"/>
          <w:sz w:val="24"/>
          <w:szCs w:val="24"/>
          <w:u w:color="000000"/>
          <w:rtl w:val="0"/>
          <w:lang w:val="en-US"/>
        </w:rPr>
        <w:t xml:space="preserve">ú </w:t>
      </w:r>
      <w:r>
        <w:rPr>
          <w:rFonts w:ascii="Times New Roman" w:hAnsi="Times New Roman"/>
          <w:i w:val="1"/>
          <w:iCs w:val="1"/>
          <w:sz w:val="24"/>
          <w:szCs w:val="24"/>
          <w:u w:color="000000"/>
          <w:rtl w:val="0"/>
          <w:lang w:val="en-US"/>
        </w:rPr>
        <w:t>del sexo y las relaciones de dominaci</w:t>
      </w:r>
      <w:r>
        <w:rPr>
          <w:rFonts w:ascii="Times New Roman" w:hAnsi="Times New Roman" w:hint="default"/>
          <w:i w:val="1"/>
          <w:iCs w:val="1"/>
          <w:sz w:val="24"/>
          <w:szCs w:val="24"/>
          <w:u w:color="000000"/>
          <w:rtl w:val="0"/>
          <w:lang w:val="en-US"/>
        </w:rPr>
        <w:t>ó</w:t>
      </w:r>
      <w:r>
        <w:rPr>
          <w:rFonts w:ascii="Times New Roman" w:hAnsi="Times New Roman"/>
          <w:i w:val="1"/>
          <w:iCs w:val="1"/>
          <w:sz w:val="24"/>
          <w:szCs w:val="24"/>
          <w:u w:color="000000"/>
          <w:rtl w:val="0"/>
          <w:lang w:val="en-US"/>
        </w:rPr>
        <w:t>n</w:t>
      </w:r>
      <w:r>
        <w:rPr>
          <w:rFonts w:ascii="Times New Roman" w:hAnsi="Times New Roman"/>
          <w:i w:val="1"/>
          <w:iCs w:val="1"/>
          <w:sz w:val="24"/>
          <w:szCs w:val="24"/>
          <w:u w:color="000000"/>
          <w:rtl w:val="0"/>
          <w:lang w:val="en-US"/>
        </w:rPr>
        <w:t>. Leche materna humana: el h</w:t>
      </w:r>
      <w:r>
        <w:rPr>
          <w:rFonts w:ascii="Times New Roman" w:hAnsi="Times New Roman" w:hint="default"/>
          <w:i w:val="1"/>
          <w:iCs w:val="1"/>
          <w:sz w:val="24"/>
          <w:szCs w:val="24"/>
          <w:u w:color="000000"/>
          <w:rtl w:val="0"/>
          <w:lang w:val="en-US"/>
        </w:rPr>
        <w:t>á</w:t>
      </w:r>
      <w:r>
        <w:rPr>
          <w:rFonts w:ascii="Times New Roman" w:hAnsi="Times New Roman"/>
          <w:i w:val="1"/>
          <w:iCs w:val="1"/>
          <w:sz w:val="24"/>
          <w:szCs w:val="24"/>
          <w:u w:color="000000"/>
          <w:rtl w:val="0"/>
          <w:lang w:val="en-US"/>
        </w:rPr>
        <w:t>bitat</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Available at &lt;</w:t>
      </w:r>
      <w:r>
        <w:rPr>
          <w:rStyle w:val="Hyperlink.1"/>
          <w:rFonts w:ascii="Times New Roman" w:cs="Times New Roman" w:hAnsi="Times New Roman" w:eastAsia="Times New Roman"/>
          <w:sz w:val="24"/>
          <w:szCs w:val="24"/>
          <w:u w:color="0000ff"/>
          <w:rtl w:val="0"/>
          <w:lang w:val="en-US"/>
        </w:rPr>
        <w:fldChar w:fldCharType="begin" w:fldLock="0"/>
      </w:r>
      <w:r>
        <w:rPr>
          <w:rStyle w:val="Hyperlink.1"/>
          <w:rFonts w:ascii="Times New Roman" w:cs="Times New Roman" w:hAnsi="Times New Roman" w:eastAsia="Times New Roman"/>
          <w:sz w:val="24"/>
          <w:szCs w:val="24"/>
          <w:u w:color="0000ff"/>
          <w:rtl w:val="0"/>
          <w:lang w:val="en-US"/>
        </w:rPr>
        <w:instrText xml:space="preserve"> HYPERLINK "https://www.youtube.com/watch?v=PUTg7QdN-NA"</w:instrText>
      </w:r>
      <w:r>
        <w:rPr>
          <w:rStyle w:val="Hyperlink.1"/>
          <w:rFonts w:ascii="Times New Roman" w:cs="Times New Roman" w:hAnsi="Times New Roman" w:eastAsia="Times New Roman"/>
          <w:sz w:val="24"/>
          <w:szCs w:val="24"/>
          <w:u w:color="0000ff"/>
          <w:rtl w:val="0"/>
          <w:lang w:val="en-US"/>
        </w:rPr>
        <w:fldChar w:fldCharType="separate" w:fldLock="0"/>
      </w:r>
      <w:r>
        <w:rPr>
          <w:rStyle w:val="Hyperlink.1"/>
          <w:rFonts w:ascii="Times New Roman" w:hAnsi="Times New Roman"/>
          <w:sz w:val="24"/>
          <w:szCs w:val="24"/>
          <w:u w:color="0000ff"/>
          <w:rtl w:val="0"/>
          <w:lang w:val="en-US"/>
        </w:rPr>
        <w:t>https://www.youtube.com/watch?v=PUTg7QdN-NA</w:t>
      </w:r>
      <w:r>
        <w:rPr>
          <w:rFonts w:ascii="Times New Roman" w:cs="Times New Roman" w:hAnsi="Times New Roman" w:eastAsia="Times New Roman"/>
          <w:sz w:val="24"/>
          <w:szCs w:val="24"/>
          <w:u w:color="000000"/>
          <w:rtl w:val="0"/>
          <w:lang w:val="en-US"/>
        </w:rPr>
        <w:fldChar w:fldCharType="end" w:fldLock="0"/>
      </w:r>
      <w:r>
        <w:rPr>
          <w:rFonts w:ascii="Times New Roman" w:hAnsi="Times New Roman"/>
          <w:sz w:val="24"/>
          <w:szCs w:val="24"/>
          <w:u w:color="000000"/>
          <w:rtl w:val="0"/>
          <w:lang w:val="en-US"/>
        </w:rPr>
        <w:t>&gt; [Accessed 11 Jan 2019]</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Shildrick, </w:t>
      </w:r>
      <w:r>
        <w:rPr>
          <w:rFonts w:ascii="Times New Roman" w:hAnsi="Times New Roman"/>
          <w:sz w:val="24"/>
          <w:szCs w:val="24"/>
          <w:u w:color="000000"/>
          <w:rtl w:val="0"/>
          <w:lang w:val="en-US"/>
        </w:rPr>
        <w:t>M.,</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1</w:t>
      </w:r>
      <w:r>
        <w:rPr>
          <w:rFonts w:ascii="Times New Roman" w:hAnsi="Times New Roman"/>
          <w:sz w:val="24"/>
          <w:szCs w:val="24"/>
          <w:u w:color="000000"/>
          <w:rtl w:val="0"/>
          <w:lang w:val="en-US"/>
        </w:rPr>
        <w:t>994</w:t>
      </w:r>
      <w:r>
        <w:rPr>
          <w:rFonts w:ascii="Times New Roman" w:hAnsi="Times New Roman"/>
          <w:sz w:val="24"/>
          <w:szCs w:val="24"/>
          <w:u w:color="000000"/>
          <w:rtl w:val="0"/>
          <w:lang w:val="en-US"/>
        </w:rPr>
        <w:t>,</w:t>
      </w:r>
      <w:r>
        <w:rPr>
          <w:rFonts w:ascii="Times New Roman" w:hAnsi="Times New Roman"/>
          <w:sz w:val="24"/>
          <w:szCs w:val="24"/>
          <w:u w:color="000000"/>
          <w:rtl w:val="0"/>
          <w:lang w:val="en-US"/>
        </w:rPr>
        <w:t xml:space="preserve"> </w:t>
      </w:r>
      <w:r>
        <w:rPr>
          <w:rFonts w:ascii="Times New Roman" w:hAnsi="Times New Roman"/>
          <w:i w:val="1"/>
          <w:iCs w:val="1"/>
          <w:sz w:val="24"/>
          <w:szCs w:val="24"/>
          <w:u w:color="000000"/>
          <w:rtl w:val="0"/>
          <w:lang w:val="en-US"/>
        </w:rPr>
        <w:t>Leaky bodies and boundaries: feminism, deconstruction and bioethics.</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 xml:space="preserve">[online] </w:t>
      </w:r>
      <w:r>
        <w:rPr>
          <w:rFonts w:ascii="Times New Roman" w:hAnsi="Times New Roman"/>
          <w:sz w:val="24"/>
          <w:szCs w:val="24"/>
          <w:u w:color="000000"/>
          <w:rtl w:val="0"/>
          <w:lang w:val="en-US"/>
        </w:rPr>
        <w:t>PhD thesis, University of Warwick.</w:t>
      </w:r>
      <w:r>
        <w:rPr>
          <w:rFonts w:ascii="Times New Roman" w:hAnsi="Times New Roman"/>
          <w:sz w:val="24"/>
          <w:szCs w:val="24"/>
          <w:u w:color="000000"/>
          <w:rtl w:val="0"/>
          <w:lang w:val="en-US"/>
        </w:rPr>
        <w:t xml:space="preserve"> Available at</w:t>
      </w:r>
      <w:r>
        <w:rPr>
          <w:rFonts w:ascii="Times New Roman" w:hAnsi="Times New Roman"/>
          <w:sz w:val="24"/>
          <w:szCs w:val="24"/>
          <w:u w:color="000000"/>
          <w:rtl w:val="0"/>
          <w:lang w:val="en-US"/>
        </w:rPr>
        <w:t xml:space="preserve"> </w:t>
      </w:r>
      <w:r>
        <w:rPr>
          <w:rFonts w:ascii="Times New Roman" w:hAnsi="Times New Roman"/>
          <w:sz w:val="24"/>
          <w:szCs w:val="24"/>
          <w:u w:color="000000"/>
          <w:rtl w:val="0"/>
          <w:lang w:val="en-US"/>
        </w:rPr>
        <w:t>&lt;</w:t>
      </w:r>
      <w:r>
        <w:rPr>
          <w:rStyle w:val="Hyperlink.2"/>
          <w:rFonts w:ascii="Times New Roman" w:cs="Times New Roman" w:hAnsi="Times New Roman" w:eastAsia="Times New Roman"/>
          <w:sz w:val="24"/>
          <w:szCs w:val="24"/>
          <w:u w:color="000000"/>
          <w:rtl w:val="0"/>
          <w:lang w:val="en-US"/>
        </w:rPr>
        <w:fldChar w:fldCharType="begin" w:fldLock="0"/>
      </w:r>
      <w:r>
        <w:rPr>
          <w:rStyle w:val="Hyperlink.2"/>
          <w:rFonts w:ascii="Times New Roman" w:cs="Times New Roman" w:hAnsi="Times New Roman" w:eastAsia="Times New Roman"/>
          <w:sz w:val="24"/>
          <w:szCs w:val="24"/>
          <w:u w:color="000000"/>
          <w:rtl w:val="0"/>
          <w:lang w:val="en-US"/>
        </w:rPr>
        <w:instrText xml:space="preserve"> HYPERLINK "http://go.warwick.ac.uk/wrap/36102"</w:instrText>
      </w:r>
      <w:r>
        <w:rPr>
          <w:rStyle w:val="Hyperlink.2"/>
          <w:rFonts w:ascii="Times New Roman" w:cs="Times New Roman" w:hAnsi="Times New Roman" w:eastAsia="Times New Roman"/>
          <w:sz w:val="24"/>
          <w:szCs w:val="24"/>
          <w:u w:color="000000"/>
          <w:rtl w:val="0"/>
          <w:lang w:val="en-US"/>
        </w:rPr>
        <w:fldChar w:fldCharType="separate" w:fldLock="0"/>
      </w:r>
      <w:r>
        <w:rPr>
          <w:rStyle w:val="Hyperlink.2"/>
          <w:rFonts w:ascii="Times New Roman" w:hAnsi="Times New Roman"/>
          <w:sz w:val="24"/>
          <w:szCs w:val="24"/>
          <w:u w:color="000000"/>
          <w:rtl w:val="0"/>
          <w:lang w:val="en-US"/>
        </w:rPr>
        <w:t>http://go.warwick.ac.uk/wrap/36102</w:t>
      </w:r>
      <w:r>
        <w:rPr>
          <w:rFonts w:ascii="Times New Roman" w:cs="Times New Roman" w:hAnsi="Times New Roman" w:eastAsia="Times New Roman"/>
          <w:sz w:val="24"/>
          <w:szCs w:val="24"/>
          <w:u w:color="000000"/>
          <w:rtl w:val="0"/>
          <w:lang w:val="en-US"/>
        </w:rPr>
        <w:fldChar w:fldCharType="end" w:fldLock="0"/>
      </w:r>
      <w:r>
        <w:rPr>
          <w:rFonts w:ascii="Times New Roman" w:hAnsi="Times New Roman"/>
          <w:sz w:val="24"/>
          <w:szCs w:val="24"/>
          <w:u w:color="000000"/>
          <w:rtl w:val="0"/>
          <w:lang w:val="en-US"/>
        </w:rPr>
        <w:t>&gt; [Accessed 10 Jan 2019]</w:t>
      </w:r>
    </w:p>
    <w:p>
      <w:pPr>
        <w:pStyle w:val="Default"/>
        <w:bidi w:val="0"/>
        <w:spacing w:line="360" w:lineRule="auto"/>
        <w:ind w:left="0" w:right="0" w:firstLine="0"/>
        <w:jc w:val="left"/>
        <w:rPr>
          <w:rFonts w:ascii="Times New Roman" w:cs="Times New Roman" w:hAnsi="Times New Roman" w:eastAsia="Times New Roman"/>
          <w:sz w:val="24"/>
          <w:szCs w:val="24"/>
          <w:u w:color="000000"/>
          <w:rtl w:val="0"/>
          <w:lang w:val="en-US"/>
        </w:rPr>
      </w:pPr>
    </w:p>
    <w:p>
      <w:pPr>
        <w:pStyle w:val="Default"/>
        <w:bidi w:val="0"/>
        <w:spacing w:line="360" w:lineRule="auto"/>
        <w:ind w:left="0" w:right="0" w:firstLine="0"/>
        <w:jc w:val="left"/>
        <w:rPr>
          <w:rtl w:val="0"/>
        </w:rPr>
      </w:pPr>
      <w:r>
        <w:rPr>
          <w:rFonts w:ascii="Times New Roman" w:hAnsi="Times New Roman"/>
          <w:sz w:val="24"/>
          <w:szCs w:val="24"/>
          <w:u w:color="000000"/>
          <w:rtl w:val="0"/>
          <w:lang w:val="en-US"/>
        </w:rPr>
        <w:t xml:space="preserve">World Health Organization, </w:t>
      </w:r>
      <w:r>
        <w:rPr>
          <w:rStyle w:val="None"/>
          <w:rFonts w:ascii="Times New Roman" w:hAnsi="Times New Roman"/>
          <w:i w:val="1"/>
          <w:iCs w:val="1"/>
          <w:sz w:val="24"/>
          <w:szCs w:val="24"/>
          <w:u w:color="000000"/>
          <w:rtl w:val="0"/>
          <w:lang w:val="en-US"/>
        </w:rPr>
        <w:t>Breastfeeding,</w:t>
      </w:r>
      <w:r>
        <w:rPr>
          <w:rFonts w:ascii="Times New Roman" w:hAnsi="Times New Roman"/>
          <w:sz w:val="24"/>
          <w:szCs w:val="24"/>
          <w:u w:color="000000"/>
          <w:rtl w:val="0"/>
          <w:lang w:val="en-US"/>
        </w:rPr>
        <w:t xml:space="preserve"> [online] Available at: &lt;</w:t>
      </w:r>
      <w:r>
        <w:rPr>
          <w:rFonts w:ascii="Times New Roman" w:hAnsi="Times New Roman"/>
          <w:sz w:val="24"/>
          <w:szCs w:val="24"/>
          <w:u w:color="000000"/>
          <w:rtl w:val="0"/>
          <w:lang w:val="en-US"/>
        </w:rPr>
        <w:t>https://www.who.int/nutrition/topics/exclusive_breastfeeding/en/</w:t>
      </w:r>
      <w:r>
        <w:rPr>
          <w:rFonts w:ascii="Times New Roman" w:hAnsi="Times New Roman"/>
          <w:sz w:val="24"/>
          <w:szCs w:val="24"/>
          <w:u w:color="000000"/>
          <w:rtl w:val="0"/>
          <w:lang w:val="en-US"/>
        </w:rPr>
        <w:t>&gt; [Accessed 12 Jan 2012]</w:t>
      </w:r>
    </w:p>
    <w:sectPr>
      <w:headerReference w:type="default" r:id="rId4"/>
      <w:footerReference w:type="default" r:id="rId5"/>
      <w:pgSz w:w="11906" w:h="16838" w:orient="portrait"/>
      <w:pgMar w:top="1797" w:right="2160" w:bottom="1800" w:left="2160"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 w:type="character" w:styleId="Hyperlink.1">
    <w:name w:val="Hyperlink.1"/>
    <w:basedOn w:val="Hyperlink.0"/>
    <w:next w:val="Hyperlink.1"/>
    <w:rPr>
      <w:u w:color="0000ff"/>
    </w:rPr>
  </w:style>
  <w:style w:type="character" w:styleId="None">
    <w:name w:val="None"/>
  </w:style>
  <w:style w:type="character" w:styleId="Hyperlink.2">
    <w:name w:val="Hyperlink.2"/>
    <w:basedOn w:val="None"/>
    <w:next w:val="Hyperlink.2"/>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