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83970046"/>
        <w:docPartObj>
          <w:docPartGallery w:val="Cover Pages"/>
          <w:docPartUnique/>
        </w:docPartObj>
      </w:sdtPr>
      <w:sdtEndPr>
        <w:rPr>
          <w:rFonts w:ascii="Arial" w:hAnsi="Arial" w:cs="Arial"/>
          <w:b/>
          <w:bCs/>
          <w:color w:val="000000" w:themeColor="text1"/>
        </w:rPr>
      </w:sdtEndPr>
      <w:sdtContent>
        <w:p w14:paraId="22C7A794" w14:textId="7F03D30C" w:rsidR="006D7867" w:rsidRPr="006D7867" w:rsidRDefault="006D7867" w:rsidP="006D7867">
          <w:pPr>
            <w:rPr>
              <w:rFonts w:ascii="Arial Black" w:hAnsi="Arial Black"/>
            </w:rPr>
          </w:pPr>
          <w:r w:rsidRPr="006D7867">
            <w:rPr>
              <w:rFonts w:ascii="Arial Black" w:hAnsi="Arial Black"/>
            </w:rPr>
            <w:t>Student name: Florin Alin Voicu</w:t>
          </w:r>
          <w:r w:rsidRPr="006D7867">
            <w:rPr>
              <w:rFonts w:ascii="Arial Black" w:hAnsi="Arial Black"/>
            </w:rPr>
            <w:tab/>
            <w:t xml:space="preserve">     </w:t>
          </w:r>
        </w:p>
        <w:p w14:paraId="6074941B" w14:textId="3B82C75D" w:rsidR="006D7867" w:rsidRPr="006D7867" w:rsidRDefault="006D7867" w:rsidP="006D7867">
          <w:pPr>
            <w:rPr>
              <w:rFonts w:ascii="Arial Black" w:hAnsi="Arial Black"/>
            </w:rPr>
          </w:pPr>
          <w:r w:rsidRPr="006D7867">
            <w:rPr>
              <w:rFonts w:ascii="Arial Black" w:hAnsi="Arial Black"/>
            </w:rPr>
            <w:t>Programme: CertHE Sustainable Enterprise (Rural)</w:t>
          </w:r>
        </w:p>
        <w:p w14:paraId="7362CA9D" w14:textId="508A784B" w:rsidR="006D7867" w:rsidRPr="006D7867" w:rsidRDefault="006D7867" w:rsidP="006D7867">
          <w:pPr>
            <w:rPr>
              <w:rFonts w:ascii="Arial Black" w:hAnsi="Arial Black"/>
            </w:rPr>
          </w:pPr>
          <w:r w:rsidRPr="006D7867">
            <w:rPr>
              <w:rFonts w:ascii="Arial Black" w:hAnsi="Arial Black"/>
            </w:rPr>
            <w:t>Module: Digital Marketing</w:t>
          </w:r>
        </w:p>
        <w:p w14:paraId="3003DE13" w14:textId="75F3D3D4" w:rsidR="006D7867" w:rsidRPr="006D7867" w:rsidRDefault="006D7867" w:rsidP="006D7867">
          <w:pPr>
            <w:rPr>
              <w:rFonts w:ascii="Arial Black" w:hAnsi="Arial Black"/>
            </w:rPr>
          </w:pPr>
          <w:r w:rsidRPr="006D7867">
            <w:rPr>
              <w:rFonts w:ascii="Arial Black" w:hAnsi="Arial Black"/>
            </w:rPr>
            <w:t>Module code:</w:t>
          </w:r>
          <w:r w:rsidR="00CE4BDA">
            <w:rPr>
              <w:rFonts w:ascii="Arial Black" w:hAnsi="Arial Black"/>
            </w:rPr>
            <w:t xml:space="preserve"> </w:t>
          </w:r>
          <w:r w:rsidRPr="006D7867">
            <w:rPr>
              <w:rFonts w:ascii="Arial Black" w:hAnsi="Arial Black"/>
            </w:rPr>
            <w:t>BMSE4008D</w:t>
          </w:r>
        </w:p>
        <w:p w14:paraId="1E73787F" w14:textId="04B03A7F" w:rsidR="006D7867" w:rsidRPr="006D7867" w:rsidRDefault="006D7867" w:rsidP="006D7867">
          <w:pPr>
            <w:rPr>
              <w:rFonts w:ascii="Arial Black" w:hAnsi="Arial Black"/>
            </w:rPr>
          </w:pPr>
          <w:r w:rsidRPr="006D7867">
            <w:rPr>
              <w:rFonts w:ascii="Arial Black" w:hAnsi="Arial Black"/>
            </w:rPr>
            <w:t>Lecturer: Jessica Shore</w:t>
          </w:r>
        </w:p>
        <w:p w14:paraId="7315A19A" w14:textId="068FB8BD" w:rsidR="006D7867" w:rsidRPr="006D7867" w:rsidRDefault="006D7867">
          <w:pPr>
            <w:rPr>
              <w:rFonts w:ascii="Arial" w:hAnsi="Arial" w:cs="Arial"/>
              <w:b/>
              <w:bCs/>
              <w:color w:val="000000" w:themeColor="text1"/>
            </w:rPr>
          </w:pPr>
          <w:r w:rsidRPr="006D7867">
            <w:rPr>
              <w:noProof/>
              <w:color w:val="000000" w:themeColor="text1"/>
            </w:rPr>
            <mc:AlternateContent>
              <mc:Choice Requires="wps">
                <w:drawing>
                  <wp:anchor distT="0" distB="0" distL="182880" distR="182880" simplePos="0" relativeHeight="251660288" behindDoc="0" locked="0" layoutInCell="1" allowOverlap="1" wp14:anchorId="606B8921" wp14:editId="1878AA02">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44A99D" w14:textId="032A76C1" w:rsidR="006D7867" w:rsidRPr="006D7867" w:rsidRDefault="00000000" w:rsidP="006D7867">
                                <w:pPr>
                                  <w:pStyle w:val="NoSpacing"/>
                                  <w:spacing w:before="40" w:after="560" w:line="216" w:lineRule="auto"/>
                                  <w:jc w:val="center"/>
                                  <w:rPr>
                                    <w:rFonts w:ascii="Arial Black" w:hAnsi="Arial Black"/>
                                    <w:color w:val="000000" w:themeColor="text1"/>
                                    <w:sz w:val="96"/>
                                    <w:szCs w:val="96"/>
                                  </w:rPr>
                                </w:pPr>
                                <w:sdt>
                                  <w:sdtPr>
                                    <w:rPr>
                                      <w:rFonts w:ascii="Arial Black" w:hAnsi="Arial Black"/>
                                      <w:color w:val="000000" w:themeColor="text1"/>
                                      <w:sz w:val="96"/>
                                      <w:szCs w:val="9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6D7867" w:rsidRPr="006D7867">
                                      <w:rPr>
                                        <w:rFonts w:ascii="Arial Black" w:hAnsi="Arial Black"/>
                                        <w:color w:val="000000" w:themeColor="text1"/>
                                        <w:sz w:val="96"/>
                                        <w:szCs w:val="96"/>
                                      </w:rPr>
                                      <w:t>REPORT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606B8921"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0D44A99D" w14:textId="032A76C1" w:rsidR="006D7867" w:rsidRPr="006D7867" w:rsidRDefault="006D7867" w:rsidP="006D7867">
                          <w:pPr>
                            <w:pStyle w:val="NoSpacing"/>
                            <w:spacing w:before="40" w:after="560" w:line="216" w:lineRule="auto"/>
                            <w:jc w:val="center"/>
                            <w:rPr>
                              <w:rFonts w:ascii="Arial Black" w:hAnsi="Arial Black"/>
                              <w:color w:val="000000" w:themeColor="text1"/>
                              <w:sz w:val="96"/>
                              <w:szCs w:val="96"/>
                            </w:rPr>
                          </w:pPr>
                          <w:sdt>
                            <w:sdtPr>
                              <w:rPr>
                                <w:rFonts w:ascii="Arial Black" w:hAnsi="Arial Black"/>
                                <w:color w:val="000000" w:themeColor="text1"/>
                                <w:sz w:val="96"/>
                                <w:szCs w:val="9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6D7867">
                                <w:rPr>
                                  <w:rFonts w:ascii="Arial Black" w:hAnsi="Arial Black"/>
                                  <w:color w:val="000000" w:themeColor="text1"/>
                                  <w:sz w:val="96"/>
                                  <w:szCs w:val="96"/>
                                </w:rPr>
                                <w:t>REPORT</w:t>
                              </w:r>
                            </w:sdtContent>
                          </w:sdt>
                        </w:p>
                      </w:txbxContent>
                    </v:textbox>
                    <w10:wrap type="square" anchorx="margin" anchory="page"/>
                  </v:shape>
                </w:pict>
              </mc:Fallback>
            </mc:AlternateContent>
          </w:r>
          <w:r w:rsidRPr="006D7867">
            <w:rPr>
              <w:rFonts w:ascii="Arial" w:hAnsi="Arial" w:cs="Arial"/>
              <w:b/>
              <w:bCs/>
              <w:color w:val="000000" w:themeColor="text1"/>
            </w:rPr>
            <w:br w:type="page"/>
          </w:r>
        </w:p>
      </w:sdtContent>
    </w:sdt>
    <w:p w14:paraId="701A2F52" w14:textId="53AB70DD" w:rsidR="006D7867" w:rsidRDefault="006D7867" w:rsidP="00A249A2">
      <w:pPr>
        <w:spacing w:line="480" w:lineRule="auto"/>
        <w:jc w:val="both"/>
        <w:rPr>
          <w:rFonts w:ascii="Arial" w:hAnsi="Arial" w:cs="Arial"/>
          <w:b/>
          <w:bCs/>
        </w:rPr>
      </w:pPr>
      <w:r>
        <w:rPr>
          <w:rFonts w:ascii="Arial" w:hAnsi="Arial" w:cs="Arial"/>
          <w:b/>
          <w:bCs/>
        </w:rPr>
        <w:lastRenderedPageBreak/>
        <w:t xml:space="preserve">Table of Contents </w:t>
      </w:r>
    </w:p>
    <w:p w14:paraId="2ABD7119" w14:textId="6FCF618D" w:rsidR="006D7867" w:rsidRDefault="006D7867" w:rsidP="00A249A2">
      <w:pPr>
        <w:spacing w:line="480" w:lineRule="auto"/>
        <w:jc w:val="both"/>
        <w:rPr>
          <w:rFonts w:ascii="Arial" w:hAnsi="Arial" w:cs="Arial"/>
          <w:b/>
          <w:bCs/>
        </w:rPr>
      </w:pPr>
      <w:r>
        <w:rPr>
          <w:rFonts w:ascii="Arial" w:hAnsi="Arial" w:cs="Arial"/>
          <w:b/>
          <w:bCs/>
        </w:rPr>
        <w:t>Executive Summary----------------------------------------------------------------------------------2</w:t>
      </w:r>
    </w:p>
    <w:p w14:paraId="4A9FCFEE" w14:textId="65193D6A" w:rsidR="006D7867" w:rsidRDefault="006D7867" w:rsidP="00A249A2">
      <w:pPr>
        <w:spacing w:line="480" w:lineRule="auto"/>
        <w:jc w:val="both"/>
        <w:rPr>
          <w:rFonts w:ascii="Arial" w:hAnsi="Arial" w:cs="Arial"/>
          <w:b/>
          <w:bCs/>
        </w:rPr>
      </w:pPr>
      <w:r>
        <w:rPr>
          <w:rFonts w:ascii="Arial" w:hAnsi="Arial" w:cs="Arial"/>
          <w:b/>
          <w:bCs/>
        </w:rPr>
        <w:t>Introduction---------------------------------------------------------------------------------------------3</w:t>
      </w:r>
    </w:p>
    <w:p w14:paraId="197E7DA4" w14:textId="46DD331E" w:rsidR="006D7867" w:rsidRDefault="006D7867" w:rsidP="00A249A2">
      <w:pPr>
        <w:spacing w:line="480" w:lineRule="auto"/>
        <w:jc w:val="both"/>
        <w:rPr>
          <w:rFonts w:ascii="Arial" w:hAnsi="Arial" w:cs="Arial"/>
          <w:b/>
          <w:bCs/>
        </w:rPr>
      </w:pPr>
      <w:r w:rsidRPr="006D7867">
        <w:rPr>
          <w:rFonts w:ascii="Arial" w:hAnsi="Arial" w:cs="Arial"/>
          <w:b/>
          <w:bCs/>
        </w:rPr>
        <w:t>Situational Analysis and Theoretical Underpinnings</w:t>
      </w:r>
      <w:r>
        <w:rPr>
          <w:rFonts w:ascii="Arial" w:hAnsi="Arial" w:cs="Arial"/>
          <w:b/>
          <w:bCs/>
        </w:rPr>
        <w:t>-------------------------------------4</w:t>
      </w:r>
    </w:p>
    <w:p w14:paraId="0D5C6F42" w14:textId="7553D8B2" w:rsidR="006D7867" w:rsidRDefault="006D7867" w:rsidP="00A249A2">
      <w:pPr>
        <w:spacing w:line="480" w:lineRule="auto"/>
        <w:jc w:val="both"/>
        <w:rPr>
          <w:rFonts w:ascii="Arial" w:hAnsi="Arial" w:cs="Arial"/>
          <w:b/>
          <w:bCs/>
        </w:rPr>
      </w:pPr>
      <w:r w:rsidRPr="006D7867">
        <w:rPr>
          <w:rFonts w:ascii="Arial" w:hAnsi="Arial" w:cs="Arial"/>
          <w:b/>
          <w:bCs/>
        </w:rPr>
        <w:t>Channel Selection and Integration</w:t>
      </w:r>
      <w:r>
        <w:rPr>
          <w:rFonts w:ascii="Arial" w:hAnsi="Arial" w:cs="Arial"/>
          <w:b/>
          <w:bCs/>
        </w:rPr>
        <w:t>--------------------------------------------------------------7</w:t>
      </w:r>
    </w:p>
    <w:p w14:paraId="4A76A484" w14:textId="51F63992" w:rsidR="006D7867" w:rsidRDefault="006D7867" w:rsidP="00A249A2">
      <w:pPr>
        <w:spacing w:line="480" w:lineRule="auto"/>
        <w:jc w:val="both"/>
        <w:rPr>
          <w:rFonts w:ascii="Arial" w:hAnsi="Arial" w:cs="Arial"/>
          <w:b/>
          <w:bCs/>
        </w:rPr>
      </w:pPr>
      <w:r w:rsidRPr="006D7867">
        <w:rPr>
          <w:rFonts w:ascii="Arial" w:hAnsi="Arial" w:cs="Arial"/>
          <w:b/>
          <w:bCs/>
        </w:rPr>
        <w:t>Measurement and Control of Marketing Plan Success</w:t>
      </w:r>
      <w:r>
        <w:rPr>
          <w:rFonts w:ascii="Arial" w:hAnsi="Arial" w:cs="Arial"/>
          <w:b/>
          <w:bCs/>
        </w:rPr>
        <w:t>-----------------------------------9</w:t>
      </w:r>
    </w:p>
    <w:p w14:paraId="6DBC5728" w14:textId="4BE55F0D" w:rsidR="006D7867" w:rsidRDefault="006D7867" w:rsidP="00A249A2">
      <w:pPr>
        <w:spacing w:line="480" w:lineRule="auto"/>
        <w:jc w:val="both"/>
        <w:rPr>
          <w:rFonts w:ascii="Arial" w:hAnsi="Arial" w:cs="Arial"/>
          <w:b/>
          <w:bCs/>
        </w:rPr>
      </w:pPr>
      <w:r>
        <w:rPr>
          <w:rFonts w:ascii="Arial" w:hAnsi="Arial" w:cs="Arial"/>
          <w:b/>
          <w:bCs/>
        </w:rPr>
        <w:t>Conclusion---------------------------------------------------------------------------------------------10</w:t>
      </w:r>
    </w:p>
    <w:p w14:paraId="73919BA0" w14:textId="2747C272" w:rsidR="006D7867" w:rsidRDefault="006D7867" w:rsidP="00A249A2">
      <w:pPr>
        <w:spacing w:line="480" w:lineRule="auto"/>
        <w:jc w:val="both"/>
        <w:rPr>
          <w:rFonts w:ascii="Arial" w:hAnsi="Arial" w:cs="Arial"/>
          <w:b/>
          <w:bCs/>
        </w:rPr>
      </w:pPr>
      <w:r>
        <w:rPr>
          <w:rFonts w:ascii="Arial" w:hAnsi="Arial" w:cs="Arial"/>
          <w:b/>
          <w:bCs/>
        </w:rPr>
        <w:t>References---------------------------------------------------------------------------------------------11</w:t>
      </w:r>
    </w:p>
    <w:p w14:paraId="4648EE00" w14:textId="77777777" w:rsidR="006D7867" w:rsidRDefault="006D7867" w:rsidP="00A249A2">
      <w:pPr>
        <w:spacing w:line="480" w:lineRule="auto"/>
        <w:jc w:val="both"/>
        <w:rPr>
          <w:rFonts w:ascii="Arial" w:hAnsi="Arial" w:cs="Arial"/>
          <w:b/>
          <w:bCs/>
        </w:rPr>
      </w:pPr>
    </w:p>
    <w:p w14:paraId="063EAEEC" w14:textId="77777777" w:rsidR="006D7867" w:rsidRDefault="006D7867" w:rsidP="00A249A2">
      <w:pPr>
        <w:spacing w:line="480" w:lineRule="auto"/>
        <w:jc w:val="both"/>
        <w:rPr>
          <w:rFonts w:ascii="Arial" w:hAnsi="Arial" w:cs="Arial"/>
          <w:b/>
          <w:bCs/>
        </w:rPr>
      </w:pPr>
    </w:p>
    <w:p w14:paraId="029DCA0D" w14:textId="77777777" w:rsidR="006D7867" w:rsidRDefault="006D7867" w:rsidP="00A249A2">
      <w:pPr>
        <w:spacing w:line="480" w:lineRule="auto"/>
        <w:jc w:val="both"/>
        <w:rPr>
          <w:rFonts w:ascii="Arial" w:hAnsi="Arial" w:cs="Arial"/>
          <w:b/>
          <w:bCs/>
        </w:rPr>
      </w:pPr>
    </w:p>
    <w:p w14:paraId="1F57A3FD" w14:textId="77777777" w:rsidR="006D7867" w:rsidRDefault="006D7867">
      <w:pPr>
        <w:rPr>
          <w:rFonts w:ascii="Arial" w:hAnsi="Arial" w:cs="Arial"/>
          <w:b/>
          <w:bCs/>
        </w:rPr>
      </w:pPr>
      <w:r>
        <w:rPr>
          <w:rFonts w:ascii="Arial" w:hAnsi="Arial" w:cs="Arial"/>
          <w:b/>
          <w:bCs/>
        </w:rPr>
        <w:br w:type="page"/>
      </w:r>
    </w:p>
    <w:p w14:paraId="76B80CF9" w14:textId="379662C3" w:rsidR="00A249A2" w:rsidRPr="006341E0" w:rsidRDefault="00A249A2" w:rsidP="00A249A2">
      <w:pPr>
        <w:spacing w:line="480" w:lineRule="auto"/>
        <w:jc w:val="both"/>
        <w:rPr>
          <w:rFonts w:ascii="Arial" w:hAnsi="Arial" w:cs="Arial"/>
          <w:b/>
          <w:bCs/>
        </w:rPr>
      </w:pPr>
      <w:r w:rsidRPr="006341E0">
        <w:rPr>
          <w:rFonts w:ascii="Arial" w:hAnsi="Arial" w:cs="Arial"/>
          <w:b/>
          <w:bCs/>
        </w:rPr>
        <w:lastRenderedPageBreak/>
        <w:t>Executive Summary</w:t>
      </w:r>
    </w:p>
    <w:p w14:paraId="06593550" w14:textId="4DF60CAE" w:rsidR="00A249A2" w:rsidRPr="00A249A2" w:rsidRDefault="00A249A2" w:rsidP="00A249A2">
      <w:pPr>
        <w:spacing w:line="480" w:lineRule="auto"/>
        <w:jc w:val="both"/>
        <w:rPr>
          <w:rFonts w:ascii="Arial" w:hAnsi="Arial" w:cs="Arial"/>
        </w:rPr>
      </w:pPr>
      <w:r w:rsidRPr="00A249A2">
        <w:rPr>
          <w:rFonts w:ascii="Arial" w:hAnsi="Arial" w:cs="Arial"/>
        </w:rPr>
        <w:t>The purpose of this marketing plan is to create a new digital marketing campaign for Samsung Electric’s Galaxy Wearable range, especially the Galaxy Watch and Galaxy Ring. The suggested campaign targets health-conscious urban/professional adults ages 25-40. This demographic is focused on preventive health care, the use of data to improve wellness, and integrating digital technology with their daily routines.</w:t>
      </w:r>
      <w:r w:rsidR="008057C2">
        <w:rPr>
          <w:rFonts w:ascii="Arial" w:hAnsi="Arial" w:cs="Arial"/>
        </w:rPr>
        <w:t xml:space="preserve"> </w:t>
      </w:r>
      <w:r w:rsidRPr="00A249A2">
        <w:rPr>
          <w:rFonts w:ascii="Arial" w:hAnsi="Arial" w:cs="Arial"/>
        </w:rPr>
        <w:t xml:space="preserve">Although Samsung is already serving a significant worldwide customer base, this marketing plan identifies a unique psychographic and </w:t>
      </w:r>
      <w:r w:rsidR="008057C2" w:rsidRPr="00A249A2">
        <w:rPr>
          <w:rFonts w:ascii="Arial" w:hAnsi="Arial" w:cs="Arial"/>
        </w:rPr>
        <w:t>behavioural</w:t>
      </w:r>
      <w:r w:rsidRPr="00A249A2">
        <w:rPr>
          <w:rFonts w:ascii="Arial" w:hAnsi="Arial" w:cs="Arial"/>
        </w:rPr>
        <w:t xml:space="preserve"> market segment not fully capitali</w:t>
      </w:r>
      <w:r w:rsidR="008057C2">
        <w:rPr>
          <w:rFonts w:ascii="Arial" w:hAnsi="Arial" w:cs="Arial"/>
        </w:rPr>
        <w:t>s</w:t>
      </w:r>
      <w:r w:rsidRPr="00A249A2">
        <w:rPr>
          <w:rFonts w:ascii="Arial" w:hAnsi="Arial" w:cs="Arial"/>
        </w:rPr>
        <w:t>ed on with a holistic digital health-focused strategy.</w:t>
      </w:r>
    </w:p>
    <w:p w14:paraId="0153A213" w14:textId="288525B2" w:rsidR="00A249A2" w:rsidRPr="00A249A2" w:rsidRDefault="00A249A2" w:rsidP="00A249A2">
      <w:pPr>
        <w:spacing w:line="480" w:lineRule="auto"/>
        <w:jc w:val="both"/>
        <w:rPr>
          <w:rFonts w:ascii="Arial" w:hAnsi="Arial" w:cs="Arial"/>
        </w:rPr>
      </w:pPr>
      <w:r w:rsidRPr="00A249A2">
        <w:rPr>
          <w:rFonts w:ascii="Arial" w:hAnsi="Arial" w:cs="Arial"/>
        </w:rPr>
        <w:t xml:space="preserve">The reasoning behind the campaign is based on the convergence of technological advances, health, and lifestyle, as evidenced by post-pandemic </w:t>
      </w:r>
      <w:r w:rsidR="008057C2" w:rsidRPr="00A249A2">
        <w:rPr>
          <w:rFonts w:ascii="Arial" w:hAnsi="Arial" w:cs="Arial"/>
        </w:rPr>
        <w:t>behaviours</w:t>
      </w:r>
      <w:r w:rsidRPr="00A249A2">
        <w:rPr>
          <w:rFonts w:ascii="Arial" w:hAnsi="Arial" w:cs="Arial"/>
        </w:rPr>
        <w:t xml:space="preserve"> and growing acceptance of wearable health products. By combining traditional marketing principles with contemporary digital marketing research on segmentation, targeting, positioning, and smart, connected product theories of consumer </w:t>
      </w:r>
      <w:r w:rsidR="008057C2" w:rsidRPr="00A249A2">
        <w:rPr>
          <w:rFonts w:ascii="Arial" w:hAnsi="Arial" w:cs="Arial"/>
        </w:rPr>
        <w:t>behaviour</w:t>
      </w:r>
      <w:r w:rsidRPr="00A249A2">
        <w:rPr>
          <w:rFonts w:ascii="Arial" w:hAnsi="Arial" w:cs="Arial"/>
        </w:rPr>
        <w:t>, the marketing plan provides a framework for building a customi</w:t>
      </w:r>
      <w:r w:rsidR="008057C2">
        <w:rPr>
          <w:rFonts w:ascii="Arial" w:hAnsi="Arial" w:cs="Arial"/>
        </w:rPr>
        <w:t>s</w:t>
      </w:r>
      <w:r w:rsidRPr="00A249A2">
        <w:rPr>
          <w:rFonts w:ascii="Arial" w:hAnsi="Arial" w:cs="Arial"/>
        </w:rPr>
        <w:t>ed campaign based on the customer's needs and expectations of long-term value from a customer-extending relationship with their ecosystem.</w:t>
      </w:r>
    </w:p>
    <w:p w14:paraId="07BAAEB9" w14:textId="77777777" w:rsidR="008057C2" w:rsidRDefault="00A249A2" w:rsidP="00A249A2">
      <w:pPr>
        <w:spacing w:line="480" w:lineRule="auto"/>
        <w:jc w:val="both"/>
        <w:rPr>
          <w:rFonts w:ascii="Arial" w:hAnsi="Arial" w:cs="Arial"/>
        </w:rPr>
      </w:pPr>
      <w:r w:rsidRPr="00A249A2">
        <w:rPr>
          <w:rFonts w:ascii="Arial" w:hAnsi="Arial" w:cs="Arial"/>
        </w:rPr>
        <w:t xml:space="preserve">An integrated marketing communications approach will include a variety of digital marketing channels (social media, influencer marketing, search, content marketing, etc.) as well as Samsung-owned sites. The success of this campaign will be measured through engagement, conversion, and customer lifetime value metrics and through advanced analytics. In summary, this plan presents the ability to create a competitive advantage for Samsung by utilizing digital marketing to create stronger customer relationships to enable sustainable </w:t>
      </w:r>
      <w:r w:rsidR="008057C2" w:rsidRPr="00A249A2">
        <w:rPr>
          <w:rFonts w:ascii="Arial" w:hAnsi="Arial" w:cs="Arial"/>
        </w:rPr>
        <w:t xml:space="preserve">growth. </w:t>
      </w:r>
    </w:p>
    <w:p w14:paraId="6637C420" w14:textId="2EF07DF6" w:rsidR="00A249A2" w:rsidRPr="00424281" w:rsidRDefault="008057C2" w:rsidP="00A249A2">
      <w:pPr>
        <w:spacing w:line="480" w:lineRule="auto"/>
        <w:jc w:val="both"/>
        <w:rPr>
          <w:rFonts w:ascii="Arial" w:hAnsi="Arial" w:cs="Arial"/>
          <w:b/>
          <w:bCs/>
        </w:rPr>
      </w:pPr>
      <w:r w:rsidRPr="00424281">
        <w:rPr>
          <w:rFonts w:ascii="Arial" w:hAnsi="Arial" w:cs="Arial"/>
          <w:b/>
          <w:bCs/>
        </w:rPr>
        <w:lastRenderedPageBreak/>
        <w:t>I</w:t>
      </w:r>
      <w:r w:rsidR="00A249A2" w:rsidRPr="00424281">
        <w:rPr>
          <w:rFonts w:ascii="Arial" w:hAnsi="Arial" w:cs="Arial"/>
          <w:b/>
          <w:bCs/>
        </w:rPr>
        <w:t>ntroduction</w:t>
      </w:r>
    </w:p>
    <w:p w14:paraId="3A4FC02E" w14:textId="77777777" w:rsidR="00A249A2" w:rsidRPr="00A249A2" w:rsidRDefault="00A249A2" w:rsidP="00A249A2">
      <w:pPr>
        <w:spacing w:line="480" w:lineRule="auto"/>
        <w:jc w:val="both"/>
        <w:rPr>
          <w:rFonts w:ascii="Arial" w:hAnsi="Arial" w:cs="Arial"/>
        </w:rPr>
      </w:pPr>
      <w:r w:rsidRPr="00A249A2">
        <w:rPr>
          <w:rFonts w:ascii="Arial" w:hAnsi="Arial" w:cs="Arial"/>
        </w:rPr>
        <w:t>Samsung operates within highly competitive global markets for technology, and in today’s world, technology companies must differentiate themselves from their competitors not only by offering customer experience, the value of their ecosystems, and data-driven personalisation but also through their technology hardware features. The global wearables market is rapidly growing, resulting from rising health awareness, improvements in sensor technology, and the consumer desire to obtain real time health information. These trends offer Samsung a unique opportunity to reposition their Galaxy Wearables as not just accessories to smart phones, but as integral to everyday health management in a connected lifestyle system.</w:t>
      </w:r>
    </w:p>
    <w:p w14:paraId="494CF3FB" w14:textId="77777777" w:rsidR="00A249A2" w:rsidRPr="00A249A2" w:rsidRDefault="00A249A2" w:rsidP="00A249A2">
      <w:pPr>
        <w:spacing w:line="480" w:lineRule="auto"/>
        <w:jc w:val="both"/>
        <w:rPr>
          <w:rFonts w:ascii="Arial" w:hAnsi="Arial" w:cs="Arial"/>
        </w:rPr>
      </w:pPr>
      <w:r w:rsidRPr="00A249A2">
        <w:rPr>
          <w:rFonts w:ascii="Arial" w:hAnsi="Arial" w:cs="Arial"/>
        </w:rPr>
        <w:t>The choice of Galaxy Wearables is represented by the growth strategy theory, specifically the market development and product-market expansion logic associated with it. Instead of introducing a new product, this plan proposes that Samsung can penetrate a newly defined market segment for existing products by significantly changing the value of the Galaxy Wearable for consumers. This can be done using strategic growth perspectives that maintain a focus on using existing capabilities to gain access to new demand spaces and, thus, decrease the risks associated with innovative product creation while maximising the return on Samsung’s innovative investment (Guilherme &amp; Mendes, 2023).</w:t>
      </w:r>
    </w:p>
    <w:p w14:paraId="2354C410" w14:textId="77777777" w:rsidR="00A249A2" w:rsidRPr="00A249A2" w:rsidRDefault="00A249A2" w:rsidP="00A249A2">
      <w:pPr>
        <w:spacing w:line="480" w:lineRule="auto"/>
        <w:jc w:val="both"/>
        <w:rPr>
          <w:rFonts w:ascii="Arial" w:hAnsi="Arial" w:cs="Arial"/>
        </w:rPr>
      </w:pPr>
      <w:r w:rsidRPr="00A249A2">
        <w:rPr>
          <w:rFonts w:ascii="Arial" w:hAnsi="Arial" w:cs="Arial"/>
        </w:rPr>
        <w:t xml:space="preserve">In addition, the emergence of smart and connected products is changing the way consumers think about product competition. Companies are no longer focused solely on the actual products but rather are beginning to create product systems that gather and share data about those products over time. Wearable products have fully realised this concept in that their value isn't fully realised until the devices have had the </w:t>
      </w:r>
      <w:r w:rsidRPr="00A249A2">
        <w:rPr>
          <w:rFonts w:ascii="Arial" w:hAnsi="Arial" w:cs="Arial"/>
        </w:rPr>
        <w:lastRenderedPageBreak/>
        <w:t>opportunity to maintain continued and continuous usage and connectedness and thus accumulate data-driven insights over time. By focusing on the specific needs of health-conscious urban professionals, Samsung will focus on capturing a market segment that is looking for continuous performance optimisation, an increased ability to manage and monitor their lives digitally, and an increased level of integration with other smart devices that will enable users to seamlessly manage their digital life (Porter &amp; Heppelmann, 2021).The reason for this strategy is to develop a technologically integrated marketing campaign that fosters long-term consumer engagement rather than simply looking for immediate sales (Kotler &amp; Keller, 2020).</w:t>
      </w:r>
    </w:p>
    <w:p w14:paraId="3C6097FC" w14:textId="78328A87" w:rsidR="00A249A2" w:rsidRPr="008057C2" w:rsidRDefault="00A249A2" w:rsidP="00A249A2">
      <w:pPr>
        <w:spacing w:line="480" w:lineRule="auto"/>
        <w:jc w:val="both"/>
        <w:rPr>
          <w:rFonts w:ascii="Arial" w:hAnsi="Arial" w:cs="Arial"/>
          <w:b/>
          <w:bCs/>
        </w:rPr>
      </w:pPr>
      <w:bookmarkStart w:id="0" w:name="_Hlk218778725"/>
      <w:r w:rsidRPr="008057C2">
        <w:rPr>
          <w:rFonts w:ascii="Arial" w:hAnsi="Arial" w:cs="Arial"/>
          <w:b/>
          <w:bCs/>
        </w:rPr>
        <w:t>Situational Analysis and Theoretical Underpinnings</w:t>
      </w:r>
    </w:p>
    <w:bookmarkEnd w:id="0"/>
    <w:p w14:paraId="6057BD0C" w14:textId="77777777" w:rsidR="00A249A2" w:rsidRPr="00A249A2" w:rsidRDefault="00A249A2" w:rsidP="00A249A2">
      <w:pPr>
        <w:spacing w:line="480" w:lineRule="auto"/>
        <w:jc w:val="both"/>
        <w:rPr>
          <w:rFonts w:ascii="Arial" w:hAnsi="Arial" w:cs="Arial"/>
        </w:rPr>
      </w:pPr>
      <w:r w:rsidRPr="00A249A2">
        <w:rPr>
          <w:rFonts w:ascii="Arial" w:hAnsi="Arial" w:cs="Arial"/>
        </w:rPr>
        <w:t>The overall external environment in which Samsung operates is one of change, driven by the fast pace of technology development and change along with an increase in consumer expectations and an increase in competition from both traditional high-technology manufacturers and from rapidly growing digital health technology companies. Consumers are now better informed, more connected through technology and, therefore, have a greater degree of choice in selecting amongst the variety of different products available to them and are now more value oriented in their search for meaning beyond the mere functionality of the product. Current marketing theory has focused on the evolution of consumer participation in the value creation process rather than merely passive participants of the marketing process (Kotler &amp; Keller, 2020).</w:t>
      </w:r>
    </w:p>
    <w:p w14:paraId="0F4B3198" w14:textId="77777777" w:rsidR="00A249A2" w:rsidRPr="00A249A2" w:rsidRDefault="00A249A2" w:rsidP="00A249A2">
      <w:pPr>
        <w:spacing w:line="480" w:lineRule="auto"/>
        <w:jc w:val="both"/>
        <w:rPr>
          <w:rFonts w:ascii="Arial" w:hAnsi="Arial" w:cs="Arial"/>
        </w:rPr>
      </w:pPr>
      <w:r w:rsidRPr="00A249A2">
        <w:rPr>
          <w:rFonts w:ascii="Arial" w:hAnsi="Arial" w:cs="Arial"/>
        </w:rPr>
        <w:t xml:space="preserve">From a competitive standpoint, the wearable device segment is saturated with manufacturers competing on similar functional value propositions. As a result, the key areas of differentiation increasing include brand message, integration within the brand </w:t>
      </w:r>
      <w:r w:rsidRPr="00A249A2">
        <w:rPr>
          <w:rFonts w:ascii="Arial" w:hAnsi="Arial" w:cs="Arial"/>
        </w:rPr>
        <w:lastRenderedPageBreak/>
        <w:t>ecosystem and development of customer-specific experiences. Strategic marketing literature focuses on the ongoing need for the positioning of the brand within digital channels to evolve with technology and how consumers evolve over time (Möller &amp; Rajala, 2021). Although Samsung has a strong brand positioning in the marketplace, without effective and targeted communication regarding the value of its wearable devices, consumers may not identify Samsung's wearable devices as unique and instead perceive them to be secondary to their smartphones.</w:t>
      </w:r>
    </w:p>
    <w:p w14:paraId="4E3256C9" w14:textId="1B5ED944" w:rsidR="00A249A2" w:rsidRPr="00A249A2" w:rsidRDefault="00A249A2" w:rsidP="00A249A2">
      <w:pPr>
        <w:spacing w:line="480" w:lineRule="auto"/>
        <w:jc w:val="both"/>
        <w:rPr>
          <w:rFonts w:ascii="Arial" w:hAnsi="Arial" w:cs="Arial"/>
        </w:rPr>
      </w:pPr>
      <w:r w:rsidRPr="00A249A2">
        <w:rPr>
          <w:rFonts w:ascii="Arial" w:hAnsi="Arial" w:cs="Arial"/>
        </w:rPr>
        <w:t>Research on digital consumer behaviour shows that consumers make their purchasing decisions based on both conscious decision-making processes and unconscious emotional responses, especially with respect to products that are based on experience, such as health and lifestyle-based technologies. The consumer's experience with the brand's digital touchpoint heavily influences the consumer's perception of trust and satisfaction, as well as the consumer's long-term loyalty to the brand (</w:t>
      </w:r>
      <w:proofErr w:type="spellStart"/>
      <w:r w:rsidRPr="00A249A2">
        <w:rPr>
          <w:rFonts w:ascii="Arial" w:hAnsi="Arial" w:cs="Arial"/>
        </w:rPr>
        <w:t>Sa</w:t>
      </w:r>
      <w:r w:rsidR="008057C2">
        <w:rPr>
          <w:rFonts w:ascii="Arial" w:hAnsi="Arial" w:cs="Arial"/>
        </w:rPr>
        <w:t>g</w:t>
      </w:r>
      <w:r w:rsidRPr="00A249A2">
        <w:rPr>
          <w:rFonts w:ascii="Arial" w:hAnsi="Arial" w:cs="Arial"/>
        </w:rPr>
        <w:t>kaya</w:t>
      </w:r>
      <w:proofErr w:type="spellEnd"/>
      <w:r w:rsidRPr="00A249A2">
        <w:rPr>
          <w:rFonts w:ascii="Arial" w:hAnsi="Arial" w:cs="Arial"/>
        </w:rPr>
        <w:t xml:space="preserve"> G</w:t>
      </w:r>
      <w:r w:rsidR="008057C2">
        <w:rPr>
          <w:rFonts w:ascii="Arial" w:hAnsi="Arial" w:cs="Arial"/>
        </w:rPr>
        <w:t>u</w:t>
      </w:r>
      <w:r w:rsidRPr="00A249A2">
        <w:rPr>
          <w:rFonts w:ascii="Arial" w:hAnsi="Arial" w:cs="Arial"/>
        </w:rPr>
        <w:t>ng</w:t>
      </w:r>
      <w:r w:rsidR="008057C2">
        <w:rPr>
          <w:rFonts w:ascii="Arial" w:hAnsi="Arial" w:cs="Arial"/>
        </w:rPr>
        <w:t>o</w:t>
      </w:r>
      <w:r w:rsidRPr="00A249A2">
        <w:rPr>
          <w:rFonts w:ascii="Arial" w:hAnsi="Arial" w:cs="Arial"/>
        </w:rPr>
        <w:t xml:space="preserve">r &amp; Ozansoy </w:t>
      </w:r>
      <w:proofErr w:type="spellStart"/>
      <w:r w:rsidRPr="00A249A2">
        <w:rPr>
          <w:rFonts w:ascii="Arial" w:hAnsi="Arial" w:cs="Arial"/>
        </w:rPr>
        <w:t>Çadırcı</w:t>
      </w:r>
      <w:proofErr w:type="spellEnd"/>
      <w:r w:rsidRPr="00A249A2">
        <w:rPr>
          <w:rFonts w:ascii="Arial" w:hAnsi="Arial" w:cs="Arial"/>
        </w:rPr>
        <w:t xml:space="preserve">, 2022). Therefore, there is a need for a cohesive digital marketing strategy to ensure that the functional-based messaging aligns with the emotional and experiential cues provided to the </w:t>
      </w:r>
      <w:r w:rsidR="008057C2" w:rsidRPr="00A249A2">
        <w:rPr>
          <w:rFonts w:ascii="Arial" w:hAnsi="Arial" w:cs="Arial"/>
        </w:rPr>
        <w:t xml:space="preserve">consumer. </w:t>
      </w:r>
    </w:p>
    <w:p w14:paraId="4CB56798" w14:textId="77777777" w:rsidR="006403C0" w:rsidRDefault="00A249A2" w:rsidP="00A249A2">
      <w:pPr>
        <w:spacing w:line="480" w:lineRule="auto"/>
        <w:jc w:val="both"/>
        <w:rPr>
          <w:rFonts w:ascii="Arial" w:hAnsi="Arial" w:cs="Arial"/>
        </w:rPr>
      </w:pPr>
      <w:r w:rsidRPr="00A249A2">
        <w:rPr>
          <w:rFonts w:ascii="Arial" w:hAnsi="Arial" w:cs="Arial"/>
        </w:rPr>
        <w:t>Digital marketing segmentation is key to successfully identifying the target audience for any digital marketing campaign since individuals are more likely to engage with a product or service when it holds a personal connection and they have been made aware of it through direct and/or indirect communication. By using a multi-dimensional segmentation model, both demographic (age, gender, income) and psychographic (interests, lifestyle) will be used to identify urban professionals (ages 25-40) living in metropolitan centres that have disposable income and focus on self-improvement, health, and productivity. These individuals tend to be tech-savvy, data-driven, and willing to utili</w:t>
      </w:r>
      <w:r w:rsidR="006403C0">
        <w:rPr>
          <w:rFonts w:ascii="Arial" w:hAnsi="Arial" w:cs="Arial"/>
        </w:rPr>
        <w:t>s</w:t>
      </w:r>
      <w:r w:rsidRPr="00A249A2">
        <w:rPr>
          <w:rFonts w:ascii="Arial" w:hAnsi="Arial" w:cs="Arial"/>
        </w:rPr>
        <w:t>e technology for proactive health planning.</w:t>
      </w:r>
    </w:p>
    <w:p w14:paraId="43E7DE86" w14:textId="3F34A615" w:rsidR="00A249A2" w:rsidRPr="00A249A2" w:rsidRDefault="00A249A2" w:rsidP="00A249A2">
      <w:pPr>
        <w:spacing w:line="480" w:lineRule="auto"/>
        <w:jc w:val="both"/>
        <w:rPr>
          <w:rFonts w:ascii="Arial" w:hAnsi="Arial" w:cs="Arial"/>
        </w:rPr>
      </w:pPr>
      <w:r w:rsidRPr="00A249A2">
        <w:rPr>
          <w:rFonts w:ascii="Arial" w:hAnsi="Arial" w:cs="Arial"/>
        </w:rPr>
        <w:lastRenderedPageBreak/>
        <w:t xml:space="preserve">The targeting of the urban professional segment is supported by the fact that they are </w:t>
      </w:r>
      <w:proofErr w:type="gramStart"/>
      <w:r w:rsidRPr="00A249A2">
        <w:rPr>
          <w:rFonts w:ascii="Arial" w:hAnsi="Arial" w:cs="Arial"/>
        </w:rPr>
        <w:t>growing in size</w:t>
      </w:r>
      <w:proofErr w:type="gramEnd"/>
      <w:r w:rsidRPr="00A249A2">
        <w:rPr>
          <w:rFonts w:ascii="Arial" w:hAnsi="Arial" w:cs="Arial"/>
        </w:rPr>
        <w:t>, their purchasing power is increasing, and they have a high lifetime value. Research shows that customers who are active in engaging with a brand community and participating on the brand's digital platform tend to develop stronger emotional bonds with the brand and be more loyal to the brand as time passes (Rishika et al. 2020). The technology behind artificial intelligence has made it possible for brands to offer consumers personali</w:t>
      </w:r>
      <w:r w:rsidR="006403C0">
        <w:rPr>
          <w:rFonts w:ascii="Arial" w:hAnsi="Arial" w:cs="Arial"/>
        </w:rPr>
        <w:t>s</w:t>
      </w:r>
      <w:r w:rsidRPr="00A249A2">
        <w:rPr>
          <w:rFonts w:ascii="Arial" w:hAnsi="Arial" w:cs="Arial"/>
        </w:rPr>
        <w:t>ed products and communications that increase the brand's relevance to the consumer as well as the value placed on it by the consumer (</w:t>
      </w:r>
      <w:proofErr w:type="spellStart"/>
      <w:r w:rsidRPr="00A249A2">
        <w:rPr>
          <w:rFonts w:ascii="Arial" w:hAnsi="Arial" w:cs="Arial"/>
        </w:rPr>
        <w:t>Erevelles</w:t>
      </w:r>
      <w:proofErr w:type="spellEnd"/>
      <w:r w:rsidRPr="00A249A2">
        <w:rPr>
          <w:rFonts w:ascii="Arial" w:hAnsi="Arial" w:cs="Arial"/>
        </w:rPr>
        <w:t xml:space="preserve"> et al. 2022). Samsung's investment in data analytics will allow them to take advantage of these technologies.</w:t>
      </w:r>
    </w:p>
    <w:p w14:paraId="7BFF7CBE" w14:textId="60FA87F9" w:rsidR="00A249A2" w:rsidRPr="00A249A2" w:rsidRDefault="00A249A2" w:rsidP="00A249A2">
      <w:pPr>
        <w:spacing w:line="480" w:lineRule="auto"/>
        <w:jc w:val="both"/>
        <w:rPr>
          <w:rFonts w:ascii="Arial" w:hAnsi="Arial" w:cs="Arial"/>
        </w:rPr>
      </w:pPr>
      <w:r w:rsidRPr="00A249A2">
        <w:rPr>
          <w:rFonts w:ascii="Arial" w:hAnsi="Arial" w:cs="Arial"/>
        </w:rPr>
        <w:t>The positioning of the urban professional campaign for Galaxy Wearables is related to "Health Intelligence, Health and Vitamin" because the product is both unobtrusive and an effective aspect of a healthy mental/physical lifestyle, helping individuals stay on track as they pursue their fitness goals or manage their overall well-being. The brand's emphasis on trust, empowerment, and healthy long-term well-being differentiates Samsung from the fashion appliances of similar quality and from solely medical wearable technologies. Positioning Theory (M</w:t>
      </w:r>
      <w:r w:rsidR="006403C0">
        <w:rPr>
          <w:rFonts w:ascii="Arial" w:hAnsi="Arial" w:cs="Arial"/>
        </w:rPr>
        <w:t>o</w:t>
      </w:r>
      <w:r w:rsidRPr="00A249A2">
        <w:rPr>
          <w:rFonts w:ascii="Arial" w:hAnsi="Arial" w:cs="Arial"/>
        </w:rPr>
        <w:t xml:space="preserve">ller &amp; Rajala 2021) asserts that successful brands create distinct and emotionally compelling mental images that are aligned with their consumers' values. Samsung's positioning provides differentiation from both fashion-based wearable technology and purely medical wearable </w:t>
      </w:r>
      <w:r w:rsidR="006403C0" w:rsidRPr="00A249A2">
        <w:rPr>
          <w:rFonts w:ascii="Arial" w:hAnsi="Arial" w:cs="Arial"/>
        </w:rPr>
        <w:t>technology. The</w:t>
      </w:r>
      <w:r w:rsidRPr="00A249A2">
        <w:rPr>
          <w:rFonts w:ascii="Arial" w:hAnsi="Arial" w:cs="Arial"/>
        </w:rPr>
        <w:t xml:space="preserve"> Digital Marketing Campaign for “Digital Wellbeing” is centred around the idea of storytelling and relevance to target audiences. The Campaign promotes scenarios in which Samsung Galaxy Wearable devices help users manage their mental health, physical activity, sleep, and balance between work and personal life. Content will be designed to appeal to the life experiences of urban working </w:t>
      </w:r>
      <w:r w:rsidRPr="00A249A2">
        <w:rPr>
          <w:rFonts w:ascii="Arial" w:hAnsi="Arial" w:cs="Arial"/>
        </w:rPr>
        <w:lastRenderedPageBreak/>
        <w:t>professionals, illustrating how the Galaxy Wearable devices will serve as collaborators with users, rather than just another piece of technology.</w:t>
      </w:r>
    </w:p>
    <w:p w14:paraId="1F1895A1" w14:textId="77777777" w:rsidR="00A249A2" w:rsidRPr="00A249A2" w:rsidRDefault="00A249A2" w:rsidP="00A249A2">
      <w:pPr>
        <w:spacing w:line="480" w:lineRule="auto"/>
        <w:jc w:val="both"/>
        <w:rPr>
          <w:rFonts w:ascii="Arial" w:hAnsi="Arial" w:cs="Arial"/>
        </w:rPr>
      </w:pPr>
      <w:r w:rsidRPr="00A249A2">
        <w:rPr>
          <w:rFonts w:ascii="Arial" w:hAnsi="Arial" w:cs="Arial"/>
        </w:rPr>
        <w:t xml:space="preserve">Central to the Campaign strategy will be personalised content. Samsung will leverage artificial intelligence to provide tailored content according to user behaviour and preferences, as well as the user’s lifecycle stage. Research has shown that users perceive their interactions with a company as more relevant, satisfying, and likely to lead to further purchases when the interactions are personalised (Kumar, 2020; </w:t>
      </w:r>
      <w:proofErr w:type="spellStart"/>
      <w:r w:rsidRPr="00A249A2">
        <w:rPr>
          <w:rFonts w:ascii="Arial" w:hAnsi="Arial" w:cs="Arial"/>
        </w:rPr>
        <w:t>Erevelles</w:t>
      </w:r>
      <w:proofErr w:type="spellEnd"/>
      <w:r w:rsidRPr="00A249A2">
        <w:rPr>
          <w:rFonts w:ascii="Arial" w:hAnsi="Arial" w:cs="Arial"/>
        </w:rPr>
        <w:t>, 2023). Personalised interactions also advance relationship marketing goals by establishing trust and continued interaction with customers.</w:t>
      </w:r>
    </w:p>
    <w:p w14:paraId="2E122CC9" w14:textId="45872CC5" w:rsidR="00A249A2" w:rsidRPr="00A249A2" w:rsidRDefault="00A249A2" w:rsidP="00A249A2">
      <w:pPr>
        <w:spacing w:line="480" w:lineRule="auto"/>
        <w:jc w:val="both"/>
        <w:rPr>
          <w:rFonts w:ascii="Arial" w:hAnsi="Arial" w:cs="Arial"/>
        </w:rPr>
      </w:pPr>
      <w:r w:rsidRPr="00A249A2">
        <w:rPr>
          <w:rFonts w:ascii="Arial" w:hAnsi="Arial" w:cs="Arial"/>
        </w:rPr>
        <w:t xml:space="preserve">The Campaign design reflects the way modern consumers make purchasing decisions, which have been found to be influenced by social validation, digital touchpoints, and post-purchase experiences. Integrating narratives from social influencers, reviews from peers, and creation of interactive content that reduces perceived risk and </w:t>
      </w:r>
      <w:r w:rsidR="006403C0" w:rsidRPr="00A249A2">
        <w:rPr>
          <w:rFonts w:ascii="Arial" w:hAnsi="Arial" w:cs="Arial"/>
        </w:rPr>
        <w:t>instils</w:t>
      </w:r>
      <w:r w:rsidRPr="00A249A2">
        <w:rPr>
          <w:rFonts w:ascii="Arial" w:hAnsi="Arial" w:cs="Arial"/>
        </w:rPr>
        <w:t xml:space="preserve"> confidence in users' willingness to adopt technology is critical (Roy, 2020; Kumar, 2022). By doing so within the integrated campaign structure, Samsung can expand initial purchases and promote repeated purchases.</w:t>
      </w:r>
    </w:p>
    <w:p w14:paraId="44F01261" w14:textId="7761372B" w:rsidR="00A249A2" w:rsidRPr="006403C0" w:rsidRDefault="00A249A2" w:rsidP="00A249A2">
      <w:pPr>
        <w:spacing w:line="480" w:lineRule="auto"/>
        <w:jc w:val="both"/>
        <w:rPr>
          <w:rFonts w:ascii="Arial" w:hAnsi="Arial" w:cs="Arial"/>
          <w:b/>
          <w:bCs/>
        </w:rPr>
      </w:pPr>
      <w:bookmarkStart w:id="1" w:name="_Hlk218778789"/>
      <w:r w:rsidRPr="006403C0">
        <w:rPr>
          <w:rFonts w:ascii="Arial" w:hAnsi="Arial" w:cs="Arial"/>
          <w:b/>
          <w:bCs/>
        </w:rPr>
        <w:t>Channel Selection and Integration</w:t>
      </w:r>
    </w:p>
    <w:bookmarkEnd w:id="1"/>
    <w:p w14:paraId="50464C65" w14:textId="5024E90B" w:rsidR="00A249A2" w:rsidRPr="00A249A2" w:rsidRDefault="00A249A2" w:rsidP="00A249A2">
      <w:pPr>
        <w:spacing w:line="480" w:lineRule="auto"/>
        <w:jc w:val="both"/>
        <w:rPr>
          <w:rFonts w:ascii="Arial" w:hAnsi="Arial" w:cs="Arial"/>
        </w:rPr>
      </w:pPr>
      <w:r w:rsidRPr="00A249A2">
        <w:rPr>
          <w:rFonts w:ascii="Arial" w:hAnsi="Arial" w:cs="Arial"/>
        </w:rPr>
        <w:t xml:space="preserve">The Digital Channel </w:t>
      </w:r>
      <w:r w:rsidR="006403C0">
        <w:rPr>
          <w:rFonts w:ascii="Arial" w:hAnsi="Arial" w:cs="Arial"/>
        </w:rPr>
        <w:t>s</w:t>
      </w:r>
      <w:r w:rsidRPr="00A249A2">
        <w:rPr>
          <w:rFonts w:ascii="Arial" w:hAnsi="Arial" w:cs="Arial"/>
        </w:rPr>
        <w:t xml:space="preserve">election </w:t>
      </w:r>
      <w:r w:rsidR="006403C0">
        <w:rPr>
          <w:rFonts w:ascii="Arial" w:hAnsi="Arial" w:cs="Arial"/>
        </w:rPr>
        <w:t>p</w:t>
      </w:r>
      <w:r w:rsidRPr="00A249A2">
        <w:rPr>
          <w:rFonts w:ascii="Arial" w:hAnsi="Arial" w:cs="Arial"/>
        </w:rPr>
        <w:t xml:space="preserve">rocess adheres to an Integrated Marketing Communications framework that provides consistency in messaging while taking advantage of different digital platform </w:t>
      </w:r>
      <w:r w:rsidR="006403C0" w:rsidRPr="00A249A2">
        <w:rPr>
          <w:rFonts w:ascii="Arial" w:hAnsi="Arial" w:cs="Arial"/>
        </w:rPr>
        <w:t>strengths. Social</w:t>
      </w:r>
      <w:r w:rsidRPr="00A249A2">
        <w:rPr>
          <w:rFonts w:ascii="Arial" w:hAnsi="Arial" w:cs="Arial"/>
        </w:rPr>
        <w:t xml:space="preserve"> media platforms, such as Instagram, LinkedIn, and YouTube, provide businesses with the opportunity to utilise visually appealing and professional content to connect with urban professionals. Several studies have shown that when consumers engage with businesses on social </w:t>
      </w:r>
      <w:r w:rsidRPr="00A249A2">
        <w:rPr>
          <w:rFonts w:ascii="Arial" w:hAnsi="Arial" w:cs="Arial"/>
        </w:rPr>
        <w:lastRenderedPageBreak/>
        <w:t>media through meaningful and continuous interactions, they tend to demonstrate greater loyalty to brands and advocate for them (Rishika et. al., 2020).</w:t>
      </w:r>
    </w:p>
    <w:p w14:paraId="3D2C8924" w14:textId="77777777" w:rsidR="00A249A2" w:rsidRPr="00A249A2" w:rsidRDefault="00A249A2" w:rsidP="00A249A2">
      <w:pPr>
        <w:spacing w:line="480" w:lineRule="auto"/>
        <w:jc w:val="both"/>
        <w:rPr>
          <w:rFonts w:ascii="Arial" w:hAnsi="Arial" w:cs="Arial"/>
        </w:rPr>
      </w:pPr>
      <w:r w:rsidRPr="00A249A2">
        <w:rPr>
          <w:rFonts w:ascii="Arial" w:hAnsi="Arial" w:cs="Arial"/>
        </w:rPr>
        <w:t>Influencers in the health technology industry, primarily fitness professionals, productivity coaches, and health-focused digital content creators, serve as a strategic focus of influencer marketing, rather than using typical mass celebrities as brand ambassadors. The expectations of younger generations regarding authenticity and trustworthiness drive younger audiences to view this type of influencer as being more credible than traditional celebrities, leading to the establishment of increased brand credibility (Erwin et. al, 2023). Blog and podcast content, as well as long-form videos, provide an avenue for the delivery of educational content related to Samsung’s health technology product offerings, while reinforcing Samsung’s position as an expert in this field.</w:t>
      </w:r>
    </w:p>
    <w:p w14:paraId="428C294C" w14:textId="77777777" w:rsidR="00A249A2" w:rsidRPr="00A249A2" w:rsidRDefault="00A249A2" w:rsidP="00A249A2">
      <w:pPr>
        <w:spacing w:line="480" w:lineRule="auto"/>
        <w:jc w:val="both"/>
        <w:rPr>
          <w:rFonts w:ascii="Arial" w:hAnsi="Arial" w:cs="Arial"/>
        </w:rPr>
      </w:pPr>
      <w:r w:rsidRPr="00A249A2">
        <w:rPr>
          <w:rFonts w:ascii="Arial" w:hAnsi="Arial" w:cs="Arial"/>
        </w:rPr>
        <w:t>Search engine optimisation and paid search compliment the processes in place for building awareness by delivering advertising messages to active, high-intent consumers looking for health and wearable solutions. As a continuation of the relationship-building processes in place through owned channels (e.g., Samsung's website, mobile applications, and email marketing), the nurturing of relationships will evolve as customers navigate through the purchasing process. Integrating and coordinating communications from owned channels will provide Samsung with additional opportunities to reinforce its brand's consistency and maximise overall impact across all marketing communications efforts (Weitz &amp; Wensley, 2020; Chaffey &amp; Smith, 2022).</w:t>
      </w:r>
    </w:p>
    <w:p w14:paraId="16192C58" w14:textId="77777777" w:rsidR="00A249A2" w:rsidRPr="00A249A2" w:rsidRDefault="00A249A2" w:rsidP="00A249A2">
      <w:pPr>
        <w:spacing w:line="480" w:lineRule="auto"/>
        <w:jc w:val="both"/>
        <w:rPr>
          <w:rFonts w:ascii="Arial" w:hAnsi="Arial" w:cs="Arial"/>
        </w:rPr>
      </w:pPr>
    </w:p>
    <w:p w14:paraId="2B91777F" w14:textId="77777777" w:rsidR="006403C0" w:rsidRDefault="006403C0" w:rsidP="00A249A2">
      <w:pPr>
        <w:spacing w:line="480" w:lineRule="auto"/>
        <w:jc w:val="both"/>
        <w:rPr>
          <w:rFonts w:ascii="Arial" w:hAnsi="Arial" w:cs="Arial"/>
        </w:rPr>
      </w:pPr>
    </w:p>
    <w:p w14:paraId="5EC6D660" w14:textId="3D4217A2" w:rsidR="00A249A2" w:rsidRPr="006403C0" w:rsidRDefault="00A249A2" w:rsidP="00A249A2">
      <w:pPr>
        <w:spacing w:line="480" w:lineRule="auto"/>
        <w:jc w:val="both"/>
        <w:rPr>
          <w:rFonts w:ascii="Arial" w:hAnsi="Arial" w:cs="Arial"/>
          <w:b/>
          <w:bCs/>
        </w:rPr>
      </w:pPr>
      <w:bookmarkStart w:id="2" w:name="_Hlk218778832"/>
      <w:r w:rsidRPr="006403C0">
        <w:rPr>
          <w:rFonts w:ascii="Arial" w:hAnsi="Arial" w:cs="Arial"/>
          <w:b/>
          <w:bCs/>
        </w:rPr>
        <w:lastRenderedPageBreak/>
        <w:t>Measurement and Control of Marketing Plan Success</w:t>
      </w:r>
    </w:p>
    <w:bookmarkEnd w:id="2"/>
    <w:p w14:paraId="0D1B19BD" w14:textId="77777777" w:rsidR="00A249A2" w:rsidRPr="00A249A2" w:rsidRDefault="00A249A2" w:rsidP="00A249A2">
      <w:pPr>
        <w:spacing w:line="480" w:lineRule="auto"/>
        <w:jc w:val="both"/>
        <w:rPr>
          <w:rFonts w:ascii="Arial" w:hAnsi="Arial" w:cs="Arial"/>
        </w:rPr>
      </w:pPr>
      <w:r w:rsidRPr="00A249A2">
        <w:rPr>
          <w:rFonts w:ascii="Arial" w:hAnsi="Arial" w:cs="Arial"/>
        </w:rPr>
        <w:t>To determine the overall effectiveness of the marketing plan, a combination of near- and long-term performance indicators will enable Samsung to track and monitor both short-term results and long-term strategic success. The marketing plan includes a variety of engagement metrics, such as click-through rates, time spent with content, and socialisation of the content, to identify what consumers consider to be the most relevant and effective creative marketing messages. The marketing plan also outlines conversion metrics, which include the registration of devices for use and the rate at which consumers adopt Samsung's ecosystem of products, to identify the extent to which the marketing campaign drives sales and usage behaviour.</w:t>
      </w:r>
    </w:p>
    <w:p w14:paraId="0284C04C" w14:textId="12082DF9" w:rsidR="00A249A2" w:rsidRPr="00A249A2" w:rsidRDefault="00A249A2" w:rsidP="00A249A2">
      <w:pPr>
        <w:spacing w:line="480" w:lineRule="auto"/>
        <w:jc w:val="both"/>
        <w:rPr>
          <w:rFonts w:ascii="Arial" w:hAnsi="Arial" w:cs="Arial"/>
        </w:rPr>
      </w:pPr>
      <w:r w:rsidRPr="00A249A2">
        <w:rPr>
          <w:rFonts w:ascii="Arial" w:hAnsi="Arial" w:cs="Arial"/>
        </w:rPr>
        <w:t xml:space="preserve">In addition to focusing on immediate results from the marketing plan, there is also a strong emphasis placed on customer lifetime value as a significant metric of success. By analysing engagement patterns of consumers, retention rates, and cross-product adopters </w:t>
      </w:r>
      <w:r w:rsidR="006403C0" w:rsidRPr="00A249A2">
        <w:rPr>
          <w:rFonts w:ascii="Arial" w:hAnsi="Arial" w:cs="Arial"/>
        </w:rPr>
        <w:t>using</w:t>
      </w:r>
      <w:r w:rsidRPr="00A249A2">
        <w:rPr>
          <w:rFonts w:ascii="Arial" w:hAnsi="Arial" w:cs="Arial"/>
        </w:rPr>
        <w:t xml:space="preserve"> digital marketing analytics and machine learning technologies, Samsung has access to an enhanced level of accuracy when forecasting long-term customer lifetime value (Kumar et al., 2023). Research has established that both trust and satisfaction are key drivers of sustainable customer value, especially in technology-enabled relationships (</w:t>
      </w:r>
      <w:proofErr w:type="spellStart"/>
      <w:r w:rsidRPr="00A249A2">
        <w:rPr>
          <w:rFonts w:ascii="Arial" w:hAnsi="Arial" w:cs="Arial"/>
        </w:rPr>
        <w:t>Kojuri</w:t>
      </w:r>
      <w:proofErr w:type="spellEnd"/>
      <w:r w:rsidRPr="00A249A2">
        <w:rPr>
          <w:rFonts w:ascii="Arial" w:hAnsi="Arial" w:cs="Arial"/>
        </w:rPr>
        <w:t xml:space="preserve"> &amp; Ali, 2024).</w:t>
      </w:r>
    </w:p>
    <w:p w14:paraId="40B6E9DE" w14:textId="03F2E3E3" w:rsidR="00A249A2" w:rsidRPr="00A249A2" w:rsidRDefault="006403C0" w:rsidP="00A249A2">
      <w:pPr>
        <w:spacing w:line="480" w:lineRule="auto"/>
        <w:jc w:val="both"/>
        <w:rPr>
          <w:rFonts w:ascii="Arial" w:hAnsi="Arial" w:cs="Arial"/>
        </w:rPr>
      </w:pPr>
      <w:r w:rsidRPr="00A249A2">
        <w:rPr>
          <w:rFonts w:ascii="Arial" w:hAnsi="Arial" w:cs="Arial"/>
        </w:rPr>
        <w:t>Using</w:t>
      </w:r>
      <w:r w:rsidR="00A249A2" w:rsidRPr="00A249A2">
        <w:rPr>
          <w:rFonts w:ascii="Arial" w:hAnsi="Arial" w:cs="Arial"/>
        </w:rPr>
        <w:t xml:space="preserve"> advanced analytics, including marketing analytics and big data analytics, Samsung can identify through these types of analytics what channels, marketing messages, and market segments provide the greatest return on investment (Mou et al., 2022; Theodorakopoulos &amp; Theodoropoulou, 2024). Collectively, </w:t>
      </w:r>
      <w:r w:rsidRPr="00A249A2">
        <w:rPr>
          <w:rFonts w:ascii="Arial" w:hAnsi="Arial" w:cs="Arial"/>
        </w:rPr>
        <w:t>all</w:t>
      </w:r>
      <w:r w:rsidR="00A249A2" w:rsidRPr="00A249A2">
        <w:rPr>
          <w:rFonts w:ascii="Arial" w:hAnsi="Arial" w:cs="Arial"/>
        </w:rPr>
        <w:t xml:space="preserve"> these measures support Samsung’s ability to establish an accountability and strategic </w:t>
      </w:r>
      <w:r w:rsidR="00A249A2" w:rsidRPr="00A249A2">
        <w:rPr>
          <w:rFonts w:ascii="Arial" w:hAnsi="Arial" w:cs="Arial"/>
        </w:rPr>
        <w:lastRenderedPageBreak/>
        <w:t>learning framework for measuring and evaluating the performance of the marketing plan.</w:t>
      </w:r>
    </w:p>
    <w:p w14:paraId="033E6C5D" w14:textId="7BDF177A" w:rsidR="00A249A2" w:rsidRPr="006403C0" w:rsidRDefault="00A249A2" w:rsidP="00A249A2">
      <w:pPr>
        <w:spacing w:line="480" w:lineRule="auto"/>
        <w:jc w:val="both"/>
        <w:rPr>
          <w:rFonts w:ascii="Arial" w:hAnsi="Arial" w:cs="Arial"/>
          <w:b/>
          <w:bCs/>
        </w:rPr>
      </w:pPr>
      <w:r w:rsidRPr="006403C0">
        <w:rPr>
          <w:rFonts w:ascii="Arial" w:hAnsi="Arial" w:cs="Arial"/>
          <w:b/>
          <w:bCs/>
        </w:rPr>
        <w:t>Conclusion</w:t>
      </w:r>
    </w:p>
    <w:p w14:paraId="287F5C98" w14:textId="0CCFDA05" w:rsidR="00A249A2" w:rsidRDefault="00A249A2" w:rsidP="00A249A2">
      <w:pPr>
        <w:spacing w:line="480" w:lineRule="auto"/>
        <w:jc w:val="both"/>
        <w:rPr>
          <w:rFonts w:ascii="Arial" w:hAnsi="Arial" w:cs="Arial"/>
        </w:rPr>
      </w:pPr>
      <w:r w:rsidRPr="00A249A2">
        <w:rPr>
          <w:rFonts w:ascii="Arial" w:hAnsi="Arial" w:cs="Arial"/>
        </w:rPr>
        <w:t>The marketing plan presented within this document provides an avenue for Samsung to implement and leverage digital marketing as an effective growth strategy for the Galaxy Wearable product line through targeting a newly defined segment of health-conscious urban professionals. The marketing plan utilises time-tested marketing concepts, along with contemporary digital research, to demonstrate the importance of effective segmentation, positioning, and integrated communication strategies for companies who compete in technology-based markets. Overall, Samsung's proposed campaign is designed to deliver highly personalised communications, showcase the value of its ecosystem of products, and establish long-term relationships with customers. Furthermore, the customer-focused approach of the marketing plan is in alignment with the broader industry trend of smart, connected products and the evolving nature of consumer behaviour in the digital world through a clear understanding of consumer interests and a commitment to delivering relevant messaging. By utilising considered channel selection and established measurement systems, Samsung will successfully optimise both the short-term performance and the long-term brand equity of the Samsung family of health technology products. Ultimately, the marketing plan illustrates how digital marketing can be used as a valuable tool in establishing a competitive strategic advantage when used in congruence with both consumer insight and the organisation's capabilities.</w:t>
      </w:r>
    </w:p>
    <w:p w14:paraId="179B7221" w14:textId="77777777" w:rsidR="00A249A2" w:rsidRDefault="00A249A2" w:rsidP="00A249A2">
      <w:pPr>
        <w:spacing w:line="480" w:lineRule="auto"/>
        <w:jc w:val="both"/>
        <w:rPr>
          <w:rFonts w:ascii="Arial" w:hAnsi="Arial" w:cs="Arial"/>
        </w:rPr>
      </w:pPr>
    </w:p>
    <w:p w14:paraId="368EFD3E" w14:textId="77777777" w:rsidR="006403C0" w:rsidRDefault="006403C0" w:rsidP="00A249A2">
      <w:pPr>
        <w:spacing w:line="480" w:lineRule="auto"/>
        <w:jc w:val="both"/>
        <w:rPr>
          <w:rFonts w:ascii="Arial" w:hAnsi="Arial" w:cs="Arial"/>
        </w:rPr>
      </w:pPr>
    </w:p>
    <w:p w14:paraId="6B6B30BF" w14:textId="38949117" w:rsidR="00A249A2" w:rsidRPr="006403C0" w:rsidRDefault="00A249A2" w:rsidP="00A249A2">
      <w:pPr>
        <w:spacing w:line="480" w:lineRule="auto"/>
        <w:jc w:val="both"/>
        <w:rPr>
          <w:rFonts w:ascii="Arial" w:hAnsi="Arial" w:cs="Arial"/>
          <w:b/>
          <w:bCs/>
        </w:rPr>
      </w:pPr>
      <w:r w:rsidRPr="006403C0">
        <w:rPr>
          <w:rFonts w:ascii="Arial" w:hAnsi="Arial" w:cs="Arial"/>
          <w:b/>
          <w:bCs/>
        </w:rPr>
        <w:lastRenderedPageBreak/>
        <w:t>References</w:t>
      </w:r>
    </w:p>
    <w:p w14:paraId="1CC61E64" w14:textId="77777777" w:rsidR="00A249A2" w:rsidRPr="00A249A2" w:rsidRDefault="00A249A2" w:rsidP="00A249A2">
      <w:pPr>
        <w:spacing w:line="480" w:lineRule="auto"/>
        <w:jc w:val="both"/>
        <w:rPr>
          <w:rFonts w:ascii="Arial" w:hAnsi="Arial" w:cs="Arial"/>
        </w:rPr>
      </w:pPr>
      <w:proofErr w:type="spellStart"/>
      <w:r w:rsidRPr="00A249A2">
        <w:rPr>
          <w:rFonts w:ascii="Arial" w:hAnsi="Arial" w:cs="Arial"/>
        </w:rPr>
        <w:t>Asy’ari</w:t>
      </w:r>
      <w:proofErr w:type="spellEnd"/>
      <w:r w:rsidRPr="00A249A2">
        <w:rPr>
          <w:rFonts w:ascii="Arial" w:hAnsi="Arial" w:cs="Arial"/>
        </w:rPr>
        <w:t xml:space="preserve">, A. T., &amp; </w:t>
      </w:r>
      <w:proofErr w:type="spellStart"/>
      <w:r w:rsidRPr="00A249A2">
        <w:rPr>
          <w:rFonts w:ascii="Arial" w:hAnsi="Arial" w:cs="Arial"/>
        </w:rPr>
        <w:t>Winarno</w:t>
      </w:r>
      <w:proofErr w:type="spellEnd"/>
      <w:r w:rsidRPr="00A249A2">
        <w:rPr>
          <w:rFonts w:ascii="Arial" w:hAnsi="Arial" w:cs="Arial"/>
        </w:rPr>
        <w:t xml:space="preserve">, A. (2025). Implementation of segmenting, targeting, positioning in increasing buying power towards customer satisfaction: A conceptual review. </w:t>
      </w:r>
      <w:r w:rsidRPr="006403C0">
        <w:rPr>
          <w:rFonts w:ascii="Arial" w:hAnsi="Arial" w:cs="Arial"/>
          <w:i/>
          <w:iCs/>
        </w:rPr>
        <w:t>East Asian Journal of Multidisciplinary Research, 4</w:t>
      </w:r>
      <w:r w:rsidRPr="00A249A2">
        <w:rPr>
          <w:rFonts w:ascii="Arial" w:hAnsi="Arial" w:cs="Arial"/>
        </w:rPr>
        <w:t>(5), 2237–2248.</w:t>
      </w:r>
    </w:p>
    <w:p w14:paraId="52403F75" w14:textId="77777777" w:rsidR="00A249A2" w:rsidRPr="00A249A2" w:rsidRDefault="00A249A2" w:rsidP="00A249A2">
      <w:pPr>
        <w:spacing w:line="480" w:lineRule="auto"/>
        <w:jc w:val="both"/>
        <w:rPr>
          <w:rFonts w:ascii="Arial" w:hAnsi="Arial" w:cs="Arial"/>
        </w:rPr>
      </w:pPr>
      <w:r w:rsidRPr="00A249A2">
        <w:rPr>
          <w:rFonts w:ascii="Arial" w:hAnsi="Arial" w:cs="Arial"/>
        </w:rPr>
        <w:t xml:space="preserve">Chaffey, D., &amp; Smith, P. R. (2022). </w:t>
      </w:r>
      <w:r w:rsidRPr="006403C0">
        <w:rPr>
          <w:rFonts w:ascii="Arial" w:hAnsi="Arial" w:cs="Arial"/>
          <w:i/>
          <w:iCs/>
        </w:rPr>
        <w:t xml:space="preserve">Digital marketing excellence: Planning, optimizing and integrating online marketing </w:t>
      </w:r>
      <w:r w:rsidRPr="00A249A2">
        <w:rPr>
          <w:rFonts w:ascii="Arial" w:hAnsi="Arial" w:cs="Arial"/>
        </w:rPr>
        <w:t>(7th ed.). Routledge.</w:t>
      </w:r>
    </w:p>
    <w:p w14:paraId="7E0B36F6" w14:textId="4B4E0007" w:rsidR="00A249A2" w:rsidRPr="00A249A2" w:rsidRDefault="00A249A2" w:rsidP="00A249A2">
      <w:pPr>
        <w:spacing w:line="480" w:lineRule="auto"/>
        <w:jc w:val="both"/>
        <w:rPr>
          <w:rFonts w:ascii="Arial" w:hAnsi="Arial" w:cs="Arial"/>
        </w:rPr>
      </w:pPr>
      <w:proofErr w:type="spellStart"/>
      <w:r w:rsidRPr="00A249A2">
        <w:rPr>
          <w:rFonts w:ascii="Arial" w:hAnsi="Arial" w:cs="Arial"/>
        </w:rPr>
        <w:t>Erevelles</w:t>
      </w:r>
      <w:proofErr w:type="spellEnd"/>
      <w:r w:rsidRPr="00A249A2">
        <w:rPr>
          <w:rFonts w:ascii="Arial" w:hAnsi="Arial" w:cs="Arial"/>
        </w:rPr>
        <w:t xml:space="preserve">, S., </w:t>
      </w:r>
      <w:proofErr w:type="spellStart"/>
      <w:r w:rsidRPr="00A249A2">
        <w:rPr>
          <w:rFonts w:ascii="Arial" w:hAnsi="Arial" w:cs="Arial"/>
        </w:rPr>
        <w:t>Fukawa</w:t>
      </w:r>
      <w:proofErr w:type="spellEnd"/>
      <w:r w:rsidRPr="00A249A2">
        <w:rPr>
          <w:rFonts w:ascii="Arial" w:hAnsi="Arial" w:cs="Arial"/>
        </w:rPr>
        <w:t xml:space="preserve">, N., &amp; Swayne, L. (2022). The role of artificial intelligence in personalization: Implications for marketing strategy. </w:t>
      </w:r>
      <w:r w:rsidRPr="006403C0">
        <w:rPr>
          <w:rFonts w:ascii="Arial" w:hAnsi="Arial" w:cs="Arial"/>
          <w:i/>
          <w:iCs/>
        </w:rPr>
        <w:t>Journal of the Academy of Marketing Science, 50</w:t>
      </w:r>
      <w:r w:rsidRPr="00A249A2">
        <w:rPr>
          <w:rFonts w:ascii="Arial" w:hAnsi="Arial" w:cs="Arial"/>
        </w:rPr>
        <w:t xml:space="preserve">(3), 482–500. </w:t>
      </w:r>
    </w:p>
    <w:p w14:paraId="6AB961C9" w14:textId="77777777" w:rsidR="00A249A2" w:rsidRPr="00A249A2" w:rsidRDefault="00A249A2" w:rsidP="00A249A2">
      <w:pPr>
        <w:spacing w:line="480" w:lineRule="auto"/>
        <w:jc w:val="both"/>
        <w:rPr>
          <w:rFonts w:ascii="Arial" w:hAnsi="Arial" w:cs="Arial"/>
        </w:rPr>
      </w:pPr>
      <w:r w:rsidRPr="00A249A2">
        <w:rPr>
          <w:rFonts w:ascii="Arial" w:hAnsi="Arial" w:cs="Arial"/>
        </w:rPr>
        <w:t xml:space="preserve">Erwin, E., </w:t>
      </w:r>
      <w:proofErr w:type="spellStart"/>
      <w:r w:rsidRPr="00A249A2">
        <w:rPr>
          <w:rFonts w:ascii="Arial" w:hAnsi="Arial" w:cs="Arial"/>
        </w:rPr>
        <w:t>Saununu</w:t>
      </w:r>
      <w:proofErr w:type="spellEnd"/>
      <w:r w:rsidRPr="00A249A2">
        <w:rPr>
          <w:rFonts w:ascii="Arial" w:hAnsi="Arial" w:cs="Arial"/>
        </w:rPr>
        <w:t xml:space="preserve">, S. J., &amp; </w:t>
      </w:r>
      <w:proofErr w:type="spellStart"/>
      <w:r w:rsidRPr="00A249A2">
        <w:rPr>
          <w:rFonts w:ascii="Arial" w:hAnsi="Arial" w:cs="Arial"/>
        </w:rPr>
        <w:t>Rukmana</w:t>
      </w:r>
      <w:proofErr w:type="spellEnd"/>
      <w:r w:rsidRPr="00A249A2">
        <w:rPr>
          <w:rFonts w:ascii="Arial" w:hAnsi="Arial" w:cs="Arial"/>
        </w:rPr>
        <w:t xml:space="preserve">, A. Y. (2023). The influence of social media influencers on generation Z consumer behaviour in Indonesia. </w:t>
      </w:r>
      <w:r w:rsidRPr="006403C0">
        <w:rPr>
          <w:rFonts w:ascii="Arial" w:hAnsi="Arial" w:cs="Arial"/>
          <w:i/>
          <w:iCs/>
        </w:rPr>
        <w:t>West Science Interdisciplinary Studies, 1</w:t>
      </w:r>
      <w:r w:rsidRPr="00A249A2">
        <w:rPr>
          <w:rFonts w:ascii="Arial" w:hAnsi="Arial" w:cs="Arial"/>
        </w:rPr>
        <w:t>(10), 1028–1038.</w:t>
      </w:r>
    </w:p>
    <w:p w14:paraId="62BE1F57" w14:textId="07DD811D" w:rsidR="00A249A2" w:rsidRPr="00A249A2" w:rsidRDefault="00A249A2" w:rsidP="00A249A2">
      <w:pPr>
        <w:spacing w:line="480" w:lineRule="auto"/>
        <w:jc w:val="both"/>
        <w:rPr>
          <w:rFonts w:ascii="Arial" w:hAnsi="Arial" w:cs="Arial"/>
        </w:rPr>
      </w:pPr>
      <w:r w:rsidRPr="00A249A2">
        <w:rPr>
          <w:rFonts w:ascii="Arial" w:hAnsi="Arial" w:cs="Arial"/>
        </w:rPr>
        <w:t xml:space="preserve">Guilherme, A. C., &amp; Mendes, A. C. (2023). Strategic growth decisions and the Ansoff matrix: A review of literature and application in the retail sector. </w:t>
      </w:r>
      <w:r w:rsidRPr="006403C0">
        <w:rPr>
          <w:rFonts w:ascii="Arial" w:hAnsi="Arial" w:cs="Arial"/>
          <w:i/>
          <w:iCs/>
        </w:rPr>
        <w:t>International Journal of Retail &amp; Distribution Management, 51</w:t>
      </w:r>
      <w:r w:rsidRPr="00A249A2">
        <w:rPr>
          <w:rFonts w:ascii="Arial" w:hAnsi="Arial" w:cs="Arial"/>
        </w:rPr>
        <w:t xml:space="preserve">(4), 533–548. </w:t>
      </w:r>
      <w:hyperlink r:id="rId6" w:history="1">
        <w:r w:rsidR="006403C0" w:rsidRPr="00AA50F0">
          <w:rPr>
            <w:rStyle w:val="Hyperlink"/>
            <w:rFonts w:ascii="Arial" w:hAnsi="Arial" w:cs="Arial"/>
          </w:rPr>
          <w:t>https://doi.org/10.1108/IJRDM-01-2022-0031</w:t>
        </w:r>
      </w:hyperlink>
      <w:r w:rsidR="006403C0">
        <w:rPr>
          <w:rFonts w:ascii="Arial" w:hAnsi="Arial" w:cs="Arial"/>
        </w:rPr>
        <w:t xml:space="preserve"> </w:t>
      </w:r>
    </w:p>
    <w:p w14:paraId="54126A89" w14:textId="77777777" w:rsidR="00A249A2" w:rsidRPr="00A249A2" w:rsidRDefault="00A249A2" w:rsidP="00A249A2">
      <w:pPr>
        <w:spacing w:line="480" w:lineRule="auto"/>
        <w:jc w:val="both"/>
        <w:rPr>
          <w:rFonts w:ascii="Arial" w:hAnsi="Arial" w:cs="Arial"/>
        </w:rPr>
      </w:pPr>
      <w:r w:rsidRPr="00A249A2">
        <w:rPr>
          <w:rFonts w:ascii="Arial" w:hAnsi="Arial" w:cs="Arial"/>
        </w:rPr>
        <w:t xml:space="preserve">Gusmao, J., </w:t>
      </w:r>
      <w:proofErr w:type="spellStart"/>
      <w:r w:rsidRPr="00A249A2">
        <w:rPr>
          <w:rFonts w:ascii="Arial" w:hAnsi="Arial" w:cs="Arial"/>
        </w:rPr>
        <w:t>Muryati</w:t>
      </w:r>
      <w:proofErr w:type="spellEnd"/>
      <w:r w:rsidRPr="00A249A2">
        <w:rPr>
          <w:rFonts w:ascii="Arial" w:hAnsi="Arial" w:cs="Arial"/>
        </w:rPr>
        <w:t xml:space="preserve">, M., Survival, S., </w:t>
      </w:r>
      <w:proofErr w:type="spellStart"/>
      <w:r w:rsidRPr="00A249A2">
        <w:rPr>
          <w:rFonts w:ascii="Arial" w:hAnsi="Arial" w:cs="Arial"/>
        </w:rPr>
        <w:t>Suci</w:t>
      </w:r>
      <w:proofErr w:type="spellEnd"/>
      <w:r w:rsidRPr="00A249A2">
        <w:rPr>
          <w:rFonts w:ascii="Arial" w:hAnsi="Arial" w:cs="Arial"/>
        </w:rPr>
        <w:t xml:space="preserve">, R. P., &amp; Mas, N. (2025). The effect of segmentation, targeting, and positioning on consumer loyalty with consumer satisfaction as an intervening variable. </w:t>
      </w:r>
      <w:r w:rsidRPr="006403C0">
        <w:rPr>
          <w:rFonts w:ascii="Arial" w:hAnsi="Arial" w:cs="Arial"/>
          <w:i/>
          <w:iCs/>
        </w:rPr>
        <w:t>International Journal of Economics and Management Research, 4</w:t>
      </w:r>
      <w:r w:rsidRPr="00A249A2">
        <w:rPr>
          <w:rFonts w:ascii="Arial" w:hAnsi="Arial" w:cs="Arial"/>
        </w:rPr>
        <w:t>(3), 376–390.</w:t>
      </w:r>
    </w:p>
    <w:p w14:paraId="1F191E8A" w14:textId="77777777" w:rsidR="00A249A2" w:rsidRPr="00A249A2" w:rsidRDefault="00A249A2" w:rsidP="00A249A2">
      <w:pPr>
        <w:spacing w:line="480" w:lineRule="auto"/>
        <w:jc w:val="both"/>
        <w:rPr>
          <w:rFonts w:ascii="Arial" w:hAnsi="Arial" w:cs="Arial"/>
        </w:rPr>
      </w:pPr>
      <w:r w:rsidRPr="00A249A2">
        <w:rPr>
          <w:rFonts w:ascii="Arial" w:hAnsi="Arial" w:cs="Arial"/>
        </w:rPr>
        <w:t xml:space="preserve">Kojuri, S., &amp; Ali, M. (2024). Customer lifetime value in relationship marketing: The effect of satisfaction and trust on value sustainability (case study: restaurant industry). </w:t>
      </w:r>
      <w:r w:rsidRPr="006403C0">
        <w:rPr>
          <w:rFonts w:ascii="Arial" w:hAnsi="Arial" w:cs="Arial"/>
          <w:i/>
          <w:iCs/>
        </w:rPr>
        <w:t>Strategic Value Chain Management, 1</w:t>
      </w:r>
      <w:r w:rsidRPr="00A249A2">
        <w:rPr>
          <w:rFonts w:ascii="Arial" w:hAnsi="Arial" w:cs="Arial"/>
        </w:rPr>
        <w:t>(2), 25–40.</w:t>
      </w:r>
    </w:p>
    <w:p w14:paraId="450440C3" w14:textId="77777777" w:rsidR="00A249A2" w:rsidRPr="00A249A2" w:rsidRDefault="00A249A2" w:rsidP="00A249A2">
      <w:pPr>
        <w:spacing w:line="480" w:lineRule="auto"/>
        <w:jc w:val="both"/>
        <w:rPr>
          <w:rFonts w:ascii="Arial" w:hAnsi="Arial" w:cs="Arial"/>
        </w:rPr>
      </w:pPr>
      <w:r w:rsidRPr="00A249A2">
        <w:rPr>
          <w:rFonts w:ascii="Arial" w:hAnsi="Arial" w:cs="Arial"/>
        </w:rPr>
        <w:lastRenderedPageBreak/>
        <w:t xml:space="preserve">Kotler, P., &amp; Keller, K. L. (2020). </w:t>
      </w:r>
      <w:r w:rsidRPr="006403C0">
        <w:rPr>
          <w:rFonts w:ascii="Arial" w:hAnsi="Arial" w:cs="Arial"/>
          <w:i/>
          <w:iCs/>
        </w:rPr>
        <w:t>Marketing management</w:t>
      </w:r>
      <w:r w:rsidRPr="00A249A2">
        <w:rPr>
          <w:rFonts w:ascii="Arial" w:hAnsi="Arial" w:cs="Arial"/>
        </w:rPr>
        <w:t xml:space="preserve"> (15th ed.). Pearson Education.</w:t>
      </w:r>
    </w:p>
    <w:p w14:paraId="4D1EBE75" w14:textId="1314D630" w:rsidR="00A249A2" w:rsidRPr="00A249A2" w:rsidRDefault="00A249A2" w:rsidP="00A249A2">
      <w:pPr>
        <w:spacing w:line="480" w:lineRule="auto"/>
        <w:jc w:val="both"/>
        <w:rPr>
          <w:rFonts w:ascii="Arial" w:hAnsi="Arial" w:cs="Arial"/>
        </w:rPr>
      </w:pPr>
      <w:r w:rsidRPr="00A249A2">
        <w:rPr>
          <w:rFonts w:ascii="Arial" w:hAnsi="Arial" w:cs="Arial"/>
        </w:rPr>
        <w:t xml:space="preserve">Kumar, A., Singh, K. U., Kumar, G., Choudhury, T., &amp; Kotecha, K. (2023). Customer lifetime value prediction: Using machine learning to forecast CLV and enhance customer relationship management. In </w:t>
      </w:r>
      <w:r w:rsidRPr="006403C0">
        <w:rPr>
          <w:rFonts w:ascii="Arial" w:hAnsi="Arial" w:cs="Arial"/>
          <w:i/>
          <w:iCs/>
        </w:rPr>
        <w:t>Proceedings of the 7th International Symposium on Multidisciplinary Studies and Innovative Technologies</w:t>
      </w:r>
      <w:r w:rsidRPr="00A249A2">
        <w:rPr>
          <w:rFonts w:ascii="Arial" w:hAnsi="Arial" w:cs="Arial"/>
        </w:rPr>
        <w:t xml:space="preserve"> (ISMSIT) (pp. 1–7). IEEE. </w:t>
      </w:r>
      <w:hyperlink r:id="rId7" w:history="1">
        <w:r w:rsidR="006403C0" w:rsidRPr="00AA50F0">
          <w:rPr>
            <w:rStyle w:val="Hyperlink"/>
            <w:rFonts w:ascii="Arial" w:hAnsi="Arial" w:cs="Arial"/>
          </w:rPr>
          <w:t>https://doi.org/10.1109/ISMSIT57059.2023</w:t>
        </w:r>
      </w:hyperlink>
      <w:r w:rsidR="006403C0">
        <w:rPr>
          <w:rFonts w:ascii="Arial" w:hAnsi="Arial" w:cs="Arial"/>
        </w:rPr>
        <w:t xml:space="preserve"> </w:t>
      </w:r>
    </w:p>
    <w:p w14:paraId="7B1592BF" w14:textId="77777777" w:rsidR="00A249A2" w:rsidRPr="00A249A2" w:rsidRDefault="00A249A2" w:rsidP="00A249A2">
      <w:pPr>
        <w:spacing w:line="480" w:lineRule="auto"/>
        <w:jc w:val="both"/>
        <w:rPr>
          <w:rFonts w:ascii="Arial" w:hAnsi="Arial" w:cs="Arial"/>
        </w:rPr>
      </w:pPr>
      <w:r w:rsidRPr="00A249A2">
        <w:rPr>
          <w:rFonts w:ascii="Arial" w:hAnsi="Arial" w:cs="Arial"/>
        </w:rPr>
        <w:t xml:space="preserve">Kumar, M. R., Ahluwalia, I. S., Hazarika, D., Kumar, K., &amp; Singh, M. (2022). Types of consumer buying behaviour. </w:t>
      </w:r>
      <w:r w:rsidRPr="006403C0">
        <w:rPr>
          <w:rFonts w:ascii="Arial" w:hAnsi="Arial" w:cs="Arial"/>
          <w:i/>
          <w:iCs/>
        </w:rPr>
        <w:t>Journal of Contemporary Issues in Business and Government, 28</w:t>
      </w:r>
      <w:r w:rsidRPr="00A249A2">
        <w:rPr>
          <w:rFonts w:ascii="Arial" w:hAnsi="Arial" w:cs="Arial"/>
        </w:rPr>
        <w:t>(4), 2510–2521.</w:t>
      </w:r>
    </w:p>
    <w:p w14:paraId="2570795C" w14:textId="2AB66786" w:rsidR="00A249A2" w:rsidRPr="00A249A2" w:rsidRDefault="00A249A2" w:rsidP="00A249A2">
      <w:pPr>
        <w:spacing w:line="480" w:lineRule="auto"/>
        <w:jc w:val="both"/>
        <w:rPr>
          <w:rFonts w:ascii="Arial" w:hAnsi="Arial" w:cs="Arial"/>
        </w:rPr>
      </w:pPr>
      <w:r w:rsidRPr="00A249A2">
        <w:rPr>
          <w:rFonts w:ascii="Arial" w:hAnsi="Arial" w:cs="Arial"/>
        </w:rPr>
        <w:t xml:space="preserve">Liu, H., Xiao, Q., &amp; Wang, H. (2024). Understanding customer experience for sustainable innovation: An integration of conscious and unconscious perspectives of theme hotel guests. </w:t>
      </w:r>
      <w:r w:rsidRPr="006403C0">
        <w:rPr>
          <w:rFonts w:ascii="Arial" w:hAnsi="Arial" w:cs="Arial"/>
          <w:i/>
          <w:iCs/>
        </w:rPr>
        <w:t>Sustainability, 16</w:t>
      </w:r>
      <w:r w:rsidRPr="00A249A2">
        <w:rPr>
          <w:rFonts w:ascii="Arial" w:hAnsi="Arial" w:cs="Arial"/>
        </w:rPr>
        <w:t xml:space="preserve">(13), 5274. </w:t>
      </w:r>
      <w:hyperlink r:id="rId8" w:history="1">
        <w:r w:rsidR="006403C0" w:rsidRPr="00AA50F0">
          <w:rPr>
            <w:rStyle w:val="Hyperlink"/>
            <w:rFonts w:ascii="Arial" w:hAnsi="Arial" w:cs="Arial"/>
          </w:rPr>
          <w:t>https://doi.org/10.3390/su16135274</w:t>
        </w:r>
      </w:hyperlink>
      <w:r w:rsidR="006403C0">
        <w:rPr>
          <w:rFonts w:ascii="Arial" w:hAnsi="Arial" w:cs="Arial"/>
        </w:rPr>
        <w:t xml:space="preserve"> </w:t>
      </w:r>
    </w:p>
    <w:p w14:paraId="1C2744B2" w14:textId="735CFBAD" w:rsidR="00A249A2" w:rsidRPr="00A249A2" w:rsidRDefault="00A249A2" w:rsidP="00A249A2">
      <w:pPr>
        <w:spacing w:line="480" w:lineRule="auto"/>
        <w:jc w:val="both"/>
        <w:rPr>
          <w:rFonts w:ascii="Arial" w:hAnsi="Arial" w:cs="Arial"/>
        </w:rPr>
      </w:pPr>
      <w:r w:rsidRPr="00A249A2">
        <w:rPr>
          <w:rFonts w:ascii="Arial" w:hAnsi="Arial" w:cs="Arial"/>
        </w:rPr>
        <w:t>M</w:t>
      </w:r>
      <w:r w:rsidR="006403C0">
        <w:rPr>
          <w:rFonts w:ascii="Arial" w:hAnsi="Arial" w:cs="Arial"/>
        </w:rPr>
        <w:t>o</w:t>
      </w:r>
      <w:r w:rsidRPr="00A249A2">
        <w:rPr>
          <w:rFonts w:ascii="Arial" w:hAnsi="Arial" w:cs="Arial"/>
        </w:rPr>
        <w:t xml:space="preserve">ller, K., &amp; Rajala, A. (2021). The strategic role of brand and positioning in the digital era. </w:t>
      </w:r>
      <w:r w:rsidRPr="006403C0">
        <w:rPr>
          <w:rFonts w:ascii="Arial" w:hAnsi="Arial" w:cs="Arial"/>
          <w:i/>
          <w:iCs/>
        </w:rPr>
        <w:t>Marketing Theory, 21</w:t>
      </w:r>
      <w:r w:rsidRPr="00A249A2">
        <w:rPr>
          <w:rFonts w:ascii="Arial" w:hAnsi="Arial" w:cs="Arial"/>
        </w:rPr>
        <w:t xml:space="preserve">(2), 229–246. </w:t>
      </w:r>
      <w:hyperlink r:id="rId9" w:history="1">
        <w:r w:rsidR="006403C0" w:rsidRPr="00AA50F0">
          <w:rPr>
            <w:rStyle w:val="Hyperlink"/>
            <w:rFonts w:ascii="Arial" w:hAnsi="Arial" w:cs="Arial"/>
          </w:rPr>
          <w:t>https://doi.org/10.1177/1470593120977751</w:t>
        </w:r>
      </w:hyperlink>
      <w:r w:rsidR="006403C0">
        <w:rPr>
          <w:rFonts w:ascii="Arial" w:hAnsi="Arial" w:cs="Arial"/>
        </w:rPr>
        <w:t xml:space="preserve"> </w:t>
      </w:r>
    </w:p>
    <w:p w14:paraId="298522C1" w14:textId="77777777" w:rsidR="00A249A2" w:rsidRPr="00A249A2" w:rsidRDefault="00A249A2" w:rsidP="00A249A2">
      <w:pPr>
        <w:spacing w:line="480" w:lineRule="auto"/>
        <w:jc w:val="both"/>
        <w:rPr>
          <w:rFonts w:ascii="Arial" w:hAnsi="Arial" w:cs="Arial"/>
        </w:rPr>
      </w:pPr>
      <w:r w:rsidRPr="00A249A2">
        <w:rPr>
          <w:rFonts w:ascii="Arial" w:hAnsi="Arial" w:cs="Arial"/>
        </w:rPr>
        <w:t xml:space="preserve">Mou, A. J., Hossain, M. S., &amp; Siddiqui, N. A. (2022). Digital transformation in marketing: Evaluating the impact of web analytics and SEO on SME growth. </w:t>
      </w:r>
      <w:r w:rsidRPr="006403C0">
        <w:rPr>
          <w:rFonts w:ascii="Arial" w:hAnsi="Arial" w:cs="Arial"/>
          <w:i/>
          <w:iCs/>
        </w:rPr>
        <w:t>American Journal of Interdisciplinary Studies, 3</w:t>
      </w:r>
      <w:r w:rsidRPr="00A249A2">
        <w:rPr>
          <w:rFonts w:ascii="Arial" w:hAnsi="Arial" w:cs="Arial"/>
        </w:rPr>
        <w:t>(4), 61–90.</w:t>
      </w:r>
    </w:p>
    <w:p w14:paraId="6B386819" w14:textId="77777777" w:rsidR="00A249A2" w:rsidRPr="00A249A2" w:rsidRDefault="00A249A2" w:rsidP="00A249A2">
      <w:pPr>
        <w:spacing w:line="480" w:lineRule="auto"/>
        <w:jc w:val="both"/>
        <w:rPr>
          <w:rFonts w:ascii="Arial" w:hAnsi="Arial" w:cs="Arial"/>
        </w:rPr>
      </w:pPr>
      <w:r w:rsidRPr="00A249A2">
        <w:rPr>
          <w:rFonts w:ascii="Arial" w:hAnsi="Arial" w:cs="Arial"/>
        </w:rPr>
        <w:t xml:space="preserve">Ningrum, H. K., &amp; </w:t>
      </w:r>
      <w:proofErr w:type="spellStart"/>
      <w:r w:rsidRPr="00A249A2">
        <w:rPr>
          <w:rFonts w:ascii="Arial" w:hAnsi="Arial" w:cs="Arial"/>
        </w:rPr>
        <w:t>Hasmarini</w:t>
      </w:r>
      <w:proofErr w:type="spellEnd"/>
      <w:r w:rsidRPr="00A249A2">
        <w:rPr>
          <w:rFonts w:ascii="Arial" w:hAnsi="Arial" w:cs="Arial"/>
        </w:rPr>
        <w:t xml:space="preserve">, M. I. (2024). Marketing strategy analysis using STP strategy (segmentation, targeting, positioning) at PT Berkah </w:t>
      </w:r>
      <w:proofErr w:type="spellStart"/>
      <w:r w:rsidRPr="00A249A2">
        <w:rPr>
          <w:rFonts w:ascii="Arial" w:hAnsi="Arial" w:cs="Arial"/>
        </w:rPr>
        <w:t>Ridho</w:t>
      </w:r>
      <w:proofErr w:type="spellEnd"/>
      <w:r w:rsidRPr="00A249A2">
        <w:rPr>
          <w:rFonts w:ascii="Arial" w:hAnsi="Arial" w:cs="Arial"/>
        </w:rPr>
        <w:t xml:space="preserve"> Cinta Indonesia. </w:t>
      </w:r>
      <w:r w:rsidRPr="006403C0">
        <w:rPr>
          <w:rFonts w:ascii="Arial" w:hAnsi="Arial" w:cs="Arial"/>
          <w:i/>
          <w:iCs/>
        </w:rPr>
        <w:t>Income Journal of Economics Development, 4</w:t>
      </w:r>
      <w:r w:rsidRPr="00A249A2">
        <w:rPr>
          <w:rFonts w:ascii="Arial" w:hAnsi="Arial" w:cs="Arial"/>
        </w:rPr>
        <w:t>(1), 15–19.</w:t>
      </w:r>
    </w:p>
    <w:p w14:paraId="5DB2E0AA" w14:textId="77777777" w:rsidR="006403C0" w:rsidRDefault="00A249A2" w:rsidP="00A249A2">
      <w:pPr>
        <w:spacing w:line="480" w:lineRule="auto"/>
        <w:jc w:val="both"/>
        <w:rPr>
          <w:rFonts w:ascii="Arial" w:hAnsi="Arial" w:cs="Arial"/>
        </w:rPr>
      </w:pPr>
      <w:proofErr w:type="spellStart"/>
      <w:r w:rsidRPr="00A249A2">
        <w:rPr>
          <w:rFonts w:ascii="Arial" w:hAnsi="Arial" w:cs="Arial"/>
        </w:rPr>
        <w:t>Nilplengsang</w:t>
      </w:r>
      <w:proofErr w:type="spellEnd"/>
      <w:r w:rsidRPr="00A249A2">
        <w:rPr>
          <w:rFonts w:ascii="Arial" w:hAnsi="Arial" w:cs="Arial"/>
        </w:rPr>
        <w:t xml:space="preserve">, Y., &amp; </w:t>
      </w:r>
      <w:proofErr w:type="spellStart"/>
      <w:r w:rsidRPr="00A249A2">
        <w:rPr>
          <w:rFonts w:ascii="Arial" w:hAnsi="Arial" w:cs="Arial"/>
        </w:rPr>
        <w:t>Pankham</w:t>
      </w:r>
      <w:proofErr w:type="spellEnd"/>
      <w:r w:rsidRPr="00A249A2">
        <w:rPr>
          <w:rFonts w:ascii="Arial" w:hAnsi="Arial" w:cs="Arial"/>
        </w:rPr>
        <w:t xml:space="preserve">, S. (2024). Beyond STP marketing strategy for online service businesses. </w:t>
      </w:r>
      <w:r w:rsidRPr="006403C0">
        <w:rPr>
          <w:rFonts w:ascii="Arial" w:hAnsi="Arial" w:cs="Arial"/>
          <w:i/>
          <w:iCs/>
        </w:rPr>
        <w:t xml:space="preserve">Revista de </w:t>
      </w:r>
      <w:proofErr w:type="spellStart"/>
      <w:r w:rsidRPr="006403C0">
        <w:rPr>
          <w:rFonts w:ascii="Arial" w:hAnsi="Arial" w:cs="Arial"/>
          <w:i/>
          <w:iCs/>
        </w:rPr>
        <w:t>Gest</w:t>
      </w:r>
      <w:r w:rsidR="006403C0" w:rsidRPr="006403C0">
        <w:rPr>
          <w:rFonts w:ascii="Arial" w:hAnsi="Arial" w:cs="Arial"/>
          <w:i/>
          <w:iCs/>
        </w:rPr>
        <w:t>a</w:t>
      </w:r>
      <w:r w:rsidRPr="006403C0">
        <w:rPr>
          <w:rFonts w:ascii="Arial" w:hAnsi="Arial" w:cs="Arial"/>
          <w:i/>
          <w:iCs/>
        </w:rPr>
        <w:t>o</w:t>
      </w:r>
      <w:proofErr w:type="spellEnd"/>
      <w:r w:rsidRPr="006403C0">
        <w:rPr>
          <w:rFonts w:ascii="Arial" w:hAnsi="Arial" w:cs="Arial"/>
          <w:i/>
          <w:iCs/>
        </w:rPr>
        <w:t xml:space="preserve"> Social e Ambiental, 18</w:t>
      </w:r>
      <w:r w:rsidRPr="00A249A2">
        <w:rPr>
          <w:rFonts w:ascii="Arial" w:hAnsi="Arial" w:cs="Arial"/>
        </w:rPr>
        <w:t>(6), 1–26.</w:t>
      </w:r>
    </w:p>
    <w:p w14:paraId="72010606" w14:textId="71296FCC" w:rsidR="00A249A2" w:rsidRPr="00A249A2" w:rsidRDefault="00A249A2" w:rsidP="00A249A2">
      <w:pPr>
        <w:spacing w:line="480" w:lineRule="auto"/>
        <w:jc w:val="both"/>
        <w:rPr>
          <w:rFonts w:ascii="Arial" w:hAnsi="Arial" w:cs="Arial"/>
        </w:rPr>
      </w:pPr>
      <w:r w:rsidRPr="00A249A2">
        <w:rPr>
          <w:rFonts w:ascii="Arial" w:hAnsi="Arial" w:cs="Arial"/>
        </w:rPr>
        <w:lastRenderedPageBreak/>
        <w:t xml:space="preserve">Parsons, E., </w:t>
      </w:r>
      <w:proofErr w:type="spellStart"/>
      <w:r w:rsidRPr="00A249A2">
        <w:rPr>
          <w:rFonts w:ascii="Arial" w:hAnsi="Arial" w:cs="Arial"/>
        </w:rPr>
        <w:t>Maclaran</w:t>
      </w:r>
      <w:proofErr w:type="spellEnd"/>
      <w:r w:rsidRPr="00A249A2">
        <w:rPr>
          <w:rFonts w:ascii="Arial" w:hAnsi="Arial" w:cs="Arial"/>
        </w:rPr>
        <w:t xml:space="preserve">, P., Chatzidakis, A., &amp; Ashman, R. (2023). </w:t>
      </w:r>
      <w:r w:rsidRPr="006403C0">
        <w:rPr>
          <w:rFonts w:ascii="Arial" w:hAnsi="Arial" w:cs="Arial"/>
          <w:i/>
          <w:iCs/>
        </w:rPr>
        <w:t>Contemporary issues in marketing and consumer behaviour.</w:t>
      </w:r>
      <w:r w:rsidRPr="00A249A2">
        <w:rPr>
          <w:rFonts w:ascii="Arial" w:hAnsi="Arial" w:cs="Arial"/>
        </w:rPr>
        <w:t xml:space="preserve"> Routledge.</w:t>
      </w:r>
    </w:p>
    <w:p w14:paraId="3CB8CEA9" w14:textId="77777777" w:rsidR="00A249A2" w:rsidRPr="00A249A2" w:rsidRDefault="00A249A2" w:rsidP="00A249A2">
      <w:pPr>
        <w:spacing w:line="480" w:lineRule="auto"/>
        <w:jc w:val="both"/>
        <w:rPr>
          <w:rFonts w:ascii="Arial" w:hAnsi="Arial" w:cs="Arial"/>
        </w:rPr>
      </w:pPr>
      <w:r w:rsidRPr="00A249A2">
        <w:rPr>
          <w:rFonts w:ascii="Arial" w:hAnsi="Arial" w:cs="Arial"/>
        </w:rPr>
        <w:t xml:space="preserve">Porter, M. E., &amp; </w:t>
      </w:r>
      <w:proofErr w:type="spellStart"/>
      <w:r w:rsidRPr="00A249A2">
        <w:rPr>
          <w:rFonts w:ascii="Arial" w:hAnsi="Arial" w:cs="Arial"/>
        </w:rPr>
        <w:t>Heppelmann</w:t>
      </w:r>
      <w:proofErr w:type="spellEnd"/>
      <w:r w:rsidRPr="00A249A2">
        <w:rPr>
          <w:rFonts w:ascii="Arial" w:hAnsi="Arial" w:cs="Arial"/>
        </w:rPr>
        <w:t xml:space="preserve">, J. E. (2021). How smart, connected products are transforming competition. </w:t>
      </w:r>
      <w:r w:rsidRPr="006403C0">
        <w:rPr>
          <w:rFonts w:ascii="Arial" w:hAnsi="Arial" w:cs="Arial"/>
          <w:i/>
          <w:iCs/>
        </w:rPr>
        <w:t>Harvard Business Review, 99</w:t>
      </w:r>
      <w:r w:rsidRPr="00A249A2">
        <w:rPr>
          <w:rFonts w:ascii="Arial" w:hAnsi="Arial" w:cs="Arial"/>
        </w:rPr>
        <w:t>(2), 64–76.</w:t>
      </w:r>
    </w:p>
    <w:p w14:paraId="71450CCE" w14:textId="77777777" w:rsidR="00A249A2" w:rsidRPr="00A249A2" w:rsidRDefault="00A249A2" w:rsidP="00A249A2">
      <w:pPr>
        <w:spacing w:line="480" w:lineRule="auto"/>
        <w:jc w:val="both"/>
        <w:rPr>
          <w:rFonts w:ascii="Arial" w:hAnsi="Arial" w:cs="Arial"/>
        </w:rPr>
      </w:pPr>
      <w:proofErr w:type="spellStart"/>
      <w:r w:rsidRPr="00A249A2">
        <w:rPr>
          <w:rFonts w:ascii="Arial" w:hAnsi="Arial" w:cs="Arial"/>
        </w:rPr>
        <w:t>Prasetio</w:t>
      </w:r>
      <w:proofErr w:type="spellEnd"/>
      <w:r w:rsidRPr="00A249A2">
        <w:rPr>
          <w:rFonts w:ascii="Arial" w:hAnsi="Arial" w:cs="Arial"/>
        </w:rPr>
        <w:t xml:space="preserve">, A. B., bin Mohd Aboobaider, B., &amp; bin Ahmad, A. (2025). Predicting customer conversion in digital marketing: Analysing the impact of engagement metrics using logistic regression, decision trees, and random forests. </w:t>
      </w:r>
      <w:r w:rsidRPr="006403C0">
        <w:rPr>
          <w:rFonts w:ascii="Arial" w:hAnsi="Arial" w:cs="Arial"/>
          <w:i/>
          <w:iCs/>
        </w:rPr>
        <w:t>Journal of Digital Market and Digital Currency, 2</w:t>
      </w:r>
      <w:r w:rsidRPr="00A249A2">
        <w:rPr>
          <w:rFonts w:ascii="Arial" w:hAnsi="Arial" w:cs="Arial"/>
        </w:rPr>
        <w:t>(2), 181–204.</w:t>
      </w:r>
    </w:p>
    <w:p w14:paraId="55DDD1D6" w14:textId="693FBC3F" w:rsidR="00A249A2" w:rsidRPr="00A249A2" w:rsidRDefault="00A249A2" w:rsidP="00A249A2">
      <w:pPr>
        <w:spacing w:line="480" w:lineRule="auto"/>
        <w:jc w:val="both"/>
        <w:rPr>
          <w:rFonts w:ascii="Arial" w:hAnsi="Arial" w:cs="Arial"/>
        </w:rPr>
      </w:pPr>
      <w:r w:rsidRPr="00A249A2">
        <w:rPr>
          <w:rFonts w:ascii="Arial" w:hAnsi="Arial" w:cs="Arial"/>
        </w:rPr>
        <w:t xml:space="preserve">Rishika, R., Kannan, P. K., &amp; Pauwels, K. (2020). The effect of customer engagement in social media on customer loyalty: A multi-stage model. </w:t>
      </w:r>
      <w:r w:rsidRPr="006403C0">
        <w:rPr>
          <w:rFonts w:ascii="Arial" w:hAnsi="Arial" w:cs="Arial"/>
          <w:i/>
          <w:iCs/>
        </w:rPr>
        <w:t>Journal of Marketing Research, 57</w:t>
      </w:r>
      <w:r w:rsidRPr="00A249A2">
        <w:rPr>
          <w:rFonts w:ascii="Arial" w:hAnsi="Arial" w:cs="Arial"/>
        </w:rPr>
        <w:t xml:space="preserve">(1), 27–43. </w:t>
      </w:r>
      <w:hyperlink r:id="rId10" w:history="1">
        <w:r w:rsidR="006403C0" w:rsidRPr="00AA50F0">
          <w:rPr>
            <w:rStyle w:val="Hyperlink"/>
            <w:rFonts w:ascii="Arial" w:hAnsi="Arial" w:cs="Arial"/>
          </w:rPr>
          <w:t>https://doi.org/10.1177/0022243719886101</w:t>
        </w:r>
      </w:hyperlink>
      <w:r w:rsidR="006403C0">
        <w:rPr>
          <w:rFonts w:ascii="Arial" w:hAnsi="Arial" w:cs="Arial"/>
        </w:rPr>
        <w:t xml:space="preserve"> </w:t>
      </w:r>
    </w:p>
    <w:p w14:paraId="438D409A" w14:textId="1FC802E7" w:rsidR="00A249A2" w:rsidRPr="00A249A2" w:rsidRDefault="00A249A2" w:rsidP="00A249A2">
      <w:pPr>
        <w:spacing w:line="480" w:lineRule="auto"/>
        <w:jc w:val="both"/>
        <w:rPr>
          <w:rFonts w:ascii="Arial" w:hAnsi="Arial" w:cs="Arial"/>
        </w:rPr>
      </w:pPr>
      <w:r w:rsidRPr="00A249A2">
        <w:rPr>
          <w:rFonts w:ascii="Arial" w:hAnsi="Arial" w:cs="Arial"/>
        </w:rPr>
        <w:t xml:space="preserve">Roy, P., &amp; Datta, D. D. (2022). Theory and models of consumer buying behaviour: A descriptive study. SSRN Electronic Journal. </w:t>
      </w:r>
      <w:hyperlink r:id="rId11" w:history="1">
        <w:r w:rsidR="006403C0" w:rsidRPr="00AA50F0">
          <w:rPr>
            <w:rStyle w:val="Hyperlink"/>
            <w:rFonts w:ascii="Arial" w:hAnsi="Arial" w:cs="Arial"/>
          </w:rPr>
          <w:t>https://doi.org/10.2139/ssrn.5349983</w:t>
        </w:r>
      </w:hyperlink>
      <w:r w:rsidR="006403C0">
        <w:rPr>
          <w:rFonts w:ascii="Arial" w:hAnsi="Arial" w:cs="Arial"/>
        </w:rPr>
        <w:t xml:space="preserve"> </w:t>
      </w:r>
    </w:p>
    <w:p w14:paraId="5C26255E" w14:textId="6A2B948D" w:rsidR="00A249A2" w:rsidRPr="00A249A2" w:rsidRDefault="00A249A2" w:rsidP="00A249A2">
      <w:pPr>
        <w:spacing w:line="480" w:lineRule="auto"/>
        <w:jc w:val="both"/>
        <w:rPr>
          <w:rFonts w:ascii="Arial" w:hAnsi="Arial" w:cs="Arial"/>
        </w:rPr>
      </w:pPr>
      <w:proofErr w:type="spellStart"/>
      <w:r w:rsidRPr="00A249A2">
        <w:rPr>
          <w:rFonts w:ascii="Arial" w:hAnsi="Arial" w:cs="Arial"/>
        </w:rPr>
        <w:t>Sa</w:t>
      </w:r>
      <w:r w:rsidR="006403C0">
        <w:rPr>
          <w:rFonts w:ascii="Arial" w:hAnsi="Arial" w:cs="Arial"/>
        </w:rPr>
        <w:t>g</w:t>
      </w:r>
      <w:r w:rsidRPr="00A249A2">
        <w:rPr>
          <w:rFonts w:ascii="Arial" w:hAnsi="Arial" w:cs="Arial"/>
        </w:rPr>
        <w:t>kaya</w:t>
      </w:r>
      <w:proofErr w:type="spellEnd"/>
      <w:r w:rsidRPr="00A249A2">
        <w:rPr>
          <w:rFonts w:ascii="Arial" w:hAnsi="Arial" w:cs="Arial"/>
        </w:rPr>
        <w:t xml:space="preserve"> Güngör, A., &amp; Ozansoy </w:t>
      </w:r>
      <w:proofErr w:type="spellStart"/>
      <w:r w:rsidRPr="00A249A2">
        <w:rPr>
          <w:rFonts w:ascii="Arial" w:hAnsi="Arial" w:cs="Arial"/>
        </w:rPr>
        <w:t>Çadırcı</w:t>
      </w:r>
      <w:proofErr w:type="spellEnd"/>
      <w:r w:rsidRPr="00A249A2">
        <w:rPr>
          <w:rFonts w:ascii="Arial" w:hAnsi="Arial" w:cs="Arial"/>
        </w:rPr>
        <w:t xml:space="preserve">, T. (2022). Understanding digital consumer: A review, synthesis, and future research agenda. </w:t>
      </w:r>
      <w:r w:rsidRPr="006403C0">
        <w:rPr>
          <w:rFonts w:ascii="Arial" w:hAnsi="Arial" w:cs="Arial"/>
          <w:i/>
          <w:iCs/>
        </w:rPr>
        <w:t>International Journal of Consumer Studies, 46</w:t>
      </w:r>
      <w:r w:rsidRPr="00A249A2">
        <w:rPr>
          <w:rFonts w:ascii="Arial" w:hAnsi="Arial" w:cs="Arial"/>
        </w:rPr>
        <w:t xml:space="preserve">(5), 1829–1858. </w:t>
      </w:r>
      <w:hyperlink r:id="rId12" w:history="1">
        <w:r w:rsidR="006403C0" w:rsidRPr="00AA50F0">
          <w:rPr>
            <w:rStyle w:val="Hyperlink"/>
            <w:rFonts w:ascii="Arial" w:hAnsi="Arial" w:cs="Arial"/>
          </w:rPr>
          <w:t>https://doi.org/10.1111/ijcs.12765</w:t>
        </w:r>
      </w:hyperlink>
      <w:r w:rsidR="006403C0">
        <w:rPr>
          <w:rFonts w:ascii="Arial" w:hAnsi="Arial" w:cs="Arial"/>
        </w:rPr>
        <w:t xml:space="preserve"> </w:t>
      </w:r>
    </w:p>
    <w:p w14:paraId="11971D23" w14:textId="107A9FB8" w:rsidR="00A249A2" w:rsidRPr="00A249A2" w:rsidRDefault="00A249A2" w:rsidP="00A249A2">
      <w:pPr>
        <w:spacing w:line="480" w:lineRule="auto"/>
        <w:jc w:val="both"/>
        <w:rPr>
          <w:rFonts w:ascii="Arial" w:hAnsi="Arial" w:cs="Arial"/>
        </w:rPr>
      </w:pPr>
      <w:r w:rsidRPr="00A249A2">
        <w:rPr>
          <w:rFonts w:ascii="Arial" w:hAnsi="Arial" w:cs="Arial"/>
        </w:rPr>
        <w:t xml:space="preserve">Theodorakopoulos, L., &amp; Theodoropoulou, A. (2024). Leveraging big data analytics for understanding consumer behaviour in digital marketing: A systematic review. </w:t>
      </w:r>
      <w:r w:rsidRPr="00424281">
        <w:rPr>
          <w:rFonts w:ascii="Arial" w:hAnsi="Arial" w:cs="Arial"/>
          <w:i/>
          <w:iCs/>
        </w:rPr>
        <w:t>Human Behaviour and Emerging Technologies, 2024</w:t>
      </w:r>
      <w:r w:rsidRPr="00A249A2">
        <w:rPr>
          <w:rFonts w:ascii="Arial" w:hAnsi="Arial" w:cs="Arial"/>
        </w:rPr>
        <w:t xml:space="preserve">(1), 3641502. </w:t>
      </w:r>
    </w:p>
    <w:p w14:paraId="1F2CD7C0" w14:textId="204BA160" w:rsidR="00A249A2" w:rsidRPr="00A249A2" w:rsidRDefault="00A249A2" w:rsidP="00A249A2">
      <w:pPr>
        <w:spacing w:line="480" w:lineRule="auto"/>
        <w:jc w:val="both"/>
        <w:rPr>
          <w:rFonts w:ascii="Arial" w:hAnsi="Arial" w:cs="Arial"/>
        </w:rPr>
      </w:pPr>
      <w:r w:rsidRPr="00A249A2">
        <w:rPr>
          <w:rFonts w:ascii="Arial" w:hAnsi="Arial" w:cs="Arial"/>
        </w:rPr>
        <w:t xml:space="preserve">Weitz, B. A., &amp; Wensley, R. (2020). Integrated marketing communications and the future of branding. </w:t>
      </w:r>
      <w:r w:rsidRPr="00424281">
        <w:rPr>
          <w:rFonts w:ascii="Arial" w:hAnsi="Arial" w:cs="Arial"/>
          <w:i/>
          <w:iCs/>
        </w:rPr>
        <w:t>Journal of Brand Management, 27</w:t>
      </w:r>
      <w:r w:rsidRPr="00A249A2">
        <w:rPr>
          <w:rFonts w:ascii="Arial" w:hAnsi="Arial" w:cs="Arial"/>
        </w:rPr>
        <w:t xml:space="preserve">(2), 163–177. </w:t>
      </w:r>
    </w:p>
    <w:sectPr w:rsidR="00A249A2" w:rsidRPr="00A249A2" w:rsidSect="006D7867">
      <w:head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6D0A9A" w14:textId="77777777" w:rsidR="009F0081" w:rsidRDefault="009F0081" w:rsidP="006341E0">
      <w:pPr>
        <w:spacing w:after="0" w:line="240" w:lineRule="auto"/>
      </w:pPr>
      <w:r>
        <w:separator/>
      </w:r>
    </w:p>
  </w:endnote>
  <w:endnote w:type="continuationSeparator" w:id="0">
    <w:p w14:paraId="7D4D79D9" w14:textId="77777777" w:rsidR="009F0081" w:rsidRDefault="009F0081" w:rsidP="006341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99D086" w14:textId="77777777" w:rsidR="009F0081" w:rsidRDefault="009F0081" w:rsidP="006341E0">
      <w:pPr>
        <w:spacing w:after="0" w:line="240" w:lineRule="auto"/>
      </w:pPr>
      <w:r>
        <w:separator/>
      </w:r>
    </w:p>
  </w:footnote>
  <w:footnote w:type="continuationSeparator" w:id="0">
    <w:p w14:paraId="017CF20D" w14:textId="77777777" w:rsidR="009F0081" w:rsidRDefault="009F0081" w:rsidP="006341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956681267"/>
      <w:docPartObj>
        <w:docPartGallery w:val="Page Numbers (Top of Page)"/>
        <w:docPartUnique/>
      </w:docPartObj>
    </w:sdtPr>
    <w:sdtEndPr>
      <w:rPr>
        <w:b/>
        <w:bCs/>
        <w:noProof/>
        <w:color w:val="auto"/>
        <w:spacing w:val="0"/>
      </w:rPr>
    </w:sdtEndPr>
    <w:sdtContent>
      <w:p w14:paraId="66226313" w14:textId="39AF7E09" w:rsidR="006341E0" w:rsidRDefault="006341E0">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05F9CC5D" w14:textId="77777777" w:rsidR="006341E0" w:rsidRDefault="006341E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9A2"/>
    <w:rsid w:val="00424281"/>
    <w:rsid w:val="005F6064"/>
    <w:rsid w:val="006341E0"/>
    <w:rsid w:val="006403C0"/>
    <w:rsid w:val="006D7867"/>
    <w:rsid w:val="008057C2"/>
    <w:rsid w:val="008D652F"/>
    <w:rsid w:val="009F0081"/>
    <w:rsid w:val="00A249A2"/>
    <w:rsid w:val="00CE4BDA"/>
    <w:rsid w:val="00CF00A0"/>
    <w:rsid w:val="00F41E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589DA"/>
  <w15:chartTrackingRefBased/>
  <w15:docId w15:val="{7AEF3757-E720-47E1-AA20-811C836EB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49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49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49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49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49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49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49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49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49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49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49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49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49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49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49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49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49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49A2"/>
    <w:rPr>
      <w:rFonts w:eastAsiaTheme="majorEastAsia" w:cstheme="majorBidi"/>
      <w:color w:val="272727" w:themeColor="text1" w:themeTint="D8"/>
    </w:rPr>
  </w:style>
  <w:style w:type="paragraph" w:styleId="Title">
    <w:name w:val="Title"/>
    <w:basedOn w:val="Normal"/>
    <w:next w:val="Normal"/>
    <w:link w:val="TitleChar"/>
    <w:uiPriority w:val="10"/>
    <w:qFormat/>
    <w:rsid w:val="00A249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49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49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49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49A2"/>
    <w:pPr>
      <w:spacing w:before="160"/>
      <w:jc w:val="center"/>
    </w:pPr>
    <w:rPr>
      <w:i/>
      <w:iCs/>
      <w:color w:val="404040" w:themeColor="text1" w:themeTint="BF"/>
    </w:rPr>
  </w:style>
  <w:style w:type="character" w:customStyle="1" w:styleId="QuoteChar">
    <w:name w:val="Quote Char"/>
    <w:basedOn w:val="DefaultParagraphFont"/>
    <w:link w:val="Quote"/>
    <w:uiPriority w:val="29"/>
    <w:rsid w:val="00A249A2"/>
    <w:rPr>
      <w:i/>
      <w:iCs/>
      <w:color w:val="404040" w:themeColor="text1" w:themeTint="BF"/>
    </w:rPr>
  </w:style>
  <w:style w:type="paragraph" w:styleId="ListParagraph">
    <w:name w:val="List Paragraph"/>
    <w:basedOn w:val="Normal"/>
    <w:uiPriority w:val="34"/>
    <w:qFormat/>
    <w:rsid w:val="00A249A2"/>
    <w:pPr>
      <w:ind w:left="720"/>
      <w:contextualSpacing/>
    </w:pPr>
  </w:style>
  <w:style w:type="character" w:styleId="IntenseEmphasis">
    <w:name w:val="Intense Emphasis"/>
    <w:basedOn w:val="DefaultParagraphFont"/>
    <w:uiPriority w:val="21"/>
    <w:qFormat/>
    <w:rsid w:val="00A249A2"/>
    <w:rPr>
      <w:i/>
      <w:iCs/>
      <w:color w:val="0F4761" w:themeColor="accent1" w:themeShade="BF"/>
    </w:rPr>
  </w:style>
  <w:style w:type="paragraph" w:styleId="IntenseQuote">
    <w:name w:val="Intense Quote"/>
    <w:basedOn w:val="Normal"/>
    <w:next w:val="Normal"/>
    <w:link w:val="IntenseQuoteChar"/>
    <w:uiPriority w:val="30"/>
    <w:qFormat/>
    <w:rsid w:val="00A249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49A2"/>
    <w:rPr>
      <w:i/>
      <w:iCs/>
      <w:color w:val="0F4761" w:themeColor="accent1" w:themeShade="BF"/>
    </w:rPr>
  </w:style>
  <w:style w:type="character" w:styleId="IntenseReference">
    <w:name w:val="Intense Reference"/>
    <w:basedOn w:val="DefaultParagraphFont"/>
    <w:uiPriority w:val="32"/>
    <w:qFormat/>
    <w:rsid w:val="00A249A2"/>
    <w:rPr>
      <w:b/>
      <w:bCs/>
      <w:smallCaps/>
      <w:color w:val="0F4761" w:themeColor="accent1" w:themeShade="BF"/>
      <w:spacing w:val="5"/>
    </w:rPr>
  </w:style>
  <w:style w:type="character" w:styleId="Hyperlink">
    <w:name w:val="Hyperlink"/>
    <w:basedOn w:val="DefaultParagraphFont"/>
    <w:uiPriority w:val="99"/>
    <w:unhideWhenUsed/>
    <w:rsid w:val="006403C0"/>
    <w:rPr>
      <w:color w:val="467886" w:themeColor="hyperlink"/>
      <w:u w:val="single"/>
    </w:rPr>
  </w:style>
  <w:style w:type="character" w:styleId="UnresolvedMention">
    <w:name w:val="Unresolved Mention"/>
    <w:basedOn w:val="DefaultParagraphFont"/>
    <w:uiPriority w:val="99"/>
    <w:semiHidden/>
    <w:unhideWhenUsed/>
    <w:rsid w:val="006403C0"/>
    <w:rPr>
      <w:color w:val="605E5C"/>
      <w:shd w:val="clear" w:color="auto" w:fill="E1DFDD"/>
    </w:rPr>
  </w:style>
  <w:style w:type="paragraph" w:styleId="Header">
    <w:name w:val="header"/>
    <w:basedOn w:val="Normal"/>
    <w:link w:val="HeaderChar"/>
    <w:uiPriority w:val="99"/>
    <w:unhideWhenUsed/>
    <w:rsid w:val="006341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41E0"/>
  </w:style>
  <w:style w:type="paragraph" w:styleId="Footer">
    <w:name w:val="footer"/>
    <w:basedOn w:val="Normal"/>
    <w:link w:val="FooterChar"/>
    <w:uiPriority w:val="99"/>
    <w:unhideWhenUsed/>
    <w:rsid w:val="006341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41E0"/>
  </w:style>
  <w:style w:type="paragraph" w:styleId="NoSpacing">
    <w:name w:val="No Spacing"/>
    <w:link w:val="NoSpacingChar"/>
    <w:uiPriority w:val="1"/>
    <w:qFormat/>
    <w:rsid w:val="006D78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D7867"/>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6135274"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doi.org/10.1109/ISMSIT57059.2023" TargetMode="External"/><Relationship Id="rId12" Type="http://schemas.openxmlformats.org/officeDocument/2006/relationships/hyperlink" Target="https://doi.org/10.1111/ijcs.12765"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08/IJRDM-01-2022-0031" TargetMode="External"/><Relationship Id="rId11" Type="http://schemas.openxmlformats.org/officeDocument/2006/relationships/hyperlink" Target="https://doi.org/10.2139/ssrn.5349983"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doi.org/10.1177/0022243719886101" TargetMode="External"/><Relationship Id="rId4" Type="http://schemas.openxmlformats.org/officeDocument/2006/relationships/footnotes" Target="footnotes.xml"/><Relationship Id="rId9" Type="http://schemas.openxmlformats.org/officeDocument/2006/relationships/hyperlink" Target="https://doi.org/10.1177/147059312097775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44</TotalTime>
  <Pages>14</Pages>
  <Words>3347</Words>
  <Characters>19080</Characters>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
  <cp:keywords/>
  <dc:description/>
  <dcterms:created xsi:type="dcterms:W3CDTF">2026-01-08T16:23:00Z</dcterms:created>
  <dcterms:modified xsi:type="dcterms:W3CDTF">2026-01-12T19:22:00Z</dcterms:modified>
</cp:coreProperties>
</file>