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E943C87" w14:textId="77777777" w:rsidR="00AC1CD2" w:rsidRPr="00F3553D" w:rsidRDefault="00AC1CD2" w:rsidP="00AC1CD2">
      <w:pPr>
        <w:jc w:val="center"/>
        <w:rPr>
          <w:rFonts w:ascii="Times New Roman" w:hAnsi="Times New Roman" w:cs="Times New Roman"/>
          <w:b/>
          <w:bCs/>
        </w:rPr>
      </w:pPr>
      <w:r w:rsidRPr="00F3553D">
        <w:rPr>
          <w:rFonts w:ascii="Times New Roman" w:hAnsi="Times New Roman" w:cs="Times New Roman"/>
          <w:b/>
          <w:bCs/>
          <w:noProof/>
        </w:rPr>
        <w:drawing>
          <wp:inline distT="0" distB="0" distL="0" distR="0" wp14:anchorId="11D74901" wp14:editId="0B18734C">
            <wp:extent cx="3787140" cy="1257300"/>
            <wp:effectExtent l="0" t="0" r="3810" b="0"/>
            <wp:docPr id="947637949" name="Picture 2" descr="A black background with a black square&#10;&#10;Description automatically generated with medium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A black background with a black square&#10;&#10;Description automatically generated with medium confidence"/>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3787140" cy="1257300"/>
                    </a:xfrm>
                    <a:prstGeom prst="rect">
                      <a:avLst/>
                    </a:prstGeom>
                    <a:noFill/>
                    <a:ln>
                      <a:noFill/>
                    </a:ln>
                  </pic:spPr>
                </pic:pic>
              </a:graphicData>
            </a:graphic>
          </wp:inline>
        </w:drawing>
      </w:r>
    </w:p>
    <w:p w14:paraId="17E2FBB6" w14:textId="77777777" w:rsidR="00AC1CD2" w:rsidRPr="00F3553D" w:rsidRDefault="00AC1CD2" w:rsidP="00AC1CD2">
      <w:pPr>
        <w:jc w:val="center"/>
        <w:rPr>
          <w:rFonts w:ascii="Times New Roman" w:hAnsi="Times New Roman" w:cs="Times New Roman"/>
          <w:b/>
          <w:bCs/>
        </w:rPr>
      </w:pPr>
    </w:p>
    <w:p w14:paraId="79DF218C" w14:textId="77777777" w:rsidR="00AC1CD2" w:rsidRPr="00F3553D" w:rsidRDefault="00AC1CD2" w:rsidP="00AC1CD2">
      <w:pPr>
        <w:jc w:val="center"/>
        <w:rPr>
          <w:rFonts w:ascii="Times New Roman" w:hAnsi="Times New Roman" w:cs="Times New Roman"/>
          <w:b/>
          <w:bCs/>
        </w:rPr>
      </w:pPr>
    </w:p>
    <w:p w14:paraId="0016ED0D" w14:textId="77777777" w:rsidR="00AC1CD2" w:rsidRPr="00F3553D" w:rsidRDefault="00AC1CD2" w:rsidP="00AC1CD2">
      <w:pPr>
        <w:jc w:val="center"/>
        <w:rPr>
          <w:rFonts w:ascii="Times New Roman" w:hAnsi="Times New Roman" w:cs="Times New Roman"/>
          <w:b/>
          <w:bCs/>
        </w:rPr>
      </w:pPr>
    </w:p>
    <w:p w14:paraId="0A90C280" w14:textId="77777777" w:rsidR="00AC1CD2" w:rsidRPr="00F3553D" w:rsidRDefault="00AC1CD2" w:rsidP="00AC1CD2">
      <w:pPr>
        <w:jc w:val="center"/>
        <w:rPr>
          <w:rFonts w:ascii="Times New Roman" w:hAnsi="Times New Roman" w:cs="Times New Roman"/>
          <w:b/>
          <w:bCs/>
        </w:rPr>
      </w:pPr>
    </w:p>
    <w:p w14:paraId="6E825382" w14:textId="4253AA3D" w:rsidR="00AC1CD2" w:rsidRPr="00F3553D" w:rsidRDefault="00AC1CD2" w:rsidP="00AC1CD2">
      <w:pPr>
        <w:spacing w:before="120" w:after="120"/>
        <w:jc w:val="center"/>
        <w:rPr>
          <w:rFonts w:cs="Arial"/>
          <w:b/>
        </w:rPr>
      </w:pPr>
      <w:r w:rsidRPr="00F3553D">
        <w:rPr>
          <w:rFonts w:cs="Times New Roman"/>
          <w:b/>
          <w:bCs/>
        </w:rPr>
        <w:t xml:space="preserve">Module name: </w:t>
      </w:r>
      <w:r w:rsidR="007D5288" w:rsidRPr="00F3553D">
        <w:rPr>
          <w:rFonts w:eastAsia="Arial"/>
          <w:b/>
        </w:rPr>
        <w:t xml:space="preserve">Facilitating </w:t>
      </w:r>
      <w:r w:rsidR="002B43C3" w:rsidRPr="00F3553D">
        <w:rPr>
          <w:rFonts w:eastAsia="Arial"/>
          <w:b/>
        </w:rPr>
        <w:t>c</w:t>
      </w:r>
      <w:r w:rsidR="007D5288" w:rsidRPr="00F3553D">
        <w:rPr>
          <w:rFonts w:eastAsia="Arial"/>
          <w:b/>
        </w:rPr>
        <w:t xml:space="preserve">hange and </w:t>
      </w:r>
      <w:r w:rsidR="002B43C3" w:rsidRPr="00F3553D">
        <w:rPr>
          <w:rFonts w:eastAsia="Arial"/>
          <w:b/>
        </w:rPr>
        <w:t>m</w:t>
      </w:r>
      <w:r w:rsidR="007D5288" w:rsidRPr="00F3553D">
        <w:rPr>
          <w:rFonts w:eastAsia="Arial"/>
          <w:b/>
        </w:rPr>
        <w:t xml:space="preserve">anaging </w:t>
      </w:r>
      <w:r w:rsidR="002B43C3" w:rsidRPr="00F3553D">
        <w:rPr>
          <w:rFonts w:eastAsia="Arial"/>
          <w:b/>
        </w:rPr>
        <w:t>q</w:t>
      </w:r>
      <w:r w:rsidR="007D5288" w:rsidRPr="00F3553D">
        <w:rPr>
          <w:rFonts w:eastAsia="Arial"/>
          <w:b/>
        </w:rPr>
        <w:t xml:space="preserve">uality </w:t>
      </w:r>
      <w:r w:rsidR="001F3BB5" w:rsidRPr="00F3553D">
        <w:rPr>
          <w:rFonts w:eastAsia="Arial"/>
          <w:b/>
        </w:rPr>
        <w:t>o</w:t>
      </w:r>
      <w:r w:rsidR="007D5288" w:rsidRPr="00F3553D">
        <w:rPr>
          <w:rFonts w:eastAsia="Arial"/>
          <w:b/>
        </w:rPr>
        <w:t xml:space="preserve">utcomes in </w:t>
      </w:r>
      <w:r w:rsidR="001F3BB5" w:rsidRPr="00F3553D">
        <w:rPr>
          <w:rFonts w:eastAsia="Arial"/>
          <w:b/>
        </w:rPr>
        <w:t>h</w:t>
      </w:r>
      <w:r w:rsidR="007D5288" w:rsidRPr="00F3553D">
        <w:rPr>
          <w:rFonts w:eastAsia="Arial"/>
          <w:b/>
        </w:rPr>
        <w:t xml:space="preserve">ealth </w:t>
      </w:r>
      <w:r w:rsidR="001F3BB5" w:rsidRPr="00F3553D">
        <w:rPr>
          <w:rFonts w:eastAsia="Arial"/>
          <w:b/>
        </w:rPr>
        <w:t>e</w:t>
      </w:r>
      <w:r w:rsidR="007D5288" w:rsidRPr="00F3553D">
        <w:rPr>
          <w:rFonts w:eastAsia="Arial"/>
          <w:b/>
        </w:rPr>
        <w:t>cosystems</w:t>
      </w:r>
    </w:p>
    <w:p w14:paraId="7131D493" w14:textId="69BF2C92" w:rsidR="00652B3B" w:rsidRPr="00F3553D" w:rsidRDefault="00AC1CD2" w:rsidP="00652B3B">
      <w:pPr>
        <w:spacing w:before="120" w:after="120"/>
        <w:jc w:val="center"/>
        <w:rPr>
          <w:rFonts w:cs="Arial"/>
          <w:b/>
          <w:bCs/>
        </w:rPr>
      </w:pPr>
      <w:r w:rsidRPr="00F3553D">
        <w:rPr>
          <w:rFonts w:cs="Times New Roman"/>
          <w:b/>
          <w:bCs/>
        </w:rPr>
        <w:t xml:space="preserve">Module Lead: </w:t>
      </w:r>
      <w:r w:rsidR="00F3553D" w:rsidRPr="00F3553D">
        <w:rPr>
          <w:rFonts w:cs="Times New Roman"/>
          <w:b/>
          <w:bCs/>
        </w:rPr>
        <w:t>Dr Heather Davies</w:t>
      </w:r>
    </w:p>
    <w:p w14:paraId="2E937915" w14:textId="208BF078" w:rsidR="00AC1CD2" w:rsidRPr="00F3553D" w:rsidRDefault="00AC1CD2" w:rsidP="00AC1CD2">
      <w:pPr>
        <w:jc w:val="center"/>
        <w:rPr>
          <w:rFonts w:cs="Times New Roman"/>
          <w:b/>
          <w:bCs/>
        </w:rPr>
      </w:pPr>
      <w:r w:rsidRPr="00F3553D">
        <w:rPr>
          <w:rFonts w:cs="Times New Roman"/>
          <w:b/>
          <w:bCs/>
        </w:rPr>
        <w:t>Module code: BMHP60</w:t>
      </w:r>
      <w:r w:rsidR="00652B3B" w:rsidRPr="00F3553D">
        <w:rPr>
          <w:rFonts w:cs="Times New Roman"/>
          <w:b/>
          <w:bCs/>
        </w:rPr>
        <w:t>28</w:t>
      </w:r>
    </w:p>
    <w:p w14:paraId="6A98DAEA" w14:textId="77777777" w:rsidR="00AC1CD2" w:rsidRPr="00F3553D" w:rsidRDefault="00AC1CD2" w:rsidP="00AC1CD2">
      <w:pPr>
        <w:jc w:val="center"/>
        <w:rPr>
          <w:rFonts w:cs="Times New Roman"/>
          <w:b/>
          <w:bCs/>
          <w:lang w:val="nl-NL"/>
        </w:rPr>
      </w:pPr>
      <w:r w:rsidRPr="00F3553D">
        <w:rPr>
          <w:rFonts w:cs="Times New Roman"/>
          <w:b/>
          <w:bCs/>
          <w:lang w:val="nl-NL"/>
        </w:rPr>
        <w:t>Student: Tamara Biban</w:t>
      </w:r>
    </w:p>
    <w:p w14:paraId="05133D5F" w14:textId="77777777" w:rsidR="00AC1CD2" w:rsidRPr="00AF5CCF" w:rsidRDefault="00AC1CD2" w:rsidP="00AC1CD2">
      <w:pPr>
        <w:jc w:val="center"/>
        <w:rPr>
          <w:rFonts w:cs="Times New Roman"/>
          <w:b/>
          <w:bCs/>
          <w:lang w:val="nl-NL"/>
        </w:rPr>
      </w:pPr>
      <w:r w:rsidRPr="00AF5CCF">
        <w:rPr>
          <w:rFonts w:cs="Times New Roman"/>
          <w:b/>
          <w:bCs/>
          <w:lang w:val="nl-NL"/>
        </w:rPr>
        <w:t>Student ID: 2311222</w:t>
      </w:r>
    </w:p>
    <w:p w14:paraId="4E260A60" w14:textId="7550CCEA" w:rsidR="00AC1CD2" w:rsidRPr="00F3553D" w:rsidRDefault="00AC1CD2" w:rsidP="00AC1CD2">
      <w:pPr>
        <w:jc w:val="center"/>
        <w:rPr>
          <w:rFonts w:cs="Times New Roman"/>
          <w:b/>
          <w:bCs/>
        </w:rPr>
      </w:pPr>
      <w:r w:rsidRPr="00F3553D">
        <w:rPr>
          <w:rFonts w:cs="Times New Roman"/>
          <w:b/>
          <w:bCs/>
        </w:rPr>
        <w:t xml:space="preserve">Word count: </w:t>
      </w:r>
      <w:r w:rsidR="00C17EF0" w:rsidRPr="00F3553D">
        <w:rPr>
          <w:rFonts w:cs="Times New Roman"/>
          <w:b/>
          <w:bCs/>
        </w:rPr>
        <w:t>4</w:t>
      </w:r>
      <w:r w:rsidR="007E4E57">
        <w:rPr>
          <w:rFonts w:cs="Times New Roman"/>
          <w:b/>
          <w:bCs/>
        </w:rPr>
        <w:t>427</w:t>
      </w:r>
    </w:p>
    <w:p w14:paraId="2468ECCD" w14:textId="77777777" w:rsidR="00AC1CD2" w:rsidRPr="00F3553D" w:rsidRDefault="00AC1CD2" w:rsidP="00AC1CD2">
      <w:pPr>
        <w:jc w:val="center"/>
        <w:rPr>
          <w:rFonts w:ascii="Times New Roman" w:hAnsi="Times New Roman" w:cs="Times New Roman"/>
          <w:b/>
          <w:bCs/>
        </w:rPr>
      </w:pPr>
    </w:p>
    <w:p w14:paraId="68514BD6" w14:textId="77777777" w:rsidR="00AC1CD2" w:rsidRPr="00F3553D" w:rsidRDefault="00AC1CD2" w:rsidP="00AC1CD2">
      <w:pPr>
        <w:jc w:val="both"/>
        <w:rPr>
          <w:rFonts w:ascii="Times New Roman" w:hAnsi="Times New Roman" w:cs="Times New Roman"/>
          <w:b/>
          <w:bCs/>
        </w:rPr>
      </w:pPr>
    </w:p>
    <w:p w14:paraId="6FCBF573" w14:textId="77777777" w:rsidR="00AC1CD2" w:rsidRPr="00F3553D" w:rsidRDefault="00AC1CD2" w:rsidP="00A406DB">
      <w:pPr>
        <w:spacing w:line="360" w:lineRule="auto"/>
        <w:jc w:val="center"/>
        <w:rPr>
          <w:sz w:val="36"/>
          <w:szCs w:val="36"/>
        </w:rPr>
      </w:pPr>
    </w:p>
    <w:p w14:paraId="61BD367B" w14:textId="77777777" w:rsidR="001F3BB5" w:rsidRPr="00F3553D" w:rsidRDefault="001F3BB5" w:rsidP="00A406DB">
      <w:pPr>
        <w:spacing w:line="360" w:lineRule="auto"/>
        <w:jc w:val="center"/>
        <w:rPr>
          <w:sz w:val="36"/>
          <w:szCs w:val="36"/>
        </w:rPr>
      </w:pPr>
    </w:p>
    <w:p w14:paraId="5766DD21" w14:textId="77777777" w:rsidR="001F3BB5" w:rsidRPr="00F3553D" w:rsidRDefault="001F3BB5" w:rsidP="00A406DB">
      <w:pPr>
        <w:spacing w:line="360" w:lineRule="auto"/>
        <w:jc w:val="center"/>
        <w:rPr>
          <w:sz w:val="36"/>
          <w:szCs w:val="36"/>
        </w:rPr>
      </w:pPr>
    </w:p>
    <w:p w14:paraId="096132CD" w14:textId="77777777" w:rsidR="001F3BB5" w:rsidRPr="00F3553D" w:rsidRDefault="001F3BB5" w:rsidP="00A406DB">
      <w:pPr>
        <w:spacing w:line="360" w:lineRule="auto"/>
        <w:jc w:val="center"/>
        <w:rPr>
          <w:sz w:val="36"/>
          <w:szCs w:val="36"/>
        </w:rPr>
      </w:pPr>
    </w:p>
    <w:p w14:paraId="0A99BE70" w14:textId="77777777" w:rsidR="001F3BB5" w:rsidRPr="00F3553D" w:rsidRDefault="001F3BB5" w:rsidP="00A406DB">
      <w:pPr>
        <w:spacing w:line="360" w:lineRule="auto"/>
        <w:jc w:val="center"/>
        <w:rPr>
          <w:sz w:val="36"/>
          <w:szCs w:val="36"/>
        </w:rPr>
      </w:pPr>
    </w:p>
    <w:p w14:paraId="6E345BD5" w14:textId="41C115FB" w:rsidR="00A406DB" w:rsidRPr="000539A7" w:rsidRDefault="00A406DB" w:rsidP="00A406DB">
      <w:pPr>
        <w:spacing w:line="360" w:lineRule="auto"/>
        <w:jc w:val="center"/>
        <w:rPr>
          <w:sz w:val="32"/>
          <w:szCs w:val="32"/>
        </w:rPr>
      </w:pPr>
      <w:r w:rsidRPr="000539A7">
        <w:rPr>
          <w:sz w:val="32"/>
          <w:szCs w:val="32"/>
        </w:rPr>
        <w:lastRenderedPageBreak/>
        <w:t>Managing change and protecting quality outcomes in U</w:t>
      </w:r>
      <w:r w:rsidR="001E201A">
        <w:rPr>
          <w:sz w:val="32"/>
          <w:szCs w:val="32"/>
        </w:rPr>
        <w:t xml:space="preserve">nited </w:t>
      </w:r>
      <w:r w:rsidRPr="000539A7">
        <w:rPr>
          <w:sz w:val="32"/>
          <w:szCs w:val="32"/>
        </w:rPr>
        <w:t>K</w:t>
      </w:r>
      <w:r w:rsidR="001E201A">
        <w:rPr>
          <w:sz w:val="32"/>
          <w:szCs w:val="32"/>
        </w:rPr>
        <w:t xml:space="preserve">ingdom </w:t>
      </w:r>
      <w:r w:rsidRPr="000539A7">
        <w:rPr>
          <w:sz w:val="32"/>
          <w:szCs w:val="32"/>
        </w:rPr>
        <w:t>health and social care: a critical evaluation of Community Diagnostic Centres in England</w:t>
      </w:r>
    </w:p>
    <w:p w14:paraId="1F95A0B5" w14:textId="337D6FBC" w:rsidR="00635D85" w:rsidRPr="00F3553D" w:rsidRDefault="00635D85" w:rsidP="00A406DB">
      <w:pPr>
        <w:spacing w:line="360" w:lineRule="auto"/>
        <w:rPr>
          <w:b/>
          <w:bCs/>
        </w:rPr>
      </w:pPr>
      <w:r w:rsidRPr="00F3553D">
        <w:rPr>
          <w:b/>
          <w:bCs/>
        </w:rPr>
        <w:t>Introduction</w:t>
      </w:r>
    </w:p>
    <w:p w14:paraId="4A42FF38" w14:textId="342D8AC7" w:rsidR="00635D85" w:rsidRDefault="00E866B1" w:rsidP="001F3BB5">
      <w:pPr>
        <w:spacing w:line="360" w:lineRule="auto"/>
        <w:jc w:val="both"/>
      </w:pPr>
      <w:r w:rsidRPr="00E866B1">
        <w:t>Change in United Kingdom (UK) health and social care is rarely a straightforward “plan then deliver” process, occurring instead under pressure from policy shifts, rising demand, technology, financial constraints and climate commitments.</w:t>
      </w:r>
      <w:r w:rsidR="00E444F5" w:rsidRPr="00E444F5">
        <w:t xml:space="preserve"> These pressures intensified after COVID-19, when NHS England introduced plans to reduce elective backlogs and expand diagnostic capacity (NHS England, 2022a). The Darzi review also links NHS performance problems to access, quality, productivity and inequalities (Department of Health and Social Care, 2024).</w:t>
      </w:r>
      <w:r w:rsidR="00E444F5">
        <w:t xml:space="preserve"> </w:t>
      </w:r>
      <w:r w:rsidR="00E2378C" w:rsidRPr="00E2378C">
        <w:t>This essay argues that maintaining quality during rapid change depends less on policy intent and more on how change is governed, led and implemented in practice</w:t>
      </w:r>
      <w:r w:rsidR="00F16EBE">
        <w:t xml:space="preserve">. </w:t>
      </w:r>
      <w:r w:rsidR="00F16EBE" w:rsidRPr="00F16EBE">
        <w:t xml:space="preserve">Community Diagnostic Centres (CDCs) in England are used as a strategic case study with sufficient evidence to evaluate improvements, risks and trade-offs (NHS England, 2020; NHS England, 2024a; </w:t>
      </w:r>
      <w:proofErr w:type="spellStart"/>
      <w:r w:rsidR="00F16EBE" w:rsidRPr="00F16EBE">
        <w:t>Sivey</w:t>
      </w:r>
      <w:proofErr w:type="spellEnd"/>
      <w:r w:rsidR="00F16EBE" w:rsidRPr="00F16EBE">
        <w:t xml:space="preserve"> and Wen, 2024).</w:t>
      </w:r>
    </w:p>
    <w:p w14:paraId="6243754B" w14:textId="77777777" w:rsidR="00240069" w:rsidRDefault="00EC6FB2" w:rsidP="00240069">
      <w:pPr>
        <w:spacing w:line="360" w:lineRule="auto"/>
        <w:jc w:val="both"/>
      </w:pPr>
      <w:r w:rsidRPr="00EC6FB2">
        <w:t xml:space="preserve">Quality outcomes are central rather than optional. </w:t>
      </w:r>
      <w:r w:rsidR="00240069" w:rsidRPr="00240069">
        <w:t>Community Diagnostic Centres (CDCs) were designed to improve access and timeliness for diagnostic tests, with potential benefits for safety and effectiveness through earlier diagnosis (NHS England, 2020). However, faster access may introduce risks where reporting capacity, information governance and follow-up are insufficient (National Audit Office, 2025).</w:t>
      </w:r>
    </w:p>
    <w:p w14:paraId="64D53431" w14:textId="6358D72B" w:rsidR="00635D85" w:rsidRPr="00F3553D" w:rsidRDefault="00635D85" w:rsidP="00240069">
      <w:pPr>
        <w:spacing w:line="360" w:lineRule="auto"/>
        <w:jc w:val="both"/>
        <w:rPr>
          <w:b/>
          <w:bCs/>
        </w:rPr>
      </w:pPr>
      <w:r w:rsidRPr="00F3553D">
        <w:rPr>
          <w:b/>
          <w:bCs/>
        </w:rPr>
        <w:t>Key concepts and approach</w:t>
      </w:r>
    </w:p>
    <w:p w14:paraId="181DF697" w14:textId="263BA676" w:rsidR="00BA0FB0" w:rsidRDefault="00635D85" w:rsidP="00BA0FB0">
      <w:pPr>
        <w:pStyle w:val="ListParagraph"/>
        <w:numPr>
          <w:ilvl w:val="1"/>
          <w:numId w:val="7"/>
        </w:numPr>
        <w:spacing w:line="360" w:lineRule="auto"/>
        <w:rPr>
          <w:b/>
          <w:bCs/>
        </w:rPr>
      </w:pPr>
      <w:r w:rsidRPr="00F3553D">
        <w:rPr>
          <w:b/>
          <w:bCs/>
        </w:rPr>
        <w:t>What “change” means in health and social care</w:t>
      </w:r>
    </w:p>
    <w:p w14:paraId="4ECE22BC" w14:textId="0A16521F" w:rsidR="009B7F66" w:rsidRPr="009B7F66" w:rsidRDefault="009B7F66" w:rsidP="00713FEA">
      <w:pPr>
        <w:spacing w:line="360" w:lineRule="auto"/>
        <w:jc w:val="both"/>
      </w:pPr>
      <w:r w:rsidRPr="009B7F66">
        <w:t xml:space="preserve">In UK health and social care, “change” can refer to organisational restructuring, service redesign across pathways, or technology-enabled transformation. CDCs illustrate this clearly, representing not only new diagnostic capacity but coordinated changes in referral pathways, workforce deployment, digital connectivity and governance across organisations </w:t>
      </w:r>
      <w:r w:rsidRPr="009B7F66">
        <w:lastRenderedPageBreak/>
        <w:t>(NHS England, 2024a). The NHS operates as a complex system shaped by local context and national policy, reflected in the varied implementation of CDCs across different settings.</w:t>
      </w:r>
    </w:p>
    <w:p w14:paraId="209BD1B9" w14:textId="445B3651" w:rsidR="00635D85" w:rsidRPr="00F3553D" w:rsidRDefault="00635D85" w:rsidP="00A406DB">
      <w:pPr>
        <w:pStyle w:val="ListParagraph"/>
        <w:numPr>
          <w:ilvl w:val="1"/>
          <w:numId w:val="7"/>
        </w:numPr>
        <w:spacing w:line="360" w:lineRule="auto"/>
        <w:rPr>
          <w:b/>
          <w:bCs/>
        </w:rPr>
      </w:pPr>
      <w:r w:rsidRPr="00F3553D">
        <w:rPr>
          <w:b/>
          <w:bCs/>
        </w:rPr>
        <w:t>Quality outcomes and quality assurance</w:t>
      </w:r>
    </w:p>
    <w:p w14:paraId="486E3522" w14:textId="41B869B4" w:rsidR="00A41AD9" w:rsidRDefault="00A41AD9" w:rsidP="001F3BB5">
      <w:pPr>
        <w:spacing w:line="360" w:lineRule="auto"/>
        <w:jc w:val="both"/>
      </w:pPr>
      <w:r w:rsidRPr="00A41AD9">
        <w:t xml:space="preserve">Quality outcomes are usually framed through safety, effectiveness and patient experience, with timeliness and equity increasingly treated as core quality issues because delays and unequal access cause harm (NHS England, 2024b). </w:t>
      </w:r>
      <w:r w:rsidR="009526A8" w:rsidRPr="009526A8">
        <w:t>Regulators assess “quality” through defined areas of judgement.</w:t>
      </w:r>
      <w:r w:rsidR="009526A8">
        <w:t xml:space="preserve"> </w:t>
      </w:r>
      <w:r w:rsidR="008F3D55">
        <w:t xml:space="preserve">The Care Quality Commission (CQC) assesses quality across domains including safety, effectiveness and responsiveness (CQC, 2024; CQC, 2026). </w:t>
      </w:r>
      <w:r w:rsidRPr="00A41AD9">
        <w:t xml:space="preserve">This is useful for this essay because CDCs are not only judged by whether they increase the number of diagnostic tests, but also by whether they protect patient safety, provide reliable results, respond to local need and are governed properly. </w:t>
      </w:r>
      <w:r w:rsidR="006D10A7" w:rsidRPr="006D10A7">
        <w:t>Quality outcomes in this essay include safety, effectiveness, experience, timeliness, equity and efficiency.</w:t>
      </w:r>
      <w:r w:rsidR="005F35B9">
        <w:t xml:space="preserve"> </w:t>
      </w:r>
      <w:r w:rsidRPr="00A41AD9">
        <w:t>Quality assurance is the governance and learning infrastructure that protects those outcomes: clinical governance, audit, standards, incident learning and oversight.</w:t>
      </w:r>
    </w:p>
    <w:p w14:paraId="26CB3E71" w14:textId="2412D856" w:rsidR="00DF4113" w:rsidRDefault="00E847BE" w:rsidP="00DF4113">
      <w:pPr>
        <w:spacing w:line="360" w:lineRule="auto"/>
        <w:jc w:val="both"/>
      </w:pPr>
      <w:r w:rsidRPr="00E847BE">
        <w:t xml:space="preserve">A practical addition here is the NHS Patient Safety Incident Response Framework (PSIRF). </w:t>
      </w:r>
      <w:r w:rsidR="00B152F1" w:rsidRPr="00B152F1">
        <w:t>PSIRF is the NHS framework for responding to patient safety incidents, focusing on learning and improvement rather than individual blame (NHS England, 2022c).</w:t>
      </w:r>
      <w:r w:rsidR="00B152F1">
        <w:t xml:space="preserve"> </w:t>
      </w:r>
      <w:r w:rsidR="00DF35E6" w:rsidRPr="00DF35E6">
        <w:t>Rapid CDC expansion can increase variation between sites, referral routes, reporting systems and follow-up responsibilities.</w:t>
      </w:r>
      <w:r w:rsidR="00DF35E6">
        <w:t xml:space="preserve"> </w:t>
      </w:r>
      <w:r w:rsidR="00DF4113" w:rsidRPr="00DF4113">
        <w:t>Safety incidents or near misses, such as delayed results, unclear accountability for abnormal findings, or poor communication with patients, can be investigated through PSIRF as system issues to support pathway redesign and reduce future risk.</w:t>
      </w:r>
    </w:p>
    <w:p w14:paraId="1D62EC8D" w14:textId="69EC3C1E" w:rsidR="00635D85" w:rsidRPr="00F3553D" w:rsidRDefault="00635D85" w:rsidP="00DF4113">
      <w:pPr>
        <w:spacing w:line="360" w:lineRule="auto"/>
        <w:jc w:val="both"/>
        <w:rPr>
          <w:b/>
          <w:bCs/>
        </w:rPr>
      </w:pPr>
      <w:r w:rsidRPr="00F3553D">
        <w:rPr>
          <w:b/>
          <w:bCs/>
        </w:rPr>
        <w:t>Change management lenses used</w:t>
      </w:r>
    </w:p>
    <w:p w14:paraId="7719B004" w14:textId="77777777" w:rsidR="00635D85" w:rsidRPr="00F3553D" w:rsidRDefault="00635D85" w:rsidP="001F3BB5">
      <w:pPr>
        <w:spacing w:line="360" w:lineRule="auto"/>
        <w:jc w:val="both"/>
      </w:pPr>
      <w:r w:rsidRPr="00F3553D">
        <w:t>To keep the analysis critical rather than descriptive, I use three lenses.</w:t>
      </w:r>
    </w:p>
    <w:p w14:paraId="2F827EA4" w14:textId="5A32C2C3" w:rsidR="00635D85" w:rsidRPr="00F3553D" w:rsidRDefault="00635D85" w:rsidP="001F3BB5">
      <w:pPr>
        <w:numPr>
          <w:ilvl w:val="0"/>
          <w:numId w:val="6"/>
        </w:numPr>
        <w:spacing w:line="360" w:lineRule="auto"/>
        <w:jc w:val="both"/>
      </w:pPr>
      <w:r w:rsidRPr="00F3553D">
        <w:rPr>
          <w:b/>
          <w:bCs/>
        </w:rPr>
        <w:t>Kotter</w:t>
      </w:r>
      <w:r w:rsidRPr="00F3553D">
        <w:t xml:space="preserve">: change needs urgency, a coalition, a clear vision, removal of barriers and reinforcement to sustain new behaviours (Kotter, </w:t>
      </w:r>
      <w:r w:rsidR="00D569D7" w:rsidRPr="00F3553D">
        <w:t>2007</w:t>
      </w:r>
      <w:r w:rsidRPr="00F3553D">
        <w:t>).</w:t>
      </w:r>
    </w:p>
    <w:p w14:paraId="3C4136B7" w14:textId="77777777" w:rsidR="00635D85" w:rsidRPr="00F3553D" w:rsidRDefault="00635D85" w:rsidP="001F3BB5">
      <w:pPr>
        <w:numPr>
          <w:ilvl w:val="0"/>
          <w:numId w:val="6"/>
        </w:numPr>
        <w:spacing w:line="360" w:lineRule="auto"/>
        <w:jc w:val="both"/>
      </w:pPr>
      <w:r w:rsidRPr="00F3553D">
        <w:rPr>
          <w:b/>
          <w:bCs/>
        </w:rPr>
        <w:lastRenderedPageBreak/>
        <w:t>Lewin</w:t>
      </w:r>
      <w:r w:rsidRPr="00F3553D">
        <w:t>: unfreeze-change-refreeze helps describe what CDCs tried to disrupt (hospital-centred diagnostics), what changed (community sites and pathways), and what had to stabilise (new routines), even if the NHS rarely “refreezes” permanently (Lewin, 1947).</w:t>
      </w:r>
    </w:p>
    <w:p w14:paraId="2FEB1E13" w14:textId="4D522B80" w:rsidR="00635D85" w:rsidRPr="00F3553D" w:rsidRDefault="00635D85" w:rsidP="001F3BB5">
      <w:pPr>
        <w:numPr>
          <w:ilvl w:val="0"/>
          <w:numId w:val="6"/>
        </w:numPr>
        <w:spacing w:line="360" w:lineRule="auto"/>
        <w:jc w:val="both"/>
      </w:pPr>
      <w:r w:rsidRPr="00F3553D">
        <w:rPr>
          <w:b/>
          <w:bCs/>
        </w:rPr>
        <w:t>Complexity lens</w:t>
      </w:r>
      <w:r w:rsidRPr="00F3553D">
        <w:t>: outcomes depend on context such as workforce, digital maturity, geography and inequality, so evaluation needs to account for unintended consequences and uneven effects.</w:t>
      </w:r>
    </w:p>
    <w:p w14:paraId="69ED9D9C" w14:textId="434FDC89" w:rsidR="00635D85" w:rsidRPr="00F3553D" w:rsidRDefault="00635D85" w:rsidP="001F3BB5">
      <w:pPr>
        <w:pStyle w:val="ListParagraph"/>
        <w:numPr>
          <w:ilvl w:val="0"/>
          <w:numId w:val="7"/>
        </w:numPr>
        <w:spacing w:line="360" w:lineRule="auto"/>
        <w:jc w:val="both"/>
        <w:rPr>
          <w:b/>
          <w:bCs/>
        </w:rPr>
      </w:pPr>
      <w:r w:rsidRPr="00F3553D">
        <w:rPr>
          <w:b/>
          <w:bCs/>
        </w:rPr>
        <w:t>Task 1: Critically analyse the main drivers of change in UK health and social care systems</w:t>
      </w:r>
    </w:p>
    <w:p w14:paraId="5BC45A4A" w14:textId="73A41BDB" w:rsidR="00635D85" w:rsidRPr="00F3553D" w:rsidRDefault="00635D85" w:rsidP="00A406DB">
      <w:pPr>
        <w:pStyle w:val="ListParagraph"/>
        <w:numPr>
          <w:ilvl w:val="1"/>
          <w:numId w:val="7"/>
        </w:numPr>
        <w:spacing w:line="360" w:lineRule="auto"/>
        <w:rPr>
          <w:b/>
          <w:bCs/>
        </w:rPr>
      </w:pPr>
      <w:r w:rsidRPr="00F3553D">
        <w:rPr>
          <w:b/>
          <w:bCs/>
        </w:rPr>
        <w:t>Governance and policy</w:t>
      </w:r>
    </w:p>
    <w:p w14:paraId="16C8A2F3" w14:textId="63B30A45" w:rsidR="00635D85" w:rsidRPr="00F3553D" w:rsidRDefault="00635D85" w:rsidP="00CE7D40">
      <w:pPr>
        <w:spacing w:line="360" w:lineRule="auto"/>
        <w:jc w:val="both"/>
      </w:pPr>
      <w:r w:rsidRPr="00F3553D">
        <w:t xml:space="preserve">Governance and policy drive change by setting priorities, accountability and funding routes. UK health and social care governance is multi-layered across government, national bodies, integrated care systems, providers, regulators, local authorities and professional bodies. </w:t>
      </w:r>
      <w:r w:rsidR="00F06980" w:rsidRPr="00F06980">
        <w:t>This complexity can support change but may also slow implementation and blur accountability across organisations.</w:t>
      </w:r>
    </w:p>
    <w:p w14:paraId="63040550" w14:textId="05D9AFC2" w:rsidR="000C37BB" w:rsidRDefault="006B2529" w:rsidP="000C37BB">
      <w:pPr>
        <w:spacing w:line="360" w:lineRule="auto"/>
        <w:jc w:val="both"/>
      </w:pPr>
      <w:r w:rsidRPr="00F3553D">
        <w:t xml:space="preserve">CDCs are strongly policy driven. The Diagnostics: Recovery and Renewal review recommended a new diagnostics model including community diagnostic hubs away from acute sites to expand capacity and improve access (NHS England, 2020). This also fitted the wider elective recovery agenda, where more appointments, more diagnostics and patient choice were presented as ways to reduce long waits (Department of Health and Social Care, 2023). </w:t>
      </w:r>
      <w:r w:rsidR="00CE64FA" w:rsidRPr="00CE64FA">
        <w:t>The CDC programme sits within a broader policy drive for reform and shifting care into the “right place”, while also aligning with longer-term ambitions in the NHS Long Term Plan, which identified the need for diagnostics review and system transformation (NHS, 2019; NHS England, 2020).</w:t>
      </w:r>
      <w:r w:rsidR="00CE64FA">
        <w:t xml:space="preserve"> </w:t>
      </w:r>
      <w:r w:rsidR="000C37BB" w:rsidRPr="000C37BB">
        <w:t>CDCs were part of a nationally mandated strategy rather than a local pilot.</w:t>
      </w:r>
    </w:p>
    <w:p w14:paraId="6E126A2C" w14:textId="77777777" w:rsidR="00CE64FA" w:rsidRDefault="00CE64FA" w:rsidP="000C37BB">
      <w:pPr>
        <w:spacing w:line="360" w:lineRule="auto"/>
        <w:jc w:val="both"/>
      </w:pPr>
    </w:p>
    <w:p w14:paraId="6FB3CC38" w14:textId="77777777" w:rsidR="00CE64FA" w:rsidRPr="000C37BB" w:rsidRDefault="00CE64FA" w:rsidP="000C37BB">
      <w:pPr>
        <w:spacing w:line="360" w:lineRule="auto"/>
        <w:jc w:val="both"/>
      </w:pPr>
    </w:p>
    <w:p w14:paraId="191362B2" w14:textId="77777777" w:rsidR="00CE64FA" w:rsidRDefault="000C37BB" w:rsidP="00CE7D40">
      <w:pPr>
        <w:spacing w:line="360" w:lineRule="auto"/>
        <w:jc w:val="both"/>
        <w:rPr>
          <w:b/>
          <w:bCs/>
        </w:rPr>
      </w:pPr>
      <w:r w:rsidRPr="000C37BB">
        <w:rPr>
          <w:b/>
          <w:bCs/>
        </w:rPr>
        <w:lastRenderedPageBreak/>
        <w:t>ECONOMIE:</w:t>
      </w:r>
    </w:p>
    <w:p w14:paraId="6A18C718" w14:textId="77777777" w:rsidR="00E80D9C" w:rsidRPr="00E80D9C" w:rsidRDefault="00E80D9C" w:rsidP="00E80D9C">
      <w:pPr>
        <w:spacing w:line="360" w:lineRule="auto"/>
        <w:jc w:val="both"/>
      </w:pPr>
      <w:r w:rsidRPr="00E80D9C">
        <w:t>NHS England’s CDC guidance demonstrates governance in practice by setting best practice expectations for commissioning, engagement, regulatory requirements, digital connectivity, workforce planning and pathway development (NHS England, 2024a). Greater standardisation also makes the programme easier to evaluate. However, national targets and deadlines may unintentionally push implementation towards visible outputs, such as opening sites and increasing test numbers, before less visible quality foundations are fully established. Clear governance for diagnostic results, including agreed responsibility for reviewing, communicating and acting on abnormal findings, is therefore essential, alongside staff training and equity planning. Supporting evidence from the National Audit Office (NAO) shows that elective transformation programmes operate under significant constraints and do not always achieve intended goals, with workforce and productivity pressures shaping delivery realities (NAO, 2025). Governance can therefore create urgency and momentum for change, while also increasing delivery risk where local capacity is overstretched.</w:t>
      </w:r>
    </w:p>
    <w:p w14:paraId="498218EE" w14:textId="2EC81747" w:rsidR="00E80D9C" w:rsidRPr="00E80D9C" w:rsidRDefault="00E80D9C" w:rsidP="00CE7D40">
      <w:pPr>
        <w:spacing w:line="360" w:lineRule="auto"/>
        <w:jc w:val="both"/>
      </w:pPr>
      <w:r w:rsidRPr="00E80D9C">
        <w:t>Implication for quality: governance can support quality improvement through standards and assurance but may also create perverse incentives when performance oversight prioritises speed over safe pathway redesign.</w:t>
      </w:r>
    </w:p>
    <w:p w14:paraId="131C1CD8" w14:textId="70D66ED0" w:rsidR="00635D85" w:rsidRPr="00F3553D" w:rsidRDefault="00635D85" w:rsidP="00A406DB">
      <w:pPr>
        <w:pStyle w:val="ListParagraph"/>
        <w:numPr>
          <w:ilvl w:val="1"/>
          <w:numId w:val="7"/>
        </w:numPr>
        <w:spacing w:line="360" w:lineRule="auto"/>
        <w:rPr>
          <w:b/>
          <w:bCs/>
        </w:rPr>
      </w:pPr>
      <w:r w:rsidRPr="00F3553D">
        <w:rPr>
          <w:b/>
          <w:bCs/>
        </w:rPr>
        <w:t>Social and cultural trends</w:t>
      </w:r>
    </w:p>
    <w:p w14:paraId="388B3EFF" w14:textId="7940ADD1" w:rsidR="00635D85" w:rsidRPr="00F3553D" w:rsidRDefault="00635D85" w:rsidP="00CE7D40">
      <w:pPr>
        <w:spacing w:line="360" w:lineRule="auto"/>
        <w:jc w:val="both"/>
      </w:pPr>
      <w:r w:rsidRPr="00F3553D">
        <w:t>The social driver is about both population need and the human side of implementation: expectations, trust and professional culture. The UK’s ageing population and rising multimorbidity increase demand for diagnostics and follow-up, and population projections are used to plan services (</w:t>
      </w:r>
      <w:r w:rsidR="00033F35" w:rsidRPr="00F3553D">
        <w:t>Office for National Statistics</w:t>
      </w:r>
      <w:r w:rsidRPr="00F3553D">
        <w:t>, 2025). Age UK also highlights the pressures of population ageing on health and care services, reinforcing that demand trends are not temporary (</w:t>
      </w:r>
      <w:r w:rsidR="00801EFA" w:rsidRPr="00F3553D">
        <w:t>Reeves, Islam</w:t>
      </w:r>
      <w:r w:rsidR="00C81BF9">
        <w:t xml:space="preserve"> and</w:t>
      </w:r>
      <w:r w:rsidR="00801EFA" w:rsidRPr="00F3553D">
        <w:t xml:space="preserve"> Gentry</w:t>
      </w:r>
      <w:r w:rsidRPr="00F3553D">
        <w:t xml:space="preserve">, 2025). </w:t>
      </w:r>
      <w:r w:rsidR="00711E4F" w:rsidRPr="00711E4F">
        <w:t>Growing demand makes diagnostic backlogs politically and clinically urgent.</w:t>
      </w:r>
    </w:p>
    <w:p w14:paraId="50FC7CC6" w14:textId="23BC5C7D" w:rsidR="00635D85" w:rsidRPr="00F3553D" w:rsidRDefault="007F44B1" w:rsidP="00CE7D40">
      <w:pPr>
        <w:spacing w:line="360" w:lineRule="auto"/>
        <w:jc w:val="both"/>
      </w:pPr>
      <w:r w:rsidRPr="007F44B1">
        <w:t>Cultural expectations also matter because many patients now expect quicker access, care closer to home and less reliance on hospital settings.</w:t>
      </w:r>
      <w:r>
        <w:t xml:space="preserve"> </w:t>
      </w:r>
      <w:r w:rsidR="00677A83" w:rsidRPr="00677A83">
        <w:t xml:space="preserve">CDCs respond through community-based locations, expanded opening hours and “one stop” testing approaches that may feel </w:t>
      </w:r>
      <w:r w:rsidR="00677A83" w:rsidRPr="00677A83">
        <w:lastRenderedPageBreak/>
        <w:t>more accessible and less hospital-centred (NHS England, 2024a).</w:t>
      </w:r>
      <w:r w:rsidR="00677A83">
        <w:t xml:space="preserve"> </w:t>
      </w:r>
      <w:r w:rsidR="00B47F69" w:rsidRPr="00B47F69">
        <w:t>This is supported by Healthwatch England’s findings that patients value accessible locations, clear communication and services designed around local needs (Healthwatch England, 2024). Patient experience measurement is therefore an important part of the CDC programme, as the national experience-based design report shows that patient views are being examined across CDC sites rather than assumed by policymakers or providers (NHS Elect, 2024).</w:t>
      </w:r>
    </w:p>
    <w:p w14:paraId="2B846AFA" w14:textId="77777777" w:rsidR="008E7C2E" w:rsidRDefault="009208B0" w:rsidP="00CE7D40">
      <w:pPr>
        <w:spacing w:line="360" w:lineRule="auto"/>
        <w:jc w:val="both"/>
      </w:pPr>
      <w:r w:rsidRPr="009208B0">
        <w:t>Workforce practice and professional identity are also important.</w:t>
      </w:r>
      <w:r>
        <w:t xml:space="preserve"> </w:t>
      </w:r>
      <w:r w:rsidR="00521D20" w:rsidRPr="00521D20">
        <w:t>Diagnostics depend on teams and clinical judgement, not only tests.</w:t>
      </w:r>
      <w:r w:rsidR="00521D20">
        <w:t xml:space="preserve"> </w:t>
      </w:r>
    </w:p>
    <w:p w14:paraId="014BA45B" w14:textId="44632B64" w:rsidR="00635D85" w:rsidRPr="00F3553D" w:rsidRDefault="0078390C" w:rsidP="00CE7D40">
      <w:pPr>
        <w:spacing w:line="360" w:lineRule="auto"/>
        <w:jc w:val="both"/>
      </w:pPr>
      <w:r w:rsidRPr="00597DE0">
        <w:t>Moving services into community settings can create concerns about fragmentation, workload, peer support and responsibility for acting on results. If these concerns are ignored, staff may develop workarounds that weaken quality assurance</w:t>
      </w:r>
      <w:r w:rsidR="00635D85" w:rsidRPr="00597DE0">
        <w:t>.</w:t>
      </w:r>
    </w:p>
    <w:p w14:paraId="4DC3EC51" w14:textId="77777777" w:rsidR="00117268" w:rsidRDefault="00074E11" w:rsidP="00117268">
      <w:pPr>
        <w:spacing w:line="360" w:lineRule="auto"/>
        <w:jc w:val="both"/>
      </w:pPr>
      <w:r w:rsidRPr="00074E11">
        <w:t xml:space="preserve">A primary care view also matters because referrals are the front door to CDC services. </w:t>
      </w:r>
      <w:r w:rsidR="00117268" w:rsidRPr="00117268">
        <w:t>A UK general practice commentary links CDCs to the NHS Long Term Plan and its focus on prevention, earlier diagnosis and integrated care, while also arguing that community diagnostics must be properly integrated into referral pathways and patient communication systems to avoid confusion, delays and fragmented care (Merriel, Lee and Neal, 2021).</w:t>
      </w:r>
    </w:p>
    <w:p w14:paraId="79D5BA32" w14:textId="0AF40080" w:rsidR="00635D85" w:rsidRPr="00F3553D" w:rsidRDefault="00635D85" w:rsidP="00117268">
      <w:pPr>
        <w:spacing w:line="360" w:lineRule="auto"/>
        <w:jc w:val="both"/>
        <w:rPr>
          <w:b/>
          <w:bCs/>
        </w:rPr>
      </w:pPr>
      <w:r w:rsidRPr="00F3553D">
        <w:rPr>
          <w:b/>
          <w:bCs/>
        </w:rPr>
        <w:t>Technological advances</w:t>
      </w:r>
    </w:p>
    <w:p w14:paraId="17550342" w14:textId="42260F86" w:rsidR="00635D85" w:rsidRPr="00F3553D" w:rsidRDefault="00635D85" w:rsidP="00CE7D40">
      <w:pPr>
        <w:spacing w:line="360" w:lineRule="auto"/>
        <w:jc w:val="both"/>
      </w:pPr>
      <w:r w:rsidRPr="00F3553D">
        <w:t xml:space="preserve">Technology enables new delivery models, but it also exposes weaknesses. </w:t>
      </w:r>
      <w:r w:rsidR="00F40D95" w:rsidRPr="00F40D95">
        <w:t>Diagnostic technology includes scanners, booking systems, image transfer, reporting workflows and secure information sharing.</w:t>
      </w:r>
      <w:r w:rsidR="00F40D95">
        <w:t xml:space="preserve"> </w:t>
      </w:r>
      <w:r w:rsidRPr="00F3553D">
        <w:t xml:space="preserve">CDCs sit across primary care, community settings and acute trusts, so interoperability becomes a quality issue, not just an </w:t>
      </w:r>
      <w:r w:rsidR="00E219FE" w:rsidRPr="00E219FE">
        <w:t>Information Technology (</w:t>
      </w:r>
      <w:r w:rsidRPr="00E219FE">
        <w:t>IT</w:t>
      </w:r>
      <w:r w:rsidR="00E219FE" w:rsidRPr="00E219FE">
        <w:t>)</w:t>
      </w:r>
      <w:r w:rsidRPr="00F3553D">
        <w:t xml:space="preserve"> issue. NHS England’s interoperability work emphasises that effective information sharing across settings is needed to optimise outcomes and quality (NHS England, 202</w:t>
      </w:r>
      <w:r w:rsidR="004526A2" w:rsidRPr="00F3553D">
        <w:t>3</w:t>
      </w:r>
      <w:r w:rsidR="00120EFC" w:rsidRPr="00F3553D">
        <w:t>a</w:t>
      </w:r>
      <w:r w:rsidRPr="00F3553D">
        <w:t xml:space="preserve">). </w:t>
      </w:r>
      <w:r w:rsidR="00F8076E" w:rsidRPr="00F8076E">
        <w:t>Poor sharing of images and reports can increase delays, manual information chasing and missed follow-up risk.</w:t>
      </w:r>
    </w:p>
    <w:p w14:paraId="336AAE74" w14:textId="2F057F81" w:rsidR="00635D85" w:rsidRDefault="00635D85" w:rsidP="00CE7D40">
      <w:pPr>
        <w:spacing w:line="360" w:lineRule="auto"/>
        <w:jc w:val="both"/>
      </w:pPr>
      <w:r w:rsidRPr="00F3553D">
        <w:t xml:space="preserve">Technology also interacts with workforce. Digital maturity is uneven and digital capability gaps can slow transformation. NHS </w:t>
      </w:r>
      <w:r w:rsidR="00101F87" w:rsidRPr="00F3553D">
        <w:t>Alliance</w:t>
      </w:r>
      <w:r w:rsidRPr="00F3553D">
        <w:t xml:space="preserve"> commentary on digital transformation </w:t>
      </w:r>
      <w:r w:rsidRPr="00F3553D">
        <w:lastRenderedPageBreak/>
        <w:t xml:space="preserve">highlights that delivery depends on workforce capability and organisational readiness, not just procurement (NHS </w:t>
      </w:r>
      <w:r w:rsidR="00101F87" w:rsidRPr="00F3553D">
        <w:t>A</w:t>
      </w:r>
      <w:r w:rsidR="00231A06" w:rsidRPr="00F3553D">
        <w:t>l</w:t>
      </w:r>
      <w:r w:rsidR="00101F87" w:rsidRPr="00F3553D">
        <w:t>liance</w:t>
      </w:r>
      <w:r w:rsidRPr="00F3553D">
        <w:t xml:space="preserve">, 2025). In CDCs, even if scanning capacity increases, reporting capacity can remain constrained by shortages of radiologists, which becomes a bottleneck. </w:t>
      </w:r>
      <w:r w:rsidR="004476BD" w:rsidRPr="004476BD">
        <w:t>Technology can therefore increase “front-end” throughput while creating “back-end” delays that may harm timeliness and safety.</w:t>
      </w:r>
    </w:p>
    <w:p w14:paraId="414FEF0A" w14:textId="24FD42E7" w:rsidR="007B33BC" w:rsidRPr="00F3553D" w:rsidRDefault="007B33BC" w:rsidP="00CE7D40">
      <w:pPr>
        <w:spacing w:line="360" w:lineRule="auto"/>
        <w:jc w:val="both"/>
      </w:pPr>
      <w:r w:rsidRPr="007B33BC">
        <w:t>Implication for quality: technology can enable faster access but only improves outcomes when it reduces friction and supports reliable reporting and follow-up. Otherwise, variation may increase and assurance may weaken.</w:t>
      </w:r>
    </w:p>
    <w:p w14:paraId="63EF29F3" w14:textId="23C7E7CD" w:rsidR="00635D85" w:rsidRPr="00F3553D" w:rsidRDefault="00635D85" w:rsidP="00A406DB">
      <w:pPr>
        <w:pStyle w:val="ListParagraph"/>
        <w:numPr>
          <w:ilvl w:val="1"/>
          <w:numId w:val="7"/>
        </w:numPr>
        <w:spacing w:line="360" w:lineRule="auto"/>
        <w:rPr>
          <w:b/>
          <w:bCs/>
        </w:rPr>
      </w:pPr>
      <w:r w:rsidRPr="00F3553D">
        <w:rPr>
          <w:b/>
          <w:bCs/>
        </w:rPr>
        <w:t>Environmental drivers</w:t>
      </w:r>
    </w:p>
    <w:p w14:paraId="692943DD" w14:textId="6669A28C" w:rsidR="00635D85" w:rsidRPr="00F3553D" w:rsidRDefault="00635D85" w:rsidP="00CE7D40">
      <w:pPr>
        <w:spacing w:line="360" w:lineRule="auto"/>
        <w:jc w:val="both"/>
      </w:pPr>
      <w:r w:rsidRPr="00F3553D">
        <w:t>Environmental drivers matter because climate change affects health and because the NHS has net zero commitments that influence estates planning, travel and service design. The NHS net zero travel and transport strategy aims to reduce emissions and embed sustainable travel into system planning (NHS England, 2023</w:t>
      </w:r>
      <w:r w:rsidR="00120EFC" w:rsidRPr="00F3553D">
        <w:t>b</w:t>
      </w:r>
      <w:r w:rsidRPr="00F3553D">
        <w:t xml:space="preserve">). CDCs could support environmental goals if they reduce long journeys to acute sites by placing services closer to communities. More sites can mean more estate footprint and energy use. </w:t>
      </w:r>
      <w:r w:rsidR="000C46A7" w:rsidRPr="000C46A7">
        <w:t>Impact depends on location, utilisation and whether pathways reduce repeat visits.</w:t>
      </w:r>
    </w:p>
    <w:p w14:paraId="6F1D6766" w14:textId="77777777" w:rsidR="00635D85" w:rsidRPr="00F3553D" w:rsidRDefault="00635D85" w:rsidP="00CE7D40">
      <w:pPr>
        <w:spacing w:line="360" w:lineRule="auto"/>
        <w:jc w:val="both"/>
      </w:pPr>
      <w:r w:rsidRPr="00F3553D">
        <w:t>Environment also links to equity. If CDC sites are accessible by public transport and designed around local needs, they can support both sustainability and fair access. If not, they risk benefiting those with cars and flexible schedules, worsening inequalities.</w:t>
      </w:r>
    </w:p>
    <w:p w14:paraId="5614A665" w14:textId="77777777" w:rsidR="00635D85" w:rsidRPr="00F3553D" w:rsidRDefault="00635D85" w:rsidP="00CE7D40">
      <w:pPr>
        <w:spacing w:line="360" w:lineRule="auto"/>
        <w:jc w:val="both"/>
      </w:pPr>
      <w:r w:rsidRPr="00F3553D">
        <w:t>Implication for quality: environmental aims should be treated as part of quality and equity, not a separate “green add-on”.</w:t>
      </w:r>
    </w:p>
    <w:p w14:paraId="714051B9" w14:textId="18223FB8" w:rsidR="00635D85" w:rsidRPr="00F3553D" w:rsidRDefault="00635D85" w:rsidP="00A406DB">
      <w:pPr>
        <w:pStyle w:val="ListParagraph"/>
        <w:numPr>
          <w:ilvl w:val="1"/>
          <w:numId w:val="7"/>
        </w:numPr>
        <w:spacing w:line="360" w:lineRule="auto"/>
        <w:rPr>
          <w:b/>
          <w:bCs/>
        </w:rPr>
      </w:pPr>
      <w:r w:rsidRPr="00F3553D">
        <w:rPr>
          <w:b/>
          <w:bCs/>
        </w:rPr>
        <w:t>Economic drivers</w:t>
      </w:r>
    </w:p>
    <w:p w14:paraId="579C9793" w14:textId="78E73258" w:rsidR="003F0F13" w:rsidRPr="00F3553D" w:rsidRDefault="001E44B3" w:rsidP="00CE7D40">
      <w:pPr>
        <w:spacing w:line="360" w:lineRule="auto"/>
        <w:jc w:val="both"/>
      </w:pPr>
      <w:r w:rsidRPr="001E44B3">
        <w:t>Economic pressure is a continuous driver because demand rises while funding remains constrained.</w:t>
      </w:r>
      <w:r>
        <w:t xml:space="preserve"> </w:t>
      </w:r>
      <w:r w:rsidR="003F0F13" w:rsidRPr="00F3553D">
        <w:t xml:space="preserve">CDCs were explicitly linked to elective recovery and building capacity. </w:t>
      </w:r>
      <w:r w:rsidR="00060CB7" w:rsidRPr="00060CB7">
        <w:t>British Medical Association</w:t>
      </w:r>
      <w:r w:rsidR="00624E2A">
        <w:t xml:space="preserve"> (</w:t>
      </w:r>
      <w:r w:rsidR="003F0F13" w:rsidRPr="00F3553D">
        <w:t>BMA</w:t>
      </w:r>
      <w:r w:rsidR="00624E2A">
        <w:t>)</w:t>
      </w:r>
      <w:r w:rsidR="003F0F13" w:rsidRPr="00F3553D">
        <w:t xml:space="preserve"> analysis of NHS diagnostics also shows continuing pressure between diagnostic demand and available capacity, which helps explain why extra diagnostic infrastructure became a policy priority (BMA, 2025). The Public Accounts </w:t>
      </w:r>
      <w:r w:rsidR="003F0F13" w:rsidRPr="00F3553D">
        <w:lastRenderedPageBreak/>
        <w:t>Committee</w:t>
      </w:r>
      <w:r w:rsidR="00FF1E87">
        <w:t xml:space="preserve"> </w:t>
      </w:r>
      <w:r w:rsidR="00FF1E87" w:rsidRPr="00FF1E87">
        <w:t>(PAC)</w:t>
      </w:r>
      <w:r w:rsidR="003F0F13" w:rsidRPr="00F3553D">
        <w:t xml:space="preserve"> notes the scale of capital spending on diagnostic transformation and reflects concerns about whether elective recovery programmes delivered their intended goals (Committee of Public Accounts, 2024). This shows economic drivers clearly: invest in infrastructure to reduce waits and improve productivity.</w:t>
      </w:r>
    </w:p>
    <w:p w14:paraId="56352F4F" w14:textId="0C08D15A" w:rsidR="00635D85" w:rsidRPr="00F3553D" w:rsidRDefault="00635D85" w:rsidP="00CE7D40">
      <w:pPr>
        <w:spacing w:line="360" w:lineRule="auto"/>
        <w:jc w:val="both"/>
      </w:pPr>
      <w:r w:rsidRPr="00F3553D">
        <w:t xml:space="preserve">However, economic drivers can conflict with quality if speed becomes the dominant target. Capital investment does not solve workforce shortages. Diagnostics capacity is limited by people as much as machines. </w:t>
      </w:r>
      <w:r w:rsidR="00771FF4" w:rsidRPr="00F3553D">
        <w:t>NHS workforce planning also shows that service expansion depends on training, retention and new roles, not only infrastructure (NHS England, 2023</w:t>
      </w:r>
      <w:r w:rsidR="00732100" w:rsidRPr="00F3553D">
        <w:t>c</w:t>
      </w:r>
      <w:r w:rsidR="00771FF4" w:rsidRPr="00F3553D">
        <w:t xml:space="preserve">). </w:t>
      </w:r>
      <w:r w:rsidRPr="00F3553D">
        <w:t>The Royal College of Radiologists</w:t>
      </w:r>
      <w:r w:rsidR="009363E7" w:rsidRPr="00F3553D">
        <w:t xml:space="preserve"> (RCR)</w:t>
      </w:r>
      <w:r w:rsidRPr="00F3553D">
        <w:t xml:space="preserve"> census reports workforce shortages and links them to delays in diagnosis and treatment start (RCR, 202</w:t>
      </w:r>
      <w:r w:rsidR="00035F91" w:rsidRPr="00F3553D">
        <w:t>4</w:t>
      </w:r>
      <w:r w:rsidRPr="00F3553D">
        <w:t xml:space="preserve">). </w:t>
      </w:r>
      <w:r w:rsidR="00862698" w:rsidRPr="00F3553D">
        <w:t>Institute of Physics and Engineering in Medicine (</w:t>
      </w:r>
      <w:r w:rsidRPr="00F3553D">
        <w:t>IPEM</w:t>
      </w:r>
      <w:r w:rsidR="00862698" w:rsidRPr="00F3553D">
        <w:t>)</w:t>
      </w:r>
      <w:r w:rsidRPr="00F3553D">
        <w:t xml:space="preserve"> workforce intelligence similarly highlights establishment and vacancy issues in diagnostic radiology and radiation protection roles (IPEM, 2024</w:t>
      </w:r>
      <w:r w:rsidR="00822166">
        <w:t xml:space="preserve">). </w:t>
      </w:r>
      <w:r w:rsidR="00822166" w:rsidRPr="00822166">
        <w:t>These sources suggest CDC rollout can only improve quality if workforce planning, reporting capacity and safe staffing are prioritised.</w:t>
      </w:r>
    </w:p>
    <w:p w14:paraId="3A84F3C2" w14:textId="77777777" w:rsidR="00EA2E1D" w:rsidRDefault="00957064" w:rsidP="00CE7D40">
      <w:pPr>
        <w:spacing w:line="360" w:lineRule="auto"/>
        <w:jc w:val="both"/>
      </w:pPr>
      <w:r w:rsidRPr="00957064">
        <w:t>Wider system pressure also shapes the context. The Health Foundation’s analysis of the elective waiting list highlights the scale of backlog and the difficulty of reducing it under capacity constraints, reinforcing why governments and NHS leaders pursue structural change such as CDCs (Health Foundation, 2023). Transformation programmes are therefore operating within tight productivity and staffing conditions, increasing the risk of shortcuts during implementation.</w:t>
      </w:r>
      <w:r>
        <w:t xml:space="preserve"> </w:t>
      </w:r>
    </w:p>
    <w:p w14:paraId="21AB76F0" w14:textId="55946F76" w:rsidR="00635D85" w:rsidRPr="00F3553D" w:rsidRDefault="00635D85" w:rsidP="00CE7D40">
      <w:pPr>
        <w:spacing w:line="360" w:lineRule="auto"/>
        <w:jc w:val="both"/>
      </w:pPr>
      <w:r w:rsidRPr="00F3553D">
        <w:t>Implication for quality: economic drivers justify change and accelerate it, but they also increase the risk that quality and equity get squeezed unless governance explicitly protects them.</w:t>
      </w:r>
    </w:p>
    <w:p w14:paraId="49FE8C56" w14:textId="643D53BF" w:rsidR="00635D85" w:rsidRPr="00F3553D" w:rsidRDefault="00635D85" w:rsidP="00A406DB">
      <w:pPr>
        <w:pStyle w:val="ListParagraph"/>
        <w:numPr>
          <w:ilvl w:val="1"/>
          <w:numId w:val="7"/>
        </w:numPr>
        <w:spacing w:line="360" w:lineRule="auto"/>
        <w:rPr>
          <w:b/>
          <w:bCs/>
        </w:rPr>
      </w:pPr>
      <w:r w:rsidRPr="00F3553D">
        <w:rPr>
          <w:b/>
          <w:bCs/>
        </w:rPr>
        <w:t>How the drivers interact in CDC rollout</w:t>
      </w:r>
    </w:p>
    <w:p w14:paraId="455A8D18" w14:textId="75EE1FE3" w:rsidR="00635D85" w:rsidRPr="00F3553D" w:rsidRDefault="00C47AA2" w:rsidP="00CE7D40">
      <w:pPr>
        <w:spacing w:line="360" w:lineRule="auto"/>
        <w:jc w:val="both"/>
      </w:pPr>
      <w:r w:rsidRPr="00F3553D">
        <w:t>The drivers are interconnected. CDCs exist because policy, demand, technology, sustainability, backlog and productivity pressures came together (NHS England, 2020; NHS England, 2024a; NAO, 2025). These interactions create momentum but also risk.</w:t>
      </w:r>
    </w:p>
    <w:p w14:paraId="60A410DB" w14:textId="7068FACE" w:rsidR="00635D85" w:rsidRPr="00F3553D" w:rsidRDefault="00CD5BE9" w:rsidP="00CE7D40">
      <w:pPr>
        <w:spacing w:line="360" w:lineRule="auto"/>
        <w:jc w:val="both"/>
      </w:pPr>
      <w:r w:rsidRPr="00F3553D">
        <w:lastRenderedPageBreak/>
        <w:t xml:space="preserve">Policy targets, funding and technology can accelerate CDC rollout, but workforce shortages, weak interoperability and fragmented pathways can delay reporting, harm follow-up and worsen equity. </w:t>
      </w:r>
      <w:r w:rsidR="005B363B" w:rsidRPr="005B363B">
        <w:t>Critical analysis must therefore consider both benefits and trade-offs.</w:t>
      </w:r>
    </w:p>
    <w:p w14:paraId="11278092" w14:textId="00905503" w:rsidR="00635D85" w:rsidRPr="00F3553D" w:rsidRDefault="00635D85" w:rsidP="00A406DB">
      <w:pPr>
        <w:pStyle w:val="ListParagraph"/>
        <w:numPr>
          <w:ilvl w:val="1"/>
          <w:numId w:val="7"/>
        </w:numPr>
        <w:spacing w:line="360" w:lineRule="auto"/>
        <w:rPr>
          <w:b/>
          <w:bCs/>
        </w:rPr>
      </w:pPr>
      <w:r w:rsidRPr="00F3553D">
        <w:rPr>
          <w:b/>
          <w:bCs/>
        </w:rPr>
        <w:t>The case study: what changed and why (CDCs in England)</w:t>
      </w:r>
    </w:p>
    <w:p w14:paraId="337C20CE" w14:textId="7AB71E4F" w:rsidR="00635D85" w:rsidRPr="00F3553D" w:rsidRDefault="00930D08" w:rsidP="00CE7D40">
      <w:pPr>
        <w:spacing w:line="360" w:lineRule="auto"/>
        <w:jc w:val="both"/>
      </w:pPr>
      <w:r w:rsidRPr="00930D08">
        <w:t xml:space="preserve">Before CDCs, many diagnostic services were concentrated in acute hospitals and competed with acute demand. The Richards review, </w:t>
      </w:r>
      <w:r w:rsidRPr="00930D08">
        <w:rPr>
          <w:i/>
          <w:iCs/>
        </w:rPr>
        <w:t>Diagnostics: Recovery and Renewal</w:t>
      </w:r>
      <w:r w:rsidRPr="00930D08">
        <w:t xml:space="preserve">, recommended separating elective diagnostics from urgent and acute diagnostic pathways and creating community diagnostic hubs as part of a new diagnostic model, with the aim of improving access, increasing capacity and supporting earlier diagnosis (Richards, 2020). </w:t>
      </w:r>
      <w:r w:rsidR="00F21B7D" w:rsidRPr="00F21B7D">
        <w:t xml:space="preserve">Early </w:t>
      </w:r>
      <w:r w:rsidR="004E7B6D" w:rsidRPr="004E7B6D">
        <w:t>British Medical Journal (BMJ)</w:t>
      </w:r>
      <w:r w:rsidR="00F21B7D" w:rsidRPr="00F21B7D">
        <w:t xml:space="preserve"> reporting also framed CDCs as a response to backlog pressures while highlighting workforce requirements (Mahase, 2021).</w:t>
      </w:r>
      <w:r w:rsidR="00F21B7D">
        <w:t xml:space="preserve"> </w:t>
      </w:r>
      <w:r w:rsidR="004E7B6D">
        <w:t xml:space="preserve"> </w:t>
      </w:r>
      <w:r w:rsidRPr="00930D08">
        <w:t>After the programme started, CDCs were approved and implemented across England. NHS England guidance describes the programme as being in its third year with around 170 approved sites and detailed expectations for governance, digital connectivity, workforce and pathway development (NHS England, 2024a). This shows a clear before-and-after strategic shift, moving a significant part of elective diagnostics away from hospital-centred pathways and into community-based CDC settings, supported by national programme governance.</w:t>
      </w:r>
    </w:p>
    <w:p w14:paraId="64FDF295" w14:textId="55FF6C97" w:rsidR="00635D85" w:rsidRPr="00F3553D" w:rsidRDefault="00E948FA" w:rsidP="00CE7D40">
      <w:pPr>
        <w:spacing w:line="360" w:lineRule="auto"/>
        <w:jc w:val="both"/>
      </w:pPr>
      <w:r w:rsidRPr="00F3553D">
        <w:t xml:space="preserve">Key stakeholders include NHS England, </w:t>
      </w:r>
      <w:r w:rsidR="004C0ED9" w:rsidRPr="004C0ED9">
        <w:t>Integrated Care Board</w:t>
      </w:r>
      <w:r w:rsidR="00646F48">
        <w:t xml:space="preserve"> (</w:t>
      </w:r>
      <w:r w:rsidRPr="00F3553D">
        <w:t>ICB</w:t>
      </w:r>
      <w:r w:rsidR="00646F48">
        <w:t>)</w:t>
      </w:r>
      <w:r w:rsidRPr="00F3553D">
        <w:t>, providers, primary care, diagnostic staff, patients, carers, regulators and digital governance teams. Because CDCs cross organisational boundaries, they can only improve outcomes if pathways are integrated and safe</w:t>
      </w:r>
      <w:r w:rsidR="00635D85" w:rsidRPr="00F3553D">
        <w:t>.</w:t>
      </w:r>
    </w:p>
    <w:p w14:paraId="7D50236E" w14:textId="47E68FCB" w:rsidR="00635D85" w:rsidRPr="00F3553D" w:rsidRDefault="00635D85" w:rsidP="00A406DB">
      <w:pPr>
        <w:pStyle w:val="ListParagraph"/>
        <w:numPr>
          <w:ilvl w:val="0"/>
          <w:numId w:val="7"/>
        </w:numPr>
        <w:spacing w:line="360" w:lineRule="auto"/>
        <w:rPr>
          <w:b/>
          <w:bCs/>
        </w:rPr>
      </w:pPr>
      <w:r w:rsidRPr="00F3553D">
        <w:rPr>
          <w:b/>
          <w:bCs/>
        </w:rPr>
        <w:t>Task 2: Evaluate strategies for managing change effectively (applied to CDCs)</w:t>
      </w:r>
    </w:p>
    <w:p w14:paraId="066C22FC" w14:textId="7EF8E062" w:rsidR="00635D85" w:rsidRPr="00F3553D" w:rsidRDefault="00635D85" w:rsidP="00A406DB">
      <w:pPr>
        <w:pStyle w:val="ListParagraph"/>
        <w:numPr>
          <w:ilvl w:val="1"/>
          <w:numId w:val="7"/>
        </w:numPr>
        <w:spacing w:line="360" w:lineRule="auto"/>
        <w:rPr>
          <w:b/>
          <w:bCs/>
        </w:rPr>
      </w:pPr>
      <w:r w:rsidRPr="00F3553D">
        <w:rPr>
          <w:b/>
          <w:bCs/>
        </w:rPr>
        <w:t>Leadership and vision: urgency without unsafe speed</w:t>
      </w:r>
    </w:p>
    <w:p w14:paraId="7D86BFEF" w14:textId="3D6FC923" w:rsidR="00635D85" w:rsidRPr="00F3553D" w:rsidRDefault="009A12AA" w:rsidP="00CE7D40">
      <w:pPr>
        <w:spacing w:line="360" w:lineRule="auto"/>
        <w:jc w:val="both"/>
      </w:pPr>
      <w:r w:rsidRPr="00F3553D">
        <w:t xml:space="preserve">Change management theory argues that leaders need urgency and a clear vision to mobilise change (Kotter, 2007). CDCs had a credible urgency: backlogs, long waits and the clinical need for timely diagnosis (NHS England, 2020). But in healthcare, urgency can easily become unsafe speed. Analysis of elective recovery targets also shows that ambition must be balanced against capacity, staffing and operational reality (The King’s Fund, 2025). </w:t>
      </w:r>
      <w:r w:rsidR="00E75FB6" w:rsidRPr="00F3553D">
        <w:lastRenderedPageBreak/>
        <w:t xml:space="preserve">Effective leadership must frame success around outcomes, not only outputs. </w:t>
      </w:r>
      <w:r w:rsidR="00C3642B" w:rsidRPr="00C3642B">
        <w:t>“More scans” only matters when results are reported and acted on.</w:t>
      </w:r>
    </w:p>
    <w:p w14:paraId="357E4257" w14:textId="77777777" w:rsidR="00635D85" w:rsidRPr="00F3553D" w:rsidRDefault="00635D85" w:rsidP="00CE7D40">
      <w:pPr>
        <w:spacing w:line="360" w:lineRule="auto"/>
        <w:jc w:val="both"/>
      </w:pPr>
      <w:r w:rsidRPr="00F3553D">
        <w:t>The NHS quality strategy strengthens this point by linking access to safety, effectiveness and experience, and by emphasising inequality impact and quality risk in decision-making (NHS England, 2024b). Applied to CDCs, good leadership would set a balanced definition of success that includes waiting times, reporting turnaround, patient experience, equity indicators and safety signals. It would also be honest about constraints such as workforce shortages and digital integration problems.</w:t>
      </w:r>
    </w:p>
    <w:p w14:paraId="47C3C9AA" w14:textId="6D2BCC6C" w:rsidR="00635D85" w:rsidRPr="00F3553D" w:rsidRDefault="008C33B9" w:rsidP="00CE7D40">
      <w:pPr>
        <w:spacing w:line="360" w:lineRule="auto"/>
        <w:jc w:val="both"/>
      </w:pPr>
      <w:r w:rsidRPr="00F3553D">
        <w:t>At system level, CDCs need clinical, operational and digital leadership working together. If leadership focuses only on throughput, staff may disengage; if it lacks operational planning, services may become inconsistent. Effective leadership should remove practical barriers, such as poor referral routes, limited training time and weak reporting or follow-up governance</w:t>
      </w:r>
      <w:r w:rsidR="00635D85" w:rsidRPr="00F3553D">
        <w:t>.</w:t>
      </w:r>
    </w:p>
    <w:p w14:paraId="3D1C523A" w14:textId="67EF2FC8" w:rsidR="00635D85" w:rsidRPr="00F3553D" w:rsidRDefault="00635D85" w:rsidP="00CE7D40">
      <w:pPr>
        <w:pStyle w:val="ListParagraph"/>
        <w:numPr>
          <w:ilvl w:val="1"/>
          <w:numId w:val="7"/>
        </w:numPr>
        <w:spacing w:line="360" w:lineRule="auto"/>
        <w:jc w:val="both"/>
        <w:rPr>
          <w:b/>
          <w:bCs/>
        </w:rPr>
      </w:pPr>
      <w:r w:rsidRPr="00F3553D">
        <w:rPr>
          <w:b/>
          <w:bCs/>
        </w:rPr>
        <w:t>Stakeholder engagement and co-production: reducing resistance and surfacing risks</w:t>
      </w:r>
    </w:p>
    <w:p w14:paraId="028B6240" w14:textId="2307321B" w:rsidR="00635D85" w:rsidRPr="00F3553D" w:rsidRDefault="00635D85" w:rsidP="00CE7D40">
      <w:pPr>
        <w:spacing w:line="360" w:lineRule="auto"/>
        <w:jc w:val="both"/>
      </w:pPr>
      <w:r w:rsidRPr="00F3553D">
        <w:t>Engagement is essential because CDCs rely on referrers using pathways properly and patients understanding how to access services and receive results</w:t>
      </w:r>
      <w:r w:rsidR="00AF1AE2">
        <w:t xml:space="preserve">. </w:t>
      </w:r>
      <w:r w:rsidR="00AF1AE2" w:rsidRPr="00AF1AE2">
        <w:t>Feedback from service users can help programmes adapt rather than reinforce existing problems. National reporting across CDCs also suggests that user perspectives are being evaluated in a structured way, supporting “responsive” and “caring” domains of quality (NHS Elect, 2024).</w:t>
      </w:r>
    </w:p>
    <w:p w14:paraId="3844E94C" w14:textId="53A8E391" w:rsidR="00635D85" w:rsidRPr="00F3553D" w:rsidRDefault="002C5451" w:rsidP="00CE7D40">
      <w:pPr>
        <w:spacing w:line="360" w:lineRule="auto"/>
        <w:jc w:val="both"/>
      </w:pPr>
      <w:r w:rsidRPr="002C5451">
        <w:t>Staff engagement is equally important because workforce shortages and workload pressures make “change fatigue” more likely, especially in diagnostic services where staff are already managing high demand and reporting pressures (RCR, 2024). If staff are asked to adopt new CDC workflows without time, training or involvement in pathway design, resistance is more likely to grow and quality may suffer</w:t>
      </w:r>
      <w:r w:rsidR="007875B3">
        <w:t xml:space="preserve">. </w:t>
      </w:r>
      <w:r w:rsidR="007875B3" w:rsidRPr="007875B3">
        <w:t>Effective engagement strategies should include protected training time, staff involvement in pathway design and clear escalation routes for clinical concerns.</w:t>
      </w:r>
      <w:r w:rsidRPr="002C5451">
        <w:t xml:space="preserve"> </w:t>
      </w:r>
      <w:r w:rsidR="00AA2CFD" w:rsidRPr="00AA2CFD">
        <w:t xml:space="preserve">This approach is supported by NHS England </w:t>
      </w:r>
      <w:r w:rsidR="00AA2CFD" w:rsidRPr="00AA2CFD">
        <w:lastRenderedPageBreak/>
        <w:t>guidance emphasising workforce planning, governance and skill mix across diagnostic networks (NHS England, 2022b; NHS England, 2024a).</w:t>
      </w:r>
    </w:p>
    <w:p w14:paraId="46B6DD5B" w14:textId="0CF5991F" w:rsidR="00635D85" w:rsidRPr="00F3553D" w:rsidRDefault="00635D85" w:rsidP="00CE7D40">
      <w:pPr>
        <w:spacing w:line="360" w:lineRule="auto"/>
        <w:jc w:val="both"/>
      </w:pPr>
      <w:r w:rsidRPr="00F3553D">
        <w:t xml:space="preserve">Primary care engagement deserves explicit attention because referrals and follow-up often sit in primary care. Professional commentary emphasises that CDCs need to integrate with referral processes and </w:t>
      </w:r>
      <w:r w:rsidR="006A378A" w:rsidRPr="00F3553D">
        <w:t>communication,</w:t>
      </w:r>
      <w:r w:rsidRPr="00F3553D">
        <w:t xml:space="preserve"> so patients do not experience confusion or fragmented care (</w:t>
      </w:r>
      <w:r w:rsidR="00352B5E" w:rsidRPr="00F3553D">
        <w:t>Merriel, S.W., Lee, L. and Neal, R.</w:t>
      </w:r>
      <w:r w:rsidRPr="00F3553D">
        <w:t xml:space="preserve">, 2021). This reinforces the idea that engagement is not only about “buy-in”, </w:t>
      </w:r>
      <w:r w:rsidR="006A378A" w:rsidRPr="00F3553D">
        <w:t>but also</w:t>
      </w:r>
      <w:r w:rsidRPr="00F3553D">
        <w:t xml:space="preserve"> about making pathways usable and safe.</w:t>
      </w:r>
    </w:p>
    <w:p w14:paraId="7056C73E" w14:textId="64C049A3" w:rsidR="00635D85" w:rsidRPr="00F3553D" w:rsidRDefault="00635D85" w:rsidP="00CE7D40">
      <w:pPr>
        <w:pStyle w:val="ListParagraph"/>
        <w:numPr>
          <w:ilvl w:val="1"/>
          <w:numId w:val="7"/>
        </w:numPr>
        <w:spacing w:line="360" w:lineRule="auto"/>
        <w:jc w:val="both"/>
        <w:rPr>
          <w:b/>
          <w:bCs/>
        </w:rPr>
      </w:pPr>
      <w:r w:rsidRPr="00F3553D">
        <w:rPr>
          <w:b/>
          <w:bCs/>
        </w:rPr>
        <w:t>Governance, programme management and assurance: keeping quality visible</w:t>
      </w:r>
    </w:p>
    <w:p w14:paraId="4C2697E6" w14:textId="77777777" w:rsidR="00635D85" w:rsidRPr="00F3553D" w:rsidRDefault="00635D85" w:rsidP="00CE7D40">
      <w:pPr>
        <w:spacing w:line="360" w:lineRule="auto"/>
        <w:jc w:val="both"/>
      </w:pPr>
      <w:r w:rsidRPr="00F3553D">
        <w:t>Governance is a key predictor of whether rapid change protects quality. CDC guidance includes governance and regulatory expectations, plus a focus on measuring benefits (NHS England, 2024a). The critical question is whether governance in practice matched the speed of rollout.</w:t>
      </w:r>
    </w:p>
    <w:p w14:paraId="21A6F692" w14:textId="77777777" w:rsidR="00264E86" w:rsidRDefault="00264E86" w:rsidP="00CE7D40">
      <w:pPr>
        <w:spacing w:line="360" w:lineRule="auto"/>
        <w:jc w:val="both"/>
      </w:pPr>
      <w:r w:rsidRPr="00264E86">
        <w:t>Unclear accountability for results and follow-up is a major governance risk.</w:t>
      </w:r>
    </w:p>
    <w:p w14:paraId="7F9E2E7D" w14:textId="697DFEDB" w:rsidR="00635D85" w:rsidRPr="00F3553D" w:rsidRDefault="00264E86" w:rsidP="00CE7D40">
      <w:pPr>
        <w:spacing w:line="360" w:lineRule="auto"/>
        <w:jc w:val="both"/>
      </w:pPr>
      <w:r>
        <w:t xml:space="preserve"> </w:t>
      </w:r>
      <w:r w:rsidR="00635D85" w:rsidRPr="00F3553D">
        <w:t>Who ensures abnormal results are seen and acted on when the test is done in a community site, reported elsewhere, and managed across settings? If accountability is unclear, safety risk increases. CQC’s “well-led” focus is relevant because weak leadership and governance often sit behind safety failures, particularly in multi-site services (CQC, 202</w:t>
      </w:r>
      <w:r w:rsidR="001149AB" w:rsidRPr="00F3553D">
        <w:t>4</w:t>
      </w:r>
      <w:r w:rsidR="00635D85" w:rsidRPr="00F3553D">
        <w:t>; CQC, 2026).</w:t>
      </w:r>
    </w:p>
    <w:p w14:paraId="726A6CBD" w14:textId="007D6C02" w:rsidR="00635D85" w:rsidRPr="00F3553D" w:rsidRDefault="00635D85" w:rsidP="00CE7D40">
      <w:pPr>
        <w:spacing w:line="360" w:lineRule="auto"/>
        <w:jc w:val="both"/>
      </w:pPr>
      <w:r w:rsidRPr="00F3553D">
        <w:t xml:space="preserve">Programme management should also include “balancing measures”. The NAO’s review of elective transformation programmes highlights constraints and delivery gaps, suggesting that oversight must be realistic and focus on outcomes rather than only activity (NAO, 2025). For CDCs, balanced monitoring would include test volumes and waiting times, but also reporting turnaround, repeat tests, referral appropriateness, staff sickness and turnover, and patient complaints. </w:t>
      </w:r>
      <w:r w:rsidR="007457DD" w:rsidRPr="007457DD">
        <w:t>This helps prevent situations where one metric improves while another worsens.</w:t>
      </w:r>
    </w:p>
    <w:p w14:paraId="77DA8E43" w14:textId="1D128EF6" w:rsidR="00635D85" w:rsidRPr="00F3553D" w:rsidRDefault="00635D85" w:rsidP="00CE7D40">
      <w:pPr>
        <w:spacing w:line="360" w:lineRule="auto"/>
        <w:jc w:val="both"/>
      </w:pPr>
      <w:r w:rsidRPr="00F3553D">
        <w:t xml:space="preserve">Quality assurance also depends on learning systems. PSIRF’s emphasis on learning and improvement supports the idea that during rapid change, incident response should help the </w:t>
      </w:r>
      <w:r w:rsidRPr="00F3553D">
        <w:lastRenderedPageBreak/>
        <w:t>system adapt and reduce risk, not just assign blame (NHS England, 2022</w:t>
      </w:r>
      <w:r w:rsidR="00A912CC" w:rsidRPr="00F3553D">
        <w:t>c</w:t>
      </w:r>
      <w:r w:rsidRPr="00F3553D">
        <w:t>). Applied to CDCs, this means using early safety signals to improve workflows and governance, especially around result actioning.</w:t>
      </w:r>
    </w:p>
    <w:p w14:paraId="16908712" w14:textId="38A484FB" w:rsidR="00635D85" w:rsidRPr="00F3553D" w:rsidRDefault="00635D85" w:rsidP="00A406DB">
      <w:pPr>
        <w:pStyle w:val="ListParagraph"/>
        <w:numPr>
          <w:ilvl w:val="1"/>
          <w:numId w:val="7"/>
        </w:numPr>
        <w:spacing w:line="360" w:lineRule="auto"/>
        <w:rPr>
          <w:b/>
          <w:bCs/>
        </w:rPr>
      </w:pPr>
      <w:r w:rsidRPr="00F3553D">
        <w:rPr>
          <w:b/>
          <w:bCs/>
        </w:rPr>
        <w:t>Workforce capability and culture: the limiting factor</w:t>
      </w:r>
    </w:p>
    <w:p w14:paraId="455D83F2" w14:textId="1F7AA957" w:rsidR="00074E89" w:rsidRPr="00F3553D" w:rsidRDefault="00074E89" w:rsidP="00CE7D40">
      <w:pPr>
        <w:spacing w:line="360" w:lineRule="auto"/>
        <w:jc w:val="both"/>
      </w:pPr>
      <w:r w:rsidRPr="00F3553D">
        <w:t>Workforce is probably the biggest barrier to CDC success. The</w:t>
      </w:r>
      <w:r w:rsidR="00464F2A">
        <w:t xml:space="preserve"> </w:t>
      </w:r>
      <w:r w:rsidR="00464F2A" w:rsidRPr="00464F2A">
        <w:t xml:space="preserve">Royal College of </w:t>
      </w:r>
      <w:proofErr w:type="gramStart"/>
      <w:r w:rsidR="00464F2A" w:rsidRPr="00464F2A">
        <w:t xml:space="preserve">Radiologists </w:t>
      </w:r>
      <w:r w:rsidRPr="00F3553D">
        <w:t xml:space="preserve"> </w:t>
      </w:r>
      <w:r w:rsidR="00464F2A">
        <w:t>(</w:t>
      </w:r>
      <w:proofErr w:type="gramEnd"/>
      <w:r w:rsidRPr="00F3553D">
        <w:t>RCR</w:t>
      </w:r>
      <w:r w:rsidR="00464F2A">
        <w:t xml:space="preserve">) </w:t>
      </w:r>
      <w:r w:rsidRPr="00F3553D">
        <w:t xml:space="preserve">reports shortages of radiologists and links them to diagnostic delays (RCR, 2024). IPEM workforce intelligence also points to staffing gaps across diagnostic radiology and radiation protection roles (IPEM, 2024). The Society of Radiographers has also warned that increasing CDC capacity depends on having enough radiography staff to deliver the extra activity safely (Society of Radiographers, 2025). </w:t>
      </w:r>
      <w:r w:rsidR="00701637" w:rsidRPr="00701637">
        <w:t>These sources suggest CDC rollout can only improve quality if workforce planning, reporting capacity and safe staffing are prioritised.</w:t>
      </w:r>
    </w:p>
    <w:p w14:paraId="5D1C760E" w14:textId="715C37A6" w:rsidR="00635D85" w:rsidRPr="00F3553D" w:rsidRDefault="00E72795" w:rsidP="00CE7D40">
      <w:pPr>
        <w:spacing w:line="360" w:lineRule="auto"/>
        <w:jc w:val="both"/>
      </w:pPr>
      <w:r w:rsidRPr="00F3553D">
        <w:t>Change management strategies that matter here include job planning models that protect supervision and development, supported skill mix such as reporting radiographers where appropriate, rotation models to avoid isolated working, and retention and wellbeing measures. NHS imaging workforce guidance also supports planned workforce models across diagnostic networks, including staffing, training and skill mix (NHS England, 2022b). Workforce culture matters because staff often interpret transformation through their lived workload. If CDCs are perceived as “do more with less”, staff engagement declines and quality risks grow.</w:t>
      </w:r>
    </w:p>
    <w:p w14:paraId="27E9DB44" w14:textId="2E83DD25" w:rsidR="00635D85" w:rsidRPr="00F3553D" w:rsidRDefault="00635D85" w:rsidP="00A406DB">
      <w:pPr>
        <w:pStyle w:val="ListParagraph"/>
        <w:numPr>
          <w:ilvl w:val="1"/>
          <w:numId w:val="7"/>
        </w:numPr>
        <w:spacing w:line="360" w:lineRule="auto"/>
        <w:rPr>
          <w:b/>
          <w:bCs/>
        </w:rPr>
      </w:pPr>
      <w:r w:rsidRPr="00F3553D">
        <w:rPr>
          <w:b/>
          <w:bCs/>
        </w:rPr>
        <w:t>Technology and information governance: making pathways reliable</w:t>
      </w:r>
    </w:p>
    <w:p w14:paraId="0F6FF972" w14:textId="4D235D0B" w:rsidR="00BC7AC7" w:rsidRDefault="00773E1C" w:rsidP="00BC7AC7">
      <w:pPr>
        <w:spacing w:line="360" w:lineRule="auto"/>
        <w:jc w:val="both"/>
      </w:pPr>
      <w:r w:rsidRPr="00773E1C">
        <w:t>In CDCs, technology strategy is really an information flow strategy because safe diagnosis depends on information moving reliably between primary care, CDC sites, acute trusts and reporting teams. NHS England frames interoperability as necessary for optimising outcomes and quality because different digital systems need to share patient information safely and consistently (NHS England, 2023a). The NHS Interoperability Toolkit is part of the infrastructure intended to support this kind of integration (NHS England, 2025</w:t>
      </w:r>
      <w:r w:rsidR="00BC7AC7">
        <w:t xml:space="preserve">). </w:t>
      </w:r>
      <w:r w:rsidR="00BC7AC7" w:rsidRPr="00BC7AC7">
        <w:t xml:space="preserve">In practical terms, CDCs require digital systems that allow referrals, appointments, images and results to move reliably between organisations. If systems do not integrate properly, staff may create </w:t>
      </w:r>
      <w:r w:rsidR="00BC7AC7" w:rsidRPr="00BC7AC7">
        <w:lastRenderedPageBreak/>
        <w:t>informal “workarounds” such as manually chasing results or duplicating records. Although these approaches may solve immediate problems, they increase variation and weaken quality assurance.</w:t>
      </w:r>
    </w:p>
    <w:p w14:paraId="5F71B436" w14:textId="4C7A6B37" w:rsidR="00635D85" w:rsidRPr="00F3553D" w:rsidRDefault="00635D85" w:rsidP="00BC7AC7">
      <w:pPr>
        <w:spacing w:line="360" w:lineRule="auto"/>
        <w:jc w:val="both"/>
        <w:rPr>
          <w:b/>
          <w:bCs/>
        </w:rPr>
      </w:pPr>
      <w:r w:rsidRPr="00F3553D">
        <w:rPr>
          <w:b/>
          <w:bCs/>
        </w:rPr>
        <w:t>Task 3: Maintaining or improving quality outcomes during rapid change (with CDCs)</w:t>
      </w:r>
    </w:p>
    <w:p w14:paraId="281B541C" w14:textId="63C579E5" w:rsidR="00635D85" w:rsidRPr="00F3553D" w:rsidRDefault="00635D85" w:rsidP="00A406DB">
      <w:pPr>
        <w:pStyle w:val="ListParagraph"/>
        <w:numPr>
          <w:ilvl w:val="1"/>
          <w:numId w:val="7"/>
        </w:numPr>
        <w:spacing w:line="360" w:lineRule="auto"/>
        <w:rPr>
          <w:b/>
          <w:bCs/>
        </w:rPr>
      </w:pPr>
      <w:r w:rsidRPr="00F3553D">
        <w:rPr>
          <w:b/>
          <w:bCs/>
        </w:rPr>
        <w:t>Quality risks when scaling quickly</w:t>
      </w:r>
    </w:p>
    <w:p w14:paraId="71FCCA02" w14:textId="77777777" w:rsidR="003C39BB" w:rsidRPr="00F3553D" w:rsidRDefault="00635D85" w:rsidP="00CE7D40">
      <w:pPr>
        <w:spacing w:line="360" w:lineRule="auto"/>
        <w:jc w:val="both"/>
      </w:pPr>
      <w:r w:rsidRPr="00F3553D">
        <w:t>Rapid scale-up increases variation, and variation creates risk. The clearest intended quality gain from CDCs is timeliness and access. A peer-reviewed evaluation using English NHS data found that introduction of CDCs was associated with increased diagnostic volumes at local NHS organisations and examined impacts on waiting times (</w:t>
      </w:r>
      <w:proofErr w:type="spellStart"/>
      <w:r w:rsidRPr="00F3553D">
        <w:t>Sivey</w:t>
      </w:r>
      <w:proofErr w:type="spellEnd"/>
      <w:r w:rsidRPr="00F3553D">
        <w:t xml:space="preserve"> and Wen, 2024). </w:t>
      </w:r>
      <w:r w:rsidR="00624407" w:rsidRPr="00F3553D">
        <w:t>Healthwatch England (2024) also highlights the role of CDCs in improving local access to diagnostic testing.</w:t>
      </w:r>
      <w:r w:rsidRPr="00F3553D">
        <w:t xml:space="preserve"> </w:t>
      </w:r>
    </w:p>
    <w:p w14:paraId="523806CB" w14:textId="407CB4D0" w:rsidR="006F64DB" w:rsidRDefault="00E93563" w:rsidP="00CE7D40">
      <w:pPr>
        <w:spacing w:line="360" w:lineRule="auto"/>
        <w:jc w:val="both"/>
      </w:pPr>
      <w:r w:rsidRPr="00E93563">
        <w:t>Patient experience may improve through convenience and calmer environments but worsen through poor communication or fragmented follow-up.</w:t>
      </w:r>
      <w:r>
        <w:t xml:space="preserve"> N</w:t>
      </w:r>
      <w:r w:rsidR="00635D85" w:rsidRPr="00F3553D">
        <w:t xml:space="preserve">ational patient experience reporting suggests there is at least a mechanism for monitoring this (NHS Elect, 2024). </w:t>
      </w:r>
      <w:r w:rsidR="006844B2" w:rsidRPr="006844B2">
        <w:t>Good experience does not guarantee safe or effective outcomes, so experience data should sit alongside clinical metrics.</w:t>
      </w:r>
    </w:p>
    <w:p w14:paraId="5E6B2046" w14:textId="77777777" w:rsidR="006F64DB" w:rsidRPr="006F64DB" w:rsidRDefault="006F64DB" w:rsidP="006F64DB">
      <w:pPr>
        <w:spacing w:line="360" w:lineRule="auto"/>
        <w:jc w:val="both"/>
      </w:pPr>
      <w:r w:rsidRPr="006F64DB">
        <w:t>Equity remains a major risk because community-based sites may improve access for some groups while creating new barriers for others depending on geography, transport links and digital access. Alignment with the NHS Core20PLUS5 approach is therefore important, as services are expected to focus on deprived populations and groups with poorer access or outcomes (NHS England, 2024). Improvement in average waiting times while disadvantaged groups continue to face barriers would mean progress in one quality domain but deterioration in equity. Explicit evaluation of these effects is therefore necessary rather than assumed.</w:t>
      </w:r>
    </w:p>
    <w:p w14:paraId="49DA7ACB" w14:textId="6CBEB44B" w:rsidR="006F64DB" w:rsidRPr="00F3553D" w:rsidRDefault="006F64DB" w:rsidP="00CE7D40">
      <w:pPr>
        <w:spacing w:line="360" w:lineRule="auto"/>
        <w:jc w:val="both"/>
      </w:pPr>
      <w:r w:rsidRPr="006F64DB">
        <w:t xml:space="preserve">Efficiency also remains uncertain. Although CDCs may reduce acute pressure and improve patient flow, weak referral pathways or poor interoperability can still lead to duplicated </w:t>
      </w:r>
      <w:r w:rsidRPr="006F64DB">
        <w:lastRenderedPageBreak/>
        <w:t>testing. Assessment of efficiency should therefore consider the whole diagnostic pathway rather than activity within the CDC alone.</w:t>
      </w:r>
    </w:p>
    <w:p w14:paraId="4640EDE4" w14:textId="7EF55DF9" w:rsidR="00635D85" w:rsidRPr="00F3553D" w:rsidRDefault="00635D85" w:rsidP="00F33AC1">
      <w:pPr>
        <w:pStyle w:val="ListParagraph"/>
        <w:numPr>
          <w:ilvl w:val="1"/>
          <w:numId w:val="7"/>
        </w:numPr>
        <w:spacing w:line="360" w:lineRule="auto"/>
        <w:jc w:val="both"/>
        <w:rPr>
          <w:b/>
          <w:bCs/>
        </w:rPr>
      </w:pPr>
      <w:r w:rsidRPr="00F3553D">
        <w:rPr>
          <w:b/>
          <w:bCs/>
        </w:rPr>
        <w:t>How to protect quality during rapid change: governance, measurement and learning</w:t>
      </w:r>
    </w:p>
    <w:p w14:paraId="43F32263" w14:textId="77777777" w:rsidR="00635D85" w:rsidRDefault="00635D85" w:rsidP="00F33AC1">
      <w:pPr>
        <w:spacing w:line="360" w:lineRule="auto"/>
        <w:jc w:val="both"/>
      </w:pPr>
      <w:r w:rsidRPr="00F3553D">
        <w:t>Maintaining quality during fast change usually requires three connected approaches.</w:t>
      </w:r>
    </w:p>
    <w:p w14:paraId="4FC0EA79" w14:textId="36F00909" w:rsidR="006A378A" w:rsidRPr="00F3553D" w:rsidRDefault="00635D85" w:rsidP="006A378A">
      <w:pPr>
        <w:pStyle w:val="ListParagraph"/>
        <w:numPr>
          <w:ilvl w:val="0"/>
          <w:numId w:val="10"/>
        </w:numPr>
        <w:spacing w:line="360" w:lineRule="auto"/>
        <w:jc w:val="both"/>
        <w:rPr>
          <w:b/>
          <w:bCs/>
        </w:rPr>
      </w:pPr>
      <w:r w:rsidRPr="00F3553D">
        <w:rPr>
          <w:b/>
          <w:bCs/>
        </w:rPr>
        <w:t>Strong, active governance.</w:t>
      </w:r>
    </w:p>
    <w:p w14:paraId="617B12A5" w14:textId="46D98372" w:rsidR="00635D85" w:rsidRPr="00F3553D" w:rsidRDefault="00635D85" w:rsidP="00794C6A">
      <w:pPr>
        <w:spacing w:line="360" w:lineRule="auto"/>
        <w:jc w:val="both"/>
      </w:pPr>
      <w:r w:rsidRPr="00F3553D">
        <w:t>Using CQC domains as a quality checklist helps avoid tunnel vision: safe, effective, caring, responsive and well-led (CQC, 202</w:t>
      </w:r>
      <w:r w:rsidR="001149AB" w:rsidRPr="00F3553D">
        <w:t>4</w:t>
      </w:r>
      <w:r w:rsidRPr="00F3553D">
        <w:t xml:space="preserve">). </w:t>
      </w:r>
      <w:r w:rsidR="006E49F9" w:rsidRPr="006E49F9">
        <w:t>Effectiveness includes appropriate referrals, accurate reporting, and action on results. Responsiveness includes access and communication. Well-led includes oversight of multi-site services and consistent standards.</w:t>
      </w:r>
      <w:r w:rsidR="006E49F9">
        <w:t xml:space="preserve"> </w:t>
      </w:r>
      <w:r w:rsidRPr="00F3553D">
        <w:t>NHS England CDC guidance supports this by setting out governance and accreditation expectations, but the key issue is active use of governance, not simply having documents (NHS England, 2024a).</w:t>
      </w:r>
    </w:p>
    <w:p w14:paraId="4C08E2BD" w14:textId="0BEF49A6" w:rsidR="00794C6A" w:rsidRPr="00F3553D" w:rsidRDefault="00635D85" w:rsidP="00794C6A">
      <w:pPr>
        <w:pStyle w:val="ListParagraph"/>
        <w:numPr>
          <w:ilvl w:val="0"/>
          <w:numId w:val="10"/>
        </w:numPr>
        <w:spacing w:line="360" w:lineRule="auto"/>
        <w:jc w:val="both"/>
        <w:rPr>
          <w:b/>
          <w:bCs/>
        </w:rPr>
      </w:pPr>
      <w:r w:rsidRPr="00F3553D">
        <w:rPr>
          <w:b/>
          <w:bCs/>
        </w:rPr>
        <w:t>Measurement with balancing measures.</w:t>
      </w:r>
    </w:p>
    <w:p w14:paraId="4987263F" w14:textId="7A6EF092" w:rsidR="00635D85" w:rsidRPr="00F3553D" w:rsidRDefault="00635D85" w:rsidP="00794C6A">
      <w:pPr>
        <w:spacing w:line="360" w:lineRule="auto"/>
        <w:jc w:val="both"/>
      </w:pPr>
      <w:r w:rsidRPr="00F3553D">
        <w:t xml:space="preserve">The NHS quality strategy links access to safety and effectiveness and emphasises inequality impact, which implies measurement should include a full set of indicators, not a single target (NHS England, 2024b). </w:t>
      </w:r>
      <w:r w:rsidR="002967D6" w:rsidRPr="002967D6">
        <w:t xml:space="preserve">Evaluation of CDCs should therefore include </w:t>
      </w:r>
      <w:r w:rsidR="00BA4F4C">
        <w:t>w</w:t>
      </w:r>
      <w:r w:rsidR="002967D6" w:rsidRPr="002967D6">
        <w:t xml:space="preserve">aiting </w:t>
      </w:r>
      <w:r w:rsidR="00BA4F4C">
        <w:t>t</w:t>
      </w:r>
      <w:r w:rsidR="002967D6" w:rsidRPr="002967D6">
        <w:t>imes and activity, reporting turnaround, repeat test rates, incident signals, patient feedback, Did Not Attend (DNA) rates, equity breakdowns, and workforce measures.</w:t>
      </w:r>
      <w:r w:rsidR="00883BFF">
        <w:t xml:space="preserve"> </w:t>
      </w:r>
      <w:r w:rsidR="000D40EE" w:rsidRPr="000D40EE">
        <w:t xml:space="preserve">Diagnostic </w:t>
      </w:r>
      <w:r w:rsidR="00BA4F4C">
        <w:t>W</w:t>
      </w:r>
      <w:r w:rsidR="000D40EE" w:rsidRPr="000D40EE">
        <w:t xml:space="preserve">aiting </w:t>
      </w:r>
      <w:r w:rsidR="00BA4F4C">
        <w:t>T</w:t>
      </w:r>
      <w:r w:rsidR="000D40EE" w:rsidRPr="000D40EE">
        <w:t>ime data can support monitoring but should be interpreted alongside safety, workforce and equity indicators (NHS Digital, 2025; NHS England, 2018).</w:t>
      </w:r>
      <w:r w:rsidR="000D40EE">
        <w:t xml:space="preserve"> </w:t>
      </w:r>
      <w:r w:rsidR="00BA4F4C">
        <w:t xml:space="preserve"> </w:t>
      </w:r>
      <w:r w:rsidR="00646F8D" w:rsidRPr="00646F8D">
        <w:t>This also supports realistic and multi-dimensional evaluation (NAO, 2025).</w:t>
      </w:r>
    </w:p>
    <w:p w14:paraId="64E90544" w14:textId="77777777" w:rsidR="00F33AC1" w:rsidRPr="00F3553D" w:rsidRDefault="00635D85" w:rsidP="00F33AC1">
      <w:pPr>
        <w:spacing w:line="360" w:lineRule="auto"/>
        <w:jc w:val="both"/>
        <w:rPr>
          <w:b/>
          <w:bCs/>
        </w:rPr>
      </w:pPr>
      <w:r w:rsidRPr="00F3553D">
        <w:rPr>
          <w:b/>
          <w:bCs/>
        </w:rPr>
        <w:t>3) Learning and adaptation.</w:t>
      </w:r>
    </w:p>
    <w:p w14:paraId="60D324B6" w14:textId="33985942" w:rsidR="00635D85" w:rsidRPr="00F3553D" w:rsidRDefault="00635D85" w:rsidP="00F33AC1">
      <w:pPr>
        <w:spacing w:line="360" w:lineRule="auto"/>
        <w:jc w:val="both"/>
      </w:pPr>
      <w:r w:rsidRPr="00F3553D">
        <w:t>PSIRF supports a learning-oriented response to patient safety incidents, which is especially relevant in rapid change where early problems are likely (NHS England, 2022</w:t>
      </w:r>
      <w:r w:rsidR="00E72795" w:rsidRPr="00F3553D">
        <w:t>c</w:t>
      </w:r>
      <w:r w:rsidRPr="00F3553D">
        <w:t xml:space="preserve">). Applied to CDCs, this means treating early safety signals and patient complaints as system feedback. </w:t>
      </w:r>
      <w:r w:rsidRPr="00F3553D">
        <w:lastRenderedPageBreak/>
        <w:t>It also means using quality improvement approaches to tighten workflows, reduce referral confusion, improve reporting routes and standardise communications.</w:t>
      </w:r>
    </w:p>
    <w:p w14:paraId="1F34548D" w14:textId="0B224475" w:rsidR="00635D85" w:rsidRPr="00F3553D" w:rsidRDefault="00635D85" w:rsidP="00A406DB">
      <w:pPr>
        <w:pStyle w:val="ListParagraph"/>
        <w:numPr>
          <w:ilvl w:val="1"/>
          <w:numId w:val="7"/>
        </w:numPr>
        <w:spacing w:line="360" w:lineRule="auto"/>
        <w:rPr>
          <w:b/>
          <w:bCs/>
        </w:rPr>
      </w:pPr>
      <w:r w:rsidRPr="00F3553D">
        <w:rPr>
          <w:b/>
          <w:bCs/>
        </w:rPr>
        <w:t>Information governance and pathway safety</w:t>
      </w:r>
    </w:p>
    <w:p w14:paraId="359C776C" w14:textId="5D955640" w:rsidR="00635D85" w:rsidRPr="00F3553D" w:rsidRDefault="00635D85" w:rsidP="00F33AC1">
      <w:pPr>
        <w:spacing w:line="360" w:lineRule="auto"/>
        <w:jc w:val="both"/>
      </w:pPr>
      <w:r w:rsidRPr="00F3553D">
        <w:t>Information governance is sometimes treated as a barrier, but in CDCs it is a quality enabler. Weak information sharing delays results and increases follow-up risk. NHS England’s emphasis on interoperability is directly tied to outcomes and quality (NHS England, 202</w:t>
      </w:r>
      <w:r w:rsidR="004526A2" w:rsidRPr="00F3553D">
        <w:t>3</w:t>
      </w:r>
      <w:r w:rsidR="001401D1" w:rsidRPr="00F3553D">
        <w:t>a</w:t>
      </w:r>
      <w:r w:rsidRPr="00F3553D">
        <w:t xml:space="preserve">). </w:t>
      </w:r>
      <w:r w:rsidR="00337416" w:rsidRPr="00337416">
        <w:t>Safe CDC pathways depend on reliable access to results and clear patient communication. Improved access to testing without equally effective access to results may enhance test timeliness while delaying clinical decision-making, ultimately undermining safety and effectiveness.</w:t>
      </w:r>
    </w:p>
    <w:p w14:paraId="4E9E27AD" w14:textId="5CFDB83A" w:rsidR="00635D85" w:rsidRPr="00F3553D" w:rsidRDefault="00635D85" w:rsidP="00A406DB">
      <w:pPr>
        <w:pStyle w:val="ListParagraph"/>
        <w:numPr>
          <w:ilvl w:val="1"/>
          <w:numId w:val="7"/>
        </w:numPr>
        <w:spacing w:line="360" w:lineRule="auto"/>
        <w:rPr>
          <w:b/>
          <w:bCs/>
        </w:rPr>
      </w:pPr>
      <w:r w:rsidRPr="00F3553D">
        <w:rPr>
          <w:b/>
          <w:bCs/>
        </w:rPr>
        <w:t>Environmental sustainability as part of quality</w:t>
      </w:r>
    </w:p>
    <w:p w14:paraId="4F48423B" w14:textId="486D0A58" w:rsidR="00635D85" w:rsidRPr="00F3553D" w:rsidRDefault="00635D85" w:rsidP="00F33AC1">
      <w:pPr>
        <w:spacing w:line="360" w:lineRule="auto"/>
        <w:jc w:val="both"/>
      </w:pPr>
      <w:r w:rsidRPr="00F3553D">
        <w:t>Environmental drivers connect to quality because travel and estates have health and cost impacts. The NHS net zero travel and transport strategy reinforces that travel emissions are part of NHS responsibility and planning (NHS England, 2023</w:t>
      </w:r>
      <w:r w:rsidR="001401D1" w:rsidRPr="00F3553D">
        <w:t>b</w:t>
      </w:r>
      <w:r w:rsidRPr="00F3553D">
        <w:t>). CDCs might reduce travel to acute hospitals, but only if sites are placed well and pathways minimise repeat visits. Sustainability planning also overlaps with equity. If sites are designed around car access only, then both sustainability and equity suffer.</w:t>
      </w:r>
    </w:p>
    <w:p w14:paraId="2221AB20" w14:textId="65753765" w:rsidR="00635D85" w:rsidRPr="00F3553D" w:rsidRDefault="00635D85" w:rsidP="00A406DB">
      <w:pPr>
        <w:pStyle w:val="ListParagraph"/>
        <w:numPr>
          <w:ilvl w:val="0"/>
          <w:numId w:val="7"/>
        </w:numPr>
        <w:spacing w:line="360" w:lineRule="auto"/>
        <w:rPr>
          <w:b/>
          <w:bCs/>
        </w:rPr>
      </w:pPr>
      <w:r w:rsidRPr="00F3553D">
        <w:rPr>
          <w:b/>
          <w:bCs/>
        </w:rPr>
        <w:t>Critical evaluation of CDCs: outcomes, contestation, and judgement</w:t>
      </w:r>
    </w:p>
    <w:p w14:paraId="00AEAE5D" w14:textId="19A4829F" w:rsidR="00635D85" w:rsidRPr="00F3553D" w:rsidRDefault="00635D85" w:rsidP="00A406DB">
      <w:pPr>
        <w:pStyle w:val="ListParagraph"/>
        <w:numPr>
          <w:ilvl w:val="1"/>
          <w:numId w:val="7"/>
        </w:numPr>
        <w:spacing w:line="360" w:lineRule="auto"/>
        <w:rPr>
          <w:b/>
          <w:bCs/>
        </w:rPr>
      </w:pPr>
      <w:r w:rsidRPr="00F3553D">
        <w:rPr>
          <w:b/>
          <w:bCs/>
        </w:rPr>
        <w:t>What the evidence suggests improved</w:t>
      </w:r>
    </w:p>
    <w:p w14:paraId="4863E10E" w14:textId="36CAA9B8" w:rsidR="00635D85" w:rsidRPr="00F3553D" w:rsidRDefault="00635D85" w:rsidP="00F33AC1">
      <w:pPr>
        <w:spacing w:line="360" w:lineRule="auto"/>
        <w:jc w:val="both"/>
      </w:pPr>
      <w:r w:rsidRPr="00F3553D">
        <w:t>The core argument for CDCs is that shifting elective diagnostics into community settings increases capacity and reduces waits (NHS England, 2020). Evidence supports at least part of this: the Health Policy evaluation using English NHS data reports increased volumes of diagnostic procedures associated with CDC introduction and examines waiting time impacts (</w:t>
      </w:r>
      <w:proofErr w:type="spellStart"/>
      <w:r w:rsidRPr="00F3553D">
        <w:t>Sivey</w:t>
      </w:r>
      <w:proofErr w:type="spellEnd"/>
      <w:r w:rsidRPr="00F3553D">
        <w:t xml:space="preserve"> and Wen, 2024). </w:t>
      </w:r>
      <w:r w:rsidR="00005196" w:rsidRPr="00F3553D">
        <w:t>However, a rapid review suggests that evidence on effectiveness and cost-effectiveness is still developing, so benefits should not be assumed from policy aims alone (</w:t>
      </w:r>
      <w:r w:rsidR="009528E7" w:rsidRPr="00F3553D">
        <w:t>Wale</w:t>
      </w:r>
      <w:r w:rsidR="00005196" w:rsidRPr="00F3553D">
        <w:t xml:space="preserve"> et al., 2024). </w:t>
      </w:r>
      <w:r w:rsidR="00C475EC" w:rsidRPr="00C475EC">
        <w:t>These sources suggest CDCs represent measurable rather than purely rhetorical change.</w:t>
      </w:r>
    </w:p>
    <w:p w14:paraId="3ABDA390" w14:textId="5A3CEC0F" w:rsidR="00635D85" w:rsidRPr="00F3553D" w:rsidRDefault="00635D85" w:rsidP="00F33AC1">
      <w:pPr>
        <w:spacing w:line="360" w:lineRule="auto"/>
        <w:jc w:val="both"/>
      </w:pPr>
      <w:r w:rsidRPr="00F3553D">
        <w:lastRenderedPageBreak/>
        <w:t xml:space="preserve">There is also evidence of attention to patient experience through national reporting, which supports the idea that experience is being measured rather than assumed (NHS Elect, 2024). </w:t>
      </w:r>
    </w:p>
    <w:p w14:paraId="1838A993" w14:textId="363B9ACA" w:rsidR="00635D85" w:rsidRPr="00F3553D" w:rsidRDefault="00635D85" w:rsidP="00A406DB">
      <w:pPr>
        <w:pStyle w:val="ListParagraph"/>
        <w:numPr>
          <w:ilvl w:val="1"/>
          <w:numId w:val="7"/>
        </w:numPr>
        <w:spacing w:line="360" w:lineRule="auto"/>
        <w:rPr>
          <w:b/>
          <w:bCs/>
        </w:rPr>
      </w:pPr>
      <w:r w:rsidRPr="00F3553D">
        <w:rPr>
          <w:b/>
          <w:bCs/>
        </w:rPr>
        <w:t>What was contested and where risks remain</w:t>
      </w:r>
    </w:p>
    <w:p w14:paraId="50CE3335" w14:textId="61C95433" w:rsidR="00635D85" w:rsidRPr="00F3553D" w:rsidRDefault="00AB776C" w:rsidP="00F33AC1">
      <w:pPr>
        <w:spacing w:line="360" w:lineRule="auto"/>
        <w:jc w:val="both"/>
      </w:pPr>
      <w:r w:rsidRPr="00AB776C">
        <w:t xml:space="preserve">The biggest constraint is workforce. Capacity is not only buildings and scanners, but also people. RCR workforce evidence links shortages to delays in diagnosis and treatment (RCR, 2024). IPEM workforce intelligence adds further evidence of gaps in diagnostic radiology and radiation protection roles (IPEM, 2024). </w:t>
      </w:r>
      <w:r w:rsidR="00C3477C" w:rsidRPr="00C3477C">
        <w:t>CDCs may therefore increase scanning capacity faster than reporting capacity, shifting the bottleneck and delaying results.</w:t>
      </w:r>
    </w:p>
    <w:p w14:paraId="118F6B0C" w14:textId="02D08FCB" w:rsidR="00635D85" w:rsidRPr="00F3553D" w:rsidRDefault="00635D85" w:rsidP="00F33AC1">
      <w:pPr>
        <w:spacing w:line="360" w:lineRule="auto"/>
        <w:jc w:val="both"/>
      </w:pPr>
      <w:r w:rsidRPr="00F3553D">
        <w:t>A second contested area is programme realism and delivery under constraint. The NAO’s review indicates elective transformation programmes faced delivery constraints and did not meet all goals, which is relevant because it suggests a pattern of optimism meeting operational reality (NAO, 2025). The Public Accounts Committee similarly scrutinises elective recovery and highlights the scale of spending and the challenge of achieving goals (</w:t>
      </w:r>
      <w:r w:rsidR="00E96165" w:rsidRPr="00F3553D">
        <w:t>Committee of Public Accounts</w:t>
      </w:r>
      <w:r w:rsidRPr="00F3553D">
        <w:t>, 202</w:t>
      </w:r>
      <w:r w:rsidR="00E96165" w:rsidRPr="00F3553D">
        <w:t>4</w:t>
      </w:r>
      <w:r w:rsidRPr="00F3553D">
        <w:t>). This supports a critical claim that rapid change can create pressure to deliver visible outputs, sometimes at the expense of deeper system integration and assurance.</w:t>
      </w:r>
    </w:p>
    <w:p w14:paraId="460A6953" w14:textId="7CD50130" w:rsidR="00635D85" w:rsidRPr="00F3553D" w:rsidRDefault="000F5B7F" w:rsidP="00F33AC1">
      <w:pPr>
        <w:spacing w:line="360" w:lineRule="auto"/>
        <w:jc w:val="both"/>
      </w:pPr>
      <w:r w:rsidRPr="00F3553D">
        <w:t>A third contested area is equity. CDCs aim to improve access, including for deprived communities, but equity effects depend on geography, transport and pathway design. Wider analysis of community services also shows that shifting care closer to home does not automatically remove waiting time or capacity pressures (Nuffield Trust, 2025). Without disaggregated evaluation by deprivation, ethnicity, disability and rurality, it is hard to conclude whether equity improved or whether average improvements masked uneven benefits. A critical analysis should treat equity as uncertain unless evidenced.</w:t>
      </w:r>
    </w:p>
    <w:p w14:paraId="6E2EA27D" w14:textId="073F7764" w:rsidR="00575C0D" w:rsidRPr="00F3553D" w:rsidRDefault="00635D85" w:rsidP="00F33AC1">
      <w:pPr>
        <w:spacing w:line="360" w:lineRule="auto"/>
        <w:jc w:val="both"/>
      </w:pPr>
      <w:r w:rsidRPr="00F3553D">
        <w:t>Finally, information governance and interoperability are ongoing risks. National policy emphasises interoperability, but practical implementation is often messy because of varied systems and contracts (NHS England, 202</w:t>
      </w:r>
      <w:r w:rsidR="00621B76" w:rsidRPr="00F3553D">
        <w:t>3</w:t>
      </w:r>
      <w:r w:rsidR="00AB2BDE" w:rsidRPr="00F3553D">
        <w:t>a</w:t>
      </w:r>
      <w:r w:rsidRPr="00F3553D">
        <w:t xml:space="preserve">; NHS England, 2025; NHS </w:t>
      </w:r>
      <w:r w:rsidR="00231A06" w:rsidRPr="00F3553D">
        <w:t>Alliance</w:t>
      </w:r>
      <w:r w:rsidRPr="00F3553D">
        <w:t>, 2025). If systems are not integrated, follow-up becomes harder and safety risks increase through delays and missed results</w:t>
      </w:r>
      <w:r w:rsidR="00677FCC">
        <w:t>.</w:t>
      </w:r>
    </w:p>
    <w:p w14:paraId="3A28E997" w14:textId="0F6B0027" w:rsidR="00635D85" w:rsidRPr="00F3553D" w:rsidRDefault="00635D85" w:rsidP="00A406DB">
      <w:pPr>
        <w:pStyle w:val="ListParagraph"/>
        <w:numPr>
          <w:ilvl w:val="0"/>
          <w:numId w:val="7"/>
        </w:numPr>
        <w:spacing w:line="360" w:lineRule="auto"/>
        <w:rPr>
          <w:b/>
          <w:bCs/>
        </w:rPr>
      </w:pPr>
      <w:r w:rsidRPr="00F3553D">
        <w:rPr>
          <w:b/>
          <w:bCs/>
        </w:rPr>
        <w:lastRenderedPageBreak/>
        <w:t>Judgement</w:t>
      </w:r>
    </w:p>
    <w:p w14:paraId="6E037D86" w14:textId="44FBA1EA" w:rsidR="001C030A" w:rsidRPr="00F3553D" w:rsidRDefault="000A320A" w:rsidP="001C030A">
      <w:pPr>
        <w:spacing w:line="360" w:lineRule="auto"/>
        <w:jc w:val="both"/>
      </w:pPr>
      <w:r w:rsidRPr="00F3553D">
        <w:t>Overall, CDCs are a rational strategic change with evidence of increased diagnostic activity and potential waiting-time improvements (</w:t>
      </w:r>
      <w:proofErr w:type="spellStart"/>
      <w:r w:rsidRPr="00F3553D">
        <w:t>Sivey</w:t>
      </w:r>
      <w:proofErr w:type="spellEnd"/>
      <w:r w:rsidRPr="00F3553D">
        <w:t xml:space="preserve"> and Wen, 2024</w:t>
      </w:r>
      <w:r w:rsidR="002A625F" w:rsidRPr="00F3553D">
        <w:t xml:space="preserve">; </w:t>
      </w:r>
      <w:proofErr w:type="spellStart"/>
      <w:r w:rsidR="002A625F" w:rsidRPr="00F3553D">
        <w:t>Moscrop</w:t>
      </w:r>
      <w:proofErr w:type="spellEnd"/>
      <w:r w:rsidR="002A625F" w:rsidRPr="00F3553D">
        <w:t>, 2021</w:t>
      </w:r>
      <w:r w:rsidRPr="00F3553D">
        <w:t>). Governance guidance and patient experience reporting suggest an intention to protect quality beyond throughput (NHS England, 2024a; NHS Elect, 2024)</w:t>
      </w:r>
      <w:r w:rsidR="001C030A" w:rsidRPr="00F3553D">
        <w:t>.</w:t>
      </w:r>
    </w:p>
    <w:p w14:paraId="2C794FAD" w14:textId="77777777" w:rsidR="00677FCC" w:rsidRDefault="001C030A" w:rsidP="001C030A">
      <w:pPr>
        <w:spacing w:line="360" w:lineRule="auto"/>
        <w:jc w:val="both"/>
      </w:pPr>
      <w:r w:rsidRPr="00F3553D">
        <w:t xml:space="preserve">However, the risks are structural. Workforce shortages can push delays into reporting and decision-making, undermining safety and effectiveness even if test waits fall (RCR, 2024; IPEM, 2024). </w:t>
      </w:r>
      <w:r w:rsidR="002810E5" w:rsidRPr="002810E5">
        <w:t>Governance complexity may create unclear responsibility for follow-up.</w:t>
      </w:r>
    </w:p>
    <w:p w14:paraId="16F36023" w14:textId="742437B0" w:rsidR="001C030A" w:rsidRPr="00F3553D" w:rsidRDefault="00677FCC" w:rsidP="001C030A">
      <w:pPr>
        <w:spacing w:line="360" w:lineRule="auto"/>
        <w:jc w:val="both"/>
      </w:pPr>
      <w:r>
        <w:t xml:space="preserve"> </w:t>
      </w:r>
      <w:r w:rsidR="001C030A" w:rsidRPr="00F3553D">
        <w:t xml:space="preserve">Equity outcomes also remain uncertain without stronger disaggregated evidence. </w:t>
      </w:r>
      <w:r w:rsidR="00905FC4" w:rsidRPr="00F3553D">
        <w:t>My judgement is that CDCs can improve timeliness and patient experience, but only if interoperability, results governance, workforce capacity and equity are treated as core safeguards.</w:t>
      </w:r>
    </w:p>
    <w:p w14:paraId="70A99D11" w14:textId="2FDA8A97" w:rsidR="00635D85" w:rsidRPr="00F3553D" w:rsidRDefault="00635D85" w:rsidP="001C030A">
      <w:pPr>
        <w:spacing w:line="360" w:lineRule="auto"/>
        <w:jc w:val="both"/>
      </w:pPr>
    </w:p>
    <w:p w14:paraId="1A519323" w14:textId="77777777" w:rsidR="0075158E" w:rsidRPr="00F3553D" w:rsidRDefault="0075158E" w:rsidP="001C030A">
      <w:pPr>
        <w:spacing w:line="360" w:lineRule="auto"/>
        <w:jc w:val="both"/>
      </w:pPr>
    </w:p>
    <w:p w14:paraId="2DBEDFF4" w14:textId="77777777" w:rsidR="0075158E" w:rsidRPr="00F3553D" w:rsidRDefault="0075158E" w:rsidP="001C030A">
      <w:pPr>
        <w:spacing w:line="360" w:lineRule="auto"/>
        <w:jc w:val="both"/>
      </w:pPr>
    </w:p>
    <w:p w14:paraId="0638316A" w14:textId="77777777" w:rsidR="0075158E" w:rsidRPr="00F3553D" w:rsidRDefault="0075158E" w:rsidP="001C030A">
      <w:pPr>
        <w:spacing w:line="360" w:lineRule="auto"/>
        <w:jc w:val="both"/>
      </w:pPr>
    </w:p>
    <w:p w14:paraId="1FD0314A" w14:textId="77777777" w:rsidR="0075158E" w:rsidRPr="00F3553D" w:rsidRDefault="0075158E" w:rsidP="001C030A">
      <w:pPr>
        <w:spacing w:line="360" w:lineRule="auto"/>
        <w:jc w:val="both"/>
      </w:pPr>
    </w:p>
    <w:p w14:paraId="3C6F0747" w14:textId="77777777" w:rsidR="0075158E" w:rsidRPr="00F3553D" w:rsidRDefault="0075158E" w:rsidP="001C030A">
      <w:pPr>
        <w:spacing w:line="360" w:lineRule="auto"/>
        <w:jc w:val="both"/>
      </w:pPr>
    </w:p>
    <w:p w14:paraId="142879CD" w14:textId="77777777" w:rsidR="0075158E" w:rsidRPr="00F3553D" w:rsidRDefault="0075158E" w:rsidP="001C030A">
      <w:pPr>
        <w:spacing w:line="360" w:lineRule="auto"/>
        <w:jc w:val="both"/>
      </w:pPr>
    </w:p>
    <w:p w14:paraId="6A45414E" w14:textId="77777777" w:rsidR="0075158E" w:rsidRPr="00F3553D" w:rsidRDefault="0075158E" w:rsidP="001C030A">
      <w:pPr>
        <w:spacing w:line="360" w:lineRule="auto"/>
        <w:jc w:val="both"/>
      </w:pPr>
    </w:p>
    <w:p w14:paraId="2CC7821E" w14:textId="77777777" w:rsidR="0075158E" w:rsidRPr="00F3553D" w:rsidRDefault="0075158E" w:rsidP="001C030A">
      <w:pPr>
        <w:spacing w:line="360" w:lineRule="auto"/>
        <w:jc w:val="both"/>
      </w:pPr>
    </w:p>
    <w:p w14:paraId="7392C06F" w14:textId="77777777" w:rsidR="0075158E" w:rsidRPr="00F3553D" w:rsidRDefault="0075158E" w:rsidP="001C030A">
      <w:pPr>
        <w:spacing w:line="360" w:lineRule="auto"/>
        <w:jc w:val="both"/>
      </w:pPr>
    </w:p>
    <w:p w14:paraId="3117A4B9" w14:textId="77777777" w:rsidR="0075158E" w:rsidRPr="00F3553D" w:rsidRDefault="0075158E" w:rsidP="001C030A">
      <w:pPr>
        <w:spacing w:line="360" w:lineRule="auto"/>
        <w:jc w:val="both"/>
      </w:pPr>
    </w:p>
    <w:p w14:paraId="30EBC0DF" w14:textId="77777777" w:rsidR="0075158E" w:rsidRPr="00F3553D" w:rsidRDefault="0075158E" w:rsidP="001C030A">
      <w:pPr>
        <w:spacing w:line="360" w:lineRule="auto"/>
        <w:jc w:val="both"/>
      </w:pPr>
    </w:p>
    <w:p w14:paraId="035F0F4F" w14:textId="77777777" w:rsidR="0075158E" w:rsidRPr="00F3553D" w:rsidRDefault="0075158E" w:rsidP="0075158E">
      <w:pPr>
        <w:widowControl w:val="0"/>
        <w:autoSpaceDE w:val="0"/>
        <w:autoSpaceDN w:val="0"/>
        <w:adjustRightInd w:val="0"/>
        <w:spacing w:after="240" w:line="360" w:lineRule="auto"/>
        <w:jc w:val="both"/>
        <w:rPr>
          <w:rFonts w:cs="Times New Roman"/>
          <w:kern w:val="0"/>
          <w:lang w:val="en-US"/>
        </w:rPr>
      </w:pPr>
      <w:r w:rsidRPr="00F3553D">
        <w:rPr>
          <w:rFonts w:cs="Times New Roman"/>
          <w:kern w:val="0"/>
          <w:lang w:val="en-US"/>
        </w:rPr>
        <w:lastRenderedPageBreak/>
        <w:t>Reference list:</w:t>
      </w:r>
    </w:p>
    <w:p w14:paraId="1E7C2BA2" w14:textId="77777777" w:rsidR="002012D9" w:rsidRDefault="0075158E" w:rsidP="002012D9">
      <w:pPr>
        <w:widowControl w:val="0"/>
        <w:autoSpaceDE w:val="0"/>
        <w:autoSpaceDN w:val="0"/>
        <w:adjustRightInd w:val="0"/>
        <w:spacing w:after="240" w:line="360" w:lineRule="auto"/>
        <w:jc w:val="both"/>
        <w:rPr>
          <w:rFonts w:cs="Times New Roman"/>
          <w:kern w:val="0"/>
          <w:lang w:val="en-US"/>
        </w:rPr>
      </w:pPr>
      <w:r w:rsidRPr="00012AB2">
        <w:rPr>
          <w:rFonts w:cs="Times New Roman"/>
          <w:kern w:val="0"/>
          <w:lang w:val="en-US"/>
        </w:rPr>
        <w:t xml:space="preserve">British Medical Association (BMA) (2025) </w:t>
      </w:r>
      <w:r w:rsidRPr="00012AB2">
        <w:rPr>
          <w:rFonts w:cs="Times New Roman"/>
          <w:i/>
          <w:iCs/>
          <w:kern w:val="0"/>
          <w:lang w:val="en-US"/>
        </w:rPr>
        <w:t>NHS diagnostics data analysis</w:t>
      </w:r>
      <w:r w:rsidRPr="00012AB2">
        <w:rPr>
          <w:rFonts w:cs="Times New Roman"/>
          <w:kern w:val="0"/>
          <w:lang w:val="en-US"/>
        </w:rPr>
        <w:t xml:space="preserve">. Available at: </w:t>
      </w:r>
      <w:hyperlink r:id="rId9" w:history="1">
        <w:r w:rsidRPr="00012AB2">
          <w:rPr>
            <w:rFonts w:cs="Times New Roman"/>
            <w:kern w:val="0"/>
            <w:lang w:val="en-US"/>
          </w:rPr>
          <w:t>https://www.bma.org.uk/advice-and-support/nhs-delivery-and-workforce/pressures/nhs-diagnostics-data-analysis</w:t>
        </w:r>
      </w:hyperlink>
      <w:r w:rsidRPr="00012AB2">
        <w:rPr>
          <w:rFonts w:cs="Times New Roman"/>
          <w:kern w:val="0"/>
          <w:lang w:val="en-US"/>
        </w:rPr>
        <w:t>.</w:t>
      </w:r>
    </w:p>
    <w:p w14:paraId="11A5BF2C" w14:textId="77777777" w:rsidR="002012D9" w:rsidRDefault="0075158E" w:rsidP="002012D9">
      <w:pPr>
        <w:widowControl w:val="0"/>
        <w:autoSpaceDE w:val="0"/>
        <w:autoSpaceDN w:val="0"/>
        <w:adjustRightInd w:val="0"/>
        <w:spacing w:after="240" w:line="360" w:lineRule="auto"/>
        <w:jc w:val="both"/>
        <w:rPr>
          <w:rFonts w:cs="Times New Roman"/>
          <w:kern w:val="0"/>
          <w:lang w:val="en-US"/>
        </w:rPr>
      </w:pPr>
      <w:r w:rsidRPr="00F3553D">
        <w:rPr>
          <w:rFonts w:cs="Times New Roman"/>
          <w:kern w:val="0"/>
          <w:lang w:val="en-US"/>
        </w:rPr>
        <w:t xml:space="preserve">Care Quality Commission (CQC) (2026) </w:t>
      </w:r>
      <w:r w:rsidRPr="00F3553D">
        <w:rPr>
          <w:rFonts w:cs="Times New Roman"/>
          <w:i/>
          <w:iCs/>
          <w:kern w:val="0"/>
          <w:lang w:val="en-US"/>
        </w:rPr>
        <w:t>The 5 key questions we ask - Care Quality Commission</w:t>
      </w:r>
      <w:r w:rsidRPr="00F3553D">
        <w:rPr>
          <w:rFonts w:cs="Times New Roman"/>
          <w:kern w:val="0"/>
          <w:lang w:val="en-US"/>
        </w:rPr>
        <w:t xml:space="preserve">. Available at: </w:t>
      </w:r>
      <w:hyperlink r:id="rId10" w:history="1">
        <w:r w:rsidRPr="00F3553D">
          <w:rPr>
            <w:rFonts w:cs="Times New Roman"/>
            <w:kern w:val="0"/>
            <w:lang w:val="en-US"/>
          </w:rPr>
          <w:t>https://www.cqc.org.uk/about-us/how-we-do-our-job/the-5-key-questions-we-ask</w:t>
        </w:r>
      </w:hyperlink>
      <w:r w:rsidRPr="00F3553D">
        <w:rPr>
          <w:rFonts w:cs="Times New Roman"/>
          <w:kern w:val="0"/>
          <w:lang w:val="en-US"/>
        </w:rPr>
        <w:t>.</w:t>
      </w:r>
    </w:p>
    <w:p w14:paraId="0843221B" w14:textId="77777777" w:rsidR="002012D9" w:rsidRDefault="0075158E" w:rsidP="002012D9">
      <w:pPr>
        <w:widowControl w:val="0"/>
        <w:autoSpaceDE w:val="0"/>
        <w:autoSpaceDN w:val="0"/>
        <w:adjustRightInd w:val="0"/>
        <w:spacing w:after="240" w:line="360" w:lineRule="auto"/>
        <w:jc w:val="both"/>
        <w:rPr>
          <w:rFonts w:cs="Times New Roman"/>
          <w:kern w:val="0"/>
          <w:lang w:val="en-US"/>
        </w:rPr>
      </w:pPr>
      <w:r w:rsidRPr="00F3553D">
        <w:rPr>
          <w:rFonts w:cs="Times New Roman"/>
          <w:kern w:val="0"/>
          <w:lang w:val="en-US"/>
        </w:rPr>
        <w:t xml:space="preserve">Committee of Public Accounts (2024) </w:t>
      </w:r>
      <w:r w:rsidRPr="00F3553D">
        <w:rPr>
          <w:rFonts w:cs="Times New Roman"/>
          <w:i/>
          <w:iCs/>
          <w:kern w:val="0"/>
          <w:lang w:val="en-US"/>
        </w:rPr>
        <w:t>Reducing NHS waiting times for elective care</w:t>
      </w:r>
      <w:r w:rsidRPr="00F3553D">
        <w:rPr>
          <w:rFonts w:cs="Times New Roman"/>
          <w:kern w:val="0"/>
          <w:lang w:val="en-US"/>
        </w:rPr>
        <w:t xml:space="preserve">. Available at: </w:t>
      </w:r>
      <w:hyperlink r:id="rId11" w:history="1">
        <w:r w:rsidRPr="00F3553D">
          <w:rPr>
            <w:rFonts w:cs="Times New Roman"/>
            <w:kern w:val="0"/>
            <w:lang w:val="en-US"/>
          </w:rPr>
          <w:t>https://publications.parliament.uk/pa/cm5901/cmselect/cmpubacc/820/report.html</w:t>
        </w:r>
      </w:hyperlink>
      <w:r w:rsidRPr="00F3553D">
        <w:rPr>
          <w:rFonts w:cs="Times New Roman"/>
          <w:kern w:val="0"/>
          <w:lang w:val="en-US"/>
        </w:rPr>
        <w:t>.</w:t>
      </w:r>
    </w:p>
    <w:p w14:paraId="73662DCD" w14:textId="77777777" w:rsidR="002012D9" w:rsidRDefault="0075158E" w:rsidP="002012D9">
      <w:pPr>
        <w:widowControl w:val="0"/>
        <w:autoSpaceDE w:val="0"/>
        <w:autoSpaceDN w:val="0"/>
        <w:adjustRightInd w:val="0"/>
        <w:spacing w:after="240" w:line="360" w:lineRule="auto"/>
        <w:jc w:val="both"/>
        <w:rPr>
          <w:rFonts w:cs="Times New Roman"/>
          <w:kern w:val="0"/>
          <w:lang w:val="en-US"/>
        </w:rPr>
      </w:pPr>
      <w:r w:rsidRPr="00F3553D">
        <w:rPr>
          <w:rFonts w:cs="Times New Roman"/>
          <w:kern w:val="0"/>
          <w:lang w:val="en-US"/>
        </w:rPr>
        <w:t xml:space="preserve">Department of Health and Social Care (2023) </w:t>
      </w:r>
      <w:r w:rsidRPr="00F3553D">
        <w:rPr>
          <w:rFonts w:cs="Times New Roman"/>
          <w:i/>
          <w:iCs/>
          <w:kern w:val="0"/>
          <w:lang w:val="en-US"/>
        </w:rPr>
        <w:t>Elective recovery taskforce: implementation plan</w:t>
      </w:r>
      <w:r w:rsidRPr="00F3553D">
        <w:rPr>
          <w:rFonts w:cs="Times New Roman"/>
          <w:kern w:val="0"/>
          <w:lang w:val="en-US"/>
        </w:rPr>
        <w:t xml:space="preserve">. Available at: </w:t>
      </w:r>
      <w:hyperlink r:id="rId12" w:history="1">
        <w:r w:rsidRPr="00F3553D">
          <w:rPr>
            <w:rFonts w:cs="Times New Roman"/>
            <w:kern w:val="0"/>
            <w:lang w:val="en-US"/>
          </w:rPr>
          <w:t>https://www.gov.uk/government/publications/elective-recovery-taskforce-implementation-plan/elective-recovery-taskforce-implementation-plan</w:t>
        </w:r>
      </w:hyperlink>
      <w:r w:rsidRPr="00F3553D">
        <w:rPr>
          <w:rFonts w:cs="Times New Roman"/>
          <w:kern w:val="0"/>
          <w:lang w:val="en-US"/>
        </w:rPr>
        <w:t>.</w:t>
      </w:r>
    </w:p>
    <w:p w14:paraId="2581CB0F" w14:textId="77777777" w:rsidR="002012D9" w:rsidRDefault="0075158E" w:rsidP="002012D9">
      <w:pPr>
        <w:widowControl w:val="0"/>
        <w:autoSpaceDE w:val="0"/>
        <w:autoSpaceDN w:val="0"/>
        <w:adjustRightInd w:val="0"/>
        <w:spacing w:after="240" w:line="360" w:lineRule="auto"/>
        <w:jc w:val="both"/>
        <w:rPr>
          <w:rFonts w:cs="Times New Roman"/>
          <w:kern w:val="0"/>
          <w:lang w:val="en-US"/>
        </w:rPr>
      </w:pPr>
      <w:r w:rsidRPr="00F3553D">
        <w:rPr>
          <w:rFonts w:cs="Times New Roman"/>
          <w:kern w:val="0"/>
          <w:lang w:val="en-US"/>
        </w:rPr>
        <w:t xml:space="preserve">Department of Health and Social Care (2024) </w:t>
      </w:r>
      <w:r w:rsidRPr="00F3553D">
        <w:rPr>
          <w:rFonts w:cs="Times New Roman"/>
          <w:i/>
          <w:iCs/>
          <w:kern w:val="0"/>
          <w:lang w:val="en-US"/>
        </w:rPr>
        <w:t>Independent investigation of the NHS in England</w:t>
      </w:r>
      <w:r w:rsidRPr="00F3553D">
        <w:rPr>
          <w:rFonts w:cs="Times New Roman"/>
          <w:kern w:val="0"/>
          <w:lang w:val="en-US"/>
        </w:rPr>
        <w:t xml:space="preserve">. Available at: </w:t>
      </w:r>
      <w:hyperlink r:id="rId13" w:history="1">
        <w:r w:rsidRPr="00F3553D">
          <w:rPr>
            <w:rFonts w:cs="Times New Roman"/>
            <w:kern w:val="0"/>
            <w:lang w:val="en-US"/>
          </w:rPr>
          <w:t>https://www.gov.uk/government/publications/independent-investigation-of-the-nhs-in-england</w:t>
        </w:r>
      </w:hyperlink>
      <w:r w:rsidRPr="00F3553D">
        <w:rPr>
          <w:rFonts w:cs="Times New Roman"/>
          <w:kern w:val="0"/>
          <w:lang w:val="en-US"/>
        </w:rPr>
        <w:t>.</w:t>
      </w:r>
    </w:p>
    <w:p w14:paraId="3B9397AD" w14:textId="77777777" w:rsidR="002012D9" w:rsidRDefault="0075158E" w:rsidP="002012D9">
      <w:pPr>
        <w:widowControl w:val="0"/>
        <w:autoSpaceDE w:val="0"/>
        <w:autoSpaceDN w:val="0"/>
        <w:adjustRightInd w:val="0"/>
        <w:spacing w:after="240" w:line="360" w:lineRule="auto"/>
        <w:jc w:val="both"/>
        <w:rPr>
          <w:rFonts w:cs="Times New Roman"/>
          <w:kern w:val="0"/>
          <w:lang w:val="en-US"/>
        </w:rPr>
      </w:pPr>
      <w:r w:rsidRPr="00F3553D">
        <w:rPr>
          <w:rFonts w:cs="Times New Roman"/>
          <w:kern w:val="0"/>
          <w:lang w:val="en-US"/>
        </w:rPr>
        <w:t xml:space="preserve">Healthwatch England (2024) </w:t>
      </w:r>
      <w:r w:rsidRPr="00F3553D">
        <w:rPr>
          <w:rFonts w:cs="Times New Roman"/>
          <w:i/>
          <w:iCs/>
          <w:kern w:val="0"/>
          <w:lang w:val="en-US"/>
        </w:rPr>
        <w:t xml:space="preserve">A local diagnosis: Learning the lessons of Community Diagnostic </w:t>
      </w:r>
      <w:proofErr w:type="spellStart"/>
      <w:r w:rsidRPr="00F3553D">
        <w:rPr>
          <w:rFonts w:cs="Times New Roman"/>
          <w:i/>
          <w:iCs/>
          <w:kern w:val="0"/>
          <w:lang w:val="en-US"/>
        </w:rPr>
        <w:t>Centres</w:t>
      </w:r>
      <w:proofErr w:type="spellEnd"/>
      <w:r w:rsidRPr="00F3553D">
        <w:rPr>
          <w:rFonts w:cs="Times New Roman"/>
          <w:kern w:val="0"/>
          <w:lang w:val="en-US"/>
        </w:rPr>
        <w:t xml:space="preserve">. Available at: </w:t>
      </w:r>
      <w:hyperlink r:id="rId14" w:history="1">
        <w:r w:rsidRPr="00F3553D">
          <w:rPr>
            <w:rFonts w:cs="Times New Roman"/>
            <w:kern w:val="0"/>
            <w:lang w:val="en-US"/>
          </w:rPr>
          <w:t>https://www.healthwatch.co.uk/report/2024-08-28/local-diagnosis-learning-lessons-community-diagnostic-centres</w:t>
        </w:r>
      </w:hyperlink>
      <w:r w:rsidRPr="00F3553D">
        <w:rPr>
          <w:rFonts w:cs="Times New Roman"/>
          <w:kern w:val="0"/>
          <w:lang w:val="en-US"/>
        </w:rPr>
        <w:t>.</w:t>
      </w:r>
    </w:p>
    <w:p w14:paraId="33D1A93C" w14:textId="77777777" w:rsidR="002012D9" w:rsidRDefault="0075158E" w:rsidP="002012D9">
      <w:pPr>
        <w:widowControl w:val="0"/>
        <w:autoSpaceDE w:val="0"/>
        <w:autoSpaceDN w:val="0"/>
        <w:adjustRightInd w:val="0"/>
        <w:spacing w:after="240" w:line="360" w:lineRule="auto"/>
        <w:jc w:val="both"/>
        <w:rPr>
          <w:rFonts w:cs="Times New Roman"/>
          <w:kern w:val="0"/>
          <w:lang w:val="en-US"/>
        </w:rPr>
      </w:pPr>
      <w:r w:rsidRPr="00F3553D">
        <w:rPr>
          <w:rFonts w:cs="Times New Roman"/>
          <w:kern w:val="0"/>
          <w:lang w:val="en-US"/>
        </w:rPr>
        <w:t xml:space="preserve">Institute of Physics and Engineering in Medicine (2024) </w:t>
      </w:r>
      <w:r w:rsidRPr="00F3553D">
        <w:rPr>
          <w:rFonts w:cs="Times New Roman"/>
          <w:i/>
          <w:iCs/>
          <w:kern w:val="0"/>
          <w:lang w:val="en-US"/>
        </w:rPr>
        <w:t xml:space="preserve">2024 </w:t>
      </w:r>
      <w:proofErr w:type="gramStart"/>
      <w:r w:rsidRPr="00F3553D">
        <w:rPr>
          <w:rFonts w:cs="Times New Roman"/>
          <w:i/>
          <w:iCs/>
          <w:kern w:val="0"/>
          <w:lang w:val="en-US"/>
        </w:rPr>
        <w:t>Diagnostic Radiology and</w:t>
      </w:r>
      <w:proofErr w:type="gramEnd"/>
      <w:r w:rsidRPr="00F3553D">
        <w:rPr>
          <w:rFonts w:cs="Times New Roman"/>
          <w:i/>
          <w:iCs/>
          <w:kern w:val="0"/>
          <w:lang w:val="en-US"/>
        </w:rPr>
        <w:t xml:space="preserve"> Radiation Protection Workforce Report</w:t>
      </w:r>
      <w:r w:rsidRPr="00F3553D">
        <w:rPr>
          <w:rFonts w:cs="Times New Roman"/>
          <w:kern w:val="0"/>
          <w:lang w:val="en-US"/>
        </w:rPr>
        <w:t xml:space="preserve">. Available at: </w:t>
      </w:r>
      <w:hyperlink r:id="rId15" w:history="1">
        <w:r w:rsidRPr="00F3553D">
          <w:rPr>
            <w:rFonts w:cs="Times New Roman"/>
            <w:kern w:val="0"/>
            <w:lang w:val="en-US"/>
          </w:rPr>
          <w:t>https://www.ipem.ac.uk/ipem-workforce-resources/workforce-intelligence/diagnostic-radiology-radiation-protection-resources/2024-diagnostic-radiology-and-radiation-protection-workforce-census-full-report</w:t>
        </w:r>
      </w:hyperlink>
      <w:r w:rsidRPr="00F3553D">
        <w:rPr>
          <w:rFonts w:cs="Times New Roman"/>
          <w:kern w:val="0"/>
          <w:lang w:val="en-US"/>
        </w:rPr>
        <w:t xml:space="preserve"> (Accessed: 25 April 2026).</w:t>
      </w:r>
    </w:p>
    <w:p w14:paraId="529FAE0E" w14:textId="77777777" w:rsidR="002012D9" w:rsidRDefault="0075158E" w:rsidP="002012D9">
      <w:pPr>
        <w:widowControl w:val="0"/>
        <w:autoSpaceDE w:val="0"/>
        <w:autoSpaceDN w:val="0"/>
        <w:adjustRightInd w:val="0"/>
        <w:spacing w:after="240" w:line="360" w:lineRule="auto"/>
        <w:jc w:val="both"/>
        <w:rPr>
          <w:rFonts w:cs="Times New Roman"/>
          <w:kern w:val="0"/>
          <w:lang w:val="en-US"/>
        </w:rPr>
      </w:pPr>
      <w:r w:rsidRPr="00F3553D">
        <w:rPr>
          <w:rFonts w:cs="Times New Roman"/>
          <w:kern w:val="0"/>
          <w:lang w:val="en-US"/>
        </w:rPr>
        <w:t xml:space="preserve">Kotter, J.P. (2007) </w:t>
      </w:r>
      <w:r w:rsidRPr="00F3553D">
        <w:rPr>
          <w:rFonts w:cs="Times New Roman"/>
          <w:i/>
          <w:iCs/>
          <w:kern w:val="0"/>
          <w:lang w:val="en-US"/>
        </w:rPr>
        <w:t xml:space="preserve">Leading Change Why Transformation Efforts </w:t>
      </w:r>
      <w:proofErr w:type="gramStart"/>
      <w:r w:rsidRPr="00F3553D">
        <w:rPr>
          <w:rFonts w:cs="Times New Roman"/>
          <w:i/>
          <w:iCs/>
          <w:kern w:val="0"/>
          <w:lang w:val="en-US"/>
        </w:rPr>
        <w:t xml:space="preserve">Fail </w:t>
      </w:r>
      <w:r w:rsidRPr="00F3553D">
        <w:rPr>
          <w:rFonts w:cs="Times New Roman"/>
          <w:kern w:val="0"/>
          <w:lang w:val="en-US"/>
        </w:rPr>
        <w:t>.</w:t>
      </w:r>
      <w:proofErr w:type="gramEnd"/>
      <w:r w:rsidRPr="00F3553D">
        <w:rPr>
          <w:rFonts w:cs="Times New Roman"/>
          <w:kern w:val="0"/>
          <w:lang w:val="en-US"/>
        </w:rPr>
        <w:t xml:space="preserve"> Available at: </w:t>
      </w:r>
      <w:hyperlink r:id="rId16" w:history="1">
        <w:r w:rsidRPr="00F3553D">
          <w:rPr>
            <w:rFonts w:cs="Times New Roman"/>
            <w:kern w:val="0"/>
            <w:lang w:val="en-US"/>
          </w:rPr>
          <w:t>https://irp-</w:t>
        </w:r>
        <w:r w:rsidRPr="00F3553D">
          <w:rPr>
            <w:rFonts w:cs="Times New Roman"/>
            <w:kern w:val="0"/>
            <w:lang w:val="en-US"/>
          </w:rPr>
          <w:lastRenderedPageBreak/>
          <w:t>cdn.multiscreensite.com/6e5efd05/files/uploaded/Leading%20Change.pdf</w:t>
        </w:r>
      </w:hyperlink>
      <w:r w:rsidRPr="00F3553D">
        <w:rPr>
          <w:rFonts w:cs="Times New Roman"/>
          <w:kern w:val="0"/>
          <w:lang w:val="en-US"/>
        </w:rPr>
        <w:t>.</w:t>
      </w:r>
    </w:p>
    <w:p w14:paraId="50647961" w14:textId="77777777" w:rsidR="002012D9" w:rsidRDefault="0075158E" w:rsidP="002012D9">
      <w:pPr>
        <w:widowControl w:val="0"/>
        <w:autoSpaceDE w:val="0"/>
        <w:autoSpaceDN w:val="0"/>
        <w:adjustRightInd w:val="0"/>
        <w:spacing w:after="240" w:line="360" w:lineRule="auto"/>
        <w:jc w:val="both"/>
        <w:rPr>
          <w:rFonts w:cs="Times New Roman"/>
          <w:kern w:val="0"/>
          <w:lang w:val="en-US"/>
        </w:rPr>
      </w:pPr>
      <w:r w:rsidRPr="00F3553D">
        <w:rPr>
          <w:rFonts w:cs="Times New Roman"/>
          <w:kern w:val="0"/>
          <w:lang w:val="en-US"/>
        </w:rPr>
        <w:t>Lewin, K. (</w:t>
      </w:r>
      <w:proofErr w:type="gramStart"/>
      <w:r w:rsidRPr="00F3553D">
        <w:rPr>
          <w:rFonts w:cs="Times New Roman"/>
          <w:kern w:val="0"/>
          <w:lang w:val="en-US"/>
        </w:rPr>
        <w:t>1947) ‘</w:t>
      </w:r>
      <w:proofErr w:type="gramEnd"/>
      <w:r w:rsidRPr="00F3553D">
        <w:rPr>
          <w:rFonts w:cs="Times New Roman"/>
          <w:kern w:val="0"/>
          <w:lang w:val="en-US"/>
        </w:rPr>
        <w:t xml:space="preserve">Frontiers in Group dynamics: Concept, Method and Reality in Social science; Social Equilibria and Social Change’. </w:t>
      </w:r>
      <w:r w:rsidRPr="00F3553D">
        <w:rPr>
          <w:rFonts w:cs="Times New Roman"/>
          <w:i/>
          <w:iCs/>
          <w:kern w:val="0"/>
          <w:lang w:val="en-US"/>
        </w:rPr>
        <w:t>Human Relations</w:t>
      </w:r>
      <w:r w:rsidRPr="00F3553D">
        <w:rPr>
          <w:rFonts w:cs="Times New Roman"/>
          <w:kern w:val="0"/>
          <w:lang w:val="en-US"/>
        </w:rPr>
        <w:t xml:space="preserve"> 1(1), pp. 5–41. Available at: </w:t>
      </w:r>
      <w:hyperlink r:id="rId17" w:history="1">
        <w:r w:rsidRPr="00F3553D">
          <w:rPr>
            <w:rFonts w:cs="Times New Roman"/>
            <w:kern w:val="0"/>
            <w:lang w:val="en-US"/>
          </w:rPr>
          <w:t>https://journals.sagepub.com/doi/10.1177/001872674700100103</w:t>
        </w:r>
      </w:hyperlink>
      <w:r w:rsidRPr="00F3553D">
        <w:rPr>
          <w:rFonts w:cs="Times New Roman"/>
          <w:kern w:val="0"/>
          <w:lang w:val="en-US"/>
        </w:rPr>
        <w:t>.</w:t>
      </w:r>
    </w:p>
    <w:p w14:paraId="3F2BE88C" w14:textId="77777777" w:rsidR="00266A8D" w:rsidRDefault="0075158E" w:rsidP="00266A8D">
      <w:pPr>
        <w:widowControl w:val="0"/>
        <w:autoSpaceDE w:val="0"/>
        <w:autoSpaceDN w:val="0"/>
        <w:adjustRightInd w:val="0"/>
        <w:spacing w:after="240" w:line="360" w:lineRule="auto"/>
        <w:jc w:val="both"/>
        <w:rPr>
          <w:rFonts w:cs="Times New Roman"/>
          <w:kern w:val="0"/>
          <w:lang w:val="en-US"/>
        </w:rPr>
      </w:pPr>
      <w:r w:rsidRPr="00F3553D">
        <w:rPr>
          <w:rFonts w:cs="Times New Roman"/>
          <w:kern w:val="0"/>
          <w:lang w:val="en-US"/>
        </w:rPr>
        <w:t xml:space="preserve">Mahase, E. (2021) ‘Government promises 40 new diagnostic </w:t>
      </w:r>
      <w:proofErr w:type="spellStart"/>
      <w:r w:rsidRPr="00F3553D">
        <w:rPr>
          <w:rFonts w:cs="Times New Roman"/>
          <w:kern w:val="0"/>
          <w:lang w:val="en-US"/>
        </w:rPr>
        <w:t>centres</w:t>
      </w:r>
      <w:proofErr w:type="spellEnd"/>
      <w:r w:rsidRPr="00F3553D">
        <w:rPr>
          <w:rFonts w:cs="Times New Roman"/>
          <w:kern w:val="0"/>
          <w:lang w:val="en-US"/>
        </w:rPr>
        <w:t xml:space="preserve"> to tackle backlog’. </w:t>
      </w:r>
      <w:proofErr w:type="gramStart"/>
      <w:r w:rsidRPr="00F3553D">
        <w:rPr>
          <w:rFonts w:cs="Times New Roman"/>
          <w:i/>
          <w:iCs/>
          <w:kern w:val="0"/>
          <w:lang w:val="en-US"/>
        </w:rPr>
        <w:t>BMJ</w:t>
      </w:r>
      <w:r w:rsidRPr="00F3553D">
        <w:rPr>
          <w:rFonts w:cs="Times New Roman"/>
          <w:kern w:val="0"/>
          <w:lang w:val="en-US"/>
        </w:rPr>
        <w:t xml:space="preserve"> ,</w:t>
      </w:r>
      <w:proofErr w:type="gramEnd"/>
      <w:r w:rsidRPr="00F3553D">
        <w:rPr>
          <w:rFonts w:cs="Times New Roman"/>
          <w:kern w:val="0"/>
          <w:lang w:val="en-US"/>
        </w:rPr>
        <w:t xml:space="preserve"> p. n2428. Available at: </w:t>
      </w:r>
      <w:hyperlink r:id="rId18" w:history="1">
        <w:r w:rsidRPr="00F3553D">
          <w:rPr>
            <w:rFonts w:cs="Times New Roman"/>
            <w:kern w:val="0"/>
            <w:lang w:val="en-US"/>
          </w:rPr>
          <w:t>https://doi.org/10.1136/bmj.n2428</w:t>
        </w:r>
      </w:hyperlink>
      <w:r w:rsidRPr="00F3553D">
        <w:rPr>
          <w:rFonts w:cs="Times New Roman"/>
          <w:kern w:val="0"/>
          <w:lang w:val="en-US"/>
        </w:rPr>
        <w:t>.</w:t>
      </w:r>
    </w:p>
    <w:p w14:paraId="665890FA" w14:textId="77777777" w:rsidR="00266A8D" w:rsidRDefault="0075158E" w:rsidP="00266A8D">
      <w:pPr>
        <w:widowControl w:val="0"/>
        <w:autoSpaceDE w:val="0"/>
        <w:autoSpaceDN w:val="0"/>
        <w:adjustRightInd w:val="0"/>
        <w:spacing w:after="240" w:line="360" w:lineRule="auto"/>
        <w:jc w:val="both"/>
        <w:rPr>
          <w:rFonts w:cs="Times New Roman"/>
          <w:kern w:val="0"/>
          <w:lang w:val="en-US"/>
        </w:rPr>
      </w:pPr>
      <w:r w:rsidRPr="00F3553D">
        <w:rPr>
          <w:rFonts w:cs="Times New Roman"/>
          <w:kern w:val="0"/>
          <w:lang w:val="en-US"/>
        </w:rPr>
        <w:t>Merriel, S.W., Lee, L. and Neal, R. (</w:t>
      </w:r>
      <w:proofErr w:type="gramStart"/>
      <w:r w:rsidRPr="00F3553D">
        <w:rPr>
          <w:rFonts w:cs="Times New Roman"/>
          <w:kern w:val="0"/>
          <w:lang w:val="en-US"/>
        </w:rPr>
        <w:t>2021) ‘</w:t>
      </w:r>
      <w:proofErr w:type="gramEnd"/>
      <w:r w:rsidRPr="00F3553D">
        <w:rPr>
          <w:rFonts w:cs="Times New Roman"/>
          <w:kern w:val="0"/>
          <w:lang w:val="en-US"/>
        </w:rPr>
        <w:t xml:space="preserve">Community diagnostic </w:t>
      </w:r>
      <w:proofErr w:type="spellStart"/>
      <w:r w:rsidRPr="00F3553D">
        <w:rPr>
          <w:rFonts w:cs="Times New Roman"/>
          <w:kern w:val="0"/>
          <w:lang w:val="en-US"/>
        </w:rPr>
        <w:t>centres</w:t>
      </w:r>
      <w:proofErr w:type="spellEnd"/>
      <w:r w:rsidRPr="00F3553D">
        <w:rPr>
          <w:rFonts w:cs="Times New Roman"/>
          <w:kern w:val="0"/>
          <w:lang w:val="en-US"/>
        </w:rPr>
        <w:t xml:space="preserve">: bringing diagnostics closer to home’. </w:t>
      </w:r>
      <w:r w:rsidRPr="00F3553D">
        <w:rPr>
          <w:rFonts w:cs="Times New Roman"/>
          <w:i/>
          <w:iCs/>
          <w:kern w:val="0"/>
          <w:lang w:val="en-US"/>
        </w:rPr>
        <w:t>British Journal of General Practice</w:t>
      </w:r>
      <w:r w:rsidRPr="00F3553D">
        <w:rPr>
          <w:rFonts w:cs="Times New Roman"/>
          <w:kern w:val="0"/>
          <w:lang w:val="en-US"/>
        </w:rPr>
        <w:t xml:space="preserve"> 71(713), pp. 534–535. Available at: </w:t>
      </w:r>
      <w:hyperlink r:id="rId19" w:history="1">
        <w:r w:rsidRPr="00F3553D">
          <w:rPr>
            <w:rFonts w:cs="Times New Roman"/>
            <w:kern w:val="0"/>
            <w:lang w:val="en-US"/>
          </w:rPr>
          <w:t>https://bjgp.org/content/71/713/534</w:t>
        </w:r>
      </w:hyperlink>
      <w:r w:rsidRPr="00F3553D">
        <w:rPr>
          <w:rFonts w:cs="Times New Roman"/>
          <w:kern w:val="0"/>
          <w:lang w:val="en-US"/>
        </w:rPr>
        <w:t>.</w:t>
      </w:r>
    </w:p>
    <w:p w14:paraId="65AB1FD1" w14:textId="77777777" w:rsidR="00266A8D" w:rsidRDefault="0075158E" w:rsidP="00266A8D">
      <w:pPr>
        <w:widowControl w:val="0"/>
        <w:autoSpaceDE w:val="0"/>
        <w:autoSpaceDN w:val="0"/>
        <w:adjustRightInd w:val="0"/>
        <w:spacing w:after="240" w:line="360" w:lineRule="auto"/>
        <w:jc w:val="both"/>
        <w:rPr>
          <w:rFonts w:cs="Times New Roman"/>
          <w:kern w:val="0"/>
          <w:lang w:val="en-US"/>
        </w:rPr>
      </w:pPr>
      <w:proofErr w:type="spellStart"/>
      <w:r w:rsidRPr="00F3553D">
        <w:rPr>
          <w:rFonts w:cs="Times New Roman"/>
          <w:kern w:val="0"/>
          <w:lang w:val="en-US"/>
        </w:rPr>
        <w:t>Moscrop</w:t>
      </w:r>
      <w:proofErr w:type="spellEnd"/>
      <w:r w:rsidRPr="00F3553D">
        <w:rPr>
          <w:rFonts w:cs="Times New Roman"/>
          <w:kern w:val="0"/>
          <w:lang w:val="en-US"/>
        </w:rPr>
        <w:t>, A. (</w:t>
      </w:r>
      <w:proofErr w:type="gramStart"/>
      <w:r w:rsidRPr="00F3553D">
        <w:rPr>
          <w:rFonts w:cs="Times New Roman"/>
          <w:kern w:val="0"/>
          <w:lang w:val="en-US"/>
        </w:rPr>
        <w:t>2021) ‘</w:t>
      </w:r>
      <w:proofErr w:type="gramEnd"/>
      <w:r w:rsidRPr="00F3553D">
        <w:rPr>
          <w:rFonts w:cs="Times New Roman"/>
          <w:kern w:val="0"/>
          <w:lang w:val="en-US"/>
        </w:rPr>
        <w:t xml:space="preserve">Poverty screening in primary care’. </w:t>
      </w:r>
      <w:r w:rsidRPr="00F3553D">
        <w:rPr>
          <w:rFonts w:cs="Times New Roman"/>
          <w:i/>
          <w:iCs/>
          <w:kern w:val="0"/>
          <w:lang w:val="en-US"/>
        </w:rPr>
        <w:t>British Journal of General Practice</w:t>
      </w:r>
      <w:r w:rsidRPr="00F3553D">
        <w:rPr>
          <w:rFonts w:cs="Times New Roman"/>
          <w:kern w:val="0"/>
          <w:lang w:val="en-US"/>
        </w:rPr>
        <w:t xml:space="preserve"> 71(713), pp. 540.2-540. Available at: </w:t>
      </w:r>
      <w:hyperlink r:id="rId20" w:history="1">
        <w:r w:rsidRPr="00F3553D">
          <w:rPr>
            <w:rFonts w:cs="Times New Roman"/>
            <w:kern w:val="0"/>
            <w:lang w:val="en-US"/>
          </w:rPr>
          <w:t>https://doi.org/10.3399/bjgp21x717749</w:t>
        </w:r>
      </w:hyperlink>
      <w:r w:rsidRPr="00F3553D">
        <w:rPr>
          <w:rFonts w:cs="Times New Roman"/>
          <w:kern w:val="0"/>
          <w:lang w:val="en-US"/>
        </w:rPr>
        <w:t>.</w:t>
      </w:r>
    </w:p>
    <w:p w14:paraId="15892466" w14:textId="77777777" w:rsidR="00266A8D" w:rsidRDefault="0075158E" w:rsidP="00266A8D">
      <w:pPr>
        <w:widowControl w:val="0"/>
        <w:autoSpaceDE w:val="0"/>
        <w:autoSpaceDN w:val="0"/>
        <w:adjustRightInd w:val="0"/>
        <w:spacing w:after="240" w:line="360" w:lineRule="auto"/>
        <w:jc w:val="both"/>
        <w:rPr>
          <w:rFonts w:cs="Times New Roman"/>
          <w:kern w:val="0"/>
          <w:lang w:val="en-US"/>
        </w:rPr>
      </w:pPr>
      <w:r w:rsidRPr="00F3553D">
        <w:rPr>
          <w:rFonts w:cs="Times New Roman"/>
          <w:kern w:val="0"/>
          <w:lang w:val="en-US"/>
        </w:rPr>
        <w:t xml:space="preserve">National Audit Office (NAO) (2025) </w:t>
      </w:r>
      <w:r w:rsidRPr="00F3553D">
        <w:rPr>
          <w:rFonts w:cs="Times New Roman"/>
          <w:i/>
          <w:iCs/>
          <w:kern w:val="0"/>
          <w:lang w:val="en-US"/>
        </w:rPr>
        <w:t xml:space="preserve">NHS England’s management of elective care transformation </w:t>
      </w:r>
      <w:proofErr w:type="spellStart"/>
      <w:r w:rsidRPr="00F3553D">
        <w:rPr>
          <w:rFonts w:cs="Times New Roman"/>
          <w:i/>
          <w:iCs/>
          <w:kern w:val="0"/>
          <w:lang w:val="en-US"/>
        </w:rPr>
        <w:t>programmes</w:t>
      </w:r>
      <w:proofErr w:type="spellEnd"/>
      <w:r w:rsidRPr="00F3553D">
        <w:rPr>
          <w:rFonts w:cs="Times New Roman"/>
          <w:i/>
          <w:iCs/>
          <w:kern w:val="0"/>
          <w:lang w:val="en-US"/>
        </w:rPr>
        <w:t xml:space="preserve"> - NAO report</w:t>
      </w:r>
      <w:r w:rsidRPr="00F3553D">
        <w:rPr>
          <w:rFonts w:cs="Times New Roman"/>
          <w:kern w:val="0"/>
          <w:lang w:val="en-US"/>
        </w:rPr>
        <w:t xml:space="preserve">. Available at: </w:t>
      </w:r>
      <w:hyperlink r:id="rId21" w:history="1">
        <w:r w:rsidRPr="00F3553D">
          <w:rPr>
            <w:rFonts w:cs="Times New Roman"/>
            <w:kern w:val="0"/>
            <w:lang w:val="en-US"/>
          </w:rPr>
          <w:t>https://www.nao.org.uk/reports/nhs-englands-management-of-elective-care-transformation-programmes/</w:t>
        </w:r>
      </w:hyperlink>
      <w:r w:rsidRPr="00F3553D">
        <w:rPr>
          <w:rFonts w:cs="Times New Roman"/>
          <w:kern w:val="0"/>
          <w:lang w:val="en-US"/>
        </w:rPr>
        <w:t>.</w:t>
      </w:r>
    </w:p>
    <w:p w14:paraId="65B2D282" w14:textId="77777777" w:rsidR="00266A8D" w:rsidRDefault="0075158E" w:rsidP="00266A8D">
      <w:pPr>
        <w:widowControl w:val="0"/>
        <w:autoSpaceDE w:val="0"/>
        <w:autoSpaceDN w:val="0"/>
        <w:adjustRightInd w:val="0"/>
        <w:spacing w:after="240" w:line="360" w:lineRule="auto"/>
        <w:jc w:val="both"/>
        <w:rPr>
          <w:rFonts w:cs="Times New Roman"/>
          <w:kern w:val="0"/>
          <w:lang w:val="en-US"/>
        </w:rPr>
      </w:pPr>
      <w:r w:rsidRPr="00F3553D">
        <w:rPr>
          <w:rFonts w:cs="Times New Roman"/>
          <w:kern w:val="0"/>
          <w:lang w:val="en-US"/>
        </w:rPr>
        <w:t xml:space="preserve">NHS (2019) </w:t>
      </w:r>
      <w:r w:rsidRPr="00F3553D">
        <w:rPr>
          <w:rFonts w:cs="Times New Roman"/>
          <w:i/>
          <w:iCs/>
          <w:kern w:val="0"/>
          <w:lang w:val="en-US"/>
        </w:rPr>
        <w:t>The NHS Long Term Plan</w:t>
      </w:r>
      <w:r w:rsidRPr="00F3553D">
        <w:rPr>
          <w:rFonts w:cs="Times New Roman"/>
          <w:kern w:val="0"/>
          <w:lang w:val="en-US"/>
        </w:rPr>
        <w:t xml:space="preserve">. Available at: </w:t>
      </w:r>
      <w:hyperlink r:id="rId22" w:history="1">
        <w:r w:rsidRPr="00F3553D">
          <w:rPr>
            <w:rFonts w:cs="Times New Roman"/>
            <w:kern w:val="0"/>
            <w:lang w:val="en-US"/>
          </w:rPr>
          <w:t>https://sw.leadershipacademy.nhs.uk/wp-content/uploads/sites/33/2022/07/nhs-long-term-plan-version-1.2.pdf</w:t>
        </w:r>
      </w:hyperlink>
      <w:r w:rsidRPr="00F3553D">
        <w:rPr>
          <w:rFonts w:cs="Times New Roman"/>
          <w:kern w:val="0"/>
          <w:lang w:val="en-US"/>
        </w:rPr>
        <w:t>.</w:t>
      </w:r>
    </w:p>
    <w:p w14:paraId="55C5301D" w14:textId="77777777" w:rsidR="001B1719" w:rsidRDefault="0075158E" w:rsidP="001B1719">
      <w:pPr>
        <w:widowControl w:val="0"/>
        <w:autoSpaceDE w:val="0"/>
        <w:autoSpaceDN w:val="0"/>
        <w:adjustRightInd w:val="0"/>
        <w:spacing w:after="240" w:line="360" w:lineRule="auto"/>
        <w:jc w:val="both"/>
        <w:rPr>
          <w:rFonts w:cs="Times New Roman"/>
          <w:kern w:val="0"/>
          <w:lang w:val="en-US"/>
        </w:rPr>
      </w:pPr>
      <w:r w:rsidRPr="00F3553D">
        <w:rPr>
          <w:rFonts w:cs="Times New Roman"/>
          <w:kern w:val="0"/>
          <w:lang w:val="en-US"/>
        </w:rPr>
        <w:t xml:space="preserve">NHS ALIANCE (2025) </w:t>
      </w:r>
      <w:r w:rsidRPr="00F3553D">
        <w:rPr>
          <w:rFonts w:cs="Times New Roman"/>
          <w:i/>
          <w:iCs/>
          <w:kern w:val="0"/>
          <w:lang w:val="en-US"/>
        </w:rPr>
        <w:t>Digital transformation in the NHS: a reference guide</w:t>
      </w:r>
      <w:r w:rsidRPr="00F3553D">
        <w:rPr>
          <w:rFonts w:cs="Times New Roman"/>
          <w:kern w:val="0"/>
          <w:lang w:val="en-US"/>
        </w:rPr>
        <w:t xml:space="preserve">. Available at: </w:t>
      </w:r>
      <w:hyperlink r:id="rId23" w:history="1">
        <w:r w:rsidRPr="00F3553D">
          <w:rPr>
            <w:rFonts w:cs="Times New Roman"/>
            <w:kern w:val="0"/>
            <w:lang w:val="en-US"/>
          </w:rPr>
          <w:t>https://thenhsalliance.org/resources/digital-transformation-in-the-nhs-a-reference-guide</w:t>
        </w:r>
      </w:hyperlink>
      <w:r w:rsidRPr="00F3553D">
        <w:rPr>
          <w:rFonts w:cs="Times New Roman"/>
          <w:kern w:val="0"/>
          <w:lang w:val="en-US"/>
        </w:rPr>
        <w:t>.</w:t>
      </w:r>
    </w:p>
    <w:p w14:paraId="1E77E981" w14:textId="77777777" w:rsidR="001B1719" w:rsidRDefault="0075158E" w:rsidP="001B1719">
      <w:pPr>
        <w:widowControl w:val="0"/>
        <w:autoSpaceDE w:val="0"/>
        <w:autoSpaceDN w:val="0"/>
        <w:adjustRightInd w:val="0"/>
        <w:spacing w:after="240" w:line="360" w:lineRule="auto"/>
        <w:jc w:val="both"/>
        <w:rPr>
          <w:rFonts w:cs="Times New Roman"/>
          <w:kern w:val="0"/>
          <w:lang w:val="en-US"/>
        </w:rPr>
      </w:pPr>
      <w:r w:rsidRPr="00F3553D">
        <w:rPr>
          <w:rFonts w:cs="Times New Roman"/>
          <w:kern w:val="0"/>
          <w:lang w:val="en-US"/>
        </w:rPr>
        <w:t xml:space="preserve">NHS Digital (2024) </w:t>
      </w:r>
      <w:r w:rsidRPr="00F3553D">
        <w:rPr>
          <w:rFonts w:cs="Times New Roman"/>
          <w:i/>
          <w:iCs/>
          <w:kern w:val="0"/>
          <w:lang w:val="en-US"/>
        </w:rPr>
        <w:t>Diagnostics Waiting Times and Activity (DM01)</w:t>
      </w:r>
      <w:r w:rsidRPr="00F3553D">
        <w:rPr>
          <w:rFonts w:cs="Times New Roman"/>
          <w:kern w:val="0"/>
          <w:lang w:val="en-US"/>
        </w:rPr>
        <w:t xml:space="preserve">. Available at: </w:t>
      </w:r>
      <w:hyperlink r:id="rId24" w:history="1">
        <w:r w:rsidRPr="00F3553D">
          <w:rPr>
            <w:rFonts w:cs="Times New Roman"/>
            <w:kern w:val="0"/>
            <w:lang w:val="en-US"/>
          </w:rPr>
          <w:t>https://digital.nhs.uk/data-and-information/data-collections-and-data-sets/data-collections/diagnostics-waiting-times-and-activity-dm01</w:t>
        </w:r>
      </w:hyperlink>
      <w:r w:rsidRPr="00F3553D">
        <w:rPr>
          <w:rFonts w:cs="Times New Roman"/>
          <w:kern w:val="0"/>
          <w:lang w:val="en-US"/>
        </w:rPr>
        <w:t>.</w:t>
      </w:r>
    </w:p>
    <w:p w14:paraId="27D99029" w14:textId="77777777" w:rsidR="001B1719" w:rsidRDefault="0075158E" w:rsidP="001B1719">
      <w:pPr>
        <w:widowControl w:val="0"/>
        <w:autoSpaceDE w:val="0"/>
        <w:autoSpaceDN w:val="0"/>
        <w:adjustRightInd w:val="0"/>
        <w:spacing w:after="240" w:line="360" w:lineRule="auto"/>
        <w:jc w:val="both"/>
        <w:rPr>
          <w:rFonts w:cs="Times New Roman"/>
          <w:kern w:val="0"/>
          <w:lang w:val="en-US"/>
        </w:rPr>
      </w:pPr>
      <w:r w:rsidRPr="00F3553D">
        <w:rPr>
          <w:rFonts w:cs="Times New Roman"/>
          <w:kern w:val="0"/>
          <w:lang w:val="en-US"/>
        </w:rPr>
        <w:t xml:space="preserve">NHS Elect (2024) </w:t>
      </w:r>
      <w:r w:rsidRPr="00F3553D">
        <w:rPr>
          <w:rFonts w:cs="Times New Roman"/>
          <w:i/>
          <w:iCs/>
          <w:kern w:val="0"/>
          <w:lang w:val="en-US"/>
        </w:rPr>
        <w:t xml:space="preserve">Community Diagnostic </w:t>
      </w:r>
      <w:proofErr w:type="spellStart"/>
      <w:r w:rsidRPr="00F3553D">
        <w:rPr>
          <w:rFonts w:cs="Times New Roman"/>
          <w:i/>
          <w:iCs/>
          <w:kern w:val="0"/>
          <w:lang w:val="en-US"/>
        </w:rPr>
        <w:t>Centres</w:t>
      </w:r>
      <w:proofErr w:type="spellEnd"/>
      <w:r w:rsidRPr="00F3553D">
        <w:rPr>
          <w:rFonts w:cs="Times New Roman"/>
          <w:i/>
          <w:iCs/>
          <w:kern w:val="0"/>
          <w:lang w:val="en-US"/>
        </w:rPr>
        <w:t xml:space="preserve"> Patient Experience in the NHS: A National </w:t>
      </w:r>
      <w:r w:rsidRPr="00F3553D">
        <w:rPr>
          <w:rFonts w:cs="Times New Roman"/>
          <w:i/>
          <w:iCs/>
          <w:kern w:val="0"/>
          <w:lang w:val="en-US"/>
        </w:rPr>
        <w:lastRenderedPageBreak/>
        <w:t xml:space="preserve">Study Community Diagnostic </w:t>
      </w:r>
      <w:proofErr w:type="spellStart"/>
      <w:r w:rsidRPr="00F3553D">
        <w:rPr>
          <w:rFonts w:cs="Times New Roman"/>
          <w:i/>
          <w:iCs/>
          <w:kern w:val="0"/>
          <w:lang w:val="en-US"/>
        </w:rPr>
        <w:t>Centres</w:t>
      </w:r>
      <w:proofErr w:type="spellEnd"/>
      <w:r w:rsidRPr="00F3553D">
        <w:rPr>
          <w:rFonts w:cs="Times New Roman"/>
          <w:i/>
          <w:iCs/>
          <w:kern w:val="0"/>
          <w:lang w:val="en-US"/>
        </w:rPr>
        <w:t xml:space="preserve"> Patient Experience in the NHS: A National Study NHS Elect 2024 2</w:t>
      </w:r>
      <w:r w:rsidRPr="00F3553D">
        <w:rPr>
          <w:rFonts w:cs="Times New Roman"/>
          <w:kern w:val="0"/>
          <w:lang w:val="en-US"/>
        </w:rPr>
        <w:t xml:space="preserve">. Available at: </w:t>
      </w:r>
      <w:hyperlink r:id="rId25" w:history="1">
        <w:r w:rsidRPr="00F3553D">
          <w:rPr>
            <w:rFonts w:cs="Times New Roman"/>
            <w:kern w:val="0"/>
            <w:lang w:val="en-US"/>
          </w:rPr>
          <w:t>https://www.nhselect.nhs.uk/uploads/files/1/2_CDC-EBD-Wave-I_National-Report_2024.pdf</w:t>
        </w:r>
      </w:hyperlink>
      <w:r w:rsidRPr="00F3553D">
        <w:rPr>
          <w:rFonts w:cs="Times New Roman"/>
          <w:kern w:val="0"/>
          <w:lang w:val="en-US"/>
        </w:rPr>
        <w:t xml:space="preserve"> (Accessed: 25 April 2026).</w:t>
      </w:r>
    </w:p>
    <w:p w14:paraId="2876EFAB" w14:textId="75D52CE3" w:rsidR="001B1719" w:rsidRDefault="0075158E" w:rsidP="001B1719">
      <w:pPr>
        <w:widowControl w:val="0"/>
        <w:autoSpaceDE w:val="0"/>
        <w:autoSpaceDN w:val="0"/>
        <w:adjustRightInd w:val="0"/>
        <w:spacing w:after="240" w:line="360" w:lineRule="auto"/>
        <w:jc w:val="both"/>
      </w:pPr>
      <w:r w:rsidRPr="00F3553D">
        <w:rPr>
          <w:rFonts w:cs="Times New Roman"/>
          <w:kern w:val="0"/>
          <w:lang w:val="en-US"/>
        </w:rPr>
        <w:t xml:space="preserve">NHS England (2018) </w:t>
      </w:r>
      <w:r w:rsidRPr="00F3553D">
        <w:rPr>
          <w:rFonts w:cs="Times New Roman"/>
          <w:i/>
          <w:iCs/>
          <w:kern w:val="0"/>
          <w:lang w:val="en-US"/>
        </w:rPr>
        <w:t>Statistics» Diagnostic Waiting Times and Activity</w:t>
      </w:r>
      <w:r w:rsidRPr="00F3553D">
        <w:rPr>
          <w:rFonts w:cs="Times New Roman"/>
          <w:kern w:val="0"/>
          <w:lang w:val="en-US"/>
        </w:rPr>
        <w:t xml:space="preserve">. Available at: </w:t>
      </w:r>
      <w:hyperlink r:id="rId26" w:history="1">
        <w:r w:rsidRPr="00F3553D">
          <w:rPr>
            <w:rFonts w:cs="Times New Roman"/>
            <w:kern w:val="0"/>
            <w:lang w:val="en-US"/>
          </w:rPr>
          <w:t>https://www.england.nhs.uk/statistics/statistical-work-areas/diagnostics-waiting-times-and-activity</w:t>
        </w:r>
      </w:hyperlink>
      <w:r w:rsidR="001B1719">
        <w:t>.</w:t>
      </w:r>
    </w:p>
    <w:p w14:paraId="592DA132" w14:textId="77777777" w:rsidR="001B1719" w:rsidRDefault="0075158E" w:rsidP="001B1719">
      <w:pPr>
        <w:widowControl w:val="0"/>
        <w:autoSpaceDE w:val="0"/>
        <w:autoSpaceDN w:val="0"/>
        <w:adjustRightInd w:val="0"/>
        <w:spacing w:after="240" w:line="360" w:lineRule="auto"/>
        <w:jc w:val="both"/>
        <w:rPr>
          <w:rFonts w:cs="Times New Roman"/>
          <w:kern w:val="0"/>
          <w:lang w:val="en-US"/>
        </w:rPr>
      </w:pPr>
      <w:r w:rsidRPr="00F3553D">
        <w:rPr>
          <w:rFonts w:cs="Times New Roman"/>
          <w:kern w:val="0"/>
          <w:lang w:val="en-US"/>
        </w:rPr>
        <w:t xml:space="preserve">NHS England (2020) </w:t>
      </w:r>
      <w:r w:rsidRPr="00F3553D">
        <w:rPr>
          <w:rFonts w:cs="Times New Roman"/>
          <w:i/>
          <w:iCs/>
          <w:kern w:val="0"/>
          <w:lang w:val="en-US"/>
        </w:rPr>
        <w:t>DIAGNOSTICS: RECOVERY AND RENEWAL</w:t>
      </w:r>
      <w:r w:rsidRPr="00F3553D">
        <w:rPr>
          <w:rFonts w:cs="Times New Roman"/>
          <w:kern w:val="0"/>
          <w:lang w:val="en-US"/>
        </w:rPr>
        <w:t xml:space="preserve">. Professor Sir Mike Richards (ed.). Available at: </w:t>
      </w:r>
      <w:hyperlink r:id="rId27" w:history="1">
        <w:r w:rsidRPr="00F3553D">
          <w:rPr>
            <w:rFonts w:cs="Times New Roman"/>
            <w:kern w:val="0"/>
            <w:lang w:val="en-US"/>
          </w:rPr>
          <w:t>https://www.england.nhs.uk/wp-content/uploads/2020/10/BM2025Pu-item-5-diagnostics-recovery-and-renewal.pdf</w:t>
        </w:r>
      </w:hyperlink>
      <w:r w:rsidRPr="00F3553D">
        <w:rPr>
          <w:rFonts w:cs="Times New Roman"/>
          <w:kern w:val="0"/>
          <w:lang w:val="en-US"/>
        </w:rPr>
        <w:t>.</w:t>
      </w:r>
    </w:p>
    <w:p w14:paraId="5C1E5AB3" w14:textId="77777777" w:rsidR="001B1719" w:rsidRDefault="0075158E" w:rsidP="001B1719">
      <w:pPr>
        <w:widowControl w:val="0"/>
        <w:autoSpaceDE w:val="0"/>
        <w:autoSpaceDN w:val="0"/>
        <w:adjustRightInd w:val="0"/>
        <w:spacing w:after="240" w:line="360" w:lineRule="auto"/>
        <w:jc w:val="both"/>
        <w:rPr>
          <w:rFonts w:cs="Times New Roman"/>
          <w:kern w:val="0"/>
          <w:lang w:val="en-US"/>
        </w:rPr>
      </w:pPr>
      <w:r w:rsidRPr="00F3553D">
        <w:rPr>
          <w:rFonts w:cs="Times New Roman"/>
          <w:kern w:val="0"/>
          <w:lang w:val="en-US"/>
        </w:rPr>
        <w:t xml:space="preserve">NHS England (2022a) </w:t>
      </w:r>
      <w:r w:rsidRPr="00F3553D">
        <w:rPr>
          <w:rFonts w:cs="Times New Roman"/>
          <w:i/>
          <w:iCs/>
          <w:kern w:val="0"/>
          <w:lang w:val="en-US"/>
        </w:rPr>
        <w:t>Coronavirus» Delivery plan for tackling the COVID-19 backlog of elective care</w:t>
      </w:r>
      <w:r w:rsidRPr="00F3553D">
        <w:rPr>
          <w:rFonts w:cs="Times New Roman"/>
          <w:kern w:val="0"/>
          <w:lang w:val="en-US"/>
        </w:rPr>
        <w:t xml:space="preserve">. Available at: </w:t>
      </w:r>
      <w:hyperlink r:id="rId28" w:history="1">
        <w:r w:rsidRPr="00F3553D">
          <w:rPr>
            <w:rFonts w:cs="Times New Roman"/>
            <w:kern w:val="0"/>
            <w:lang w:val="en-US"/>
          </w:rPr>
          <w:t>https://www.england.nhs.uk/coronavirus/publication/delivery-plan-for-tackling-the-covid-19-backlog-of-elective-care/</w:t>
        </w:r>
      </w:hyperlink>
      <w:r w:rsidRPr="00F3553D">
        <w:rPr>
          <w:rFonts w:cs="Times New Roman"/>
          <w:kern w:val="0"/>
          <w:lang w:val="en-US"/>
        </w:rPr>
        <w:t>.</w:t>
      </w:r>
    </w:p>
    <w:p w14:paraId="414876E3" w14:textId="77777777" w:rsidR="001B1719" w:rsidRDefault="0075158E" w:rsidP="001B1719">
      <w:pPr>
        <w:widowControl w:val="0"/>
        <w:autoSpaceDE w:val="0"/>
        <w:autoSpaceDN w:val="0"/>
        <w:adjustRightInd w:val="0"/>
        <w:spacing w:after="240" w:line="360" w:lineRule="auto"/>
        <w:jc w:val="both"/>
        <w:rPr>
          <w:rFonts w:cs="Times New Roman"/>
          <w:kern w:val="0"/>
          <w:lang w:val="en-US"/>
        </w:rPr>
      </w:pPr>
      <w:r w:rsidRPr="00F3553D">
        <w:rPr>
          <w:rFonts w:cs="Times New Roman"/>
          <w:kern w:val="0"/>
          <w:lang w:val="en-US"/>
        </w:rPr>
        <w:t xml:space="preserve">NHS England (2022b) </w:t>
      </w:r>
      <w:r w:rsidRPr="00F3553D">
        <w:rPr>
          <w:rFonts w:cs="Times New Roman"/>
          <w:i/>
          <w:iCs/>
          <w:kern w:val="0"/>
          <w:lang w:val="en-US"/>
        </w:rPr>
        <w:t>Diagnostic imaging network workforce guidance</w:t>
      </w:r>
      <w:r w:rsidRPr="00F3553D">
        <w:rPr>
          <w:rFonts w:cs="Times New Roman"/>
          <w:kern w:val="0"/>
          <w:lang w:val="en-US"/>
        </w:rPr>
        <w:t xml:space="preserve">. Available at: </w:t>
      </w:r>
      <w:hyperlink r:id="rId29" w:history="1">
        <w:r w:rsidRPr="00F3553D">
          <w:rPr>
            <w:rFonts w:cs="Times New Roman"/>
            <w:kern w:val="0"/>
            <w:lang w:val="en-US"/>
          </w:rPr>
          <w:t>https://www.england.nhs.uk/wp-content/uploads/2022/04/B0418_Diagnostic-imaging-network-workforce-guidance_April-2022.pdf</w:t>
        </w:r>
      </w:hyperlink>
      <w:r w:rsidRPr="00F3553D">
        <w:rPr>
          <w:rFonts w:cs="Times New Roman"/>
          <w:kern w:val="0"/>
          <w:lang w:val="en-US"/>
        </w:rPr>
        <w:t>.</w:t>
      </w:r>
    </w:p>
    <w:p w14:paraId="61B767A6" w14:textId="77777777" w:rsidR="001B1719" w:rsidRDefault="0075158E" w:rsidP="001B1719">
      <w:pPr>
        <w:widowControl w:val="0"/>
        <w:autoSpaceDE w:val="0"/>
        <w:autoSpaceDN w:val="0"/>
        <w:adjustRightInd w:val="0"/>
        <w:spacing w:after="240" w:line="360" w:lineRule="auto"/>
        <w:jc w:val="both"/>
        <w:rPr>
          <w:rFonts w:cs="Times New Roman"/>
          <w:kern w:val="0"/>
          <w:lang w:val="en-US"/>
        </w:rPr>
      </w:pPr>
      <w:r w:rsidRPr="00F3553D">
        <w:rPr>
          <w:rFonts w:cs="Times New Roman"/>
          <w:kern w:val="0"/>
          <w:lang w:val="en-US"/>
        </w:rPr>
        <w:t xml:space="preserve">NHS England (2022c) </w:t>
      </w:r>
      <w:r w:rsidRPr="00F3553D">
        <w:rPr>
          <w:rFonts w:cs="Times New Roman"/>
          <w:i/>
          <w:iCs/>
          <w:kern w:val="0"/>
          <w:lang w:val="en-US"/>
        </w:rPr>
        <w:t>Patient Safety Incident Response Framework</w:t>
      </w:r>
      <w:r w:rsidRPr="00F3553D">
        <w:rPr>
          <w:rFonts w:cs="Times New Roman"/>
          <w:kern w:val="0"/>
          <w:lang w:val="en-US"/>
        </w:rPr>
        <w:t xml:space="preserve">. Available at: </w:t>
      </w:r>
      <w:hyperlink r:id="rId30" w:history="1">
        <w:r w:rsidRPr="00F3553D">
          <w:rPr>
            <w:rFonts w:cs="Times New Roman"/>
            <w:kern w:val="0"/>
            <w:lang w:val="en-US"/>
          </w:rPr>
          <w:t>https://www.england.nhs.uk/patient-safety/patient-safety-insight/incident-response-framework/</w:t>
        </w:r>
      </w:hyperlink>
      <w:r w:rsidRPr="00F3553D">
        <w:rPr>
          <w:rFonts w:cs="Times New Roman"/>
          <w:kern w:val="0"/>
          <w:lang w:val="en-US"/>
        </w:rPr>
        <w:t>.</w:t>
      </w:r>
    </w:p>
    <w:p w14:paraId="3C9DCDF1" w14:textId="77777777" w:rsidR="001B1719" w:rsidRDefault="0075158E" w:rsidP="001B1719">
      <w:pPr>
        <w:widowControl w:val="0"/>
        <w:autoSpaceDE w:val="0"/>
        <w:autoSpaceDN w:val="0"/>
        <w:adjustRightInd w:val="0"/>
        <w:spacing w:after="240" w:line="360" w:lineRule="auto"/>
        <w:jc w:val="both"/>
        <w:rPr>
          <w:rFonts w:cs="Times New Roman"/>
          <w:kern w:val="0"/>
          <w:lang w:val="en-US"/>
        </w:rPr>
      </w:pPr>
      <w:r w:rsidRPr="00F3553D">
        <w:rPr>
          <w:rFonts w:cs="Times New Roman"/>
          <w:kern w:val="0"/>
          <w:lang w:val="en-US"/>
        </w:rPr>
        <w:t xml:space="preserve">NHS England (2023a) </w:t>
      </w:r>
      <w:r w:rsidRPr="00F3553D">
        <w:rPr>
          <w:rFonts w:cs="Times New Roman"/>
          <w:i/>
          <w:iCs/>
          <w:kern w:val="0"/>
          <w:lang w:val="en-US"/>
        </w:rPr>
        <w:t>NHS England» Interoperability</w:t>
      </w:r>
      <w:r w:rsidRPr="00F3553D">
        <w:rPr>
          <w:rFonts w:cs="Times New Roman"/>
          <w:kern w:val="0"/>
          <w:lang w:val="en-US"/>
        </w:rPr>
        <w:t xml:space="preserve">. Available at: </w:t>
      </w:r>
      <w:hyperlink r:id="rId31" w:history="1">
        <w:r w:rsidRPr="00F3553D">
          <w:rPr>
            <w:rFonts w:cs="Times New Roman"/>
            <w:kern w:val="0"/>
            <w:lang w:val="en-US"/>
          </w:rPr>
          <w:t>https://www.england.nhs.uk/long-read/interoperability/</w:t>
        </w:r>
      </w:hyperlink>
      <w:r w:rsidRPr="00F3553D">
        <w:rPr>
          <w:rFonts w:cs="Times New Roman"/>
          <w:kern w:val="0"/>
          <w:lang w:val="en-US"/>
        </w:rPr>
        <w:t>.</w:t>
      </w:r>
    </w:p>
    <w:p w14:paraId="3936DEE8" w14:textId="77777777" w:rsidR="001B1719" w:rsidRDefault="0075158E" w:rsidP="001B1719">
      <w:pPr>
        <w:widowControl w:val="0"/>
        <w:autoSpaceDE w:val="0"/>
        <w:autoSpaceDN w:val="0"/>
        <w:adjustRightInd w:val="0"/>
        <w:spacing w:after="240" w:line="360" w:lineRule="auto"/>
        <w:jc w:val="both"/>
        <w:rPr>
          <w:rFonts w:cs="Times New Roman"/>
          <w:kern w:val="0"/>
          <w:lang w:val="en-US"/>
        </w:rPr>
      </w:pPr>
      <w:r w:rsidRPr="00F3553D">
        <w:rPr>
          <w:rFonts w:cs="Times New Roman"/>
          <w:kern w:val="0"/>
          <w:lang w:val="en-US"/>
        </w:rPr>
        <w:t xml:space="preserve">NHS England (2023b) </w:t>
      </w:r>
      <w:r w:rsidRPr="00F3553D">
        <w:rPr>
          <w:rFonts w:cs="Times New Roman"/>
          <w:i/>
          <w:iCs/>
          <w:kern w:val="0"/>
          <w:lang w:val="en-US"/>
        </w:rPr>
        <w:t>NHS England» Net Zero travel and transport strategy</w:t>
      </w:r>
      <w:r w:rsidRPr="00F3553D">
        <w:rPr>
          <w:rFonts w:cs="Times New Roman"/>
          <w:kern w:val="0"/>
          <w:lang w:val="en-US"/>
        </w:rPr>
        <w:t xml:space="preserve">. Available at: </w:t>
      </w:r>
      <w:hyperlink r:id="rId32" w:history="1">
        <w:r w:rsidRPr="00F3553D">
          <w:rPr>
            <w:rFonts w:cs="Times New Roman"/>
            <w:kern w:val="0"/>
            <w:lang w:val="en-US"/>
          </w:rPr>
          <w:t>https://www.england.nhs.uk/publication/net-zero-travel-and-transport-strategy/</w:t>
        </w:r>
      </w:hyperlink>
      <w:r w:rsidRPr="00F3553D">
        <w:rPr>
          <w:rFonts w:cs="Times New Roman"/>
          <w:kern w:val="0"/>
          <w:lang w:val="en-US"/>
        </w:rPr>
        <w:t>.</w:t>
      </w:r>
    </w:p>
    <w:p w14:paraId="6C5817BB" w14:textId="77777777" w:rsidR="001B1719" w:rsidRDefault="0075158E" w:rsidP="001B1719">
      <w:pPr>
        <w:widowControl w:val="0"/>
        <w:autoSpaceDE w:val="0"/>
        <w:autoSpaceDN w:val="0"/>
        <w:adjustRightInd w:val="0"/>
        <w:spacing w:after="240" w:line="360" w:lineRule="auto"/>
        <w:jc w:val="both"/>
        <w:rPr>
          <w:rFonts w:cs="Times New Roman"/>
          <w:kern w:val="0"/>
          <w:lang w:val="en-US"/>
        </w:rPr>
      </w:pPr>
      <w:r w:rsidRPr="00F3553D">
        <w:rPr>
          <w:rFonts w:cs="Times New Roman"/>
          <w:kern w:val="0"/>
          <w:lang w:val="en-US"/>
        </w:rPr>
        <w:t xml:space="preserve">NHS England (2023c) </w:t>
      </w:r>
      <w:r w:rsidRPr="00F3553D">
        <w:rPr>
          <w:rFonts w:cs="Times New Roman"/>
          <w:i/>
          <w:iCs/>
          <w:kern w:val="0"/>
          <w:lang w:val="en-US"/>
        </w:rPr>
        <w:t>NHS England» NHS Long Term Workforce Plan</w:t>
      </w:r>
      <w:r w:rsidRPr="00F3553D">
        <w:rPr>
          <w:rFonts w:cs="Times New Roman"/>
          <w:kern w:val="0"/>
          <w:lang w:val="en-US"/>
        </w:rPr>
        <w:t xml:space="preserve">. Available at: </w:t>
      </w:r>
      <w:hyperlink r:id="rId33" w:history="1">
        <w:r w:rsidRPr="00F3553D">
          <w:rPr>
            <w:rFonts w:cs="Times New Roman"/>
            <w:kern w:val="0"/>
            <w:lang w:val="en-US"/>
          </w:rPr>
          <w:t>https://www.england.nhs.uk/publication/nhs-long-term-workforce-plan</w:t>
        </w:r>
      </w:hyperlink>
      <w:r w:rsidRPr="00F3553D">
        <w:rPr>
          <w:rFonts w:cs="Times New Roman"/>
          <w:kern w:val="0"/>
          <w:lang w:val="en-US"/>
        </w:rPr>
        <w:t>.</w:t>
      </w:r>
    </w:p>
    <w:p w14:paraId="01C4BBF0" w14:textId="77777777" w:rsidR="001B1719" w:rsidRDefault="0075158E" w:rsidP="001B1719">
      <w:pPr>
        <w:widowControl w:val="0"/>
        <w:autoSpaceDE w:val="0"/>
        <w:autoSpaceDN w:val="0"/>
        <w:adjustRightInd w:val="0"/>
        <w:spacing w:after="240" w:line="360" w:lineRule="auto"/>
        <w:jc w:val="both"/>
        <w:rPr>
          <w:rFonts w:cs="Times New Roman"/>
          <w:kern w:val="0"/>
          <w:lang w:val="en-US"/>
        </w:rPr>
      </w:pPr>
      <w:r w:rsidRPr="00F3553D">
        <w:rPr>
          <w:rFonts w:cs="Times New Roman"/>
          <w:kern w:val="0"/>
          <w:lang w:val="en-US"/>
        </w:rPr>
        <w:lastRenderedPageBreak/>
        <w:t xml:space="preserve">NHS England (2024) </w:t>
      </w:r>
      <w:r w:rsidRPr="00F3553D">
        <w:rPr>
          <w:rFonts w:cs="Times New Roman"/>
          <w:i/>
          <w:iCs/>
          <w:kern w:val="0"/>
          <w:lang w:val="en-US"/>
        </w:rPr>
        <w:t>NHS England» Core20PLUS5 (adults) – an approach to reducing healthcare inequalities</w:t>
      </w:r>
      <w:r w:rsidRPr="00F3553D">
        <w:rPr>
          <w:rFonts w:cs="Times New Roman"/>
          <w:kern w:val="0"/>
          <w:lang w:val="en-US"/>
        </w:rPr>
        <w:t xml:space="preserve">. Available at: </w:t>
      </w:r>
      <w:hyperlink r:id="rId34" w:history="1">
        <w:r w:rsidRPr="00F3553D">
          <w:rPr>
            <w:rFonts w:cs="Times New Roman"/>
            <w:kern w:val="0"/>
            <w:lang w:val="en-US"/>
          </w:rPr>
          <w:t>https://www.england.nhs.uk/about/equality/equality-hub/national-healthcare-inequalities-improvement-programme/core20plus5</w:t>
        </w:r>
      </w:hyperlink>
      <w:r w:rsidRPr="00F3553D">
        <w:rPr>
          <w:rFonts w:cs="Times New Roman"/>
          <w:kern w:val="0"/>
          <w:lang w:val="en-US"/>
        </w:rPr>
        <w:t>.</w:t>
      </w:r>
    </w:p>
    <w:p w14:paraId="694696C9" w14:textId="77777777" w:rsidR="001B1719" w:rsidRDefault="0075158E" w:rsidP="001B1719">
      <w:pPr>
        <w:widowControl w:val="0"/>
        <w:autoSpaceDE w:val="0"/>
        <w:autoSpaceDN w:val="0"/>
        <w:adjustRightInd w:val="0"/>
        <w:spacing w:after="240" w:line="360" w:lineRule="auto"/>
        <w:jc w:val="both"/>
        <w:rPr>
          <w:rFonts w:cs="Times New Roman"/>
          <w:kern w:val="0"/>
          <w:lang w:val="en-US"/>
        </w:rPr>
      </w:pPr>
      <w:r w:rsidRPr="00F3553D">
        <w:rPr>
          <w:rFonts w:cs="Times New Roman"/>
          <w:kern w:val="0"/>
          <w:lang w:val="en-US"/>
        </w:rPr>
        <w:t xml:space="preserve">NHS England (2025) </w:t>
      </w:r>
      <w:r w:rsidRPr="00F3553D">
        <w:rPr>
          <w:rFonts w:cs="Times New Roman"/>
          <w:i/>
          <w:iCs/>
          <w:kern w:val="0"/>
          <w:lang w:val="en-US"/>
        </w:rPr>
        <w:t>Interoperability Toolkit</w:t>
      </w:r>
      <w:r w:rsidRPr="00F3553D">
        <w:rPr>
          <w:rFonts w:cs="Times New Roman"/>
          <w:kern w:val="0"/>
          <w:lang w:val="en-US"/>
        </w:rPr>
        <w:t xml:space="preserve">. Available at: </w:t>
      </w:r>
      <w:hyperlink r:id="rId35" w:history="1">
        <w:r w:rsidRPr="00F3553D">
          <w:rPr>
            <w:rFonts w:cs="Times New Roman"/>
            <w:kern w:val="0"/>
            <w:lang w:val="en-US"/>
          </w:rPr>
          <w:t>https://digital.nhs.uk/services/interoperability-toolkit</w:t>
        </w:r>
      </w:hyperlink>
      <w:r w:rsidRPr="00F3553D">
        <w:rPr>
          <w:rFonts w:cs="Times New Roman"/>
          <w:kern w:val="0"/>
          <w:lang w:val="en-US"/>
        </w:rPr>
        <w:t>.</w:t>
      </w:r>
    </w:p>
    <w:p w14:paraId="0471FEF0" w14:textId="77777777" w:rsidR="001B1719" w:rsidRDefault="0075158E" w:rsidP="001B1719">
      <w:pPr>
        <w:widowControl w:val="0"/>
        <w:autoSpaceDE w:val="0"/>
        <w:autoSpaceDN w:val="0"/>
        <w:adjustRightInd w:val="0"/>
        <w:spacing w:after="240" w:line="360" w:lineRule="auto"/>
        <w:jc w:val="both"/>
        <w:rPr>
          <w:rFonts w:cs="Times New Roman"/>
          <w:kern w:val="0"/>
          <w:lang w:val="en-US"/>
        </w:rPr>
      </w:pPr>
      <w:r w:rsidRPr="00F3553D">
        <w:rPr>
          <w:rFonts w:cs="Times New Roman"/>
          <w:kern w:val="0"/>
          <w:lang w:val="en-US"/>
        </w:rPr>
        <w:t xml:space="preserve">NHS England (2024a) (2024) </w:t>
      </w:r>
      <w:r w:rsidRPr="00F3553D">
        <w:rPr>
          <w:rFonts w:cs="Times New Roman"/>
          <w:i/>
          <w:iCs/>
          <w:kern w:val="0"/>
          <w:lang w:val="en-US"/>
        </w:rPr>
        <w:t xml:space="preserve">NHS England» Community diagnostic </w:t>
      </w:r>
      <w:proofErr w:type="spellStart"/>
      <w:r w:rsidRPr="00F3553D">
        <w:rPr>
          <w:rFonts w:cs="Times New Roman"/>
          <w:i/>
          <w:iCs/>
          <w:kern w:val="0"/>
          <w:lang w:val="en-US"/>
        </w:rPr>
        <w:t>centres</w:t>
      </w:r>
      <w:proofErr w:type="spellEnd"/>
      <w:r w:rsidRPr="00F3553D">
        <w:rPr>
          <w:rFonts w:cs="Times New Roman"/>
          <w:i/>
          <w:iCs/>
          <w:kern w:val="0"/>
          <w:lang w:val="en-US"/>
        </w:rPr>
        <w:t xml:space="preserve"> – guidance for planning, design and implementation</w:t>
      </w:r>
      <w:r w:rsidRPr="00F3553D">
        <w:rPr>
          <w:rFonts w:cs="Times New Roman"/>
          <w:kern w:val="0"/>
          <w:lang w:val="en-US"/>
        </w:rPr>
        <w:t xml:space="preserve">. Available at: </w:t>
      </w:r>
      <w:hyperlink r:id="rId36" w:history="1">
        <w:r w:rsidRPr="00F3553D">
          <w:rPr>
            <w:rFonts w:cs="Times New Roman"/>
            <w:kern w:val="0"/>
            <w:lang w:val="en-US"/>
          </w:rPr>
          <w:t>https://www.england.nhs.uk/publication/community-diagnostic-centres/</w:t>
        </w:r>
      </w:hyperlink>
      <w:r w:rsidRPr="00F3553D">
        <w:rPr>
          <w:rFonts w:cs="Times New Roman"/>
          <w:kern w:val="0"/>
          <w:lang w:val="en-US"/>
        </w:rPr>
        <w:t>.</w:t>
      </w:r>
    </w:p>
    <w:p w14:paraId="4E251B4B" w14:textId="77777777" w:rsidR="001B1719" w:rsidRDefault="0075158E" w:rsidP="001B1719">
      <w:pPr>
        <w:widowControl w:val="0"/>
        <w:autoSpaceDE w:val="0"/>
        <w:autoSpaceDN w:val="0"/>
        <w:adjustRightInd w:val="0"/>
        <w:spacing w:after="240" w:line="360" w:lineRule="auto"/>
        <w:jc w:val="both"/>
        <w:rPr>
          <w:rFonts w:cs="Times New Roman"/>
          <w:kern w:val="0"/>
          <w:lang w:val="en-US"/>
        </w:rPr>
      </w:pPr>
      <w:r w:rsidRPr="00F3553D">
        <w:rPr>
          <w:rFonts w:cs="Times New Roman"/>
          <w:kern w:val="0"/>
          <w:lang w:val="en-US"/>
        </w:rPr>
        <w:t xml:space="preserve">NHS England (2024b) (2024) </w:t>
      </w:r>
      <w:r w:rsidRPr="00F3553D">
        <w:rPr>
          <w:rFonts w:cs="Times New Roman"/>
          <w:i/>
          <w:iCs/>
          <w:kern w:val="0"/>
          <w:lang w:val="en-US"/>
        </w:rPr>
        <w:t>NHS England» Quality strategy</w:t>
      </w:r>
      <w:r w:rsidRPr="00F3553D">
        <w:rPr>
          <w:rFonts w:cs="Times New Roman"/>
          <w:kern w:val="0"/>
          <w:lang w:val="en-US"/>
        </w:rPr>
        <w:t xml:space="preserve">. Available at: </w:t>
      </w:r>
      <w:hyperlink r:id="rId37" w:history="1">
        <w:r w:rsidRPr="00F3553D">
          <w:rPr>
            <w:rFonts w:cs="Times New Roman"/>
            <w:kern w:val="0"/>
            <w:lang w:val="en-US"/>
          </w:rPr>
          <w:t>https://www.england.nhs.uk/long-read/quality-strategy-december-2024/</w:t>
        </w:r>
      </w:hyperlink>
      <w:r w:rsidRPr="00F3553D">
        <w:rPr>
          <w:rFonts w:cs="Times New Roman"/>
          <w:kern w:val="0"/>
          <w:lang w:val="en-US"/>
        </w:rPr>
        <w:t>.</w:t>
      </w:r>
    </w:p>
    <w:p w14:paraId="5D1402FB" w14:textId="77777777" w:rsidR="001B1719" w:rsidRDefault="0075158E" w:rsidP="001B1719">
      <w:pPr>
        <w:widowControl w:val="0"/>
        <w:autoSpaceDE w:val="0"/>
        <w:autoSpaceDN w:val="0"/>
        <w:adjustRightInd w:val="0"/>
        <w:spacing w:after="240" w:line="360" w:lineRule="auto"/>
        <w:jc w:val="both"/>
        <w:rPr>
          <w:rFonts w:cs="Times New Roman"/>
          <w:kern w:val="0"/>
          <w:lang w:val="en-US"/>
        </w:rPr>
      </w:pPr>
      <w:r w:rsidRPr="00F3553D">
        <w:rPr>
          <w:rFonts w:cs="Times New Roman"/>
          <w:kern w:val="0"/>
          <w:lang w:val="en-US"/>
        </w:rPr>
        <w:t xml:space="preserve">Nuffield Trust (2018) </w:t>
      </w:r>
      <w:r w:rsidRPr="00F3553D">
        <w:rPr>
          <w:rFonts w:cs="Times New Roman"/>
          <w:i/>
          <w:iCs/>
          <w:kern w:val="0"/>
          <w:lang w:val="en-US"/>
        </w:rPr>
        <w:t>Diagnostic test waiting times</w:t>
      </w:r>
      <w:r w:rsidRPr="00F3553D">
        <w:rPr>
          <w:rFonts w:cs="Times New Roman"/>
          <w:kern w:val="0"/>
          <w:lang w:val="en-US"/>
        </w:rPr>
        <w:t xml:space="preserve">. Available at: </w:t>
      </w:r>
      <w:hyperlink r:id="rId38" w:history="1">
        <w:r w:rsidRPr="00F3553D">
          <w:rPr>
            <w:rFonts w:cs="Times New Roman"/>
            <w:kern w:val="0"/>
            <w:lang w:val="en-US"/>
          </w:rPr>
          <w:t>https://www.nuffieldtrust.org.uk/resource/diagnostic-test-waiting-times</w:t>
        </w:r>
      </w:hyperlink>
      <w:r w:rsidRPr="00F3553D">
        <w:rPr>
          <w:rFonts w:cs="Times New Roman"/>
          <w:kern w:val="0"/>
          <w:lang w:val="en-US"/>
        </w:rPr>
        <w:t>.</w:t>
      </w:r>
    </w:p>
    <w:p w14:paraId="6F7B582E" w14:textId="77777777" w:rsidR="007B0F4D" w:rsidRDefault="0075158E" w:rsidP="007B0F4D">
      <w:pPr>
        <w:widowControl w:val="0"/>
        <w:autoSpaceDE w:val="0"/>
        <w:autoSpaceDN w:val="0"/>
        <w:adjustRightInd w:val="0"/>
        <w:spacing w:after="240" w:line="360" w:lineRule="auto"/>
        <w:jc w:val="both"/>
        <w:rPr>
          <w:rFonts w:cs="Times New Roman"/>
          <w:kern w:val="0"/>
          <w:lang w:val="en-US"/>
        </w:rPr>
      </w:pPr>
      <w:r w:rsidRPr="00F3553D">
        <w:rPr>
          <w:rFonts w:cs="Times New Roman"/>
          <w:kern w:val="0"/>
          <w:lang w:val="en-US"/>
        </w:rPr>
        <w:t xml:space="preserve">Nuffield Trust (2025) </w:t>
      </w:r>
      <w:r w:rsidRPr="00F3553D">
        <w:rPr>
          <w:rFonts w:cs="Times New Roman"/>
          <w:i/>
          <w:iCs/>
          <w:kern w:val="0"/>
          <w:lang w:val="en-US"/>
        </w:rPr>
        <w:t xml:space="preserve">How will </w:t>
      </w:r>
      <w:proofErr w:type="gramStart"/>
      <w:r w:rsidRPr="00F3553D">
        <w:rPr>
          <w:rFonts w:cs="Times New Roman"/>
          <w:i/>
          <w:iCs/>
          <w:kern w:val="0"/>
          <w:lang w:val="en-US"/>
        </w:rPr>
        <w:t>waiting</w:t>
      </w:r>
      <w:proofErr w:type="gramEnd"/>
      <w:r w:rsidRPr="00F3553D">
        <w:rPr>
          <w:rFonts w:cs="Times New Roman"/>
          <w:i/>
          <w:iCs/>
          <w:kern w:val="0"/>
          <w:lang w:val="en-US"/>
        </w:rPr>
        <w:t xml:space="preserve"> times in community health services affect the shift towards </w:t>
      </w:r>
      <w:proofErr w:type="spellStart"/>
      <w:r w:rsidRPr="00F3553D">
        <w:rPr>
          <w:rFonts w:cs="Times New Roman"/>
          <w:i/>
          <w:iCs/>
          <w:kern w:val="0"/>
          <w:lang w:val="en-US"/>
        </w:rPr>
        <w:t>neighbourhood</w:t>
      </w:r>
      <w:proofErr w:type="spellEnd"/>
      <w:r w:rsidRPr="00F3553D">
        <w:rPr>
          <w:rFonts w:cs="Times New Roman"/>
          <w:i/>
          <w:iCs/>
          <w:kern w:val="0"/>
          <w:lang w:val="en-US"/>
        </w:rPr>
        <w:t xml:space="preserve"> </w:t>
      </w:r>
      <w:proofErr w:type="gramStart"/>
      <w:r w:rsidRPr="00F3553D">
        <w:rPr>
          <w:rFonts w:cs="Times New Roman"/>
          <w:i/>
          <w:iCs/>
          <w:kern w:val="0"/>
          <w:lang w:val="en-US"/>
        </w:rPr>
        <w:t>health?</w:t>
      </w:r>
      <w:r w:rsidRPr="00F3553D">
        <w:rPr>
          <w:rFonts w:cs="Times New Roman"/>
          <w:kern w:val="0"/>
          <w:lang w:val="en-US"/>
        </w:rPr>
        <w:t>.</w:t>
      </w:r>
      <w:proofErr w:type="gramEnd"/>
      <w:r w:rsidRPr="00F3553D">
        <w:rPr>
          <w:rFonts w:cs="Times New Roman"/>
          <w:kern w:val="0"/>
          <w:lang w:val="en-US"/>
        </w:rPr>
        <w:t xml:space="preserve"> Available at: </w:t>
      </w:r>
      <w:hyperlink r:id="rId39" w:history="1">
        <w:r w:rsidRPr="00F3553D">
          <w:rPr>
            <w:rFonts w:cs="Times New Roman"/>
            <w:kern w:val="0"/>
            <w:lang w:val="en-US"/>
          </w:rPr>
          <w:t>https://www.nuffieldtrust.org.uk/resource/how-will-waiting-times-in-community-health-services-affect-the-shift-towards-neighbourhood-health</w:t>
        </w:r>
      </w:hyperlink>
      <w:r w:rsidRPr="00F3553D">
        <w:rPr>
          <w:rFonts w:cs="Times New Roman"/>
          <w:kern w:val="0"/>
          <w:lang w:val="en-US"/>
        </w:rPr>
        <w:t>.</w:t>
      </w:r>
    </w:p>
    <w:p w14:paraId="3AD70C11" w14:textId="77777777" w:rsidR="007B0F4D" w:rsidRDefault="0075158E" w:rsidP="007B0F4D">
      <w:pPr>
        <w:widowControl w:val="0"/>
        <w:autoSpaceDE w:val="0"/>
        <w:autoSpaceDN w:val="0"/>
        <w:adjustRightInd w:val="0"/>
        <w:spacing w:after="240" w:line="360" w:lineRule="auto"/>
        <w:jc w:val="both"/>
        <w:rPr>
          <w:rFonts w:cs="Times New Roman"/>
          <w:kern w:val="0"/>
          <w:lang w:val="en-US"/>
        </w:rPr>
      </w:pPr>
      <w:r w:rsidRPr="00F3553D">
        <w:rPr>
          <w:rFonts w:cs="Times New Roman"/>
          <w:kern w:val="0"/>
          <w:lang w:val="en-US"/>
        </w:rPr>
        <w:t xml:space="preserve">Office for National Statistics (ONS) (2025) </w:t>
      </w:r>
      <w:r w:rsidRPr="00F3553D">
        <w:rPr>
          <w:rFonts w:cs="Times New Roman"/>
          <w:i/>
          <w:iCs/>
          <w:kern w:val="0"/>
          <w:lang w:val="en-US"/>
        </w:rPr>
        <w:t>UK population projection explorer</w:t>
      </w:r>
      <w:r w:rsidRPr="00F3553D">
        <w:rPr>
          <w:rFonts w:cs="Times New Roman"/>
          <w:kern w:val="0"/>
          <w:lang w:val="en-US"/>
        </w:rPr>
        <w:t xml:space="preserve">. Available at: </w:t>
      </w:r>
      <w:hyperlink r:id="rId40" w:history="1">
        <w:r w:rsidRPr="00F3553D">
          <w:rPr>
            <w:rFonts w:cs="Times New Roman"/>
            <w:kern w:val="0"/>
            <w:lang w:val="en-US"/>
          </w:rPr>
          <w:t>https://www.ons.gov.uk/peoplepopulationandcommunity/populationandmigration/populationprojections/articles/ukpopulationprojectionexplorer/2025-01-28</w:t>
        </w:r>
      </w:hyperlink>
      <w:r w:rsidRPr="00F3553D">
        <w:rPr>
          <w:rFonts w:cs="Times New Roman"/>
          <w:kern w:val="0"/>
          <w:lang w:val="en-US"/>
        </w:rPr>
        <w:t>.</w:t>
      </w:r>
    </w:p>
    <w:p w14:paraId="1EE92359" w14:textId="1BA1C13A" w:rsidR="007B0F4D" w:rsidRDefault="0075158E" w:rsidP="007B0F4D">
      <w:pPr>
        <w:widowControl w:val="0"/>
        <w:autoSpaceDE w:val="0"/>
        <w:autoSpaceDN w:val="0"/>
        <w:adjustRightInd w:val="0"/>
        <w:spacing w:after="240" w:line="360" w:lineRule="auto"/>
        <w:jc w:val="both"/>
        <w:rPr>
          <w:rFonts w:cs="Times New Roman"/>
          <w:kern w:val="0"/>
          <w:lang w:val="en-US"/>
        </w:rPr>
      </w:pPr>
      <w:r w:rsidRPr="00F3553D">
        <w:rPr>
          <w:rFonts w:cs="Times New Roman"/>
          <w:kern w:val="0"/>
          <w:lang w:val="en-US"/>
        </w:rPr>
        <w:t xml:space="preserve">Reeves, C., Dr Islam, A., Gentry, T. (2025) </w:t>
      </w:r>
      <w:r w:rsidRPr="00F3553D">
        <w:rPr>
          <w:rFonts w:cs="Times New Roman"/>
          <w:i/>
          <w:iCs/>
          <w:kern w:val="0"/>
          <w:lang w:val="en-US"/>
        </w:rPr>
        <w:t>The State of Health and Care of Older People in England 2025</w:t>
      </w:r>
      <w:r w:rsidRPr="00F3553D">
        <w:rPr>
          <w:rFonts w:cs="Times New Roman"/>
          <w:kern w:val="0"/>
          <w:lang w:val="en-US"/>
        </w:rPr>
        <w:t xml:space="preserve">. Available at: </w:t>
      </w:r>
      <w:hyperlink r:id="rId41" w:history="1">
        <w:r w:rsidRPr="00F3553D">
          <w:rPr>
            <w:rFonts w:cs="Times New Roman"/>
            <w:kern w:val="0"/>
            <w:lang w:val="en-US"/>
          </w:rPr>
          <w:t>https://www.ageuk.org.uk/siteassets/documents/reports-and-publications/reports-and-briefings/health--wellbeing/state-of-health-and-care/state-of-health-care-of-older-people-in-england-2025.pdf</w:t>
        </w:r>
      </w:hyperlink>
      <w:r w:rsidRPr="00F3553D">
        <w:rPr>
          <w:rFonts w:cs="Times New Roman"/>
          <w:kern w:val="0"/>
          <w:lang w:val="en-US"/>
        </w:rPr>
        <w:t>.</w:t>
      </w:r>
    </w:p>
    <w:p w14:paraId="4D1F32E0" w14:textId="77777777" w:rsidR="007B0F4D" w:rsidRDefault="0075158E" w:rsidP="007B0F4D">
      <w:pPr>
        <w:widowControl w:val="0"/>
        <w:autoSpaceDE w:val="0"/>
        <w:autoSpaceDN w:val="0"/>
        <w:adjustRightInd w:val="0"/>
        <w:spacing w:after="240" w:line="360" w:lineRule="auto"/>
        <w:jc w:val="both"/>
        <w:rPr>
          <w:rFonts w:cs="Times New Roman"/>
          <w:kern w:val="0"/>
          <w:lang w:val="en-US"/>
        </w:rPr>
      </w:pPr>
      <w:r w:rsidRPr="00F3553D">
        <w:rPr>
          <w:rFonts w:cs="Times New Roman"/>
          <w:kern w:val="0"/>
          <w:lang w:val="en-US"/>
        </w:rPr>
        <w:t>Sivey, P. and Wen, J. (</w:t>
      </w:r>
      <w:proofErr w:type="gramStart"/>
      <w:r w:rsidRPr="00F3553D">
        <w:rPr>
          <w:rFonts w:cs="Times New Roman"/>
          <w:kern w:val="0"/>
          <w:lang w:val="en-US"/>
        </w:rPr>
        <w:t>2024) ‘</w:t>
      </w:r>
      <w:proofErr w:type="gramEnd"/>
      <w:r w:rsidRPr="00F3553D">
        <w:rPr>
          <w:rFonts w:cs="Times New Roman"/>
          <w:kern w:val="0"/>
          <w:lang w:val="en-US"/>
        </w:rPr>
        <w:t xml:space="preserve">The effect of Community Diagnostic </w:t>
      </w:r>
      <w:proofErr w:type="spellStart"/>
      <w:r w:rsidRPr="00F3553D">
        <w:rPr>
          <w:rFonts w:cs="Times New Roman"/>
          <w:kern w:val="0"/>
          <w:lang w:val="en-US"/>
        </w:rPr>
        <w:t>Centres</w:t>
      </w:r>
      <w:proofErr w:type="spellEnd"/>
      <w:r w:rsidRPr="00F3553D">
        <w:rPr>
          <w:rFonts w:cs="Times New Roman"/>
          <w:kern w:val="0"/>
          <w:lang w:val="en-US"/>
        </w:rPr>
        <w:t xml:space="preserve"> on volume and waiting time for diagnostic procedures in the UK’. </w:t>
      </w:r>
      <w:r w:rsidRPr="00F3553D">
        <w:rPr>
          <w:rFonts w:cs="Times New Roman"/>
          <w:i/>
          <w:iCs/>
          <w:kern w:val="0"/>
          <w:lang w:val="en-US"/>
        </w:rPr>
        <w:t>Health Policy</w:t>
      </w:r>
      <w:r w:rsidRPr="00F3553D">
        <w:rPr>
          <w:rFonts w:cs="Times New Roman"/>
          <w:kern w:val="0"/>
          <w:lang w:val="en-US"/>
        </w:rPr>
        <w:t xml:space="preserve"> 147, pp. 105101–105101. </w:t>
      </w:r>
      <w:r w:rsidRPr="00F3553D">
        <w:rPr>
          <w:rFonts w:cs="Times New Roman"/>
          <w:kern w:val="0"/>
          <w:lang w:val="en-US"/>
        </w:rPr>
        <w:lastRenderedPageBreak/>
        <w:t xml:space="preserve">Available at: </w:t>
      </w:r>
      <w:hyperlink r:id="rId42" w:history="1">
        <w:r w:rsidRPr="00F3553D">
          <w:rPr>
            <w:rFonts w:cs="Times New Roman"/>
            <w:kern w:val="0"/>
            <w:lang w:val="en-US"/>
          </w:rPr>
          <w:t>https://doi.org/10.1016/j.healthpol.2024.105101</w:t>
        </w:r>
      </w:hyperlink>
      <w:r w:rsidRPr="00F3553D">
        <w:rPr>
          <w:rFonts w:cs="Times New Roman"/>
          <w:kern w:val="0"/>
          <w:lang w:val="en-US"/>
        </w:rPr>
        <w:t>.</w:t>
      </w:r>
    </w:p>
    <w:p w14:paraId="0948CBB3" w14:textId="77777777" w:rsidR="007B0F4D" w:rsidRDefault="0075158E" w:rsidP="007B0F4D">
      <w:pPr>
        <w:widowControl w:val="0"/>
        <w:autoSpaceDE w:val="0"/>
        <w:autoSpaceDN w:val="0"/>
        <w:adjustRightInd w:val="0"/>
        <w:spacing w:after="240" w:line="360" w:lineRule="auto"/>
        <w:jc w:val="both"/>
        <w:rPr>
          <w:rFonts w:cs="Times New Roman"/>
          <w:kern w:val="0"/>
          <w:lang w:val="en-US"/>
        </w:rPr>
      </w:pPr>
      <w:r w:rsidRPr="00F3553D">
        <w:rPr>
          <w:rFonts w:cs="Times New Roman"/>
          <w:kern w:val="0"/>
          <w:lang w:val="en-US"/>
        </w:rPr>
        <w:t xml:space="preserve">Society of Radiographers (2025) </w:t>
      </w:r>
      <w:proofErr w:type="spellStart"/>
      <w:r w:rsidRPr="00F3553D">
        <w:rPr>
          <w:rFonts w:cs="Times New Roman"/>
          <w:i/>
          <w:iCs/>
          <w:kern w:val="0"/>
          <w:lang w:val="en-US"/>
        </w:rPr>
        <w:t>SoR</w:t>
      </w:r>
      <w:proofErr w:type="spellEnd"/>
      <w:r w:rsidRPr="00F3553D">
        <w:rPr>
          <w:rFonts w:cs="Times New Roman"/>
          <w:i/>
          <w:iCs/>
          <w:kern w:val="0"/>
          <w:lang w:val="en-US"/>
        </w:rPr>
        <w:t xml:space="preserve"> responds to government plans to increase CDC capacity | </w:t>
      </w:r>
      <w:proofErr w:type="spellStart"/>
      <w:r w:rsidRPr="00F3553D">
        <w:rPr>
          <w:rFonts w:cs="Times New Roman"/>
          <w:i/>
          <w:iCs/>
          <w:kern w:val="0"/>
          <w:lang w:val="en-US"/>
        </w:rPr>
        <w:t>SoR</w:t>
      </w:r>
      <w:proofErr w:type="spellEnd"/>
      <w:r w:rsidRPr="00F3553D">
        <w:rPr>
          <w:rFonts w:cs="Times New Roman"/>
          <w:kern w:val="0"/>
          <w:lang w:val="en-US"/>
        </w:rPr>
        <w:t xml:space="preserve">. Available at: </w:t>
      </w:r>
      <w:hyperlink r:id="rId43" w:history="1">
        <w:r w:rsidRPr="00F3553D">
          <w:rPr>
            <w:rFonts w:cs="Times New Roman"/>
            <w:kern w:val="0"/>
            <w:lang w:val="en-US"/>
          </w:rPr>
          <w:t>https://www.sor.org/news/government-nhs/sor-responds-to-government-plans-to-increase-cdc-c</w:t>
        </w:r>
      </w:hyperlink>
      <w:r w:rsidRPr="00F3553D">
        <w:rPr>
          <w:rFonts w:cs="Times New Roman"/>
          <w:kern w:val="0"/>
          <w:lang w:val="en-US"/>
        </w:rPr>
        <w:t>.</w:t>
      </w:r>
    </w:p>
    <w:p w14:paraId="779310EC" w14:textId="77777777" w:rsidR="007B0F4D" w:rsidRDefault="0075158E" w:rsidP="007B0F4D">
      <w:pPr>
        <w:widowControl w:val="0"/>
        <w:autoSpaceDE w:val="0"/>
        <w:autoSpaceDN w:val="0"/>
        <w:adjustRightInd w:val="0"/>
        <w:spacing w:after="240" w:line="360" w:lineRule="auto"/>
        <w:jc w:val="both"/>
        <w:rPr>
          <w:rFonts w:cs="Times New Roman"/>
          <w:kern w:val="0"/>
          <w:lang w:val="en-US"/>
        </w:rPr>
      </w:pPr>
      <w:r w:rsidRPr="00F3553D">
        <w:rPr>
          <w:rFonts w:cs="Times New Roman"/>
          <w:kern w:val="0"/>
          <w:lang w:val="en-US"/>
        </w:rPr>
        <w:t xml:space="preserve">The Care Quality Commission (CQC) (2024) </w:t>
      </w:r>
      <w:r w:rsidRPr="00F3553D">
        <w:rPr>
          <w:rFonts w:cs="Times New Roman"/>
          <w:i/>
          <w:iCs/>
          <w:kern w:val="0"/>
          <w:lang w:val="en-US"/>
        </w:rPr>
        <w:t>Safe - Care Quality Commission</w:t>
      </w:r>
      <w:r w:rsidRPr="00F3553D">
        <w:rPr>
          <w:rFonts w:cs="Times New Roman"/>
          <w:kern w:val="0"/>
          <w:lang w:val="en-US"/>
        </w:rPr>
        <w:t xml:space="preserve">. Available at: </w:t>
      </w:r>
      <w:hyperlink r:id="rId44" w:history="1">
        <w:r w:rsidRPr="00F3553D">
          <w:rPr>
            <w:rFonts w:cs="Times New Roman"/>
            <w:kern w:val="0"/>
            <w:lang w:val="en-US"/>
          </w:rPr>
          <w:t>https://www.cqc.org.uk/guidance-regulation/providers/assessment/single-assessment-framework/safe</w:t>
        </w:r>
      </w:hyperlink>
      <w:r w:rsidRPr="00F3553D">
        <w:rPr>
          <w:rFonts w:cs="Times New Roman"/>
          <w:kern w:val="0"/>
          <w:lang w:val="en-US"/>
        </w:rPr>
        <w:t>.</w:t>
      </w:r>
    </w:p>
    <w:p w14:paraId="74D8E82D" w14:textId="77777777" w:rsidR="007B0F4D" w:rsidRDefault="0075158E" w:rsidP="007B0F4D">
      <w:pPr>
        <w:widowControl w:val="0"/>
        <w:autoSpaceDE w:val="0"/>
        <w:autoSpaceDN w:val="0"/>
        <w:adjustRightInd w:val="0"/>
        <w:spacing w:after="240" w:line="360" w:lineRule="auto"/>
        <w:jc w:val="both"/>
        <w:rPr>
          <w:rFonts w:cs="Times New Roman"/>
          <w:kern w:val="0"/>
          <w:lang w:val="en-US"/>
        </w:rPr>
      </w:pPr>
      <w:r w:rsidRPr="00F3553D">
        <w:rPr>
          <w:rFonts w:cs="Times New Roman"/>
          <w:kern w:val="0"/>
          <w:lang w:val="en-US"/>
        </w:rPr>
        <w:t xml:space="preserve">The Health Foundation (2023) </w:t>
      </w:r>
      <w:r w:rsidRPr="00F3553D">
        <w:rPr>
          <w:rFonts w:cs="Times New Roman"/>
          <w:i/>
          <w:iCs/>
          <w:kern w:val="0"/>
          <w:lang w:val="en-US"/>
        </w:rPr>
        <w:t xml:space="preserve">The NHS waiting list: when will it </w:t>
      </w:r>
      <w:proofErr w:type="gramStart"/>
      <w:r w:rsidRPr="00F3553D">
        <w:rPr>
          <w:rFonts w:cs="Times New Roman"/>
          <w:i/>
          <w:iCs/>
          <w:kern w:val="0"/>
          <w:lang w:val="en-US"/>
        </w:rPr>
        <w:t>peak?</w:t>
      </w:r>
      <w:r w:rsidRPr="00F3553D">
        <w:rPr>
          <w:rFonts w:cs="Times New Roman"/>
          <w:kern w:val="0"/>
          <w:lang w:val="en-US"/>
        </w:rPr>
        <w:t>.</w:t>
      </w:r>
      <w:proofErr w:type="gramEnd"/>
      <w:r w:rsidRPr="00F3553D">
        <w:rPr>
          <w:rFonts w:cs="Times New Roman"/>
          <w:kern w:val="0"/>
          <w:lang w:val="en-US"/>
        </w:rPr>
        <w:t xml:space="preserve"> Available at: </w:t>
      </w:r>
      <w:hyperlink r:id="rId45" w:history="1">
        <w:r w:rsidRPr="00F3553D">
          <w:rPr>
            <w:rFonts w:cs="Times New Roman"/>
            <w:kern w:val="0"/>
            <w:lang w:val="en-US"/>
          </w:rPr>
          <w:t>https://www.health.org.uk/features-and-opinion/features/the-nhs-waiting-list-when-will-it-peak</w:t>
        </w:r>
      </w:hyperlink>
      <w:r w:rsidRPr="00F3553D">
        <w:rPr>
          <w:rFonts w:cs="Times New Roman"/>
          <w:kern w:val="0"/>
          <w:lang w:val="en-US"/>
        </w:rPr>
        <w:t>.</w:t>
      </w:r>
    </w:p>
    <w:p w14:paraId="3CC9A64F" w14:textId="77777777" w:rsidR="007B0F4D" w:rsidRDefault="0075158E" w:rsidP="007B0F4D">
      <w:pPr>
        <w:widowControl w:val="0"/>
        <w:autoSpaceDE w:val="0"/>
        <w:autoSpaceDN w:val="0"/>
        <w:adjustRightInd w:val="0"/>
        <w:spacing w:after="240" w:line="360" w:lineRule="auto"/>
        <w:jc w:val="both"/>
        <w:rPr>
          <w:rFonts w:cs="Times New Roman"/>
          <w:kern w:val="0"/>
          <w:lang w:val="en-US"/>
        </w:rPr>
      </w:pPr>
      <w:proofErr w:type="gramStart"/>
      <w:r w:rsidRPr="00F3553D">
        <w:rPr>
          <w:rFonts w:cs="Times New Roman"/>
          <w:kern w:val="0"/>
          <w:lang w:val="en-US"/>
        </w:rPr>
        <w:t xml:space="preserve">The King’s Fund (2025) </w:t>
      </w:r>
      <w:r w:rsidRPr="00F3553D">
        <w:rPr>
          <w:rFonts w:cs="Times New Roman"/>
          <w:i/>
          <w:iCs/>
          <w:kern w:val="0"/>
          <w:lang w:val="en-US"/>
        </w:rPr>
        <w:t>Are</w:t>
      </w:r>
      <w:proofErr w:type="gramEnd"/>
      <w:r w:rsidRPr="00F3553D">
        <w:rPr>
          <w:rFonts w:cs="Times New Roman"/>
          <w:i/>
          <w:iCs/>
          <w:kern w:val="0"/>
          <w:lang w:val="en-US"/>
        </w:rPr>
        <w:t xml:space="preserve"> elective recovery targets achievable? A look at the evidence</w:t>
      </w:r>
      <w:r w:rsidRPr="00F3553D">
        <w:rPr>
          <w:rFonts w:cs="Times New Roman"/>
          <w:kern w:val="0"/>
          <w:lang w:val="en-US"/>
        </w:rPr>
        <w:t xml:space="preserve">. Available at: </w:t>
      </w:r>
      <w:hyperlink r:id="rId46" w:history="1">
        <w:r w:rsidRPr="00F3553D">
          <w:rPr>
            <w:rStyle w:val="Hyperlink"/>
            <w:rFonts w:cs="Times New Roman"/>
            <w:color w:val="auto"/>
            <w:kern w:val="0"/>
            <w:lang w:val="en-US"/>
          </w:rPr>
          <w:t>https://www.kingsfund.org.uk/insight-and-analysis/blogs/elective-recovery-targets-achievable-evidence</w:t>
        </w:r>
      </w:hyperlink>
      <w:r w:rsidRPr="00F3553D">
        <w:rPr>
          <w:rFonts w:cs="Times New Roman"/>
          <w:kern w:val="0"/>
          <w:lang w:val="en-US"/>
        </w:rPr>
        <w:t xml:space="preserve"> (Accessed: 25 April 2026).</w:t>
      </w:r>
    </w:p>
    <w:p w14:paraId="56834BAC" w14:textId="77777777" w:rsidR="007B0F4D" w:rsidRDefault="0075158E" w:rsidP="007B0F4D">
      <w:pPr>
        <w:widowControl w:val="0"/>
        <w:autoSpaceDE w:val="0"/>
        <w:autoSpaceDN w:val="0"/>
        <w:adjustRightInd w:val="0"/>
        <w:spacing w:after="240" w:line="360" w:lineRule="auto"/>
        <w:jc w:val="both"/>
        <w:rPr>
          <w:rFonts w:cs="Times New Roman"/>
          <w:kern w:val="0"/>
          <w:lang w:val="en-US"/>
        </w:rPr>
      </w:pPr>
      <w:r w:rsidRPr="00F3553D">
        <w:rPr>
          <w:rFonts w:cs="Times New Roman"/>
          <w:kern w:val="0"/>
          <w:lang w:val="en-US"/>
        </w:rPr>
        <w:t xml:space="preserve">The Royal College of Radiologists (RCR) (2024) </w:t>
      </w:r>
      <w:r w:rsidRPr="00F3553D">
        <w:rPr>
          <w:rFonts w:cs="Times New Roman"/>
          <w:i/>
          <w:iCs/>
          <w:kern w:val="0"/>
          <w:lang w:val="en-US"/>
        </w:rPr>
        <w:t>Clinical Radiology Census Reports | the Royal College of Radiologists</w:t>
      </w:r>
      <w:r w:rsidRPr="00F3553D">
        <w:rPr>
          <w:rFonts w:cs="Times New Roman"/>
          <w:kern w:val="0"/>
          <w:lang w:val="en-US"/>
        </w:rPr>
        <w:t xml:space="preserve">. Available at: </w:t>
      </w:r>
      <w:hyperlink r:id="rId47" w:history="1">
        <w:r w:rsidRPr="00F3553D">
          <w:rPr>
            <w:rFonts w:cs="Times New Roman"/>
            <w:kern w:val="0"/>
            <w:lang w:val="en-US"/>
          </w:rPr>
          <w:t>https://www.rcr.ac.uk/news-policy/policy-reports-initiatives/clinical-radiology-census-reports/</w:t>
        </w:r>
      </w:hyperlink>
      <w:r w:rsidRPr="00F3553D">
        <w:rPr>
          <w:rFonts w:cs="Times New Roman"/>
          <w:kern w:val="0"/>
          <w:lang w:val="en-US"/>
        </w:rPr>
        <w:t>.</w:t>
      </w:r>
    </w:p>
    <w:p w14:paraId="5647BF2A" w14:textId="3E0B6736" w:rsidR="0075158E" w:rsidRPr="00F3553D" w:rsidRDefault="0075158E" w:rsidP="007B0F4D">
      <w:pPr>
        <w:widowControl w:val="0"/>
        <w:autoSpaceDE w:val="0"/>
        <w:autoSpaceDN w:val="0"/>
        <w:adjustRightInd w:val="0"/>
        <w:spacing w:after="240" w:line="360" w:lineRule="auto"/>
        <w:jc w:val="both"/>
        <w:rPr>
          <w:rFonts w:cs="Times New Roman"/>
          <w:kern w:val="0"/>
          <w:lang w:val="en-US"/>
        </w:rPr>
      </w:pPr>
      <w:r w:rsidRPr="00F3553D">
        <w:rPr>
          <w:rFonts w:cs="Times New Roman"/>
          <w:kern w:val="0"/>
          <w:lang w:val="en-US"/>
        </w:rPr>
        <w:t>Wale, A., Okolie, C., Everitt, J., Hookway, A., Shaw, H., Little, K., Lewis, R., Cooper, A. and Edwards, A. (</w:t>
      </w:r>
      <w:proofErr w:type="gramStart"/>
      <w:r w:rsidRPr="00F3553D">
        <w:rPr>
          <w:rFonts w:cs="Times New Roman"/>
          <w:kern w:val="0"/>
          <w:lang w:val="en-US"/>
        </w:rPr>
        <w:t>2024) ‘</w:t>
      </w:r>
      <w:proofErr w:type="gramEnd"/>
      <w:r w:rsidRPr="00F3553D">
        <w:rPr>
          <w:rFonts w:cs="Times New Roman"/>
          <w:kern w:val="0"/>
          <w:lang w:val="en-US"/>
        </w:rPr>
        <w:t xml:space="preserve">The Effectiveness and Cost-Effectiveness of Community Diagnostic </w:t>
      </w:r>
      <w:proofErr w:type="spellStart"/>
      <w:r w:rsidRPr="00F3553D">
        <w:rPr>
          <w:rFonts w:cs="Times New Roman"/>
          <w:kern w:val="0"/>
          <w:lang w:val="en-US"/>
        </w:rPr>
        <w:t>Centres</w:t>
      </w:r>
      <w:proofErr w:type="spellEnd"/>
      <w:r w:rsidRPr="00F3553D">
        <w:rPr>
          <w:rFonts w:cs="Times New Roman"/>
          <w:kern w:val="0"/>
          <w:lang w:val="en-US"/>
        </w:rPr>
        <w:t xml:space="preserve">: A Rapid Review’. </w:t>
      </w:r>
      <w:r w:rsidRPr="00F3553D">
        <w:rPr>
          <w:rFonts w:cs="Times New Roman"/>
          <w:i/>
          <w:iCs/>
          <w:kern w:val="0"/>
          <w:lang w:val="en-US"/>
        </w:rPr>
        <w:t>International Journal of Public Health</w:t>
      </w:r>
      <w:r w:rsidRPr="00F3553D">
        <w:rPr>
          <w:rFonts w:cs="Times New Roman"/>
          <w:kern w:val="0"/>
          <w:lang w:val="en-US"/>
        </w:rPr>
        <w:t xml:space="preserve"> 69. Available at: </w:t>
      </w:r>
      <w:hyperlink r:id="rId48" w:history="1">
        <w:r w:rsidRPr="00F3553D">
          <w:rPr>
            <w:rFonts w:cs="Times New Roman"/>
            <w:kern w:val="0"/>
            <w:lang w:val="en-US"/>
          </w:rPr>
          <w:t>https://www.ncbi.nlm.nih.gov/pmc/articles/PMC10844947/</w:t>
        </w:r>
      </w:hyperlink>
      <w:r w:rsidRPr="00F3553D">
        <w:rPr>
          <w:rFonts w:cs="Times New Roman"/>
          <w:kern w:val="0"/>
          <w:lang w:val="en-US"/>
        </w:rPr>
        <w:t>.</w:t>
      </w:r>
    </w:p>
    <w:p w14:paraId="0A47E669" w14:textId="77777777" w:rsidR="0075158E" w:rsidRPr="00F3553D" w:rsidRDefault="0075158E" w:rsidP="001C030A">
      <w:pPr>
        <w:spacing w:line="360" w:lineRule="auto"/>
        <w:jc w:val="both"/>
      </w:pPr>
    </w:p>
    <w:sectPr w:rsidR="0075158E" w:rsidRPr="00F3553D" w:rsidSect="00ED6ED6">
      <w:footerReference w:type="default" r:id="rId49"/>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7FC1A8F" w14:textId="77777777" w:rsidR="00B75AE5" w:rsidRDefault="00B75AE5" w:rsidP="001974C8">
      <w:pPr>
        <w:spacing w:after="0" w:line="240" w:lineRule="auto"/>
      </w:pPr>
      <w:r>
        <w:separator/>
      </w:r>
    </w:p>
  </w:endnote>
  <w:endnote w:type="continuationSeparator" w:id="0">
    <w:p w14:paraId="4A0B8C5F" w14:textId="77777777" w:rsidR="00B75AE5" w:rsidRDefault="00B75AE5" w:rsidP="001974C8">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383982946"/>
      <w:docPartObj>
        <w:docPartGallery w:val="Page Numbers (Bottom of Page)"/>
        <w:docPartUnique/>
      </w:docPartObj>
    </w:sdtPr>
    <w:sdtEndPr/>
    <w:sdtContent>
      <w:p w14:paraId="045B4C22" w14:textId="2D3E6784" w:rsidR="001974C8" w:rsidRDefault="001974C8">
        <w:pPr>
          <w:pStyle w:val="Footer"/>
          <w:jc w:val="right"/>
        </w:pPr>
        <w:r>
          <w:fldChar w:fldCharType="begin"/>
        </w:r>
        <w:r>
          <w:instrText>PAGE   \* MERGEFORMAT</w:instrText>
        </w:r>
        <w:r>
          <w:fldChar w:fldCharType="separate"/>
        </w:r>
        <w:r>
          <w:t>2</w:t>
        </w:r>
        <w:r>
          <w:fldChar w:fldCharType="end"/>
        </w:r>
      </w:p>
    </w:sdtContent>
  </w:sdt>
  <w:p w14:paraId="5BB15CF1" w14:textId="77777777" w:rsidR="001974C8" w:rsidRDefault="001974C8">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E0C6A4C" w14:textId="77777777" w:rsidR="00B75AE5" w:rsidRDefault="00B75AE5" w:rsidP="001974C8">
      <w:pPr>
        <w:spacing w:after="0" w:line="240" w:lineRule="auto"/>
      </w:pPr>
      <w:r>
        <w:separator/>
      </w:r>
    </w:p>
  </w:footnote>
  <w:footnote w:type="continuationSeparator" w:id="0">
    <w:p w14:paraId="23A25476" w14:textId="77777777" w:rsidR="00B75AE5" w:rsidRDefault="00B75AE5" w:rsidP="001974C8">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6C43BD3"/>
    <w:multiLevelType w:val="multilevel"/>
    <w:tmpl w:val="B21090F6"/>
    <w:lvl w:ilvl="0">
      <w:start w:val="1"/>
      <w:numFmt w:val="decimal"/>
      <w:lvlText w:val="%1."/>
      <w:lvlJc w:val="left"/>
      <w:pPr>
        <w:ind w:left="720" w:hanging="360"/>
      </w:pPr>
      <w:rPr>
        <w:rFonts w:hint="default"/>
      </w:rPr>
    </w:lvl>
    <w:lvl w:ilvl="1">
      <w:start w:val="1"/>
      <w:numFmt w:val="decimal"/>
      <w:isLgl/>
      <w:lvlText w:val="%1.%2."/>
      <w:lvlJc w:val="left"/>
      <w:pPr>
        <w:ind w:left="1080" w:hanging="72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520" w:hanging="2160"/>
      </w:pPr>
      <w:rPr>
        <w:rFonts w:hint="default"/>
      </w:rPr>
    </w:lvl>
  </w:abstractNum>
  <w:abstractNum w:abstractNumId="1" w15:restartNumberingAfterBreak="0">
    <w:nsid w:val="0D215C8D"/>
    <w:multiLevelType w:val="hybridMultilevel"/>
    <w:tmpl w:val="D7A6AF04"/>
    <w:lvl w:ilvl="0" w:tplc="DAA22CAA">
      <w:start w:val="1"/>
      <w:numFmt w:val="decimal"/>
      <w:lvlText w:val="%1."/>
      <w:lvlJc w:val="left"/>
      <w:pPr>
        <w:ind w:left="720" w:hanging="360"/>
      </w:pPr>
      <w:rPr>
        <w:rFonts w:asciiTheme="minorBidi" w:hAnsiTheme="minorBidi" w:cstheme="minorBidi" w:hint="default"/>
      </w:rPr>
    </w:lvl>
    <w:lvl w:ilvl="1" w:tplc="08090019">
      <w:start w:val="1"/>
      <w:numFmt w:val="lowerLetter"/>
      <w:lvlText w:val="%2."/>
      <w:lvlJc w:val="left"/>
      <w:pPr>
        <w:ind w:left="1440" w:hanging="360"/>
      </w:pPr>
    </w:lvl>
    <w:lvl w:ilvl="2" w:tplc="0809001B">
      <w:start w:val="1"/>
      <w:numFmt w:val="lowerRoman"/>
      <w:lvlText w:val="%3."/>
      <w:lvlJc w:val="right"/>
      <w:pPr>
        <w:ind w:left="2160" w:hanging="180"/>
      </w:pPr>
    </w:lvl>
    <w:lvl w:ilvl="3" w:tplc="0809000F">
      <w:start w:val="1"/>
      <w:numFmt w:val="decimal"/>
      <w:lvlText w:val="%4."/>
      <w:lvlJc w:val="left"/>
      <w:pPr>
        <w:ind w:left="2880" w:hanging="360"/>
      </w:pPr>
    </w:lvl>
    <w:lvl w:ilvl="4" w:tplc="08090019">
      <w:start w:val="1"/>
      <w:numFmt w:val="lowerLetter"/>
      <w:lvlText w:val="%5."/>
      <w:lvlJc w:val="left"/>
      <w:pPr>
        <w:ind w:left="3600" w:hanging="360"/>
      </w:pPr>
    </w:lvl>
    <w:lvl w:ilvl="5" w:tplc="0809001B">
      <w:start w:val="1"/>
      <w:numFmt w:val="lowerRoman"/>
      <w:lvlText w:val="%6."/>
      <w:lvlJc w:val="right"/>
      <w:pPr>
        <w:ind w:left="4320" w:hanging="180"/>
      </w:pPr>
    </w:lvl>
    <w:lvl w:ilvl="6" w:tplc="0809000F">
      <w:start w:val="1"/>
      <w:numFmt w:val="decimal"/>
      <w:lvlText w:val="%7."/>
      <w:lvlJc w:val="left"/>
      <w:pPr>
        <w:ind w:left="5040" w:hanging="360"/>
      </w:pPr>
    </w:lvl>
    <w:lvl w:ilvl="7" w:tplc="08090019">
      <w:start w:val="1"/>
      <w:numFmt w:val="lowerLetter"/>
      <w:lvlText w:val="%8."/>
      <w:lvlJc w:val="left"/>
      <w:pPr>
        <w:ind w:left="5760" w:hanging="360"/>
      </w:pPr>
    </w:lvl>
    <w:lvl w:ilvl="8" w:tplc="0809001B">
      <w:start w:val="1"/>
      <w:numFmt w:val="lowerRoman"/>
      <w:lvlText w:val="%9."/>
      <w:lvlJc w:val="right"/>
      <w:pPr>
        <w:ind w:left="6480" w:hanging="180"/>
      </w:pPr>
    </w:lvl>
  </w:abstractNum>
  <w:abstractNum w:abstractNumId="2" w15:restartNumberingAfterBreak="0">
    <w:nsid w:val="0D937541"/>
    <w:multiLevelType w:val="multilevel"/>
    <w:tmpl w:val="B21090F6"/>
    <w:lvl w:ilvl="0">
      <w:start w:val="1"/>
      <w:numFmt w:val="decimal"/>
      <w:lvlText w:val="%1."/>
      <w:lvlJc w:val="left"/>
      <w:pPr>
        <w:ind w:left="720" w:hanging="360"/>
      </w:pPr>
      <w:rPr>
        <w:rFonts w:hint="default"/>
      </w:rPr>
    </w:lvl>
    <w:lvl w:ilvl="1">
      <w:start w:val="1"/>
      <w:numFmt w:val="decimal"/>
      <w:isLgl/>
      <w:lvlText w:val="%1.%2."/>
      <w:lvlJc w:val="left"/>
      <w:pPr>
        <w:ind w:left="1080" w:hanging="72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520" w:hanging="2160"/>
      </w:pPr>
      <w:rPr>
        <w:rFonts w:hint="default"/>
      </w:rPr>
    </w:lvl>
  </w:abstractNum>
  <w:abstractNum w:abstractNumId="3" w15:restartNumberingAfterBreak="0">
    <w:nsid w:val="1E380F2D"/>
    <w:multiLevelType w:val="multilevel"/>
    <w:tmpl w:val="C37054F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25863154"/>
    <w:multiLevelType w:val="multilevel"/>
    <w:tmpl w:val="295280D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274E11B0"/>
    <w:multiLevelType w:val="multilevel"/>
    <w:tmpl w:val="82C8DAF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340B5110"/>
    <w:multiLevelType w:val="hybridMultilevel"/>
    <w:tmpl w:val="59C406FA"/>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 w15:restartNumberingAfterBreak="0">
    <w:nsid w:val="37841002"/>
    <w:multiLevelType w:val="multilevel"/>
    <w:tmpl w:val="90C68A3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45DD7159"/>
    <w:multiLevelType w:val="hybridMultilevel"/>
    <w:tmpl w:val="2DE02F2A"/>
    <w:lvl w:ilvl="0" w:tplc="08090011">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9" w15:restartNumberingAfterBreak="0">
    <w:nsid w:val="4CE656BB"/>
    <w:multiLevelType w:val="multilevel"/>
    <w:tmpl w:val="B21090F6"/>
    <w:lvl w:ilvl="0">
      <w:start w:val="1"/>
      <w:numFmt w:val="decimal"/>
      <w:lvlText w:val="%1."/>
      <w:lvlJc w:val="left"/>
      <w:pPr>
        <w:ind w:left="720" w:hanging="360"/>
      </w:pPr>
      <w:rPr>
        <w:rFonts w:hint="default"/>
      </w:rPr>
    </w:lvl>
    <w:lvl w:ilvl="1">
      <w:start w:val="1"/>
      <w:numFmt w:val="decimal"/>
      <w:isLgl/>
      <w:lvlText w:val="%1.%2."/>
      <w:lvlJc w:val="left"/>
      <w:pPr>
        <w:ind w:left="1080" w:hanging="72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520" w:hanging="2160"/>
      </w:pPr>
      <w:rPr>
        <w:rFonts w:hint="default"/>
      </w:rPr>
    </w:lvl>
  </w:abstractNum>
  <w:abstractNum w:abstractNumId="10" w15:restartNumberingAfterBreak="0">
    <w:nsid w:val="574007E1"/>
    <w:multiLevelType w:val="multilevel"/>
    <w:tmpl w:val="0BE0026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15:restartNumberingAfterBreak="0">
    <w:nsid w:val="5CE32838"/>
    <w:multiLevelType w:val="multilevel"/>
    <w:tmpl w:val="4AE8213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767195308">
    <w:abstractNumId w:val="10"/>
  </w:num>
  <w:num w:numId="2" w16cid:durableId="1627077840">
    <w:abstractNumId w:val="7"/>
  </w:num>
  <w:num w:numId="3" w16cid:durableId="918174145">
    <w:abstractNumId w:val="5"/>
  </w:num>
  <w:num w:numId="4" w16cid:durableId="1104691101">
    <w:abstractNumId w:val="11"/>
  </w:num>
  <w:num w:numId="5" w16cid:durableId="521627074">
    <w:abstractNumId w:val="4"/>
  </w:num>
  <w:num w:numId="6" w16cid:durableId="1363634601">
    <w:abstractNumId w:val="3"/>
  </w:num>
  <w:num w:numId="7" w16cid:durableId="484706422">
    <w:abstractNumId w:val="2"/>
  </w:num>
  <w:num w:numId="8" w16cid:durableId="1025450297">
    <w:abstractNumId w:val="0"/>
  </w:num>
  <w:num w:numId="9" w16cid:durableId="255554705">
    <w:abstractNumId w:val="9"/>
  </w:num>
  <w:num w:numId="10" w16cid:durableId="948321554">
    <w:abstractNumId w:val="8"/>
  </w:num>
  <w:num w:numId="11" w16cid:durableId="1855994080">
    <w:abstractNumId w:val="6"/>
  </w:num>
  <w:num w:numId="12" w16cid:durableId="1910339713">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E4E9D"/>
    <w:rsid w:val="00005196"/>
    <w:rsid w:val="00012AB2"/>
    <w:rsid w:val="00015087"/>
    <w:rsid w:val="00015CC8"/>
    <w:rsid w:val="000204F8"/>
    <w:rsid w:val="00021298"/>
    <w:rsid w:val="00033F35"/>
    <w:rsid w:val="00035F91"/>
    <w:rsid w:val="000539A7"/>
    <w:rsid w:val="00060CB7"/>
    <w:rsid w:val="00063FBF"/>
    <w:rsid w:val="00074E11"/>
    <w:rsid w:val="00074E89"/>
    <w:rsid w:val="000A320A"/>
    <w:rsid w:val="000A3C15"/>
    <w:rsid w:val="000A6769"/>
    <w:rsid w:val="000B0C84"/>
    <w:rsid w:val="000C21E6"/>
    <w:rsid w:val="000C37BB"/>
    <w:rsid w:val="000C46A7"/>
    <w:rsid w:val="000C67C6"/>
    <w:rsid w:val="000D40EE"/>
    <w:rsid w:val="000F5B7F"/>
    <w:rsid w:val="00101F87"/>
    <w:rsid w:val="001149AB"/>
    <w:rsid w:val="00117268"/>
    <w:rsid w:val="00120EFC"/>
    <w:rsid w:val="00122A3A"/>
    <w:rsid w:val="0013139A"/>
    <w:rsid w:val="001401D1"/>
    <w:rsid w:val="00175922"/>
    <w:rsid w:val="001960E7"/>
    <w:rsid w:val="0019718E"/>
    <w:rsid w:val="001974C8"/>
    <w:rsid w:val="001B0C65"/>
    <w:rsid w:val="001B0E2F"/>
    <w:rsid w:val="001B1719"/>
    <w:rsid w:val="001C030A"/>
    <w:rsid w:val="001C4C1E"/>
    <w:rsid w:val="001C661D"/>
    <w:rsid w:val="001E0C1C"/>
    <w:rsid w:val="001E201A"/>
    <w:rsid w:val="001E44B3"/>
    <w:rsid w:val="001F3BB5"/>
    <w:rsid w:val="002012D9"/>
    <w:rsid w:val="00205DDA"/>
    <w:rsid w:val="00217BFF"/>
    <w:rsid w:val="00217D10"/>
    <w:rsid w:val="002211B0"/>
    <w:rsid w:val="00231A06"/>
    <w:rsid w:val="00240069"/>
    <w:rsid w:val="00264E86"/>
    <w:rsid w:val="00266A8D"/>
    <w:rsid w:val="00277540"/>
    <w:rsid w:val="002810E5"/>
    <w:rsid w:val="00285F6F"/>
    <w:rsid w:val="002967D6"/>
    <w:rsid w:val="002A0E9E"/>
    <w:rsid w:val="002A625F"/>
    <w:rsid w:val="002B43C3"/>
    <w:rsid w:val="002C3650"/>
    <w:rsid w:val="002C5451"/>
    <w:rsid w:val="002C7C75"/>
    <w:rsid w:val="002E4E9D"/>
    <w:rsid w:val="002F16DD"/>
    <w:rsid w:val="003021AD"/>
    <w:rsid w:val="00337416"/>
    <w:rsid w:val="0034125D"/>
    <w:rsid w:val="003519C3"/>
    <w:rsid w:val="00352B0E"/>
    <w:rsid w:val="00352B5E"/>
    <w:rsid w:val="00376D66"/>
    <w:rsid w:val="00380FED"/>
    <w:rsid w:val="0039376E"/>
    <w:rsid w:val="003A51F1"/>
    <w:rsid w:val="003C39BB"/>
    <w:rsid w:val="003E2FDF"/>
    <w:rsid w:val="003F0F13"/>
    <w:rsid w:val="00423A53"/>
    <w:rsid w:val="004354A9"/>
    <w:rsid w:val="004476BD"/>
    <w:rsid w:val="004526A2"/>
    <w:rsid w:val="00452E73"/>
    <w:rsid w:val="004624B8"/>
    <w:rsid w:val="00464F2A"/>
    <w:rsid w:val="004768E8"/>
    <w:rsid w:val="004772FA"/>
    <w:rsid w:val="00481946"/>
    <w:rsid w:val="0049664B"/>
    <w:rsid w:val="004A01AE"/>
    <w:rsid w:val="004A41F2"/>
    <w:rsid w:val="004C0ED9"/>
    <w:rsid w:val="004C18B6"/>
    <w:rsid w:val="004D365B"/>
    <w:rsid w:val="004D4F3D"/>
    <w:rsid w:val="004E7B6D"/>
    <w:rsid w:val="004F5DD7"/>
    <w:rsid w:val="004F77A8"/>
    <w:rsid w:val="00521D20"/>
    <w:rsid w:val="00545D50"/>
    <w:rsid w:val="005621CA"/>
    <w:rsid w:val="00562984"/>
    <w:rsid w:val="005706B0"/>
    <w:rsid w:val="00575C0D"/>
    <w:rsid w:val="00596AF7"/>
    <w:rsid w:val="00597DE0"/>
    <w:rsid w:val="005B363B"/>
    <w:rsid w:val="005D01F2"/>
    <w:rsid w:val="005D788E"/>
    <w:rsid w:val="005F35B9"/>
    <w:rsid w:val="00600A2A"/>
    <w:rsid w:val="00621B76"/>
    <w:rsid w:val="00624407"/>
    <w:rsid w:val="00624E2A"/>
    <w:rsid w:val="00635D85"/>
    <w:rsid w:val="00646F48"/>
    <w:rsid w:val="00646F8D"/>
    <w:rsid w:val="00652B3B"/>
    <w:rsid w:val="00673B2F"/>
    <w:rsid w:val="00674F19"/>
    <w:rsid w:val="00677A83"/>
    <w:rsid w:val="00677FCC"/>
    <w:rsid w:val="00677FEF"/>
    <w:rsid w:val="0068037B"/>
    <w:rsid w:val="006844B2"/>
    <w:rsid w:val="00684F45"/>
    <w:rsid w:val="006907E9"/>
    <w:rsid w:val="006A378A"/>
    <w:rsid w:val="006B206E"/>
    <w:rsid w:val="006B2529"/>
    <w:rsid w:val="006C54C2"/>
    <w:rsid w:val="006D10A7"/>
    <w:rsid w:val="006D3C86"/>
    <w:rsid w:val="006E37E4"/>
    <w:rsid w:val="006E49F9"/>
    <w:rsid w:val="006F64DB"/>
    <w:rsid w:val="00701637"/>
    <w:rsid w:val="00711E4F"/>
    <w:rsid w:val="00713FEA"/>
    <w:rsid w:val="0073043D"/>
    <w:rsid w:val="00732100"/>
    <w:rsid w:val="00743BD7"/>
    <w:rsid w:val="007452E6"/>
    <w:rsid w:val="007457DD"/>
    <w:rsid w:val="0075158E"/>
    <w:rsid w:val="00763F69"/>
    <w:rsid w:val="00771FF4"/>
    <w:rsid w:val="00773E1C"/>
    <w:rsid w:val="0078390C"/>
    <w:rsid w:val="007875B3"/>
    <w:rsid w:val="00794C6A"/>
    <w:rsid w:val="00795259"/>
    <w:rsid w:val="007B0F4D"/>
    <w:rsid w:val="007B33BC"/>
    <w:rsid w:val="007D1A00"/>
    <w:rsid w:val="007D5288"/>
    <w:rsid w:val="007E20DD"/>
    <w:rsid w:val="007E4E57"/>
    <w:rsid w:val="007F44B1"/>
    <w:rsid w:val="00801EFA"/>
    <w:rsid w:val="00807C5B"/>
    <w:rsid w:val="00815123"/>
    <w:rsid w:val="00822166"/>
    <w:rsid w:val="00861E7B"/>
    <w:rsid w:val="00862698"/>
    <w:rsid w:val="008627E8"/>
    <w:rsid w:val="00877E09"/>
    <w:rsid w:val="00883BFF"/>
    <w:rsid w:val="008A10E3"/>
    <w:rsid w:val="008C33B9"/>
    <w:rsid w:val="008E2A4E"/>
    <w:rsid w:val="008E3BC2"/>
    <w:rsid w:val="008E710D"/>
    <w:rsid w:val="008E7C2E"/>
    <w:rsid w:val="008F3D55"/>
    <w:rsid w:val="00904B07"/>
    <w:rsid w:val="00905FC4"/>
    <w:rsid w:val="009121B2"/>
    <w:rsid w:val="009127D7"/>
    <w:rsid w:val="009208B0"/>
    <w:rsid w:val="0092257E"/>
    <w:rsid w:val="00930D08"/>
    <w:rsid w:val="009325C8"/>
    <w:rsid w:val="00935BDE"/>
    <w:rsid w:val="009363E7"/>
    <w:rsid w:val="00951504"/>
    <w:rsid w:val="009526A8"/>
    <w:rsid w:val="009528E7"/>
    <w:rsid w:val="00957064"/>
    <w:rsid w:val="00960400"/>
    <w:rsid w:val="00976FAA"/>
    <w:rsid w:val="009A12AA"/>
    <w:rsid w:val="009A7AD1"/>
    <w:rsid w:val="009B7F66"/>
    <w:rsid w:val="009E6385"/>
    <w:rsid w:val="00A06436"/>
    <w:rsid w:val="00A15C9D"/>
    <w:rsid w:val="00A26B89"/>
    <w:rsid w:val="00A3132C"/>
    <w:rsid w:val="00A34D93"/>
    <w:rsid w:val="00A37AFC"/>
    <w:rsid w:val="00A406DB"/>
    <w:rsid w:val="00A41AD9"/>
    <w:rsid w:val="00A428E7"/>
    <w:rsid w:val="00A70427"/>
    <w:rsid w:val="00A75B1A"/>
    <w:rsid w:val="00A912CC"/>
    <w:rsid w:val="00A926ED"/>
    <w:rsid w:val="00A96728"/>
    <w:rsid w:val="00AA29BA"/>
    <w:rsid w:val="00AA2CFD"/>
    <w:rsid w:val="00AA556B"/>
    <w:rsid w:val="00AB2BDE"/>
    <w:rsid w:val="00AB68C2"/>
    <w:rsid w:val="00AB776C"/>
    <w:rsid w:val="00AC1CD2"/>
    <w:rsid w:val="00AC646E"/>
    <w:rsid w:val="00AC74D7"/>
    <w:rsid w:val="00AF1AE2"/>
    <w:rsid w:val="00AF5CCF"/>
    <w:rsid w:val="00B01D3B"/>
    <w:rsid w:val="00B1313A"/>
    <w:rsid w:val="00B152F1"/>
    <w:rsid w:val="00B35BB4"/>
    <w:rsid w:val="00B47F69"/>
    <w:rsid w:val="00B75AE5"/>
    <w:rsid w:val="00B75E47"/>
    <w:rsid w:val="00B7690A"/>
    <w:rsid w:val="00B8276D"/>
    <w:rsid w:val="00B9645D"/>
    <w:rsid w:val="00BA0FB0"/>
    <w:rsid w:val="00BA4F4C"/>
    <w:rsid w:val="00BC7AC7"/>
    <w:rsid w:val="00BE6862"/>
    <w:rsid w:val="00C17EF0"/>
    <w:rsid w:val="00C30273"/>
    <w:rsid w:val="00C33E69"/>
    <w:rsid w:val="00C3477C"/>
    <w:rsid w:val="00C36005"/>
    <w:rsid w:val="00C3642B"/>
    <w:rsid w:val="00C475EC"/>
    <w:rsid w:val="00C47AA2"/>
    <w:rsid w:val="00C500DB"/>
    <w:rsid w:val="00C511FF"/>
    <w:rsid w:val="00C531A8"/>
    <w:rsid w:val="00C7624E"/>
    <w:rsid w:val="00C81BF9"/>
    <w:rsid w:val="00C926B7"/>
    <w:rsid w:val="00CA53D6"/>
    <w:rsid w:val="00CA60D1"/>
    <w:rsid w:val="00CB5350"/>
    <w:rsid w:val="00CD5BE9"/>
    <w:rsid w:val="00CE0F0F"/>
    <w:rsid w:val="00CE32C0"/>
    <w:rsid w:val="00CE64FA"/>
    <w:rsid w:val="00CE7CF5"/>
    <w:rsid w:val="00CE7D40"/>
    <w:rsid w:val="00D12278"/>
    <w:rsid w:val="00D218AA"/>
    <w:rsid w:val="00D421B0"/>
    <w:rsid w:val="00D569D7"/>
    <w:rsid w:val="00D84830"/>
    <w:rsid w:val="00D91241"/>
    <w:rsid w:val="00D92E39"/>
    <w:rsid w:val="00DA3981"/>
    <w:rsid w:val="00DC4C3B"/>
    <w:rsid w:val="00DC691A"/>
    <w:rsid w:val="00DD3FD4"/>
    <w:rsid w:val="00DD50D4"/>
    <w:rsid w:val="00DF35E6"/>
    <w:rsid w:val="00DF4113"/>
    <w:rsid w:val="00E200DC"/>
    <w:rsid w:val="00E219FE"/>
    <w:rsid w:val="00E2378C"/>
    <w:rsid w:val="00E349E3"/>
    <w:rsid w:val="00E43B82"/>
    <w:rsid w:val="00E444F5"/>
    <w:rsid w:val="00E50E0A"/>
    <w:rsid w:val="00E72795"/>
    <w:rsid w:val="00E75BE2"/>
    <w:rsid w:val="00E75FB6"/>
    <w:rsid w:val="00E80D9C"/>
    <w:rsid w:val="00E847BE"/>
    <w:rsid w:val="00E866B1"/>
    <w:rsid w:val="00E92585"/>
    <w:rsid w:val="00E93563"/>
    <w:rsid w:val="00E948FA"/>
    <w:rsid w:val="00E96165"/>
    <w:rsid w:val="00EA201A"/>
    <w:rsid w:val="00EA2E1D"/>
    <w:rsid w:val="00EA3AEA"/>
    <w:rsid w:val="00EB5AE9"/>
    <w:rsid w:val="00EC6FB2"/>
    <w:rsid w:val="00ED6E4C"/>
    <w:rsid w:val="00ED6ED6"/>
    <w:rsid w:val="00EE1DAE"/>
    <w:rsid w:val="00F06980"/>
    <w:rsid w:val="00F16EBE"/>
    <w:rsid w:val="00F21B7D"/>
    <w:rsid w:val="00F33AC1"/>
    <w:rsid w:val="00F3553D"/>
    <w:rsid w:val="00F40D95"/>
    <w:rsid w:val="00F47FAE"/>
    <w:rsid w:val="00F60061"/>
    <w:rsid w:val="00F64373"/>
    <w:rsid w:val="00F70816"/>
    <w:rsid w:val="00F71C9E"/>
    <w:rsid w:val="00F77DBF"/>
    <w:rsid w:val="00F8076E"/>
    <w:rsid w:val="00FE0B13"/>
    <w:rsid w:val="00FF0CE9"/>
    <w:rsid w:val="00FF1E87"/>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4F3CE4E"/>
  <w15:chartTrackingRefBased/>
  <w15:docId w15:val="{B7A7C376-287F-482F-BF90-1E32FC198FB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US"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Pr>
      <w:lang w:val="en-GB"/>
    </w:rPr>
  </w:style>
  <w:style w:type="paragraph" w:styleId="Heading1">
    <w:name w:val="heading 1"/>
    <w:basedOn w:val="Normal"/>
    <w:next w:val="Normal"/>
    <w:link w:val="Heading1Char"/>
    <w:uiPriority w:val="9"/>
    <w:qFormat/>
    <w:rsid w:val="002E4E9D"/>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2E4E9D"/>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unhideWhenUsed/>
    <w:qFormat/>
    <w:rsid w:val="002E4E9D"/>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2E4E9D"/>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2E4E9D"/>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2E4E9D"/>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2E4E9D"/>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2E4E9D"/>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2E4E9D"/>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2E4E9D"/>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2E4E9D"/>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rsid w:val="002E4E9D"/>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2E4E9D"/>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2E4E9D"/>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2E4E9D"/>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2E4E9D"/>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2E4E9D"/>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2E4E9D"/>
    <w:rPr>
      <w:rFonts w:eastAsiaTheme="majorEastAsia" w:cstheme="majorBidi"/>
      <w:color w:val="272727" w:themeColor="text1" w:themeTint="D8"/>
    </w:rPr>
  </w:style>
  <w:style w:type="paragraph" w:styleId="Title">
    <w:name w:val="Title"/>
    <w:basedOn w:val="Normal"/>
    <w:next w:val="Normal"/>
    <w:link w:val="TitleChar"/>
    <w:uiPriority w:val="10"/>
    <w:qFormat/>
    <w:rsid w:val="002E4E9D"/>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2E4E9D"/>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2E4E9D"/>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2E4E9D"/>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2E4E9D"/>
    <w:pPr>
      <w:spacing w:before="160"/>
      <w:jc w:val="center"/>
    </w:pPr>
    <w:rPr>
      <w:i/>
      <w:iCs/>
      <w:color w:val="404040" w:themeColor="text1" w:themeTint="BF"/>
    </w:rPr>
  </w:style>
  <w:style w:type="character" w:customStyle="1" w:styleId="QuoteChar">
    <w:name w:val="Quote Char"/>
    <w:basedOn w:val="DefaultParagraphFont"/>
    <w:link w:val="Quote"/>
    <w:uiPriority w:val="29"/>
    <w:rsid w:val="002E4E9D"/>
    <w:rPr>
      <w:i/>
      <w:iCs/>
      <w:color w:val="404040" w:themeColor="text1" w:themeTint="BF"/>
    </w:rPr>
  </w:style>
  <w:style w:type="paragraph" w:styleId="ListParagraph">
    <w:name w:val="List Paragraph"/>
    <w:basedOn w:val="Normal"/>
    <w:uiPriority w:val="34"/>
    <w:qFormat/>
    <w:rsid w:val="002E4E9D"/>
    <w:pPr>
      <w:ind w:left="720"/>
      <w:contextualSpacing/>
    </w:pPr>
  </w:style>
  <w:style w:type="character" w:styleId="IntenseEmphasis">
    <w:name w:val="Intense Emphasis"/>
    <w:basedOn w:val="DefaultParagraphFont"/>
    <w:uiPriority w:val="21"/>
    <w:qFormat/>
    <w:rsid w:val="002E4E9D"/>
    <w:rPr>
      <w:i/>
      <w:iCs/>
      <w:color w:val="0F4761" w:themeColor="accent1" w:themeShade="BF"/>
    </w:rPr>
  </w:style>
  <w:style w:type="paragraph" w:styleId="IntenseQuote">
    <w:name w:val="Intense Quote"/>
    <w:basedOn w:val="Normal"/>
    <w:next w:val="Normal"/>
    <w:link w:val="IntenseQuoteChar"/>
    <w:uiPriority w:val="30"/>
    <w:qFormat/>
    <w:rsid w:val="002E4E9D"/>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2E4E9D"/>
    <w:rPr>
      <w:i/>
      <w:iCs/>
      <w:color w:val="0F4761" w:themeColor="accent1" w:themeShade="BF"/>
    </w:rPr>
  </w:style>
  <w:style w:type="character" w:styleId="IntenseReference">
    <w:name w:val="Intense Reference"/>
    <w:basedOn w:val="DefaultParagraphFont"/>
    <w:uiPriority w:val="32"/>
    <w:qFormat/>
    <w:rsid w:val="002E4E9D"/>
    <w:rPr>
      <w:b/>
      <w:bCs/>
      <w:smallCaps/>
      <w:color w:val="0F4761" w:themeColor="accent1" w:themeShade="BF"/>
      <w:spacing w:val="5"/>
    </w:rPr>
  </w:style>
  <w:style w:type="paragraph" w:styleId="NormalWeb">
    <w:name w:val="Normal (Web)"/>
    <w:basedOn w:val="Normal"/>
    <w:uiPriority w:val="99"/>
    <w:semiHidden/>
    <w:unhideWhenUsed/>
    <w:rsid w:val="00635D85"/>
    <w:rPr>
      <w:rFonts w:ascii="Times New Roman" w:hAnsi="Times New Roman" w:cs="Times New Roman"/>
    </w:rPr>
  </w:style>
  <w:style w:type="character" w:styleId="Hyperlink">
    <w:name w:val="Hyperlink"/>
    <w:basedOn w:val="DefaultParagraphFont"/>
    <w:uiPriority w:val="99"/>
    <w:unhideWhenUsed/>
    <w:rsid w:val="00635D85"/>
    <w:rPr>
      <w:color w:val="467886" w:themeColor="hyperlink"/>
      <w:u w:val="single"/>
    </w:rPr>
  </w:style>
  <w:style w:type="character" w:styleId="UnresolvedMention">
    <w:name w:val="Unresolved Mention"/>
    <w:basedOn w:val="DefaultParagraphFont"/>
    <w:uiPriority w:val="99"/>
    <w:semiHidden/>
    <w:unhideWhenUsed/>
    <w:rsid w:val="00635D85"/>
    <w:rPr>
      <w:color w:val="605E5C"/>
      <w:shd w:val="clear" w:color="auto" w:fill="E1DFDD"/>
    </w:rPr>
  </w:style>
  <w:style w:type="character" w:styleId="FollowedHyperlink">
    <w:name w:val="FollowedHyperlink"/>
    <w:basedOn w:val="DefaultParagraphFont"/>
    <w:uiPriority w:val="99"/>
    <w:semiHidden/>
    <w:unhideWhenUsed/>
    <w:rsid w:val="00635D85"/>
    <w:rPr>
      <w:color w:val="96607D" w:themeColor="followedHyperlink"/>
      <w:u w:val="single"/>
    </w:rPr>
  </w:style>
  <w:style w:type="paragraph" w:styleId="Header">
    <w:name w:val="header"/>
    <w:basedOn w:val="Normal"/>
    <w:link w:val="HeaderChar"/>
    <w:uiPriority w:val="99"/>
    <w:unhideWhenUsed/>
    <w:rsid w:val="001974C8"/>
    <w:pPr>
      <w:tabs>
        <w:tab w:val="center" w:pos="4513"/>
        <w:tab w:val="right" w:pos="9026"/>
      </w:tabs>
      <w:spacing w:after="0" w:line="240" w:lineRule="auto"/>
    </w:pPr>
  </w:style>
  <w:style w:type="character" w:customStyle="1" w:styleId="HeaderChar">
    <w:name w:val="Header Char"/>
    <w:basedOn w:val="DefaultParagraphFont"/>
    <w:link w:val="Header"/>
    <w:uiPriority w:val="99"/>
    <w:rsid w:val="001974C8"/>
  </w:style>
  <w:style w:type="paragraph" w:styleId="Footer">
    <w:name w:val="footer"/>
    <w:basedOn w:val="Normal"/>
    <w:link w:val="FooterChar"/>
    <w:uiPriority w:val="99"/>
    <w:unhideWhenUsed/>
    <w:rsid w:val="001974C8"/>
    <w:pPr>
      <w:tabs>
        <w:tab w:val="center" w:pos="4513"/>
        <w:tab w:val="right" w:pos="9026"/>
      </w:tabs>
      <w:spacing w:after="0" w:line="240" w:lineRule="auto"/>
    </w:pPr>
  </w:style>
  <w:style w:type="character" w:customStyle="1" w:styleId="FooterChar">
    <w:name w:val="Footer Char"/>
    <w:basedOn w:val="DefaultParagraphFont"/>
    <w:link w:val="Footer"/>
    <w:uiPriority w:val="99"/>
    <w:rsid w:val="001974C8"/>
  </w:style>
  <w:style w:type="character" w:styleId="CommentReference">
    <w:name w:val="annotation reference"/>
    <w:basedOn w:val="DefaultParagraphFont"/>
    <w:uiPriority w:val="99"/>
    <w:semiHidden/>
    <w:unhideWhenUsed/>
    <w:rsid w:val="009325C8"/>
    <w:rPr>
      <w:sz w:val="16"/>
      <w:szCs w:val="16"/>
    </w:rPr>
  </w:style>
  <w:style w:type="paragraph" w:styleId="CommentText">
    <w:name w:val="annotation text"/>
    <w:basedOn w:val="Normal"/>
    <w:link w:val="CommentTextChar"/>
    <w:uiPriority w:val="99"/>
    <w:unhideWhenUsed/>
    <w:rsid w:val="009325C8"/>
    <w:pPr>
      <w:spacing w:line="240" w:lineRule="auto"/>
    </w:pPr>
    <w:rPr>
      <w:sz w:val="20"/>
      <w:szCs w:val="20"/>
    </w:rPr>
  </w:style>
  <w:style w:type="character" w:customStyle="1" w:styleId="CommentTextChar">
    <w:name w:val="Comment Text Char"/>
    <w:basedOn w:val="DefaultParagraphFont"/>
    <w:link w:val="CommentText"/>
    <w:uiPriority w:val="99"/>
    <w:rsid w:val="009325C8"/>
    <w:rPr>
      <w:sz w:val="20"/>
      <w:szCs w:val="20"/>
      <w:lang w:val="en-GB"/>
    </w:rPr>
  </w:style>
  <w:style w:type="paragraph" w:styleId="CommentSubject">
    <w:name w:val="annotation subject"/>
    <w:basedOn w:val="CommentText"/>
    <w:next w:val="CommentText"/>
    <w:link w:val="CommentSubjectChar"/>
    <w:uiPriority w:val="99"/>
    <w:semiHidden/>
    <w:unhideWhenUsed/>
    <w:rsid w:val="009325C8"/>
    <w:rPr>
      <w:b/>
      <w:bCs/>
    </w:rPr>
  </w:style>
  <w:style w:type="character" w:customStyle="1" w:styleId="CommentSubjectChar">
    <w:name w:val="Comment Subject Char"/>
    <w:basedOn w:val="CommentTextChar"/>
    <w:link w:val="CommentSubject"/>
    <w:uiPriority w:val="99"/>
    <w:semiHidden/>
    <w:rsid w:val="009325C8"/>
    <w:rPr>
      <w:b/>
      <w:bCs/>
      <w:sz w:val="20"/>
      <w:szCs w:val="20"/>
      <w:lang w:val="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13" Type="http://schemas.openxmlformats.org/officeDocument/2006/relationships/hyperlink" Target="https://www.gov.uk/government/publications/independent-investigation-of-the-nhs-in-england" TargetMode="External"/><Relationship Id="rId18" Type="http://schemas.openxmlformats.org/officeDocument/2006/relationships/hyperlink" Target="https://doi.org/10.1136/bmj.n2428" TargetMode="External"/><Relationship Id="rId26" Type="http://schemas.openxmlformats.org/officeDocument/2006/relationships/hyperlink" Target="https://www.england.nhs.uk/statistics/statistical-work-areas/diagnostics-waiting-times-and-activity/?utm_source=chatgpt.com" TargetMode="External"/><Relationship Id="rId39" Type="http://schemas.openxmlformats.org/officeDocument/2006/relationships/hyperlink" Target="https://www.nuffieldtrust.org.uk/resource/how-will-waiting-times-in-community-health-services-affect-the-shift-towards-neighbourhood-health" TargetMode="External"/><Relationship Id="rId21" Type="http://schemas.openxmlformats.org/officeDocument/2006/relationships/hyperlink" Target="https://www.nao.org.uk/reports/nhs-englands-management-of-elective-care-transformation-programmes/" TargetMode="External"/><Relationship Id="rId34" Type="http://schemas.openxmlformats.org/officeDocument/2006/relationships/hyperlink" Target="https://www.england.nhs.uk/about/equality/equality-hub/national-healthcare-inequalities-improvement-programme/core20plus5" TargetMode="External"/><Relationship Id="rId42" Type="http://schemas.openxmlformats.org/officeDocument/2006/relationships/hyperlink" Target="https://doi.org/10.1016/j.healthpol.2024.105101" TargetMode="External"/><Relationship Id="rId47" Type="http://schemas.openxmlformats.org/officeDocument/2006/relationships/hyperlink" Target="https://www.rcr.ac.uk/news-policy/policy-reports-initiatives/clinical-radiology-census-reports/" TargetMode="External"/><Relationship Id="rId50" Type="http://schemas.openxmlformats.org/officeDocument/2006/relationships/fontTable" Target="fontTable.xml"/><Relationship Id="rId7" Type="http://schemas.openxmlformats.org/officeDocument/2006/relationships/endnotes" Target="endnotes.xml"/><Relationship Id="rId2" Type="http://schemas.openxmlformats.org/officeDocument/2006/relationships/numbering" Target="numbering.xml"/><Relationship Id="rId16" Type="http://schemas.openxmlformats.org/officeDocument/2006/relationships/hyperlink" Target="https://irp-cdn.multiscreensite.com/6e5efd05/files/uploaded/Leading%20Change.pdf" TargetMode="External"/><Relationship Id="rId29" Type="http://schemas.openxmlformats.org/officeDocument/2006/relationships/hyperlink" Target="https://www.england.nhs.uk/wp-content/uploads/2022/04/B0418_Diagnostic-imaging-network-workforce-guidance_April-2022.pdf" TargetMode="External"/><Relationship Id="rId11" Type="http://schemas.openxmlformats.org/officeDocument/2006/relationships/hyperlink" Target="https://publications.parliament.uk/pa/cm5901/cmselect/cmpubacc/820/report.html" TargetMode="External"/><Relationship Id="rId24" Type="http://schemas.openxmlformats.org/officeDocument/2006/relationships/hyperlink" Target="https://digital.nhs.uk/data-and-information/data-collections-and-data-sets/data-collections/diagnostics-waiting-times-and-activity-dm01" TargetMode="External"/><Relationship Id="rId32" Type="http://schemas.openxmlformats.org/officeDocument/2006/relationships/hyperlink" Target="https://www.england.nhs.uk/publication/net-zero-travel-and-transport-strategy/" TargetMode="External"/><Relationship Id="rId37" Type="http://schemas.openxmlformats.org/officeDocument/2006/relationships/hyperlink" Target="https://www.england.nhs.uk/long-read/quality-strategy-december-2024/" TargetMode="External"/><Relationship Id="rId40" Type="http://schemas.openxmlformats.org/officeDocument/2006/relationships/hyperlink" Target="https://www.ons.gov.uk/peoplepopulationandcommunity/populationandmigration/populationprojections/articles/ukpopulationprojectionexplorer/2025-01-28" TargetMode="External"/><Relationship Id="rId45" Type="http://schemas.openxmlformats.org/officeDocument/2006/relationships/hyperlink" Target="https://www.health.org.uk/features-and-opinion/features/the-nhs-waiting-list-when-will-it-peak" TargetMode="External"/><Relationship Id="rId5" Type="http://schemas.openxmlformats.org/officeDocument/2006/relationships/webSettings" Target="webSettings.xml"/><Relationship Id="rId15" Type="http://schemas.openxmlformats.org/officeDocument/2006/relationships/hyperlink" Target="https://www.ipem.ac.uk/ipem-workforce-resources/workforce-intelligence/diagnostic-radiology-radiation-protection-resources/2024-diagnostic-radiology-and-radiation-protection-workforce-census-full-report" TargetMode="External"/><Relationship Id="rId23" Type="http://schemas.openxmlformats.org/officeDocument/2006/relationships/hyperlink" Target="https://thenhsalliance.org/resources/digital-transformation-in-the-nhs-a-reference-guide" TargetMode="External"/><Relationship Id="rId28" Type="http://schemas.openxmlformats.org/officeDocument/2006/relationships/hyperlink" Target="https://www.england.nhs.uk/coronavirus/publication/delivery-plan-for-tackling-the-covid-19-backlog-of-elective-care/" TargetMode="External"/><Relationship Id="rId36" Type="http://schemas.openxmlformats.org/officeDocument/2006/relationships/hyperlink" Target="https://www.england.nhs.uk/publication/community-diagnostic-centres/" TargetMode="External"/><Relationship Id="rId49" Type="http://schemas.openxmlformats.org/officeDocument/2006/relationships/footer" Target="footer1.xml"/><Relationship Id="rId10" Type="http://schemas.openxmlformats.org/officeDocument/2006/relationships/hyperlink" Target="https://www.cqc.org.uk/about-us/how-we-do-our-job/the-5-key-questions-we-ask" TargetMode="External"/><Relationship Id="rId19" Type="http://schemas.openxmlformats.org/officeDocument/2006/relationships/hyperlink" Target="https://bjgp.org/content/71/713/534" TargetMode="External"/><Relationship Id="rId31" Type="http://schemas.openxmlformats.org/officeDocument/2006/relationships/hyperlink" Target="https://www.england.nhs.uk/long-read/interoperability/" TargetMode="External"/><Relationship Id="rId44" Type="http://schemas.openxmlformats.org/officeDocument/2006/relationships/hyperlink" Target="https://www.cqc.org.uk/guidance-regulation/providers/assessment/single-assessment-framework/safe" TargetMode="External"/><Relationship Id="rId4" Type="http://schemas.openxmlformats.org/officeDocument/2006/relationships/settings" Target="settings.xml"/><Relationship Id="rId9" Type="http://schemas.openxmlformats.org/officeDocument/2006/relationships/hyperlink" Target="https://www.bma.org.uk/advice-and-support/nhs-delivery-and-workforce/pressures/nhs-diagnostics-data-analysis" TargetMode="External"/><Relationship Id="rId14" Type="http://schemas.openxmlformats.org/officeDocument/2006/relationships/hyperlink" Target="https://www.healthwatch.co.uk/report/2024-08-28/local-diagnosis-learning-lessons-community-diagnostic-centres" TargetMode="External"/><Relationship Id="rId22" Type="http://schemas.openxmlformats.org/officeDocument/2006/relationships/hyperlink" Target="https://sw.leadershipacademy.nhs.uk/wp-content/uploads/sites/33/2022/07/nhs-long-term-plan-version-1.2.pdf" TargetMode="External"/><Relationship Id="rId27" Type="http://schemas.openxmlformats.org/officeDocument/2006/relationships/hyperlink" Target="https://www.england.nhs.uk/wp-content/uploads/2020/10/BM2025Pu-item-5-diagnostics-recovery-and-renewal.pdf" TargetMode="External"/><Relationship Id="rId30" Type="http://schemas.openxmlformats.org/officeDocument/2006/relationships/hyperlink" Target="https://www.england.nhs.uk/patient-safety/patient-safety-insight/incident-response-framework/" TargetMode="External"/><Relationship Id="rId35" Type="http://schemas.openxmlformats.org/officeDocument/2006/relationships/hyperlink" Target="https://digital.nhs.uk/services/interoperability-toolkit" TargetMode="External"/><Relationship Id="rId43" Type="http://schemas.openxmlformats.org/officeDocument/2006/relationships/hyperlink" Target="https://www.sor.org/news/government-nhs/sor-responds-to-government-plans-to-increase-cdc-c" TargetMode="External"/><Relationship Id="rId48" Type="http://schemas.openxmlformats.org/officeDocument/2006/relationships/hyperlink" Target="https://www.ncbi.nlm.nih.gov/pmc/articles/PMC10844947/" TargetMode="External"/><Relationship Id="rId8" Type="http://schemas.openxmlformats.org/officeDocument/2006/relationships/image" Target="media/image1.png"/><Relationship Id="rId51" Type="http://schemas.openxmlformats.org/officeDocument/2006/relationships/theme" Target="theme/theme1.xml"/><Relationship Id="rId3" Type="http://schemas.openxmlformats.org/officeDocument/2006/relationships/styles" Target="styles.xml"/><Relationship Id="rId12" Type="http://schemas.openxmlformats.org/officeDocument/2006/relationships/hyperlink" Target="https://www.gov.uk/government/publications/elective-recovery-taskforce-implementation-plan/elective-recovery-taskforce-implementation-plan" TargetMode="External"/><Relationship Id="rId17" Type="http://schemas.openxmlformats.org/officeDocument/2006/relationships/hyperlink" Target="https://journals.sagepub.com/doi/10.1177/001872674700100103" TargetMode="External"/><Relationship Id="rId25" Type="http://schemas.openxmlformats.org/officeDocument/2006/relationships/hyperlink" Target="https://www.nhselect.nhs.uk/uploads/files/1/2_CDC-EBD-Wave-I_National-Report_2024.pdf" TargetMode="External"/><Relationship Id="rId33" Type="http://schemas.openxmlformats.org/officeDocument/2006/relationships/hyperlink" Target="https://www.england.nhs.uk/publication/nhs-long-term-workforce-plan" TargetMode="External"/><Relationship Id="rId38" Type="http://schemas.openxmlformats.org/officeDocument/2006/relationships/hyperlink" Target="https://www.nuffieldtrust.org.uk/resource/diagnostic-test-waiting-times" TargetMode="External"/><Relationship Id="rId46" Type="http://schemas.openxmlformats.org/officeDocument/2006/relationships/hyperlink" Target="https://www.kingsfund.org.uk/insight-and-analysis/blogs/elective-recovery-targets-achievable-evidence" TargetMode="External"/><Relationship Id="rId20" Type="http://schemas.openxmlformats.org/officeDocument/2006/relationships/hyperlink" Target="https://doi.org/10.3399/bjgp21x717749" TargetMode="External"/><Relationship Id="rId41" Type="http://schemas.openxmlformats.org/officeDocument/2006/relationships/hyperlink" Target="https://www.ageuk.org.uk/siteassets/documents/reports-and-publications/reports-and-briefings/health--wellbeing/state-of-health-and-care/state-of-health-care-of-older-people-in-england-2025.pdf" TargetMode="External"/><Relationship Id="rId1" Type="http://schemas.openxmlformats.org/officeDocument/2006/relationships/customXml" Target="../customXml/item1.xml"/><Relationship Id="rId6" Type="http://schemas.openxmlformats.org/officeDocument/2006/relationships/footnotes" Target="footnot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7654DE62-0D3A-45CC-B5A9-2A7B4CC85DF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TotalTime>
  <Pages>22</Pages>
  <Words>6717</Words>
  <Characters>38292</Characters>
  <Application>Microsoft Office Word</Application>
  <DocSecurity>0</DocSecurity>
  <Lines>319</Lines>
  <Paragraphs>89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44920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Razvan-Constantin Manolescu</dc:creator>
  <cp:keywords/>
  <dc:description/>
  <cp:lastModifiedBy>Tami Biban</cp:lastModifiedBy>
  <cp:revision>3</cp:revision>
  <dcterms:created xsi:type="dcterms:W3CDTF">2026-05-08T11:38:00Z</dcterms:created>
  <dcterms:modified xsi:type="dcterms:W3CDTF">2026-05-08T11:40:00Z</dcterms:modified>
</cp:coreProperties>
</file>