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A31FCC" w14:textId="77777777" w:rsidR="00423DE0" w:rsidRDefault="00423DE0">
      <w:pPr>
        <w:pStyle w:val="p1"/>
        <w:rPr>
          <w:rStyle w:val="s1"/>
          <w:b/>
          <w:bCs/>
          <w:sz w:val="28"/>
          <w:szCs w:val="28"/>
        </w:rPr>
      </w:pPr>
    </w:p>
    <w:p w14:paraId="5ECDAB08" w14:textId="77777777" w:rsidR="00423DE0" w:rsidRDefault="00423DE0">
      <w:pPr>
        <w:pStyle w:val="p1"/>
        <w:rPr>
          <w:rStyle w:val="s1"/>
          <w:b/>
          <w:bCs/>
          <w:sz w:val="28"/>
          <w:szCs w:val="28"/>
        </w:rPr>
      </w:pPr>
    </w:p>
    <w:p w14:paraId="60D74F48" w14:textId="77777777" w:rsidR="00423DE0" w:rsidRDefault="00423DE0">
      <w:pPr>
        <w:pStyle w:val="p1"/>
        <w:rPr>
          <w:rStyle w:val="s1"/>
          <w:b/>
          <w:bCs/>
          <w:sz w:val="28"/>
          <w:szCs w:val="28"/>
        </w:rPr>
      </w:pPr>
    </w:p>
    <w:p w14:paraId="66552F8C" w14:textId="77777777" w:rsidR="00423DE0" w:rsidRDefault="00423DE0">
      <w:pPr>
        <w:pStyle w:val="p1"/>
        <w:rPr>
          <w:rStyle w:val="s1"/>
          <w:b/>
          <w:bCs/>
          <w:sz w:val="28"/>
          <w:szCs w:val="28"/>
        </w:rPr>
      </w:pPr>
    </w:p>
    <w:p w14:paraId="49F74A44" w14:textId="77777777" w:rsidR="00423DE0" w:rsidRDefault="00423DE0">
      <w:pPr>
        <w:pStyle w:val="p1"/>
        <w:rPr>
          <w:rStyle w:val="s1"/>
          <w:b/>
          <w:bCs/>
          <w:sz w:val="28"/>
          <w:szCs w:val="28"/>
        </w:rPr>
      </w:pPr>
    </w:p>
    <w:p w14:paraId="3B84C29D" w14:textId="77777777" w:rsidR="00423DE0" w:rsidRDefault="00423DE0">
      <w:pPr>
        <w:pStyle w:val="p1"/>
        <w:rPr>
          <w:rStyle w:val="s1"/>
          <w:b/>
          <w:bCs/>
          <w:sz w:val="28"/>
          <w:szCs w:val="28"/>
        </w:rPr>
      </w:pPr>
    </w:p>
    <w:p w14:paraId="58D3E3CA" w14:textId="77777777" w:rsidR="00423DE0" w:rsidRDefault="00423DE0">
      <w:pPr>
        <w:pStyle w:val="p1"/>
        <w:rPr>
          <w:rStyle w:val="s1"/>
          <w:b/>
          <w:bCs/>
          <w:sz w:val="28"/>
          <w:szCs w:val="28"/>
        </w:rPr>
      </w:pPr>
    </w:p>
    <w:p w14:paraId="6BA6CADC" w14:textId="77777777" w:rsidR="00423DE0" w:rsidRDefault="00423DE0">
      <w:pPr>
        <w:pStyle w:val="p1"/>
        <w:rPr>
          <w:rStyle w:val="s1"/>
          <w:b/>
          <w:bCs/>
          <w:sz w:val="28"/>
          <w:szCs w:val="28"/>
        </w:rPr>
      </w:pPr>
    </w:p>
    <w:p w14:paraId="277B4B1F" w14:textId="77777777" w:rsidR="00423DE0" w:rsidRDefault="00423DE0">
      <w:pPr>
        <w:pStyle w:val="p1"/>
        <w:rPr>
          <w:rStyle w:val="s1"/>
          <w:b/>
          <w:bCs/>
          <w:sz w:val="28"/>
          <w:szCs w:val="28"/>
        </w:rPr>
      </w:pPr>
    </w:p>
    <w:p w14:paraId="034D8A50" w14:textId="77777777" w:rsidR="00423DE0" w:rsidRDefault="00423DE0">
      <w:pPr>
        <w:pStyle w:val="p1"/>
        <w:rPr>
          <w:rStyle w:val="s1"/>
          <w:b/>
          <w:bCs/>
          <w:sz w:val="28"/>
          <w:szCs w:val="28"/>
        </w:rPr>
      </w:pPr>
    </w:p>
    <w:p w14:paraId="69AC4D6D" w14:textId="77777777" w:rsidR="00423DE0" w:rsidRDefault="00423DE0">
      <w:pPr>
        <w:pStyle w:val="p1"/>
        <w:rPr>
          <w:rStyle w:val="s1"/>
          <w:b/>
          <w:bCs/>
          <w:sz w:val="28"/>
          <w:szCs w:val="28"/>
        </w:rPr>
      </w:pPr>
    </w:p>
    <w:p w14:paraId="2AB013A2" w14:textId="77777777" w:rsidR="00423DE0" w:rsidRDefault="00423DE0">
      <w:pPr>
        <w:pStyle w:val="p1"/>
        <w:rPr>
          <w:rStyle w:val="s1"/>
          <w:b/>
          <w:bCs/>
          <w:sz w:val="28"/>
          <w:szCs w:val="28"/>
        </w:rPr>
      </w:pPr>
    </w:p>
    <w:p w14:paraId="27905B29" w14:textId="77777777" w:rsidR="00423DE0" w:rsidRDefault="00423DE0">
      <w:pPr>
        <w:pStyle w:val="p1"/>
        <w:rPr>
          <w:rStyle w:val="s1"/>
          <w:b/>
          <w:bCs/>
          <w:sz w:val="28"/>
          <w:szCs w:val="28"/>
        </w:rPr>
      </w:pPr>
    </w:p>
    <w:p w14:paraId="45FA1424" w14:textId="77777777" w:rsidR="00423DE0" w:rsidRDefault="00423DE0">
      <w:pPr>
        <w:pStyle w:val="p1"/>
        <w:rPr>
          <w:rStyle w:val="s1"/>
          <w:b/>
          <w:bCs/>
          <w:sz w:val="28"/>
          <w:szCs w:val="28"/>
        </w:rPr>
      </w:pPr>
    </w:p>
    <w:p w14:paraId="06DD1C30" w14:textId="6805EA4A" w:rsidR="00C51DDE" w:rsidRPr="00DB1C8E" w:rsidRDefault="00C51DDE">
      <w:pPr>
        <w:pStyle w:val="p1"/>
        <w:rPr>
          <w:b/>
          <w:bCs/>
          <w:sz w:val="28"/>
          <w:szCs w:val="28"/>
        </w:rPr>
      </w:pPr>
      <w:r w:rsidRPr="00DB1C8E">
        <w:rPr>
          <w:rStyle w:val="s1"/>
          <w:b/>
          <w:bCs/>
          <w:sz w:val="28"/>
          <w:szCs w:val="28"/>
        </w:rPr>
        <w:t>Name: Humayra Choudhry</w:t>
      </w:r>
    </w:p>
    <w:p w14:paraId="6B8F18B4" w14:textId="77777777" w:rsidR="00C51DDE" w:rsidRPr="00DB1C8E" w:rsidRDefault="00C51DDE">
      <w:pPr>
        <w:pStyle w:val="p1"/>
        <w:rPr>
          <w:b/>
          <w:bCs/>
          <w:sz w:val="28"/>
          <w:szCs w:val="28"/>
        </w:rPr>
      </w:pPr>
      <w:r w:rsidRPr="00DB1C8E">
        <w:rPr>
          <w:rStyle w:val="s1"/>
          <w:b/>
          <w:bCs/>
          <w:sz w:val="28"/>
          <w:szCs w:val="28"/>
        </w:rPr>
        <w:t>Student number: 2427072</w:t>
      </w:r>
    </w:p>
    <w:p w14:paraId="6BB3A53A" w14:textId="77777777" w:rsidR="00C51DDE" w:rsidRPr="00DB1C8E" w:rsidRDefault="00C51DDE">
      <w:pPr>
        <w:pStyle w:val="p1"/>
        <w:rPr>
          <w:b/>
          <w:bCs/>
          <w:sz w:val="28"/>
          <w:szCs w:val="28"/>
        </w:rPr>
      </w:pPr>
      <w:r w:rsidRPr="00DB1C8E">
        <w:rPr>
          <w:rStyle w:val="s1"/>
          <w:b/>
          <w:bCs/>
          <w:sz w:val="28"/>
          <w:szCs w:val="28"/>
        </w:rPr>
        <w:t>Module code: LCHS4010 Phycological in Health &amp; Social Care</w:t>
      </w:r>
    </w:p>
    <w:p w14:paraId="65D69B3A" w14:textId="77777777" w:rsidR="00C51DDE" w:rsidRDefault="00C51DDE">
      <w:pPr>
        <w:pStyle w:val="p1"/>
        <w:rPr>
          <w:rStyle w:val="s1"/>
          <w:b/>
          <w:bCs/>
          <w:sz w:val="28"/>
          <w:szCs w:val="28"/>
        </w:rPr>
      </w:pPr>
      <w:r w:rsidRPr="00DB1C8E">
        <w:rPr>
          <w:rStyle w:val="s1"/>
          <w:b/>
          <w:bCs/>
          <w:sz w:val="28"/>
          <w:szCs w:val="28"/>
        </w:rPr>
        <w:t xml:space="preserve">Lecturer: </w:t>
      </w:r>
      <w:proofErr w:type="spellStart"/>
      <w:r w:rsidRPr="00DB1C8E">
        <w:rPr>
          <w:rStyle w:val="s1"/>
          <w:b/>
          <w:bCs/>
          <w:sz w:val="28"/>
          <w:szCs w:val="28"/>
        </w:rPr>
        <w:t>Prabiot</w:t>
      </w:r>
      <w:proofErr w:type="spellEnd"/>
      <w:r w:rsidRPr="00DB1C8E">
        <w:rPr>
          <w:rStyle w:val="s1"/>
          <w:b/>
          <w:bCs/>
          <w:sz w:val="28"/>
          <w:szCs w:val="28"/>
        </w:rPr>
        <w:t xml:space="preserve"> Kaur </w:t>
      </w:r>
      <w:proofErr w:type="spellStart"/>
      <w:r w:rsidRPr="00DB1C8E">
        <w:rPr>
          <w:rStyle w:val="s1"/>
          <w:b/>
          <w:bCs/>
          <w:sz w:val="28"/>
          <w:szCs w:val="28"/>
        </w:rPr>
        <w:t>Sahota</w:t>
      </w:r>
      <w:proofErr w:type="spellEnd"/>
    </w:p>
    <w:p w14:paraId="7672C182" w14:textId="77777777" w:rsidR="00423DE0" w:rsidRDefault="00423DE0">
      <w:pPr>
        <w:pStyle w:val="p1"/>
        <w:rPr>
          <w:rStyle w:val="s1"/>
          <w:b/>
          <w:bCs/>
          <w:sz w:val="28"/>
          <w:szCs w:val="28"/>
        </w:rPr>
      </w:pPr>
    </w:p>
    <w:p w14:paraId="7E8933BA" w14:textId="77777777" w:rsidR="00423DE0" w:rsidRDefault="00423DE0">
      <w:pPr>
        <w:pStyle w:val="p1"/>
        <w:rPr>
          <w:rStyle w:val="s1"/>
          <w:b/>
          <w:bCs/>
          <w:sz w:val="28"/>
          <w:szCs w:val="28"/>
        </w:rPr>
      </w:pPr>
    </w:p>
    <w:p w14:paraId="39BFFFA6" w14:textId="77777777" w:rsidR="00423DE0" w:rsidRDefault="00423DE0">
      <w:pPr>
        <w:pStyle w:val="p1"/>
        <w:rPr>
          <w:rStyle w:val="s1"/>
          <w:b/>
          <w:bCs/>
          <w:sz w:val="28"/>
          <w:szCs w:val="28"/>
        </w:rPr>
      </w:pPr>
    </w:p>
    <w:p w14:paraId="67543DE8" w14:textId="77777777" w:rsidR="00423DE0" w:rsidRDefault="00423DE0">
      <w:pPr>
        <w:pStyle w:val="p1"/>
        <w:rPr>
          <w:rStyle w:val="s1"/>
          <w:b/>
          <w:bCs/>
          <w:sz w:val="28"/>
          <w:szCs w:val="28"/>
        </w:rPr>
      </w:pPr>
    </w:p>
    <w:p w14:paraId="66545003" w14:textId="77777777" w:rsidR="00423DE0" w:rsidRDefault="00423DE0">
      <w:pPr>
        <w:pStyle w:val="p1"/>
        <w:rPr>
          <w:rStyle w:val="s1"/>
          <w:b/>
          <w:bCs/>
          <w:sz w:val="28"/>
          <w:szCs w:val="28"/>
        </w:rPr>
      </w:pPr>
    </w:p>
    <w:p w14:paraId="32924579" w14:textId="77777777" w:rsidR="00423DE0" w:rsidRDefault="00423DE0">
      <w:pPr>
        <w:pStyle w:val="p1"/>
        <w:rPr>
          <w:rStyle w:val="s1"/>
          <w:b/>
          <w:bCs/>
          <w:sz w:val="28"/>
          <w:szCs w:val="28"/>
        </w:rPr>
      </w:pPr>
    </w:p>
    <w:p w14:paraId="3C9CF297" w14:textId="77777777" w:rsidR="00423DE0" w:rsidRDefault="00423DE0">
      <w:pPr>
        <w:pStyle w:val="p1"/>
        <w:rPr>
          <w:rStyle w:val="s1"/>
          <w:b/>
          <w:bCs/>
          <w:sz w:val="28"/>
          <w:szCs w:val="28"/>
        </w:rPr>
      </w:pPr>
    </w:p>
    <w:p w14:paraId="3F38D044" w14:textId="77777777" w:rsidR="00423DE0" w:rsidRDefault="00423DE0">
      <w:pPr>
        <w:pStyle w:val="p1"/>
        <w:rPr>
          <w:rStyle w:val="s1"/>
          <w:b/>
          <w:bCs/>
          <w:sz w:val="28"/>
          <w:szCs w:val="28"/>
        </w:rPr>
      </w:pPr>
    </w:p>
    <w:p w14:paraId="24B44653" w14:textId="77777777" w:rsidR="00423DE0" w:rsidRPr="00DB1C8E" w:rsidRDefault="00423DE0">
      <w:pPr>
        <w:pStyle w:val="p1"/>
        <w:rPr>
          <w:b/>
          <w:bCs/>
          <w:sz w:val="28"/>
          <w:szCs w:val="28"/>
        </w:rPr>
      </w:pPr>
    </w:p>
    <w:p w14:paraId="750DF555" w14:textId="77777777" w:rsidR="00C51DDE" w:rsidRPr="00DB1C8E" w:rsidRDefault="00C51DDE" w:rsidP="00585E70">
      <w:pPr>
        <w:pStyle w:val="p1"/>
        <w:ind w:firstLine="720"/>
        <w:rPr>
          <w:b/>
          <w:bCs/>
          <w:sz w:val="28"/>
          <w:szCs w:val="28"/>
        </w:rPr>
      </w:pPr>
      <w:r w:rsidRPr="00DB1C8E">
        <w:rPr>
          <w:rStyle w:val="s1"/>
          <w:b/>
          <w:bCs/>
          <w:sz w:val="28"/>
          <w:szCs w:val="28"/>
        </w:rPr>
        <w:t>Impact of social media on the mental health of adolescents</w:t>
      </w:r>
    </w:p>
    <w:p w14:paraId="7B3696BA" w14:textId="77777777" w:rsidR="00C51DDE" w:rsidRPr="00DB1C8E" w:rsidRDefault="00C51DDE">
      <w:pPr>
        <w:rPr>
          <w:b/>
          <w:bCs/>
          <w:sz w:val="28"/>
          <w:szCs w:val="28"/>
        </w:rPr>
      </w:pPr>
    </w:p>
    <w:p w14:paraId="42180DCC" w14:textId="77777777" w:rsidR="00C51DDE" w:rsidRDefault="00C51DDE"/>
    <w:p w14:paraId="46E3DDF9" w14:textId="77777777" w:rsidR="00C51DDE" w:rsidRDefault="00C51DDE"/>
    <w:p w14:paraId="34F25888" w14:textId="77777777" w:rsidR="00C51DDE" w:rsidRDefault="00C51DDE"/>
    <w:p w14:paraId="096EF1F8" w14:textId="77777777" w:rsidR="00C51DDE" w:rsidRDefault="00C51DDE"/>
    <w:p w14:paraId="01EB16A8" w14:textId="77777777" w:rsidR="00C51DDE" w:rsidRDefault="00C51DDE"/>
    <w:p w14:paraId="0FA7BBCA" w14:textId="77777777" w:rsidR="00C51DDE" w:rsidRDefault="00C51DDE"/>
    <w:p w14:paraId="5ABC58C2" w14:textId="77777777" w:rsidR="00585E70" w:rsidRDefault="00585E70" w:rsidP="000A3582">
      <w:pPr>
        <w:pStyle w:val="p1"/>
        <w:spacing w:line="360" w:lineRule="auto"/>
        <w:rPr>
          <w:rStyle w:val="s1"/>
          <w:rFonts w:ascii="Arial" w:hAnsi="Arial" w:cs="Arial"/>
          <w:sz w:val="22"/>
          <w:szCs w:val="22"/>
        </w:rPr>
      </w:pPr>
    </w:p>
    <w:p w14:paraId="6A8E86E2" w14:textId="7CD03634" w:rsidR="00A95A77" w:rsidRPr="000A3582" w:rsidRDefault="00A95A77" w:rsidP="000A3582">
      <w:pPr>
        <w:pStyle w:val="p1"/>
        <w:spacing w:line="360" w:lineRule="auto"/>
        <w:rPr>
          <w:rFonts w:ascii="Arial" w:hAnsi="Arial" w:cs="Arial"/>
          <w:sz w:val="22"/>
          <w:szCs w:val="22"/>
        </w:rPr>
      </w:pPr>
      <w:r w:rsidRPr="000A3582">
        <w:rPr>
          <w:rStyle w:val="s1"/>
          <w:rFonts w:ascii="Arial" w:hAnsi="Arial" w:cs="Arial"/>
          <w:sz w:val="22"/>
          <w:szCs w:val="22"/>
        </w:rPr>
        <w:lastRenderedPageBreak/>
        <w:t>Social media has a profound effect on the mental health of adolescent teens. Adolescence is the stages of life that transitions from childhood into adulthood, from the ages of 10 to 19.</w:t>
      </w:r>
      <w:r w:rsidRPr="000A3582">
        <w:rPr>
          <w:rFonts w:ascii="Arial" w:hAnsi="Arial" w:cs="Arial"/>
          <w:sz w:val="22"/>
          <w:szCs w:val="22"/>
        </w:rPr>
        <w:t xml:space="preserve"> </w:t>
      </w:r>
      <w:r w:rsidRPr="000A3582">
        <w:rPr>
          <w:rStyle w:val="s1"/>
          <w:rFonts w:ascii="Arial" w:hAnsi="Arial" w:cs="Arial"/>
          <w:sz w:val="22"/>
          <w:szCs w:val="22"/>
        </w:rPr>
        <w:t>Such young adults face growth ranging from physiological to physical and cognitive (WHO,</w:t>
      </w:r>
      <w:r w:rsidRPr="000A3582">
        <w:rPr>
          <w:rFonts w:ascii="Arial" w:hAnsi="Arial" w:cs="Arial"/>
          <w:sz w:val="22"/>
          <w:szCs w:val="22"/>
        </w:rPr>
        <w:t xml:space="preserve"> </w:t>
      </w:r>
      <w:r w:rsidRPr="000A3582">
        <w:rPr>
          <w:rStyle w:val="s1"/>
          <w:rFonts w:ascii="Arial" w:hAnsi="Arial" w:cs="Arial"/>
          <w:sz w:val="22"/>
          <w:szCs w:val="22"/>
        </w:rPr>
        <w:t xml:space="preserve">2026). According to the World Health Organisation 2024, more than 1 in 10 adolescents displayed signs of social media problematic behaviour, and more girls were experiencing| higher levels of this at 13% in comparison to boys at 9%. Benefits of social media can be found if used in moderation, but its negative impact outweighs this. The mental health of young people is proven to deteriorate over time whilst using social media in its improper manner, such that a recent social media ban has been put in place for under 16s. This essay will also highlight Erik Erikson's psychological theory, as it directly focuses on adolescence as well as John </w:t>
      </w:r>
      <w:proofErr w:type="spellStart"/>
      <w:r w:rsidRPr="000A3582">
        <w:rPr>
          <w:rStyle w:val="s1"/>
          <w:rFonts w:ascii="Arial" w:hAnsi="Arial" w:cs="Arial"/>
          <w:sz w:val="22"/>
          <w:szCs w:val="22"/>
        </w:rPr>
        <w:t>Bowly's</w:t>
      </w:r>
      <w:proofErr w:type="spellEnd"/>
      <w:r w:rsidRPr="000A3582">
        <w:rPr>
          <w:rStyle w:val="s1"/>
          <w:rFonts w:ascii="Arial" w:hAnsi="Arial" w:cs="Arial"/>
          <w:sz w:val="22"/>
          <w:szCs w:val="22"/>
        </w:rPr>
        <w:t xml:space="preserve"> Attachment theory which explores the effect of underdeveloped relationships.</w:t>
      </w:r>
    </w:p>
    <w:p w14:paraId="32E6D017" w14:textId="77777777" w:rsidR="00A95A77" w:rsidRPr="000A3582" w:rsidRDefault="00A95A77" w:rsidP="000A3582">
      <w:pPr>
        <w:pStyle w:val="p1"/>
        <w:spacing w:line="360" w:lineRule="auto"/>
        <w:rPr>
          <w:rFonts w:ascii="Arial" w:hAnsi="Arial" w:cs="Arial"/>
          <w:sz w:val="22"/>
          <w:szCs w:val="22"/>
        </w:rPr>
      </w:pPr>
    </w:p>
    <w:p w14:paraId="699B7824" w14:textId="77777777" w:rsidR="00A95A77" w:rsidRPr="000A3582" w:rsidRDefault="00A95A77" w:rsidP="000A3582">
      <w:pPr>
        <w:pStyle w:val="p1"/>
        <w:spacing w:line="360" w:lineRule="auto"/>
        <w:rPr>
          <w:rFonts w:ascii="Arial" w:hAnsi="Arial" w:cs="Arial"/>
          <w:sz w:val="22"/>
          <w:szCs w:val="22"/>
        </w:rPr>
      </w:pPr>
    </w:p>
    <w:p w14:paraId="5B88C62F" w14:textId="07572956" w:rsidR="00C51DDE" w:rsidRPr="000A3582" w:rsidRDefault="00A95A77" w:rsidP="000A3582">
      <w:pPr>
        <w:pStyle w:val="p1"/>
        <w:spacing w:line="360" w:lineRule="auto"/>
        <w:rPr>
          <w:rStyle w:val="s1"/>
          <w:rFonts w:ascii="Arial" w:hAnsi="Arial" w:cs="Arial"/>
          <w:sz w:val="22"/>
          <w:szCs w:val="22"/>
        </w:rPr>
      </w:pPr>
      <w:r w:rsidRPr="000A3582">
        <w:rPr>
          <w:rStyle w:val="s1"/>
          <w:rFonts w:ascii="Arial" w:hAnsi="Arial" w:cs="Arial"/>
          <w:sz w:val="22"/>
          <w:szCs w:val="22"/>
        </w:rPr>
        <w:t>Social media plays an integral part in the lives of many young adults. It allows individuals to connect with society and interact with others without distance being a barrier. This became particularly evident during the COVID-19 pandemic, where adolescents would stay connected via social media platforms, and were even associated with lower levels of depressive</w:t>
      </w:r>
      <w:r w:rsidRPr="000A3582">
        <w:rPr>
          <w:rFonts w:ascii="Arial" w:hAnsi="Arial" w:cs="Arial"/>
          <w:sz w:val="22"/>
          <w:szCs w:val="22"/>
        </w:rPr>
        <w:t xml:space="preserve"> </w:t>
      </w:r>
      <w:r w:rsidRPr="000A3582">
        <w:rPr>
          <w:rStyle w:val="s1"/>
          <w:rFonts w:ascii="Arial" w:hAnsi="Arial" w:cs="Arial"/>
          <w:sz w:val="22"/>
          <w:szCs w:val="22"/>
        </w:rPr>
        <w:t>symptoms (</w:t>
      </w:r>
      <w:proofErr w:type="spellStart"/>
      <w:r w:rsidRPr="000A3582">
        <w:rPr>
          <w:rStyle w:val="s1"/>
          <w:rFonts w:ascii="Arial" w:hAnsi="Arial" w:cs="Arial"/>
          <w:sz w:val="22"/>
          <w:szCs w:val="22"/>
        </w:rPr>
        <w:t>Nagata</w:t>
      </w:r>
      <w:proofErr w:type="spellEnd"/>
      <w:r w:rsidRPr="000A3582">
        <w:rPr>
          <w:rStyle w:val="s1"/>
          <w:rFonts w:ascii="Arial" w:hAnsi="Arial" w:cs="Arial"/>
          <w:sz w:val="22"/>
          <w:szCs w:val="22"/>
        </w:rPr>
        <w:t xml:space="preserve"> et al.,2025). Furthermore, having a social media profile may also boost the self esteem of those youngsters with mental health issues, providing instant access to various social networks. For instance, a Parliament study, conducted in 2015 concluded that 99% of 13-18 year olds reported seeing posts which promoted phycological wellbeing. This However, the psychological harm of social media extends beyond emotional stress, linking to long-term mental health difficulties including depression and social isolation. Social media introduces significant risks in online abuse, with lasting effects stemming into adulthood as highlighted by Action for children, 2021. These risks include low self esteem, cyber bullying, unrealistic beauty expectations, and exposure to inappropriate content (Tariq Mari- </w:t>
      </w:r>
      <w:proofErr w:type="spellStart"/>
      <w:r w:rsidRPr="000A3582">
        <w:rPr>
          <w:rStyle w:val="s1"/>
          <w:rFonts w:ascii="Arial" w:hAnsi="Arial" w:cs="Arial"/>
          <w:sz w:val="22"/>
          <w:szCs w:val="22"/>
        </w:rPr>
        <w:t>zada</w:t>
      </w:r>
      <w:proofErr w:type="spellEnd"/>
      <w:r w:rsidRPr="000A3582">
        <w:rPr>
          <w:rStyle w:val="s1"/>
          <w:rFonts w:ascii="Arial" w:hAnsi="Arial" w:cs="Arial"/>
          <w:sz w:val="22"/>
          <w:szCs w:val="22"/>
        </w:rPr>
        <w:t xml:space="preserve"> et al, 2025).</w:t>
      </w:r>
    </w:p>
    <w:p w14:paraId="71A03695" w14:textId="77777777" w:rsidR="004B760D" w:rsidRPr="000A3582" w:rsidRDefault="004B760D" w:rsidP="000A3582">
      <w:pPr>
        <w:pStyle w:val="p1"/>
        <w:spacing w:line="360" w:lineRule="auto"/>
        <w:rPr>
          <w:rFonts w:ascii="Arial" w:hAnsi="Arial" w:cs="Arial"/>
          <w:sz w:val="22"/>
          <w:szCs w:val="22"/>
        </w:rPr>
      </w:pPr>
    </w:p>
    <w:p w14:paraId="49906BCC" w14:textId="77777777" w:rsidR="004B760D" w:rsidRPr="000A3582" w:rsidRDefault="004B760D" w:rsidP="000A3582">
      <w:pPr>
        <w:pStyle w:val="p1"/>
        <w:spacing w:line="360" w:lineRule="auto"/>
        <w:rPr>
          <w:rFonts w:ascii="Arial" w:hAnsi="Arial" w:cs="Arial"/>
          <w:sz w:val="22"/>
          <w:szCs w:val="22"/>
        </w:rPr>
      </w:pPr>
      <w:r w:rsidRPr="000A3582">
        <w:rPr>
          <w:rStyle w:val="s1"/>
          <w:rFonts w:ascii="Arial" w:hAnsi="Arial" w:cs="Arial"/>
          <w:sz w:val="22"/>
          <w:szCs w:val="22"/>
        </w:rPr>
        <w:t>Based on the statistic that 43% of cyber bullying occurs via social media, cyber bullying is more considered detrimental than traditional bullying due to its ability to leave behind a permanent digital footprint. Furthermore, according to the RSPH 2017, 7 in 10 admitted that they were facing cyberbullying and 70% of individuals reported an increase in anxiety over 25 years.</w:t>
      </w:r>
    </w:p>
    <w:p w14:paraId="44845A29" w14:textId="4F1D2382" w:rsidR="004B760D" w:rsidRPr="000A3582" w:rsidRDefault="004B760D" w:rsidP="000A3582">
      <w:pPr>
        <w:pStyle w:val="p1"/>
        <w:spacing w:line="360" w:lineRule="auto"/>
        <w:rPr>
          <w:rStyle w:val="s1"/>
          <w:rFonts w:ascii="Arial" w:hAnsi="Arial" w:cs="Arial"/>
          <w:sz w:val="22"/>
          <w:szCs w:val="22"/>
        </w:rPr>
      </w:pPr>
    </w:p>
    <w:p w14:paraId="0020D9FB" w14:textId="77777777" w:rsidR="004B760D" w:rsidRPr="000A3582" w:rsidRDefault="004B760D" w:rsidP="000A3582">
      <w:pPr>
        <w:pStyle w:val="p1"/>
        <w:spacing w:line="360" w:lineRule="auto"/>
        <w:rPr>
          <w:rFonts w:ascii="Arial" w:hAnsi="Arial" w:cs="Arial"/>
          <w:sz w:val="22"/>
          <w:szCs w:val="22"/>
        </w:rPr>
      </w:pPr>
    </w:p>
    <w:p w14:paraId="692BC478" w14:textId="2A717368" w:rsidR="004B760D" w:rsidRPr="000A3582" w:rsidRDefault="004B760D" w:rsidP="000A3582">
      <w:pPr>
        <w:pStyle w:val="p1"/>
        <w:spacing w:line="360" w:lineRule="auto"/>
        <w:rPr>
          <w:rStyle w:val="s1"/>
          <w:rFonts w:ascii="Arial" w:hAnsi="Arial" w:cs="Arial"/>
          <w:sz w:val="22"/>
          <w:szCs w:val="22"/>
        </w:rPr>
      </w:pPr>
      <w:r w:rsidRPr="000A3582">
        <w:rPr>
          <w:rStyle w:val="s1"/>
          <w:rFonts w:ascii="Arial" w:hAnsi="Arial" w:cs="Arial"/>
          <w:sz w:val="22"/>
          <w:szCs w:val="22"/>
        </w:rPr>
        <w:lastRenderedPageBreak/>
        <w:t xml:space="preserve">Erik </w:t>
      </w:r>
      <w:proofErr w:type="spellStart"/>
      <w:r w:rsidRPr="000A3582">
        <w:rPr>
          <w:rStyle w:val="s1"/>
          <w:rFonts w:ascii="Arial" w:hAnsi="Arial" w:cs="Arial"/>
          <w:sz w:val="22"/>
          <w:szCs w:val="22"/>
        </w:rPr>
        <w:t>Erikson</w:t>
      </w:r>
      <w:proofErr w:type="spellEnd"/>
      <w:r w:rsidRPr="000A3582">
        <w:rPr>
          <w:rStyle w:val="s1"/>
          <w:rFonts w:ascii="Arial" w:hAnsi="Arial" w:cs="Arial"/>
          <w:sz w:val="22"/>
          <w:szCs w:val="22"/>
        </w:rPr>
        <w:t xml:space="preserve"> argues that individuals face a series of crises in accordance with his psychosocial stages of development. These stages present challenges which one has to overcome, which range from infancy and progress to older adulthood. Whatever occurs in the first four stages, formats personality in adulthood. The teenage years, as highlighted in stage five, identity vs role confusion, are considered the most vital in establishing identity in early adulthood. If this stage is not developed completely, adolescents may develop confusion uncertainty, making it difficult to fit into society. At this stage, teens are attempting to piece together beliefs and goals in line with social and personal values. Adolescents are pressured to navigate between self identity and acceptance, making them vulnerable to turn towards addictive strategies to cope</w:t>
      </w:r>
      <w:r w:rsidR="003D7FC5" w:rsidRPr="000A3582">
        <w:rPr>
          <w:rStyle w:val="s1"/>
          <w:rFonts w:ascii="Arial" w:hAnsi="Arial" w:cs="Arial"/>
          <w:sz w:val="22"/>
          <w:szCs w:val="22"/>
        </w:rPr>
        <w:t xml:space="preserve"> </w:t>
      </w:r>
      <w:r w:rsidRPr="000A3582">
        <w:rPr>
          <w:rStyle w:val="s1"/>
          <w:rFonts w:ascii="Arial" w:hAnsi="Arial" w:cs="Arial"/>
          <w:sz w:val="22"/>
          <w:szCs w:val="22"/>
        </w:rPr>
        <w:t>(New Vision Phycology). If these challenges remain unsolved, adolescents will fall into hardships during adulthood.</w:t>
      </w:r>
    </w:p>
    <w:p w14:paraId="27BAA85F" w14:textId="77777777" w:rsidR="00AA57D0" w:rsidRPr="000A3582" w:rsidRDefault="00AA57D0" w:rsidP="000A3582">
      <w:pPr>
        <w:pStyle w:val="p1"/>
        <w:spacing w:line="360" w:lineRule="auto"/>
        <w:rPr>
          <w:rFonts w:ascii="Arial" w:hAnsi="Arial" w:cs="Arial"/>
          <w:sz w:val="22"/>
          <w:szCs w:val="22"/>
        </w:rPr>
      </w:pPr>
    </w:p>
    <w:p w14:paraId="45049379" w14:textId="0BCE2764" w:rsidR="00AA57D0" w:rsidRPr="000A3582" w:rsidRDefault="00AA57D0" w:rsidP="000A3582">
      <w:pPr>
        <w:pStyle w:val="p1"/>
        <w:spacing w:line="360" w:lineRule="auto"/>
        <w:rPr>
          <w:rStyle w:val="s1"/>
          <w:rFonts w:ascii="Arial" w:hAnsi="Arial" w:cs="Arial"/>
          <w:sz w:val="22"/>
          <w:szCs w:val="22"/>
        </w:rPr>
      </w:pPr>
      <w:r w:rsidRPr="000A3582">
        <w:rPr>
          <w:rStyle w:val="s1"/>
          <w:rFonts w:ascii="Arial" w:hAnsi="Arial" w:cs="Arial"/>
          <w:sz w:val="22"/>
          <w:szCs w:val="22"/>
        </w:rPr>
        <w:t>Erikson's theory is indirectly further supported by the social media ban which is being</w:t>
      </w:r>
      <w:r w:rsidR="003D7FC5" w:rsidRPr="000A3582">
        <w:rPr>
          <w:rFonts w:ascii="Arial" w:hAnsi="Arial" w:cs="Arial"/>
          <w:sz w:val="22"/>
          <w:szCs w:val="22"/>
        </w:rPr>
        <w:t xml:space="preserve"> </w:t>
      </w:r>
      <w:r w:rsidRPr="000A3582">
        <w:rPr>
          <w:rStyle w:val="s1"/>
          <w:rFonts w:ascii="Arial" w:hAnsi="Arial" w:cs="Arial"/>
          <w:sz w:val="22"/>
          <w:szCs w:val="22"/>
        </w:rPr>
        <w:t>introduced for under 16s. This ban encourages teens and children to spend less time online having stranger communication and aims towards a cultural-social shift (GOV UK, 2026). By protecting children from having access to illegal or unhealthy content, the government aspires to fulfil the aims of the Online Safety Act 2023. This act necessitates a legal duty of care on platforms to safeguard adults and children from online abuse and harmful content. If young teens are less exposed to unrealistic beauty standards and the influencer culture, they are unlikely to be influenced into mental instability which is encouraged with social media use.</w:t>
      </w:r>
    </w:p>
    <w:p w14:paraId="20016C57" w14:textId="77777777" w:rsidR="003D7FC5" w:rsidRPr="000A3582" w:rsidRDefault="003D7FC5" w:rsidP="000A3582">
      <w:pPr>
        <w:pStyle w:val="p1"/>
        <w:spacing w:line="360" w:lineRule="auto"/>
        <w:rPr>
          <w:rFonts w:ascii="Arial" w:hAnsi="Arial" w:cs="Arial"/>
          <w:sz w:val="22"/>
          <w:szCs w:val="22"/>
        </w:rPr>
      </w:pPr>
    </w:p>
    <w:p w14:paraId="5B9A6258" w14:textId="77777777" w:rsidR="00AA57D0" w:rsidRPr="000A3582" w:rsidRDefault="00AA57D0" w:rsidP="000A3582">
      <w:pPr>
        <w:pStyle w:val="p1"/>
        <w:spacing w:line="360" w:lineRule="auto"/>
        <w:rPr>
          <w:rFonts w:ascii="Arial" w:hAnsi="Arial" w:cs="Arial"/>
          <w:sz w:val="22"/>
          <w:szCs w:val="22"/>
        </w:rPr>
      </w:pPr>
      <w:r w:rsidRPr="000A3582">
        <w:rPr>
          <w:rStyle w:val="s1"/>
          <w:rFonts w:ascii="Arial" w:hAnsi="Arial" w:cs="Arial"/>
          <w:sz w:val="22"/>
          <w:szCs w:val="22"/>
        </w:rPr>
        <w:t xml:space="preserve">Stage six of Erikson's theory advances into the early adulthood stage, where adolescents now begin to develop feelings of intimacy. According to New Vision Psychology, individuals who are withdrawn and fear vulnerability or rejection experience isolation and loneliness. This stage serves as a support for the UK Government social media ban as it encourages the youth to develop relationships and build upon their character prior to reaching the ages of early adulthood. If this conflict is not resolved, young adults will fall into an addiction of social media, which when individuals seek social media to feel a sudden dose of dopamine. According to the UK Addiction Treatment Centres, in March 2020, 35% of youngsters admitted to feeling lonely, despite spending three hours on social media. Addiction to social media platforms is a sign of unresolved conflicts as described by </w:t>
      </w:r>
      <w:proofErr w:type="spellStart"/>
      <w:r w:rsidRPr="000A3582">
        <w:rPr>
          <w:rStyle w:val="s1"/>
          <w:rFonts w:ascii="Arial" w:hAnsi="Arial" w:cs="Arial"/>
          <w:sz w:val="22"/>
          <w:szCs w:val="22"/>
        </w:rPr>
        <w:t>Erikson</w:t>
      </w:r>
      <w:proofErr w:type="spellEnd"/>
      <w:r w:rsidRPr="000A3582">
        <w:rPr>
          <w:rStyle w:val="s1"/>
          <w:rFonts w:ascii="Arial" w:hAnsi="Arial" w:cs="Arial"/>
          <w:sz w:val="22"/>
          <w:szCs w:val="22"/>
        </w:rPr>
        <w:t>.</w:t>
      </w:r>
    </w:p>
    <w:p w14:paraId="0E328C56" w14:textId="3206A389" w:rsidR="002D275D" w:rsidRPr="000A3582" w:rsidRDefault="00AA57D0" w:rsidP="000A3582">
      <w:pPr>
        <w:pStyle w:val="p1"/>
        <w:spacing w:line="360" w:lineRule="auto"/>
        <w:rPr>
          <w:rStyle w:val="s1"/>
          <w:rFonts w:ascii="Arial" w:hAnsi="Arial" w:cs="Arial"/>
          <w:sz w:val="22"/>
          <w:szCs w:val="22"/>
        </w:rPr>
      </w:pPr>
      <w:r w:rsidRPr="000A3582">
        <w:rPr>
          <w:rStyle w:val="s1"/>
          <w:rFonts w:ascii="Arial" w:hAnsi="Arial" w:cs="Arial"/>
          <w:sz w:val="22"/>
          <w:szCs w:val="22"/>
        </w:rPr>
        <w:t xml:space="preserve">Erikson's theory is significant to the impact of social media on adolescent mental health as it provides a lens in explaining why an adolescent may feel unfit in society and This is similar to John </w:t>
      </w:r>
      <w:proofErr w:type="spellStart"/>
      <w:r w:rsidRPr="000A3582">
        <w:rPr>
          <w:rStyle w:val="s1"/>
          <w:rFonts w:ascii="Arial" w:hAnsi="Arial" w:cs="Arial"/>
          <w:sz w:val="22"/>
          <w:szCs w:val="22"/>
        </w:rPr>
        <w:t>Bowly's</w:t>
      </w:r>
      <w:proofErr w:type="spellEnd"/>
      <w:r w:rsidRPr="000A3582">
        <w:rPr>
          <w:rStyle w:val="s1"/>
          <w:rFonts w:ascii="Arial" w:hAnsi="Arial" w:cs="Arial"/>
          <w:sz w:val="22"/>
          <w:szCs w:val="22"/>
        </w:rPr>
        <w:t xml:space="preserve">, attachment theory, who explains attachment to be a "long-lasting connectedness between human beings." He emphasises the complete formation of relationships from an early age to prevent separation anxiety. NSPC 2021 expands on </w:t>
      </w:r>
      <w:proofErr w:type="spellStart"/>
      <w:r w:rsidRPr="000A3582">
        <w:rPr>
          <w:rStyle w:val="s1"/>
          <w:rFonts w:ascii="Arial" w:hAnsi="Arial" w:cs="Arial"/>
          <w:sz w:val="22"/>
          <w:szCs w:val="22"/>
        </w:rPr>
        <w:lastRenderedPageBreak/>
        <w:t>Bowly's</w:t>
      </w:r>
      <w:proofErr w:type="spellEnd"/>
      <w:r w:rsidRPr="000A3582">
        <w:rPr>
          <w:rStyle w:val="s1"/>
          <w:rFonts w:ascii="Arial" w:hAnsi="Arial" w:cs="Arial"/>
          <w:sz w:val="22"/>
          <w:szCs w:val="22"/>
        </w:rPr>
        <w:t xml:space="preserve"> phases of attachment, that the first two phases are the most significant as they set</w:t>
      </w:r>
      <w:r w:rsidR="002D275D" w:rsidRPr="000A3582">
        <w:rPr>
          <w:rStyle w:val="s1"/>
          <w:rFonts w:ascii="Arial" w:hAnsi="Arial" w:cs="Arial"/>
          <w:sz w:val="22"/>
          <w:szCs w:val="22"/>
        </w:rPr>
        <w:t xml:space="preserve"> the base for future relationships which children form. This being underdeveloped affects their trust and interaction with others. </w:t>
      </w:r>
      <w:proofErr w:type="spellStart"/>
      <w:r w:rsidR="002D275D" w:rsidRPr="000A3582">
        <w:rPr>
          <w:rStyle w:val="s1"/>
          <w:rFonts w:ascii="Arial" w:hAnsi="Arial" w:cs="Arial"/>
          <w:sz w:val="22"/>
          <w:szCs w:val="22"/>
        </w:rPr>
        <w:t>Bowly</w:t>
      </w:r>
      <w:proofErr w:type="spellEnd"/>
      <w:r w:rsidR="002D275D" w:rsidRPr="000A3582">
        <w:rPr>
          <w:rStyle w:val="s1"/>
          <w:rFonts w:ascii="Arial" w:hAnsi="Arial" w:cs="Arial"/>
          <w:sz w:val="22"/>
          <w:szCs w:val="22"/>
        </w:rPr>
        <w:t xml:space="preserve">, further expands into different types of attachment, one of them being insecure attachment. Newman, </w:t>
      </w:r>
      <w:proofErr w:type="spellStart"/>
      <w:r w:rsidR="002D275D" w:rsidRPr="000A3582">
        <w:rPr>
          <w:rStyle w:val="s1"/>
          <w:rFonts w:ascii="Arial" w:hAnsi="Arial" w:cs="Arial"/>
          <w:sz w:val="22"/>
          <w:szCs w:val="22"/>
        </w:rPr>
        <w:t>Sivaratnam</w:t>
      </w:r>
      <w:proofErr w:type="spellEnd"/>
      <w:r w:rsidR="002D275D" w:rsidRPr="000A3582">
        <w:rPr>
          <w:rStyle w:val="s1"/>
          <w:rFonts w:ascii="Arial" w:hAnsi="Arial" w:cs="Arial"/>
          <w:sz w:val="22"/>
          <w:szCs w:val="22"/>
        </w:rPr>
        <w:t xml:space="preserve"> and </w:t>
      </w:r>
      <w:proofErr w:type="spellStart"/>
      <w:r w:rsidR="002D275D" w:rsidRPr="000A3582">
        <w:rPr>
          <w:rStyle w:val="s1"/>
          <w:rFonts w:ascii="Arial" w:hAnsi="Arial" w:cs="Arial"/>
          <w:sz w:val="22"/>
          <w:szCs w:val="22"/>
        </w:rPr>
        <w:t>Komiti</w:t>
      </w:r>
      <w:proofErr w:type="spellEnd"/>
      <w:r w:rsidR="002D275D" w:rsidRPr="000A3582">
        <w:rPr>
          <w:rStyle w:val="s1"/>
          <w:rFonts w:ascii="Arial" w:hAnsi="Arial" w:cs="Arial"/>
          <w:sz w:val="22"/>
          <w:szCs w:val="22"/>
        </w:rPr>
        <w:t>, 2015 argue that not receiving the ample support by the appropriate care giver leads to psychological, neurological and emotional damage, and misshapes the way a child forms relations with others. This becomes problematic as children begin their youth with a broken support system and this continues into the adolescent years, influencing the way young adults interact online.</w:t>
      </w:r>
      <w:r w:rsidR="002431B5" w:rsidRPr="000A3582">
        <w:rPr>
          <w:rFonts w:ascii="Arial" w:hAnsi="Arial" w:cs="Arial"/>
          <w:sz w:val="22"/>
          <w:szCs w:val="22"/>
        </w:rPr>
        <w:t xml:space="preserve"> </w:t>
      </w:r>
      <w:r w:rsidR="002D275D" w:rsidRPr="000A3582">
        <w:rPr>
          <w:rStyle w:val="s1"/>
          <w:rFonts w:ascii="Arial" w:hAnsi="Arial" w:cs="Arial"/>
          <w:sz w:val="22"/>
          <w:szCs w:val="22"/>
        </w:rPr>
        <w:t xml:space="preserve">According to </w:t>
      </w:r>
      <w:proofErr w:type="spellStart"/>
      <w:r w:rsidR="002D275D" w:rsidRPr="000A3582">
        <w:rPr>
          <w:rStyle w:val="s1"/>
          <w:rFonts w:ascii="Arial" w:hAnsi="Arial" w:cs="Arial"/>
          <w:sz w:val="22"/>
          <w:szCs w:val="22"/>
        </w:rPr>
        <w:t>Mikulincer</w:t>
      </w:r>
      <w:proofErr w:type="spellEnd"/>
      <w:r w:rsidR="002D275D" w:rsidRPr="000A3582">
        <w:rPr>
          <w:rStyle w:val="s1"/>
          <w:rFonts w:ascii="Arial" w:hAnsi="Arial" w:cs="Arial"/>
          <w:sz w:val="22"/>
          <w:szCs w:val="22"/>
        </w:rPr>
        <w:t xml:space="preserve"> and Shaver, 2016 youth with a broken system become desire social and online validation due to the anxious attachment they hold, increasing feelings of low self-worth and anxiety. They depend on approval from likes, comments and followers and have high levels of sensitivity and liability to harm. On the other hand, adolescents who have a secure attachment are more resilient when using social media. Secure attachment boosts self-esteem encouraging healthier relationships (</w:t>
      </w:r>
      <w:proofErr w:type="spellStart"/>
      <w:r w:rsidR="002D275D" w:rsidRPr="000A3582">
        <w:rPr>
          <w:rStyle w:val="s1"/>
          <w:rFonts w:ascii="Arial" w:hAnsi="Arial" w:cs="Arial"/>
          <w:sz w:val="22"/>
          <w:szCs w:val="22"/>
        </w:rPr>
        <w:t>Bowly</w:t>
      </w:r>
      <w:proofErr w:type="spellEnd"/>
      <w:r w:rsidR="002D275D" w:rsidRPr="000A3582">
        <w:rPr>
          <w:rStyle w:val="s1"/>
          <w:rFonts w:ascii="Arial" w:hAnsi="Arial" w:cs="Arial"/>
          <w:sz w:val="22"/>
          <w:szCs w:val="22"/>
        </w:rPr>
        <w:t>, 1988). These individuals are improbable to being vulnerable to the negative effects of online activity, as they are able to maintain an. optimal balance between relationships online and in person.</w:t>
      </w:r>
    </w:p>
    <w:p w14:paraId="3ABFB921" w14:textId="77777777" w:rsidR="002D275D" w:rsidRPr="000A3582" w:rsidRDefault="002D275D" w:rsidP="000A3582">
      <w:pPr>
        <w:pStyle w:val="p1"/>
        <w:spacing w:line="360" w:lineRule="auto"/>
        <w:rPr>
          <w:rFonts w:ascii="Arial" w:hAnsi="Arial" w:cs="Arial"/>
          <w:sz w:val="22"/>
          <w:szCs w:val="22"/>
        </w:rPr>
      </w:pPr>
    </w:p>
    <w:p w14:paraId="754133B5" w14:textId="2146BA7A" w:rsidR="008E6A1B" w:rsidRPr="000A3582" w:rsidRDefault="008E6A1B" w:rsidP="000A3582">
      <w:pPr>
        <w:pStyle w:val="p1"/>
        <w:spacing w:line="360" w:lineRule="auto"/>
        <w:rPr>
          <w:rFonts w:ascii="Arial" w:hAnsi="Arial" w:cs="Arial"/>
          <w:sz w:val="22"/>
          <w:szCs w:val="22"/>
        </w:rPr>
      </w:pPr>
      <w:r w:rsidRPr="000A3582">
        <w:rPr>
          <w:rFonts w:ascii="Arial" w:hAnsi="Arial" w:cs="Arial"/>
          <w:sz w:val="22"/>
          <w:szCs w:val="22"/>
        </w:rPr>
        <w:t xml:space="preserve">The limitations of </w:t>
      </w:r>
      <w:proofErr w:type="spellStart"/>
      <w:r w:rsidRPr="000A3582">
        <w:rPr>
          <w:rFonts w:ascii="Arial" w:hAnsi="Arial" w:cs="Arial"/>
          <w:sz w:val="22"/>
          <w:szCs w:val="22"/>
        </w:rPr>
        <w:t>Bowlby’s</w:t>
      </w:r>
      <w:proofErr w:type="spellEnd"/>
      <w:r w:rsidRPr="000A3582">
        <w:rPr>
          <w:rFonts w:ascii="Arial" w:hAnsi="Arial" w:cs="Arial"/>
          <w:sz w:val="22"/>
          <w:szCs w:val="22"/>
        </w:rPr>
        <w:t xml:space="preserve"> </w:t>
      </w:r>
      <w:r w:rsidR="00737B9B" w:rsidRPr="000A3582">
        <w:rPr>
          <w:rFonts w:ascii="Arial" w:hAnsi="Arial" w:cs="Arial"/>
          <w:sz w:val="22"/>
          <w:szCs w:val="22"/>
        </w:rPr>
        <w:t>theory,</w:t>
      </w:r>
      <w:r w:rsidR="00175D43" w:rsidRPr="000A3582">
        <w:rPr>
          <w:rFonts w:ascii="Arial" w:hAnsi="Arial" w:cs="Arial"/>
          <w:sz w:val="22"/>
          <w:szCs w:val="22"/>
        </w:rPr>
        <w:t xml:space="preserve"> however, is that he overly exaggerates a mothers role in forming bonds. A child may also be lacking support in other fields, or may resort to online </w:t>
      </w:r>
      <w:r w:rsidR="00E34C91" w:rsidRPr="000A3582">
        <w:rPr>
          <w:rFonts w:ascii="Arial" w:hAnsi="Arial" w:cs="Arial"/>
          <w:sz w:val="22"/>
          <w:szCs w:val="22"/>
        </w:rPr>
        <w:t xml:space="preserve">addictions due to </w:t>
      </w:r>
      <w:r w:rsidR="003D0EF7" w:rsidRPr="000A3582">
        <w:rPr>
          <w:rFonts w:ascii="Arial" w:hAnsi="Arial" w:cs="Arial"/>
          <w:sz w:val="22"/>
          <w:szCs w:val="22"/>
        </w:rPr>
        <w:t>neglect</w:t>
      </w:r>
      <w:r w:rsidR="00737B9B" w:rsidRPr="000A3582">
        <w:rPr>
          <w:rFonts w:ascii="Arial" w:hAnsi="Arial" w:cs="Arial"/>
          <w:sz w:val="22"/>
          <w:szCs w:val="22"/>
        </w:rPr>
        <w:t xml:space="preserve"> or bullying</w:t>
      </w:r>
      <w:r w:rsidR="003D0EF7" w:rsidRPr="000A3582">
        <w:rPr>
          <w:rFonts w:ascii="Arial" w:hAnsi="Arial" w:cs="Arial"/>
          <w:sz w:val="22"/>
          <w:szCs w:val="22"/>
        </w:rPr>
        <w:t xml:space="preserve"> he may be facing from </w:t>
      </w:r>
      <w:r w:rsidR="00737B9B" w:rsidRPr="000A3582">
        <w:rPr>
          <w:rFonts w:ascii="Arial" w:hAnsi="Arial" w:cs="Arial"/>
          <w:sz w:val="22"/>
          <w:szCs w:val="22"/>
        </w:rPr>
        <w:t xml:space="preserve">school or society. </w:t>
      </w:r>
      <w:r w:rsidR="00696BBF" w:rsidRPr="000A3582">
        <w:rPr>
          <w:rFonts w:ascii="Arial" w:hAnsi="Arial" w:cs="Arial"/>
          <w:sz w:val="22"/>
          <w:szCs w:val="22"/>
        </w:rPr>
        <w:t xml:space="preserve">Culture may also </w:t>
      </w:r>
      <w:r w:rsidR="00E85BBD" w:rsidRPr="000A3582">
        <w:rPr>
          <w:rFonts w:ascii="Arial" w:hAnsi="Arial" w:cs="Arial"/>
          <w:sz w:val="22"/>
          <w:szCs w:val="22"/>
        </w:rPr>
        <w:t xml:space="preserve">be a reason why a child is chronically online; he may be rejected </w:t>
      </w:r>
      <w:r w:rsidR="003454D1" w:rsidRPr="000A3582">
        <w:rPr>
          <w:rFonts w:ascii="Arial" w:hAnsi="Arial" w:cs="Arial"/>
          <w:sz w:val="22"/>
          <w:szCs w:val="22"/>
        </w:rPr>
        <w:t xml:space="preserve">from </w:t>
      </w:r>
      <w:r w:rsidR="003223EA" w:rsidRPr="000A3582">
        <w:rPr>
          <w:rFonts w:ascii="Arial" w:hAnsi="Arial" w:cs="Arial"/>
          <w:sz w:val="22"/>
          <w:szCs w:val="22"/>
        </w:rPr>
        <w:t xml:space="preserve">people from his own culture as he is navigating his identity during adolescence, </w:t>
      </w:r>
      <w:r w:rsidR="006572E8" w:rsidRPr="000A3582">
        <w:rPr>
          <w:rFonts w:ascii="Arial" w:hAnsi="Arial" w:cs="Arial"/>
          <w:sz w:val="22"/>
          <w:szCs w:val="22"/>
        </w:rPr>
        <w:t>leading to him then</w:t>
      </w:r>
      <w:r w:rsidR="003223EA" w:rsidRPr="000A3582">
        <w:rPr>
          <w:rFonts w:ascii="Arial" w:hAnsi="Arial" w:cs="Arial"/>
          <w:sz w:val="22"/>
          <w:szCs w:val="22"/>
        </w:rPr>
        <w:t xml:space="preserve"> seeking </w:t>
      </w:r>
      <w:r w:rsidR="006572E8" w:rsidRPr="000A3582">
        <w:rPr>
          <w:rFonts w:ascii="Arial" w:hAnsi="Arial" w:cs="Arial"/>
          <w:sz w:val="22"/>
          <w:szCs w:val="22"/>
        </w:rPr>
        <w:t xml:space="preserve">support and advice from online, but </w:t>
      </w:r>
      <w:proofErr w:type="spellStart"/>
      <w:r w:rsidR="006572E8" w:rsidRPr="000A3582">
        <w:rPr>
          <w:rFonts w:ascii="Arial" w:hAnsi="Arial" w:cs="Arial"/>
          <w:sz w:val="22"/>
          <w:szCs w:val="22"/>
        </w:rPr>
        <w:t>Bowlby</w:t>
      </w:r>
      <w:proofErr w:type="spellEnd"/>
      <w:r w:rsidR="006572E8" w:rsidRPr="000A3582">
        <w:rPr>
          <w:rFonts w:ascii="Arial" w:hAnsi="Arial" w:cs="Arial"/>
          <w:sz w:val="22"/>
          <w:szCs w:val="22"/>
        </w:rPr>
        <w:t xml:space="preserve"> fails to </w:t>
      </w:r>
      <w:r w:rsidR="00C144F1" w:rsidRPr="000A3582">
        <w:rPr>
          <w:rFonts w:ascii="Arial" w:hAnsi="Arial" w:cs="Arial"/>
          <w:sz w:val="22"/>
          <w:szCs w:val="22"/>
        </w:rPr>
        <w:t xml:space="preserve">mention culture in his theory which does affect an adolescent in many ways. </w:t>
      </w:r>
      <w:proofErr w:type="spellStart"/>
      <w:r w:rsidR="00543B63" w:rsidRPr="000A3582">
        <w:rPr>
          <w:rFonts w:ascii="Arial" w:hAnsi="Arial" w:cs="Arial"/>
          <w:sz w:val="22"/>
          <w:szCs w:val="22"/>
        </w:rPr>
        <w:t>Bowlby’s</w:t>
      </w:r>
      <w:proofErr w:type="spellEnd"/>
      <w:r w:rsidR="00543B63" w:rsidRPr="000A3582">
        <w:rPr>
          <w:rFonts w:ascii="Arial" w:hAnsi="Arial" w:cs="Arial"/>
          <w:sz w:val="22"/>
          <w:szCs w:val="22"/>
        </w:rPr>
        <w:t xml:space="preserve"> theory still is able to justify the negative impact of social media on adolescent mental health, as Erikson’s theory </w:t>
      </w:r>
      <w:r w:rsidR="004C59AF" w:rsidRPr="000A3582">
        <w:rPr>
          <w:rFonts w:ascii="Arial" w:hAnsi="Arial" w:cs="Arial"/>
          <w:sz w:val="22"/>
          <w:szCs w:val="22"/>
        </w:rPr>
        <w:t xml:space="preserve">is vague in many points. </w:t>
      </w:r>
      <w:proofErr w:type="spellStart"/>
      <w:r w:rsidR="004C59AF" w:rsidRPr="000A3582">
        <w:rPr>
          <w:rFonts w:ascii="Arial" w:hAnsi="Arial" w:cs="Arial"/>
          <w:sz w:val="22"/>
          <w:szCs w:val="22"/>
        </w:rPr>
        <w:t>Erikson</w:t>
      </w:r>
      <w:proofErr w:type="spellEnd"/>
      <w:r w:rsidR="004C59AF" w:rsidRPr="000A3582">
        <w:rPr>
          <w:rFonts w:ascii="Arial" w:hAnsi="Arial" w:cs="Arial"/>
          <w:sz w:val="22"/>
          <w:szCs w:val="22"/>
        </w:rPr>
        <w:t xml:space="preserve"> </w:t>
      </w:r>
      <w:r w:rsidR="00D92726" w:rsidRPr="000A3582">
        <w:rPr>
          <w:rFonts w:ascii="Arial" w:hAnsi="Arial" w:cs="Arial"/>
          <w:sz w:val="22"/>
          <w:szCs w:val="22"/>
        </w:rPr>
        <w:t xml:space="preserve">mentions only age-related stages but critics argue that </w:t>
      </w:r>
      <w:r w:rsidR="006D0076" w:rsidRPr="000A3582">
        <w:rPr>
          <w:rFonts w:ascii="Arial" w:hAnsi="Arial" w:cs="Arial"/>
          <w:sz w:val="22"/>
          <w:szCs w:val="22"/>
        </w:rPr>
        <w:t xml:space="preserve">development is not only via ages as some may have advantages over others. </w:t>
      </w:r>
      <w:r w:rsidR="00902756" w:rsidRPr="000A3582">
        <w:rPr>
          <w:rFonts w:ascii="Arial" w:hAnsi="Arial" w:cs="Arial"/>
          <w:sz w:val="22"/>
          <w:szCs w:val="22"/>
        </w:rPr>
        <w:t xml:space="preserve">Some cultures may also </w:t>
      </w:r>
      <w:r w:rsidR="00543E22" w:rsidRPr="000A3582">
        <w:rPr>
          <w:rFonts w:ascii="Arial" w:hAnsi="Arial" w:cs="Arial"/>
          <w:sz w:val="22"/>
          <w:szCs w:val="22"/>
        </w:rPr>
        <w:t xml:space="preserve">prioritise </w:t>
      </w:r>
      <w:r w:rsidR="000D6914" w:rsidRPr="000A3582">
        <w:rPr>
          <w:rFonts w:ascii="Arial" w:hAnsi="Arial" w:cs="Arial"/>
          <w:sz w:val="22"/>
          <w:szCs w:val="22"/>
        </w:rPr>
        <w:t xml:space="preserve">male experiences and have high expectations from females, </w:t>
      </w:r>
      <w:r w:rsidR="00692A99" w:rsidRPr="000A3582">
        <w:rPr>
          <w:rFonts w:ascii="Arial" w:hAnsi="Arial" w:cs="Arial"/>
          <w:sz w:val="22"/>
          <w:szCs w:val="22"/>
        </w:rPr>
        <w:t xml:space="preserve">which in turn leads to an increased psychological danger for women </w:t>
      </w:r>
    </w:p>
    <w:p w14:paraId="28BB85ED" w14:textId="43BC977C" w:rsidR="002D275D" w:rsidRPr="000A3582" w:rsidRDefault="002D275D" w:rsidP="000A3582">
      <w:pPr>
        <w:pStyle w:val="p1"/>
        <w:spacing w:line="360" w:lineRule="auto"/>
        <w:rPr>
          <w:rStyle w:val="s1"/>
          <w:rFonts w:ascii="Arial" w:hAnsi="Arial" w:cs="Arial"/>
          <w:sz w:val="22"/>
          <w:szCs w:val="22"/>
        </w:rPr>
      </w:pPr>
    </w:p>
    <w:p w14:paraId="02E5F3AF" w14:textId="43FC7FA5" w:rsidR="0039188D" w:rsidRPr="000A3582" w:rsidRDefault="002431B5" w:rsidP="000A3582">
      <w:pPr>
        <w:pStyle w:val="p1"/>
        <w:spacing w:line="360" w:lineRule="auto"/>
        <w:rPr>
          <w:rFonts w:ascii="Arial" w:hAnsi="Arial" w:cs="Arial"/>
          <w:sz w:val="22"/>
          <w:szCs w:val="22"/>
        </w:rPr>
      </w:pPr>
      <w:r w:rsidRPr="000A3582">
        <w:rPr>
          <w:rFonts w:ascii="Arial" w:hAnsi="Arial" w:cs="Arial"/>
          <w:sz w:val="22"/>
          <w:szCs w:val="22"/>
        </w:rPr>
        <w:t xml:space="preserve">In conclusion, social media is able to provide a significant base for adolescents, allowing them interaction with those online and stayed connected with those who have a distance barrier. This is especially the case when young people have a developed social system in place, encouraging a healthy use of social media. Erikson’s emphasises the phase of identity vs role which is one of the most significant </w:t>
      </w:r>
      <w:r w:rsidR="003475CF" w:rsidRPr="000A3582">
        <w:rPr>
          <w:rFonts w:ascii="Arial" w:hAnsi="Arial" w:cs="Arial"/>
          <w:sz w:val="22"/>
          <w:szCs w:val="22"/>
        </w:rPr>
        <w:t>phases</w:t>
      </w:r>
      <w:r w:rsidRPr="000A3582">
        <w:rPr>
          <w:rFonts w:ascii="Arial" w:hAnsi="Arial" w:cs="Arial"/>
          <w:sz w:val="22"/>
          <w:szCs w:val="22"/>
        </w:rPr>
        <w:t xml:space="preserve"> which he categorises, as this is the time where an adolescent develops into adulthood, and seeks the validation of others if </w:t>
      </w:r>
      <w:r w:rsidRPr="000A3582">
        <w:rPr>
          <w:rFonts w:ascii="Arial" w:hAnsi="Arial" w:cs="Arial"/>
          <w:sz w:val="22"/>
          <w:szCs w:val="22"/>
        </w:rPr>
        <w:lastRenderedPageBreak/>
        <w:t xml:space="preserve">he does not resolve any challenges he may face during this stage. A social media ban </w:t>
      </w:r>
      <w:r w:rsidR="00631A63" w:rsidRPr="000A3582">
        <w:rPr>
          <w:rFonts w:ascii="Arial" w:hAnsi="Arial" w:cs="Arial"/>
          <w:sz w:val="22"/>
          <w:szCs w:val="22"/>
        </w:rPr>
        <w:t xml:space="preserve">is in favour of Erikson’s </w:t>
      </w:r>
      <w:r w:rsidR="005E351E" w:rsidRPr="000A3582">
        <w:rPr>
          <w:rFonts w:ascii="Arial" w:hAnsi="Arial" w:cs="Arial"/>
          <w:sz w:val="22"/>
          <w:szCs w:val="22"/>
        </w:rPr>
        <w:t xml:space="preserve">ideas, encouraging </w:t>
      </w:r>
      <w:r w:rsidR="00434624" w:rsidRPr="000A3582">
        <w:rPr>
          <w:rFonts w:ascii="Arial" w:hAnsi="Arial" w:cs="Arial"/>
          <w:sz w:val="22"/>
          <w:szCs w:val="22"/>
        </w:rPr>
        <w:t xml:space="preserve">low usage of social media. The period of adolescence is a vulnerable and one of the most important ages of young adults as they begin to </w:t>
      </w:r>
      <w:r w:rsidR="006E350E" w:rsidRPr="000A3582">
        <w:rPr>
          <w:rFonts w:ascii="Arial" w:hAnsi="Arial" w:cs="Arial"/>
          <w:sz w:val="22"/>
          <w:szCs w:val="22"/>
        </w:rPr>
        <w:t xml:space="preserve">pair together social and personal values. Conflicts which remain unresolved </w:t>
      </w:r>
      <w:r w:rsidR="00D01C62" w:rsidRPr="000A3582">
        <w:rPr>
          <w:rFonts w:ascii="Arial" w:hAnsi="Arial" w:cs="Arial"/>
          <w:sz w:val="22"/>
          <w:szCs w:val="22"/>
        </w:rPr>
        <w:t xml:space="preserve">push an adolescent into </w:t>
      </w:r>
      <w:r w:rsidR="0039188D" w:rsidRPr="000A3582">
        <w:rPr>
          <w:rFonts w:ascii="Arial" w:hAnsi="Arial" w:cs="Arial"/>
          <w:sz w:val="22"/>
          <w:szCs w:val="22"/>
        </w:rPr>
        <w:t xml:space="preserve">pursuing an unhealthy addiction with what gives him a sudden dopamine high, which in this case, via social media. </w:t>
      </w:r>
      <w:proofErr w:type="spellStart"/>
      <w:r w:rsidR="00842243" w:rsidRPr="000A3582">
        <w:rPr>
          <w:rFonts w:ascii="Arial" w:hAnsi="Arial" w:cs="Arial"/>
          <w:sz w:val="22"/>
          <w:szCs w:val="22"/>
        </w:rPr>
        <w:t>Bowlby</w:t>
      </w:r>
      <w:proofErr w:type="spellEnd"/>
      <w:r w:rsidR="00842243" w:rsidRPr="000A3582">
        <w:rPr>
          <w:rFonts w:ascii="Arial" w:hAnsi="Arial" w:cs="Arial"/>
          <w:sz w:val="22"/>
          <w:szCs w:val="22"/>
        </w:rPr>
        <w:t xml:space="preserve"> </w:t>
      </w:r>
      <w:r w:rsidR="00902DE9" w:rsidRPr="000A3582">
        <w:rPr>
          <w:rFonts w:ascii="Arial" w:hAnsi="Arial" w:cs="Arial"/>
          <w:sz w:val="22"/>
          <w:szCs w:val="22"/>
        </w:rPr>
        <w:t xml:space="preserve">shifts the blame to poor detachment levels from the primary caregiver, </w:t>
      </w:r>
      <w:r w:rsidR="000511E8" w:rsidRPr="000A3582">
        <w:rPr>
          <w:rFonts w:ascii="Arial" w:hAnsi="Arial" w:cs="Arial"/>
          <w:sz w:val="22"/>
          <w:szCs w:val="22"/>
        </w:rPr>
        <w:t xml:space="preserve">leading to decreased social interaction. </w:t>
      </w:r>
    </w:p>
    <w:p w14:paraId="4EB80EF6" w14:textId="77777777" w:rsidR="0039188D" w:rsidRPr="000A3582" w:rsidRDefault="0039188D" w:rsidP="000A3582">
      <w:pPr>
        <w:pStyle w:val="p1"/>
        <w:spacing w:line="360" w:lineRule="auto"/>
        <w:rPr>
          <w:rFonts w:ascii="Arial" w:hAnsi="Arial" w:cs="Arial"/>
          <w:sz w:val="22"/>
          <w:szCs w:val="22"/>
        </w:rPr>
      </w:pPr>
    </w:p>
    <w:p w14:paraId="5D5E291C" w14:textId="77777777" w:rsidR="000A3582" w:rsidRPr="000A3582" w:rsidRDefault="000A3582" w:rsidP="000A3582">
      <w:pPr>
        <w:pStyle w:val="p1"/>
        <w:spacing w:line="360" w:lineRule="auto"/>
        <w:rPr>
          <w:rFonts w:ascii="Arial" w:hAnsi="Arial" w:cs="Arial"/>
          <w:sz w:val="22"/>
          <w:szCs w:val="22"/>
        </w:rPr>
      </w:pPr>
    </w:p>
    <w:p w14:paraId="61AFD7F8" w14:textId="77777777" w:rsidR="000A3582" w:rsidRPr="000A3582" w:rsidRDefault="000A3582" w:rsidP="000A3582">
      <w:pPr>
        <w:pStyle w:val="p1"/>
        <w:spacing w:line="360" w:lineRule="auto"/>
        <w:rPr>
          <w:rFonts w:ascii="Arial" w:hAnsi="Arial" w:cs="Arial"/>
          <w:sz w:val="22"/>
          <w:szCs w:val="22"/>
        </w:rPr>
      </w:pPr>
    </w:p>
    <w:p w14:paraId="576D4D50" w14:textId="77777777" w:rsidR="000A3582" w:rsidRPr="000A3582" w:rsidRDefault="000A3582" w:rsidP="000A3582">
      <w:pPr>
        <w:pStyle w:val="p1"/>
        <w:spacing w:line="360" w:lineRule="auto"/>
        <w:rPr>
          <w:rFonts w:ascii="Arial" w:hAnsi="Arial" w:cs="Arial"/>
          <w:sz w:val="22"/>
          <w:szCs w:val="22"/>
        </w:rPr>
      </w:pPr>
    </w:p>
    <w:p w14:paraId="6C252847" w14:textId="77777777" w:rsidR="000A3582" w:rsidRPr="000A3582" w:rsidRDefault="000A3582" w:rsidP="000A3582">
      <w:pPr>
        <w:pStyle w:val="p1"/>
        <w:spacing w:line="360" w:lineRule="auto"/>
        <w:rPr>
          <w:rFonts w:ascii="Arial" w:hAnsi="Arial" w:cs="Arial"/>
          <w:sz w:val="22"/>
          <w:szCs w:val="22"/>
        </w:rPr>
      </w:pPr>
    </w:p>
    <w:p w14:paraId="230BFA44" w14:textId="77777777" w:rsidR="000A3582" w:rsidRPr="000A3582" w:rsidRDefault="000A3582" w:rsidP="000A3582">
      <w:pPr>
        <w:pStyle w:val="p1"/>
        <w:spacing w:line="360" w:lineRule="auto"/>
        <w:rPr>
          <w:rFonts w:ascii="Arial" w:hAnsi="Arial" w:cs="Arial"/>
          <w:sz w:val="22"/>
          <w:szCs w:val="22"/>
        </w:rPr>
      </w:pPr>
    </w:p>
    <w:p w14:paraId="3F1DFBDE" w14:textId="77777777" w:rsidR="000A3582" w:rsidRPr="000A3582" w:rsidRDefault="000A3582" w:rsidP="000A3582">
      <w:pPr>
        <w:pStyle w:val="p1"/>
        <w:spacing w:line="360" w:lineRule="auto"/>
        <w:rPr>
          <w:rFonts w:ascii="Arial" w:hAnsi="Arial" w:cs="Arial"/>
          <w:sz w:val="22"/>
          <w:szCs w:val="22"/>
        </w:rPr>
      </w:pPr>
    </w:p>
    <w:p w14:paraId="496FA31B" w14:textId="77777777" w:rsidR="000A3582" w:rsidRPr="000A3582" w:rsidRDefault="000A3582" w:rsidP="000A3582">
      <w:pPr>
        <w:pStyle w:val="p1"/>
        <w:spacing w:line="360" w:lineRule="auto"/>
        <w:rPr>
          <w:rFonts w:ascii="Arial" w:hAnsi="Arial" w:cs="Arial"/>
          <w:sz w:val="22"/>
          <w:szCs w:val="22"/>
        </w:rPr>
      </w:pPr>
    </w:p>
    <w:p w14:paraId="26417B94" w14:textId="77777777" w:rsidR="000A3582" w:rsidRPr="000A3582" w:rsidRDefault="000A3582" w:rsidP="000A3582">
      <w:pPr>
        <w:pStyle w:val="p1"/>
        <w:spacing w:line="360" w:lineRule="auto"/>
        <w:rPr>
          <w:rFonts w:ascii="Arial" w:hAnsi="Arial" w:cs="Arial"/>
          <w:sz w:val="22"/>
          <w:szCs w:val="22"/>
        </w:rPr>
      </w:pPr>
    </w:p>
    <w:p w14:paraId="4CC1D0C7" w14:textId="77777777" w:rsidR="000A3582" w:rsidRPr="000A3582" w:rsidRDefault="000A3582" w:rsidP="000A3582">
      <w:pPr>
        <w:pStyle w:val="p1"/>
        <w:spacing w:line="360" w:lineRule="auto"/>
        <w:rPr>
          <w:rFonts w:ascii="Arial" w:hAnsi="Arial" w:cs="Arial"/>
          <w:sz w:val="22"/>
          <w:szCs w:val="22"/>
        </w:rPr>
      </w:pPr>
    </w:p>
    <w:p w14:paraId="5B12E7CC" w14:textId="77777777" w:rsidR="000A3582" w:rsidRPr="000A3582" w:rsidRDefault="000A3582" w:rsidP="000A3582">
      <w:pPr>
        <w:pStyle w:val="p1"/>
        <w:spacing w:line="360" w:lineRule="auto"/>
        <w:rPr>
          <w:rFonts w:ascii="Arial" w:hAnsi="Arial" w:cs="Arial"/>
          <w:sz w:val="22"/>
          <w:szCs w:val="22"/>
        </w:rPr>
      </w:pPr>
    </w:p>
    <w:p w14:paraId="3C386E92" w14:textId="77777777" w:rsidR="000A3582" w:rsidRPr="000A3582" w:rsidRDefault="000A3582" w:rsidP="000A3582">
      <w:pPr>
        <w:pStyle w:val="p1"/>
        <w:spacing w:line="360" w:lineRule="auto"/>
        <w:rPr>
          <w:rFonts w:ascii="Arial" w:hAnsi="Arial" w:cs="Arial"/>
          <w:sz w:val="22"/>
          <w:szCs w:val="22"/>
        </w:rPr>
      </w:pPr>
    </w:p>
    <w:p w14:paraId="1F405831" w14:textId="77777777" w:rsidR="000A3582" w:rsidRPr="000A3582" w:rsidRDefault="000A3582" w:rsidP="000A3582">
      <w:pPr>
        <w:pStyle w:val="p1"/>
        <w:spacing w:line="360" w:lineRule="auto"/>
        <w:rPr>
          <w:rFonts w:ascii="Arial" w:hAnsi="Arial" w:cs="Arial"/>
          <w:sz w:val="22"/>
          <w:szCs w:val="22"/>
        </w:rPr>
      </w:pPr>
    </w:p>
    <w:p w14:paraId="20AEE7BD" w14:textId="77777777" w:rsidR="000A3582" w:rsidRPr="000A3582" w:rsidRDefault="000A3582" w:rsidP="000A3582">
      <w:pPr>
        <w:pStyle w:val="p1"/>
        <w:spacing w:line="360" w:lineRule="auto"/>
        <w:rPr>
          <w:rFonts w:ascii="Arial" w:hAnsi="Arial" w:cs="Arial"/>
          <w:sz w:val="22"/>
          <w:szCs w:val="22"/>
        </w:rPr>
      </w:pPr>
    </w:p>
    <w:p w14:paraId="357ED494" w14:textId="77777777" w:rsidR="000A3582" w:rsidRPr="000A3582" w:rsidRDefault="000A3582" w:rsidP="000A3582">
      <w:pPr>
        <w:pStyle w:val="p1"/>
        <w:spacing w:line="360" w:lineRule="auto"/>
        <w:rPr>
          <w:rFonts w:ascii="Arial" w:hAnsi="Arial" w:cs="Arial"/>
          <w:sz w:val="22"/>
          <w:szCs w:val="22"/>
        </w:rPr>
      </w:pPr>
    </w:p>
    <w:p w14:paraId="75233777" w14:textId="77777777" w:rsidR="000A3582" w:rsidRPr="000A3582" w:rsidRDefault="000A3582" w:rsidP="000A3582">
      <w:pPr>
        <w:pStyle w:val="p1"/>
        <w:spacing w:line="360" w:lineRule="auto"/>
        <w:rPr>
          <w:rFonts w:ascii="Arial" w:hAnsi="Arial" w:cs="Arial"/>
          <w:sz w:val="22"/>
          <w:szCs w:val="22"/>
        </w:rPr>
      </w:pPr>
    </w:p>
    <w:p w14:paraId="09D9C7F4" w14:textId="77777777" w:rsidR="000A3582" w:rsidRPr="000A3582" w:rsidRDefault="000A3582" w:rsidP="000A3582">
      <w:pPr>
        <w:pStyle w:val="p1"/>
        <w:spacing w:line="360" w:lineRule="auto"/>
        <w:rPr>
          <w:rFonts w:ascii="Arial" w:hAnsi="Arial" w:cs="Arial"/>
          <w:sz w:val="22"/>
          <w:szCs w:val="22"/>
        </w:rPr>
      </w:pPr>
    </w:p>
    <w:p w14:paraId="4B390993" w14:textId="77777777" w:rsidR="000A3582" w:rsidRPr="000A3582" w:rsidRDefault="000A3582" w:rsidP="000A3582">
      <w:pPr>
        <w:pStyle w:val="p1"/>
        <w:spacing w:line="360" w:lineRule="auto"/>
        <w:rPr>
          <w:rFonts w:ascii="Arial" w:hAnsi="Arial" w:cs="Arial"/>
          <w:sz w:val="22"/>
          <w:szCs w:val="22"/>
        </w:rPr>
      </w:pPr>
    </w:p>
    <w:p w14:paraId="08DC86F3" w14:textId="77777777" w:rsidR="000A3582" w:rsidRPr="000A3582" w:rsidRDefault="000A3582" w:rsidP="000A3582">
      <w:pPr>
        <w:pStyle w:val="p1"/>
        <w:spacing w:line="360" w:lineRule="auto"/>
        <w:rPr>
          <w:rFonts w:ascii="Arial" w:hAnsi="Arial" w:cs="Arial"/>
          <w:sz w:val="22"/>
          <w:szCs w:val="22"/>
        </w:rPr>
      </w:pPr>
    </w:p>
    <w:p w14:paraId="04120069" w14:textId="77777777" w:rsidR="000A3582" w:rsidRPr="000A3582" w:rsidRDefault="000A3582" w:rsidP="000A3582">
      <w:pPr>
        <w:pStyle w:val="p1"/>
        <w:spacing w:line="360" w:lineRule="auto"/>
        <w:rPr>
          <w:rFonts w:ascii="Arial" w:hAnsi="Arial" w:cs="Arial"/>
          <w:sz w:val="22"/>
          <w:szCs w:val="22"/>
        </w:rPr>
      </w:pPr>
    </w:p>
    <w:p w14:paraId="290F38B2" w14:textId="77777777" w:rsidR="000A3582" w:rsidRPr="000A3582" w:rsidRDefault="000A3582" w:rsidP="000A3582">
      <w:pPr>
        <w:pStyle w:val="p1"/>
        <w:spacing w:line="360" w:lineRule="auto"/>
        <w:rPr>
          <w:rFonts w:ascii="Arial" w:hAnsi="Arial" w:cs="Arial"/>
          <w:sz w:val="22"/>
          <w:szCs w:val="22"/>
        </w:rPr>
      </w:pPr>
    </w:p>
    <w:p w14:paraId="1316014E" w14:textId="77777777" w:rsidR="000A3582" w:rsidRPr="000A3582" w:rsidRDefault="000A3582" w:rsidP="000A3582">
      <w:pPr>
        <w:pStyle w:val="p1"/>
        <w:spacing w:line="360" w:lineRule="auto"/>
        <w:rPr>
          <w:rFonts w:ascii="Arial" w:hAnsi="Arial" w:cs="Arial"/>
          <w:sz w:val="22"/>
          <w:szCs w:val="22"/>
        </w:rPr>
      </w:pPr>
    </w:p>
    <w:p w14:paraId="0AAF8965" w14:textId="77777777" w:rsidR="000A3582" w:rsidRPr="000A3582" w:rsidRDefault="000A3582" w:rsidP="000A3582">
      <w:pPr>
        <w:pStyle w:val="p1"/>
        <w:spacing w:line="360" w:lineRule="auto"/>
        <w:rPr>
          <w:rFonts w:ascii="Arial" w:hAnsi="Arial" w:cs="Arial"/>
          <w:sz w:val="22"/>
          <w:szCs w:val="22"/>
        </w:rPr>
      </w:pPr>
    </w:p>
    <w:p w14:paraId="496A0C9A" w14:textId="77777777" w:rsidR="000A3582" w:rsidRPr="000A3582" w:rsidRDefault="000A3582" w:rsidP="000A3582">
      <w:pPr>
        <w:pStyle w:val="p1"/>
        <w:spacing w:line="360" w:lineRule="auto"/>
        <w:rPr>
          <w:rFonts w:ascii="Arial" w:hAnsi="Arial" w:cs="Arial"/>
          <w:sz w:val="22"/>
          <w:szCs w:val="22"/>
        </w:rPr>
      </w:pPr>
    </w:p>
    <w:p w14:paraId="3106A45D" w14:textId="77777777" w:rsidR="000A3582" w:rsidRPr="000A3582" w:rsidRDefault="000A3582" w:rsidP="000A3582">
      <w:pPr>
        <w:pStyle w:val="p1"/>
        <w:spacing w:line="360" w:lineRule="auto"/>
        <w:rPr>
          <w:rFonts w:ascii="Arial" w:hAnsi="Arial" w:cs="Arial"/>
          <w:sz w:val="22"/>
          <w:szCs w:val="22"/>
        </w:rPr>
      </w:pPr>
    </w:p>
    <w:p w14:paraId="2CAAAFB3" w14:textId="77777777" w:rsidR="000A3582" w:rsidRPr="000A3582" w:rsidRDefault="000A3582" w:rsidP="000A3582">
      <w:pPr>
        <w:pStyle w:val="p1"/>
        <w:spacing w:line="360" w:lineRule="auto"/>
        <w:rPr>
          <w:rFonts w:ascii="Arial" w:hAnsi="Arial" w:cs="Arial"/>
          <w:sz w:val="22"/>
          <w:szCs w:val="22"/>
        </w:rPr>
      </w:pPr>
    </w:p>
    <w:p w14:paraId="7E7EE58C" w14:textId="77777777" w:rsidR="000A3582" w:rsidRPr="000A3582" w:rsidRDefault="000A3582" w:rsidP="000A3582">
      <w:pPr>
        <w:pStyle w:val="p1"/>
        <w:spacing w:line="360" w:lineRule="auto"/>
        <w:rPr>
          <w:rFonts w:ascii="Arial" w:hAnsi="Arial" w:cs="Arial"/>
          <w:sz w:val="22"/>
          <w:szCs w:val="22"/>
        </w:rPr>
      </w:pPr>
    </w:p>
    <w:p w14:paraId="5BC9C5AA" w14:textId="77777777" w:rsidR="000A3582" w:rsidRPr="000A3582" w:rsidRDefault="000A3582" w:rsidP="000A3582">
      <w:pPr>
        <w:pStyle w:val="p1"/>
        <w:spacing w:line="360" w:lineRule="auto"/>
        <w:rPr>
          <w:rFonts w:ascii="Arial" w:hAnsi="Arial" w:cs="Arial"/>
          <w:sz w:val="22"/>
          <w:szCs w:val="22"/>
        </w:rPr>
      </w:pPr>
    </w:p>
    <w:p w14:paraId="2C72256B" w14:textId="77777777" w:rsidR="000A3582" w:rsidRPr="000A3582" w:rsidRDefault="000A3582" w:rsidP="000A3582">
      <w:pPr>
        <w:pStyle w:val="p1"/>
        <w:spacing w:line="360" w:lineRule="auto"/>
        <w:rPr>
          <w:rFonts w:ascii="Arial" w:hAnsi="Arial" w:cs="Arial"/>
          <w:sz w:val="22"/>
          <w:szCs w:val="22"/>
        </w:rPr>
      </w:pPr>
    </w:p>
    <w:p w14:paraId="0139C04A" w14:textId="77777777" w:rsidR="000A3582" w:rsidRPr="000A3582" w:rsidRDefault="000A3582" w:rsidP="000A3582">
      <w:pPr>
        <w:pStyle w:val="p1"/>
        <w:spacing w:line="360" w:lineRule="auto"/>
        <w:rPr>
          <w:rFonts w:ascii="Arial" w:hAnsi="Arial" w:cs="Arial"/>
          <w:sz w:val="22"/>
          <w:szCs w:val="22"/>
        </w:rPr>
      </w:pPr>
    </w:p>
    <w:p w14:paraId="7A7A4566" w14:textId="77777777" w:rsidR="000A3582" w:rsidRPr="000A3582" w:rsidRDefault="000A3582" w:rsidP="000A3582">
      <w:pPr>
        <w:spacing w:line="360" w:lineRule="auto"/>
        <w:rPr>
          <w:rFonts w:ascii="Arial" w:hAnsi="Arial" w:cs="Arial"/>
          <w:sz w:val="22"/>
          <w:szCs w:val="22"/>
        </w:rPr>
      </w:pPr>
    </w:p>
    <w:p w14:paraId="3FC564BF" w14:textId="77777777" w:rsidR="000A3582" w:rsidRPr="000A3582" w:rsidRDefault="000A3582" w:rsidP="000A3582">
      <w:pPr>
        <w:spacing w:line="360" w:lineRule="auto"/>
        <w:rPr>
          <w:rFonts w:ascii="Arial" w:hAnsi="Arial" w:cs="Arial"/>
          <w:b/>
          <w:bCs/>
          <w:sz w:val="22"/>
          <w:szCs w:val="22"/>
        </w:rPr>
      </w:pPr>
      <w:r w:rsidRPr="000A3582">
        <w:rPr>
          <w:rFonts w:ascii="Arial" w:hAnsi="Arial" w:cs="Arial"/>
          <w:b/>
          <w:bCs/>
          <w:sz w:val="22"/>
          <w:szCs w:val="22"/>
        </w:rPr>
        <w:t xml:space="preserve">References </w:t>
      </w:r>
    </w:p>
    <w:p w14:paraId="12B6D59F"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Action for Children (n.d.) </w:t>
      </w:r>
      <w:r w:rsidRPr="000A3582">
        <w:rPr>
          <w:rFonts w:ascii="Arial" w:hAnsi="Arial" w:cs="Arial"/>
          <w:i/>
          <w:iCs/>
          <w:kern w:val="0"/>
          <w:sz w:val="22"/>
          <w:szCs w:val="22"/>
          <w14:ligatures w14:val="none"/>
        </w:rPr>
        <w:t>Social media and mental health: The good, the bad and the ugly</w:t>
      </w:r>
      <w:r w:rsidRPr="000A3582">
        <w:rPr>
          <w:rFonts w:ascii="Arial" w:hAnsi="Arial" w:cs="Arial"/>
          <w:kern w:val="0"/>
          <w:sz w:val="22"/>
          <w:szCs w:val="22"/>
          <w14:ligatures w14:val="none"/>
        </w:rPr>
        <w:t xml:space="preserve">. Available at: </w:t>
      </w:r>
      <w:hyperlink r:id="rId6" w:history="1">
        <w:r w:rsidRPr="000A3582">
          <w:rPr>
            <w:rFonts w:ascii="Arial" w:hAnsi="Arial" w:cs="Arial"/>
            <w:color w:val="467886" w:themeColor="hyperlink"/>
            <w:kern w:val="0"/>
            <w:sz w:val="22"/>
            <w:szCs w:val="22"/>
            <w:u w:val="single"/>
            <w14:ligatures w14:val="none"/>
          </w:rPr>
          <w:t>https://www.actionforchildren.org.uk/blog/social-media-and-mental-health-the-good-the-bad-and-the-ugly/</w:t>
        </w:r>
      </w:hyperlink>
      <w:r w:rsidRPr="000A3582">
        <w:rPr>
          <w:rFonts w:ascii="Arial" w:hAnsi="Arial" w:cs="Arial"/>
          <w:kern w:val="0"/>
          <w:sz w:val="22"/>
          <w:szCs w:val="22"/>
          <w14:ligatures w14:val="none"/>
        </w:rPr>
        <w:t xml:space="preserve"> (Accessed: 19 July 2026).</w:t>
      </w:r>
    </w:p>
    <w:p w14:paraId="0B2DED43"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Albuquerque, N. (2022) </w:t>
      </w:r>
      <w:r w:rsidRPr="000A3582">
        <w:rPr>
          <w:rFonts w:ascii="Arial" w:hAnsi="Arial" w:cs="Arial"/>
          <w:i/>
          <w:iCs/>
          <w:kern w:val="0"/>
          <w:sz w:val="22"/>
          <w:szCs w:val="22"/>
          <w14:ligatures w14:val="none"/>
        </w:rPr>
        <w:t>Social media addiction: Understanding social media addiction and treatment</w:t>
      </w:r>
      <w:r w:rsidRPr="000A3582">
        <w:rPr>
          <w:rFonts w:ascii="Arial" w:hAnsi="Arial" w:cs="Arial"/>
          <w:kern w:val="0"/>
          <w:sz w:val="22"/>
          <w:szCs w:val="22"/>
          <w14:ligatures w14:val="none"/>
        </w:rPr>
        <w:t xml:space="preserve">. UK Addiction Treatment Centres. Available at: </w:t>
      </w:r>
      <w:hyperlink r:id="rId7" w:history="1">
        <w:r w:rsidRPr="000A3582">
          <w:rPr>
            <w:rFonts w:ascii="Arial" w:hAnsi="Arial" w:cs="Arial"/>
            <w:color w:val="467886" w:themeColor="hyperlink"/>
            <w:kern w:val="0"/>
            <w:sz w:val="22"/>
            <w:szCs w:val="22"/>
            <w:u w:val="single"/>
            <w14:ligatures w14:val="none"/>
          </w:rPr>
          <w:t>https://www.ukat.co.uk/addiction/behavioural/social-media/</w:t>
        </w:r>
      </w:hyperlink>
      <w:r w:rsidRPr="000A3582">
        <w:rPr>
          <w:rFonts w:ascii="Arial" w:hAnsi="Arial" w:cs="Arial"/>
          <w:kern w:val="0"/>
          <w:sz w:val="22"/>
          <w:szCs w:val="22"/>
          <w14:ligatures w14:val="none"/>
        </w:rPr>
        <w:t xml:space="preserve"> (Accessed: 16 July 2026).</w:t>
      </w:r>
    </w:p>
    <w:p w14:paraId="7BF3D52A"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Anti-Bullying Alliance (n.d.) </w:t>
      </w:r>
      <w:r w:rsidRPr="000A3582">
        <w:rPr>
          <w:rFonts w:ascii="Arial" w:hAnsi="Arial" w:cs="Arial"/>
          <w:i/>
          <w:iCs/>
          <w:kern w:val="0"/>
          <w:sz w:val="22"/>
          <w:szCs w:val="22"/>
          <w14:ligatures w14:val="none"/>
        </w:rPr>
        <w:t>What is online bullying?</w:t>
      </w:r>
      <w:r w:rsidRPr="000A3582">
        <w:rPr>
          <w:rFonts w:ascii="Arial" w:hAnsi="Arial" w:cs="Arial"/>
          <w:kern w:val="0"/>
          <w:sz w:val="22"/>
          <w:szCs w:val="22"/>
          <w14:ligatures w14:val="none"/>
        </w:rPr>
        <w:t xml:space="preserve"> Available at: </w:t>
      </w:r>
      <w:hyperlink r:id="rId8" w:history="1">
        <w:r w:rsidRPr="000A3582">
          <w:rPr>
            <w:rFonts w:ascii="Arial" w:hAnsi="Arial" w:cs="Arial"/>
            <w:color w:val="467886" w:themeColor="hyperlink"/>
            <w:kern w:val="0"/>
            <w:sz w:val="22"/>
            <w:szCs w:val="22"/>
            <w:u w:val="single"/>
            <w14:ligatures w14:val="none"/>
          </w:rPr>
          <w:t>https://anti-bullyingalliance.org.uk/tools-information/all-about-bullying/online-bullying/what-online-bullying</w:t>
        </w:r>
      </w:hyperlink>
      <w:r w:rsidRPr="000A3582">
        <w:rPr>
          <w:rFonts w:ascii="Arial" w:hAnsi="Arial" w:cs="Arial"/>
          <w:kern w:val="0"/>
          <w:sz w:val="22"/>
          <w:szCs w:val="22"/>
          <w14:ligatures w14:val="none"/>
        </w:rPr>
        <w:t xml:space="preserve"> (Accessed: 17 July 2026).</w:t>
      </w:r>
    </w:p>
    <w:p w14:paraId="5445A471"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Department for Science, Innovation and Technology (2026) </w:t>
      </w:r>
      <w:r w:rsidRPr="000A3582">
        <w:rPr>
          <w:rFonts w:ascii="Arial" w:hAnsi="Arial" w:cs="Arial"/>
          <w:i/>
          <w:iCs/>
          <w:kern w:val="0"/>
          <w:sz w:val="22"/>
          <w:szCs w:val="22"/>
          <w14:ligatures w14:val="none"/>
        </w:rPr>
        <w:t>Social media to be banned for under-16s in landmark government move to give kids their childhood back</w:t>
      </w:r>
      <w:r w:rsidRPr="000A3582">
        <w:rPr>
          <w:rFonts w:ascii="Arial" w:hAnsi="Arial" w:cs="Arial"/>
          <w:kern w:val="0"/>
          <w:sz w:val="22"/>
          <w:szCs w:val="22"/>
          <w14:ligatures w14:val="none"/>
        </w:rPr>
        <w:t xml:space="preserve">. GOV.UK. Available at: </w:t>
      </w:r>
      <w:hyperlink r:id="rId9" w:history="1">
        <w:r w:rsidRPr="000A3582">
          <w:rPr>
            <w:rFonts w:ascii="Arial" w:hAnsi="Arial" w:cs="Arial"/>
            <w:color w:val="467886" w:themeColor="hyperlink"/>
            <w:kern w:val="0"/>
            <w:sz w:val="22"/>
            <w:szCs w:val="22"/>
            <w:u w:val="single"/>
            <w14:ligatures w14:val="none"/>
          </w:rPr>
          <w:t>https://www.gov.uk/government/news/social-media-to-be-banned-for-under-16s-in-landmark-government-move-to-give-kids-their-childhood-back</w:t>
        </w:r>
      </w:hyperlink>
      <w:r w:rsidRPr="000A3582">
        <w:rPr>
          <w:rFonts w:ascii="Arial" w:hAnsi="Arial" w:cs="Arial"/>
          <w:kern w:val="0"/>
          <w:sz w:val="22"/>
          <w:szCs w:val="22"/>
          <w14:ligatures w14:val="none"/>
        </w:rPr>
        <w:t xml:space="preserve"> (Accessed: 18 July 2026).</w:t>
      </w:r>
    </w:p>
    <w:p w14:paraId="0EC26A61" w14:textId="77777777" w:rsidR="000A3582" w:rsidRPr="000A3582" w:rsidRDefault="000A3582" w:rsidP="000A3582">
      <w:pPr>
        <w:spacing w:after="0" w:line="360" w:lineRule="auto"/>
        <w:rPr>
          <w:rFonts w:ascii="Arial" w:eastAsia="Times New Roman" w:hAnsi="Arial" w:cs="Arial"/>
          <w:color w:val="000000"/>
          <w:kern w:val="0"/>
          <w:sz w:val="22"/>
          <w:szCs w:val="22"/>
          <w14:ligatures w14:val="none"/>
        </w:rPr>
      </w:pPr>
      <w:r w:rsidRPr="000A3582">
        <w:rPr>
          <w:rFonts w:ascii="Arial" w:eastAsia="Times New Roman" w:hAnsi="Arial" w:cs="Arial"/>
          <w:color w:val="000000"/>
          <w:kern w:val="0"/>
          <w:sz w:val="22"/>
          <w:szCs w:val="22"/>
          <w14:ligatures w14:val="none"/>
        </w:rPr>
        <w:t>Handbook of Attachment: Third Edition: Theory, Research, and Clinical Applications. (2016). [online] </w:t>
      </w:r>
      <w:r w:rsidRPr="000A3582">
        <w:rPr>
          <w:rFonts w:ascii="Arial" w:eastAsia="Times New Roman" w:hAnsi="Arial" w:cs="Arial"/>
          <w:i/>
          <w:iCs/>
          <w:color w:val="000000"/>
          <w:kern w:val="0"/>
          <w:sz w:val="22"/>
          <w:szCs w:val="22"/>
          <w14:ligatures w14:val="none"/>
        </w:rPr>
        <w:t>Guilford Press</w:t>
      </w:r>
      <w:r w:rsidRPr="000A3582">
        <w:rPr>
          <w:rFonts w:ascii="Arial" w:eastAsia="Times New Roman" w:hAnsi="Arial" w:cs="Arial"/>
          <w:color w:val="000000"/>
          <w:kern w:val="0"/>
          <w:sz w:val="22"/>
          <w:szCs w:val="22"/>
          <w14:ligatures w14:val="none"/>
        </w:rPr>
        <w:t xml:space="preserve">. Available at: </w:t>
      </w:r>
      <w:hyperlink r:id="rId10" w:history="1">
        <w:r w:rsidRPr="000A3582">
          <w:rPr>
            <w:rFonts w:ascii="Arial" w:eastAsia="Times New Roman" w:hAnsi="Arial" w:cs="Arial"/>
            <w:color w:val="467886" w:themeColor="hyperlink"/>
            <w:kern w:val="0"/>
            <w:sz w:val="22"/>
            <w:szCs w:val="22"/>
            <w:u w:val="single"/>
            <w14:ligatures w14:val="none"/>
          </w:rPr>
          <w:t>https://www.guilford.com/books/Handbook-of-Attachment/Cassidy-Shaver/9781462536641</w:t>
        </w:r>
      </w:hyperlink>
      <w:r w:rsidRPr="000A3582">
        <w:rPr>
          <w:rFonts w:ascii="Arial" w:eastAsia="Times New Roman" w:hAnsi="Arial" w:cs="Arial"/>
          <w:color w:val="000000"/>
          <w:kern w:val="0"/>
          <w:sz w:val="22"/>
          <w:szCs w:val="22"/>
          <w14:ligatures w14:val="none"/>
        </w:rPr>
        <w:t xml:space="preserve"> (Accessed 18th July 2026)</w:t>
      </w:r>
    </w:p>
    <w:p w14:paraId="5377D138"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p>
    <w:p w14:paraId="36A24436"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HelpGuide.org (2026) </w:t>
      </w:r>
      <w:r w:rsidRPr="000A3582">
        <w:rPr>
          <w:rFonts w:ascii="Arial" w:hAnsi="Arial" w:cs="Arial"/>
          <w:i/>
          <w:iCs/>
          <w:kern w:val="0"/>
          <w:sz w:val="22"/>
          <w:szCs w:val="22"/>
          <w14:ligatures w14:val="none"/>
        </w:rPr>
        <w:t>Erikson’s stages of psychosocial development explained</w:t>
      </w:r>
      <w:r w:rsidRPr="000A3582">
        <w:rPr>
          <w:rFonts w:ascii="Arial" w:hAnsi="Arial" w:cs="Arial"/>
          <w:kern w:val="0"/>
          <w:sz w:val="22"/>
          <w:szCs w:val="22"/>
          <w14:ligatures w14:val="none"/>
        </w:rPr>
        <w:t xml:space="preserve">. Available at: </w:t>
      </w:r>
      <w:hyperlink r:id="rId11" w:history="1">
        <w:r w:rsidRPr="000A3582">
          <w:rPr>
            <w:rFonts w:ascii="Arial" w:hAnsi="Arial" w:cs="Arial"/>
            <w:color w:val="467886" w:themeColor="hyperlink"/>
            <w:kern w:val="0"/>
            <w:sz w:val="22"/>
            <w:szCs w:val="22"/>
            <w:u w:val="single"/>
            <w14:ligatures w14:val="none"/>
          </w:rPr>
          <w:t>https://www.helpguide.org/mental-health/wellbeing/eriksons-stages-of-psychosocial-development</w:t>
        </w:r>
      </w:hyperlink>
      <w:r w:rsidRPr="000A3582">
        <w:rPr>
          <w:rFonts w:ascii="Arial" w:hAnsi="Arial" w:cs="Arial"/>
          <w:kern w:val="0"/>
          <w:sz w:val="22"/>
          <w:szCs w:val="22"/>
          <w14:ligatures w14:val="none"/>
        </w:rPr>
        <w:t xml:space="preserve"> (Accessed: 16 July 2026).</w:t>
      </w:r>
    </w:p>
    <w:p w14:paraId="0A1F908E"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proofErr w:type="spellStart"/>
      <w:r w:rsidRPr="000A3582">
        <w:rPr>
          <w:rFonts w:ascii="Arial" w:hAnsi="Arial" w:cs="Arial"/>
          <w:kern w:val="0"/>
          <w:sz w:val="22"/>
          <w:szCs w:val="22"/>
          <w14:ligatures w14:val="none"/>
        </w:rPr>
        <w:t>Nagata</w:t>
      </w:r>
      <w:proofErr w:type="spellEnd"/>
      <w:r w:rsidRPr="000A3582">
        <w:rPr>
          <w:rFonts w:ascii="Arial" w:hAnsi="Arial" w:cs="Arial"/>
          <w:kern w:val="0"/>
          <w:sz w:val="22"/>
          <w:szCs w:val="22"/>
          <w14:ligatures w14:val="none"/>
        </w:rPr>
        <w:t xml:space="preserve">, J.M., Huang, O., </w:t>
      </w:r>
      <w:proofErr w:type="spellStart"/>
      <w:r w:rsidRPr="000A3582">
        <w:rPr>
          <w:rFonts w:ascii="Arial" w:hAnsi="Arial" w:cs="Arial"/>
          <w:kern w:val="0"/>
          <w:sz w:val="22"/>
          <w:szCs w:val="22"/>
          <w14:ligatures w14:val="none"/>
        </w:rPr>
        <w:t>Hur</w:t>
      </w:r>
      <w:proofErr w:type="spellEnd"/>
      <w:r w:rsidRPr="000A3582">
        <w:rPr>
          <w:rFonts w:ascii="Arial" w:hAnsi="Arial" w:cs="Arial"/>
          <w:kern w:val="0"/>
          <w:sz w:val="22"/>
          <w:szCs w:val="22"/>
          <w14:ligatures w14:val="none"/>
        </w:rPr>
        <w:t xml:space="preserve">, J.O., Li, E.J. and Moreno, M.A. (2025) ‘Health benefits of social media use in adolescents and young adults’, </w:t>
      </w:r>
      <w:r w:rsidRPr="000A3582">
        <w:rPr>
          <w:rFonts w:ascii="Arial" w:hAnsi="Arial" w:cs="Arial"/>
          <w:i/>
          <w:iCs/>
          <w:kern w:val="0"/>
          <w:sz w:val="22"/>
          <w:szCs w:val="22"/>
          <w14:ligatures w14:val="none"/>
        </w:rPr>
        <w:t xml:space="preserve">Current </w:t>
      </w:r>
      <w:proofErr w:type="spellStart"/>
      <w:r w:rsidRPr="000A3582">
        <w:rPr>
          <w:rFonts w:ascii="Arial" w:hAnsi="Arial" w:cs="Arial"/>
          <w:i/>
          <w:iCs/>
          <w:kern w:val="0"/>
          <w:sz w:val="22"/>
          <w:szCs w:val="22"/>
          <w14:ligatures w14:val="none"/>
        </w:rPr>
        <w:t>Pediatrics</w:t>
      </w:r>
      <w:proofErr w:type="spellEnd"/>
      <w:r w:rsidRPr="000A3582">
        <w:rPr>
          <w:rFonts w:ascii="Arial" w:hAnsi="Arial" w:cs="Arial"/>
          <w:i/>
          <w:iCs/>
          <w:kern w:val="0"/>
          <w:sz w:val="22"/>
          <w:szCs w:val="22"/>
          <w14:ligatures w14:val="none"/>
        </w:rPr>
        <w:t xml:space="preserve"> Reports</w:t>
      </w:r>
      <w:r w:rsidRPr="000A3582">
        <w:rPr>
          <w:rFonts w:ascii="Arial" w:hAnsi="Arial" w:cs="Arial"/>
          <w:kern w:val="0"/>
          <w:sz w:val="22"/>
          <w:szCs w:val="22"/>
          <w14:ligatures w14:val="none"/>
        </w:rPr>
        <w:t xml:space="preserve">, 13(1). </w:t>
      </w:r>
      <w:proofErr w:type="spellStart"/>
      <w:r w:rsidRPr="000A3582">
        <w:rPr>
          <w:rFonts w:ascii="Arial" w:hAnsi="Arial" w:cs="Arial"/>
          <w:kern w:val="0"/>
          <w:sz w:val="22"/>
          <w:szCs w:val="22"/>
          <w14:ligatures w14:val="none"/>
        </w:rPr>
        <w:t>doi:10.1007</w:t>
      </w:r>
      <w:proofErr w:type="spellEnd"/>
      <w:r w:rsidRPr="000A3582">
        <w:rPr>
          <w:rFonts w:ascii="Arial" w:hAnsi="Arial" w:cs="Arial"/>
          <w:kern w:val="0"/>
          <w:sz w:val="22"/>
          <w:szCs w:val="22"/>
          <w14:ligatures w14:val="none"/>
        </w:rPr>
        <w:t>/s40124-025-00357-7.</w:t>
      </w:r>
    </w:p>
    <w:p w14:paraId="77F94F41"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New Vision Psychology (2024) </w:t>
      </w:r>
      <w:r w:rsidRPr="000A3582">
        <w:rPr>
          <w:rFonts w:ascii="Arial" w:hAnsi="Arial" w:cs="Arial"/>
          <w:i/>
          <w:iCs/>
          <w:kern w:val="0"/>
          <w:sz w:val="22"/>
          <w:szCs w:val="22"/>
          <w14:ligatures w14:val="none"/>
        </w:rPr>
        <w:t>Erikson’s 8 stages of psychosocial development explained</w:t>
      </w:r>
      <w:r w:rsidRPr="000A3582">
        <w:rPr>
          <w:rFonts w:ascii="Arial" w:hAnsi="Arial" w:cs="Arial"/>
          <w:kern w:val="0"/>
          <w:sz w:val="22"/>
          <w:szCs w:val="22"/>
          <w14:ligatures w14:val="none"/>
        </w:rPr>
        <w:t xml:space="preserve">. Available at: </w:t>
      </w:r>
      <w:hyperlink r:id="rId12" w:history="1">
        <w:r w:rsidRPr="000A3582">
          <w:rPr>
            <w:rFonts w:ascii="Arial" w:hAnsi="Arial" w:cs="Arial"/>
            <w:color w:val="467886" w:themeColor="hyperlink"/>
            <w:kern w:val="0"/>
            <w:sz w:val="22"/>
            <w:szCs w:val="22"/>
            <w:u w:val="single"/>
            <w14:ligatures w14:val="none"/>
          </w:rPr>
          <w:t>https://newvisionpsychology.com.au/general-counselling/erikson-stages-of-psychosocial-development/</w:t>
        </w:r>
      </w:hyperlink>
      <w:r w:rsidRPr="000A3582">
        <w:rPr>
          <w:rFonts w:ascii="Arial" w:hAnsi="Arial" w:cs="Arial"/>
          <w:kern w:val="0"/>
          <w:sz w:val="22"/>
          <w:szCs w:val="22"/>
          <w14:ligatures w14:val="none"/>
        </w:rPr>
        <w:t xml:space="preserve"> (Accessed: 26 July 2026).</w:t>
      </w:r>
    </w:p>
    <w:p w14:paraId="32626F3E"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lastRenderedPageBreak/>
        <w:t xml:space="preserve">Newman, L., </w:t>
      </w:r>
      <w:proofErr w:type="spellStart"/>
      <w:r w:rsidRPr="000A3582">
        <w:rPr>
          <w:rFonts w:ascii="Arial" w:hAnsi="Arial" w:cs="Arial"/>
          <w:kern w:val="0"/>
          <w:sz w:val="22"/>
          <w:szCs w:val="22"/>
          <w14:ligatures w14:val="none"/>
        </w:rPr>
        <w:t>Sivaratnam</w:t>
      </w:r>
      <w:proofErr w:type="spellEnd"/>
      <w:r w:rsidRPr="000A3582">
        <w:rPr>
          <w:rFonts w:ascii="Arial" w:hAnsi="Arial" w:cs="Arial"/>
          <w:kern w:val="0"/>
          <w:sz w:val="22"/>
          <w:szCs w:val="22"/>
          <w14:ligatures w14:val="none"/>
        </w:rPr>
        <w:t xml:space="preserve">, C. and </w:t>
      </w:r>
      <w:proofErr w:type="spellStart"/>
      <w:r w:rsidRPr="000A3582">
        <w:rPr>
          <w:rFonts w:ascii="Arial" w:hAnsi="Arial" w:cs="Arial"/>
          <w:kern w:val="0"/>
          <w:sz w:val="22"/>
          <w:szCs w:val="22"/>
          <w14:ligatures w14:val="none"/>
        </w:rPr>
        <w:t>Komiti</w:t>
      </w:r>
      <w:proofErr w:type="spellEnd"/>
      <w:r w:rsidRPr="000A3582">
        <w:rPr>
          <w:rFonts w:ascii="Arial" w:hAnsi="Arial" w:cs="Arial"/>
          <w:kern w:val="0"/>
          <w:sz w:val="22"/>
          <w:szCs w:val="22"/>
          <w14:ligatures w14:val="none"/>
        </w:rPr>
        <w:t xml:space="preserve">, A. (2015) ‘Attachment and early brain development – </w:t>
      </w:r>
      <w:proofErr w:type="spellStart"/>
      <w:r w:rsidRPr="000A3582">
        <w:rPr>
          <w:rFonts w:ascii="Arial" w:hAnsi="Arial" w:cs="Arial"/>
          <w:kern w:val="0"/>
          <w:sz w:val="22"/>
          <w:szCs w:val="22"/>
          <w14:ligatures w14:val="none"/>
        </w:rPr>
        <w:t>neuroprotective</w:t>
      </w:r>
      <w:proofErr w:type="spellEnd"/>
      <w:r w:rsidRPr="000A3582">
        <w:rPr>
          <w:rFonts w:ascii="Arial" w:hAnsi="Arial" w:cs="Arial"/>
          <w:kern w:val="0"/>
          <w:sz w:val="22"/>
          <w:szCs w:val="22"/>
          <w14:ligatures w14:val="none"/>
        </w:rPr>
        <w:t xml:space="preserve"> interventions in infant–caregiver therapy’, </w:t>
      </w:r>
      <w:r w:rsidRPr="000A3582">
        <w:rPr>
          <w:rFonts w:ascii="Arial" w:hAnsi="Arial" w:cs="Arial"/>
          <w:i/>
          <w:iCs/>
          <w:kern w:val="0"/>
          <w:sz w:val="22"/>
          <w:szCs w:val="22"/>
          <w14:ligatures w14:val="none"/>
        </w:rPr>
        <w:t>Translational Developmental Psychiatry</w:t>
      </w:r>
      <w:r w:rsidRPr="000A3582">
        <w:rPr>
          <w:rFonts w:ascii="Arial" w:hAnsi="Arial" w:cs="Arial"/>
          <w:kern w:val="0"/>
          <w:sz w:val="22"/>
          <w:szCs w:val="22"/>
          <w14:ligatures w14:val="none"/>
        </w:rPr>
        <w:t xml:space="preserve">, 3(1), p. 28647. </w:t>
      </w:r>
      <w:proofErr w:type="spellStart"/>
      <w:r w:rsidRPr="000A3582">
        <w:rPr>
          <w:rFonts w:ascii="Arial" w:hAnsi="Arial" w:cs="Arial"/>
          <w:kern w:val="0"/>
          <w:sz w:val="22"/>
          <w:szCs w:val="22"/>
          <w14:ligatures w14:val="none"/>
        </w:rPr>
        <w:t>doi:10.3402</w:t>
      </w:r>
      <w:proofErr w:type="spellEnd"/>
      <w:r w:rsidRPr="000A3582">
        <w:rPr>
          <w:rFonts w:ascii="Arial" w:hAnsi="Arial" w:cs="Arial"/>
          <w:kern w:val="0"/>
          <w:sz w:val="22"/>
          <w:szCs w:val="22"/>
          <w14:ligatures w14:val="none"/>
        </w:rPr>
        <w:t>/</w:t>
      </w:r>
      <w:proofErr w:type="spellStart"/>
      <w:r w:rsidRPr="000A3582">
        <w:rPr>
          <w:rFonts w:ascii="Arial" w:hAnsi="Arial" w:cs="Arial"/>
          <w:kern w:val="0"/>
          <w:sz w:val="22"/>
          <w:szCs w:val="22"/>
          <w14:ligatures w14:val="none"/>
        </w:rPr>
        <w:t>tdp.v3.28647</w:t>
      </w:r>
      <w:proofErr w:type="spellEnd"/>
      <w:r w:rsidRPr="000A3582">
        <w:rPr>
          <w:rFonts w:ascii="Arial" w:hAnsi="Arial" w:cs="Arial"/>
          <w:kern w:val="0"/>
          <w:sz w:val="22"/>
          <w:szCs w:val="22"/>
          <w14:ligatures w14:val="none"/>
        </w:rPr>
        <w:t>.</w:t>
      </w:r>
    </w:p>
    <w:p w14:paraId="05527651"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NSPCC Learning (2021) </w:t>
      </w:r>
      <w:r w:rsidRPr="000A3582">
        <w:rPr>
          <w:rFonts w:ascii="Arial" w:hAnsi="Arial" w:cs="Arial"/>
          <w:i/>
          <w:iCs/>
          <w:kern w:val="0"/>
          <w:sz w:val="22"/>
          <w:szCs w:val="22"/>
          <w14:ligatures w14:val="none"/>
        </w:rPr>
        <w:t>Attachment and child development</w:t>
      </w:r>
      <w:r w:rsidRPr="000A3582">
        <w:rPr>
          <w:rFonts w:ascii="Arial" w:hAnsi="Arial" w:cs="Arial"/>
          <w:kern w:val="0"/>
          <w:sz w:val="22"/>
          <w:szCs w:val="22"/>
          <w14:ligatures w14:val="none"/>
        </w:rPr>
        <w:t xml:space="preserve">. Available at: </w:t>
      </w:r>
      <w:hyperlink r:id="rId13" w:anchor="tooltip_content9461" w:history="1">
        <w:r w:rsidRPr="000A3582">
          <w:rPr>
            <w:rFonts w:ascii="Arial" w:hAnsi="Arial" w:cs="Arial"/>
            <w:color w:val="467886" w:themeColor="hyperlink"/>
            <w:kern w:val="0"/>
            <w:sz w:val="22"/>
            <w:szCs w:val="22"/>
            <w:u w:val="single"/>
            <w14:ligatures w14:val="none"/>
          </w:rPr>
          <w:t>https://learning.nspcc.org.uk/child-health-development/attachment-early-years#tooltip_content9461</w:t>
        </w:r>
      </w:hyperlink>
      <w:r w:rsidRPr="000A3582">
        <w:rPr>
          <w:rFonts w:ascii="Arial" w:hAnsi="Arial" w:cs="Arial"/>
          <w:kern w:val="0"/>
          <w:sz w:val="22"/>
          <w:szCs w:val="22"/>
          <w14:ligatures w14:val="none"/>
        </w:rPr>
        <w:t xml:space="preserve"> (Accessed: 16 July 2026).</w:t>
      </w:r>
    </w:p>
    <w:p w14:paraId="4791BE44"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proofErr w:type="spellStart"/>
      <w:r w:rsidRPr="000A3582">
        <w:rPr>
          <w:rFonts w:ascii="Arial" w:hAnsi="Arial" w:cs="Arial"/>
          <w:kern w:val="0"/>
          <w:sz w:val="22"/>
          <w:szCs w:val="22"/>
          <w14:ligatures w14:val="none"/>
        </w:rPr>
        <w:t>Orenstein</w:t>
      </w:r>
      <w:proofErr w:type="spellEnd"/>
      <w:r w:rsidRPr="000A3582">
        <w:rPr>
          <w:rFonts w:ascii="Arial" w:hAnsi="Arial" w:cs="Arial"/>
          <w:kern w:val="0"/>
          <w:sz w:val="22"/>
          <w:szCs w:val="22"/>
          <w14:ligatures w14:val="none"/>
        </w:rPr>
        <w:t xml:space="preserve">, G. and Lewis, L. (2022) </w:t>
      </w:r>
      <w:r w:rsidRPr="000A3582">
        <w:rPr>
          <w:rFonts w:ascii="Arial" w:hAnsi="Arial" w:cs="Arial"/>
          <w:i/>
          <w:iCs/>
          <w:kern w:val="0"/>
          <w:sz w:val="22"/>
          <w:szCs w:val="22"/>
          <w14:ligatures w14:val="none"/>
        </w:rPr>
        <w:t>Erikson’s stages of psychosocial development</w:t>
      </w:r>
      <w:r w:rsidRPr="000A3582">
        <w:rPr>
          <w:rFonts w:ascii="Arial" w:hAnsi="Arial" w:cs="Arial"/>
          <w:kern w:val="0"/>
          <w:sz w:val="22"/>
          <w:szCs w:val="22"/>
          <w14:ligatures w14:val="none"/>
        </w:rPr>
        <w:t xml:space="preserve">. Treasure Island (FL): StatPearls Publishing. Available at: </w:t>
      </w:r>
      <w:hyperlink r:id="rId14" w:history="1">
        <w:r w:rsidRPr="000A3582">
          <w:rPr>
            <w:rFonts w:ascii="Arial" w:hAnsi="Arial" w:cs="Arial"/>
            <w:color w:val="467886" w:themeColor="hyperlink"/>
            <w:kern w:val="0"/>
            <w:sz w:val="22"/>
            <w:szCs w:val="22"/>
            <w:u w:val="single"/>
            <w14:ligatures w14:val="none"/>
          </w:rPr>
          <w:t>https://www.ncbi.nlm.nih.gov/books/NBK556096/</w:t>
        </w:r>
      </w:hyperlink>
      <w:r w:rsidRPr="000A3582">
        <w:rPr>
          <w:rFonts w:ascii="Arial" w:hAnsi="Arial" w:cs="Arial"/>
          <w:kern w:val="0"/>
          <w:sz w:val="22"/>
          <w:szCs w:val="22"/>
          <w14:ligatures w14:val="none"/>
        </w:rPr>
        <w:t xml:space="preserve"> (Accessed: 18 July 2026).</w:t>
      </w:r>
    </w:p>
    <w:p w14:paraId="3D3D236D"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Parliament.uk (2017) </w:t>
      </w:r>
      <w:r w:rsidRPr="000A3582">
        <w:rPr>
          <w:rFonts w:ascii="Arial" w:hAnsi="Arial" w:cs="Arial"/>
          <w:i/>
          <w:iCs/>
          <w:kern w:val="0"/>
          <w:sz w:val="22"/>
          <w:szCs w:val="22"/>
          <w14:ligatures w14:val="none"/>
        </w:rPr>
        <w:t>SMH0155 – Evidence on impact of social media and screen-use on young people’s health</w:t>
      </w:r>
      <w:r w:rsidRPr="000A3582">
        <w:rPr>
          <w:rFonts w:ascii="Arial" w:hAnsi="Arial" w:cs="Arial"/>
          <w:kern w:val="0"/>
          <w:sz w:val="22"/>
          <w:szCs w:val="22"/>
          <w14:ligatures w14:val="none"/>
        </w:rPr>
        <w:t xml:space="preserve">. Available at: </w:t>
      </w:r>
      <w:hyperlink r:id="rId15" w:anchor="_ftn7" w:history="1">
        <w:r w:rsidRPr="000A3582">
          <w:rPr>
            <w:rFonts w:ascii="Arial" w:hAnsi="Arial" w:cs="Arial"/>
            <w:color w:val="467886" w:themeColor="hyperlink"/>
            <w:kern w:val="0"/>
            <w:sz w:val="22"/>
            <w:szCs w:val="22"/>
            <w:u w:val="single"/>
            <w14:ligatures w14:val="none"/>
          </w:rPr>
          <w:t>https://committees.parliament.uk/writtenevidence/89489/html/#_ftn7</w:t>
        </w:r>
      </w:hyperlink>
      <w:r w:rsidRPr="000A3582">
        <w:rPr>
          <w:rFonts w:ascii="Arial" w:hAnsi="Arial" w:cs="Arial"/>
          <w:kern w:val="0"/>
          <w:sz w:val="22"/>
          <w:szCs w:val="22"/>
          <w14:ligatures w14:val="none"/>
        </w:rPr>
        <w:t xml:space="preserve"> (Accessed: 19 July 2026).</w:t>
      </w:r>
    </w:p>
    <w:p w14:paraId="6D84D593"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Royal Society for Public Health (2017) </w:t>
      </w:r>
      <w:r w:rsidRPr="000A3582">
        <w:rPr>
          <w:rFonts w:ascii="Arial" w:hAnsi="Arial" w:cs="Arial"/>
          <w:i/>
          <w:iCs/>
          <w:kern w:val="0"/>
          <w:sz w:val="22"/>
          <w:szCs w:val="22"/>
          <w14:ligatures w14:val="none"/>
        </w:rPr>
        <w:t>#StatusOfMind</w:t>
      </w:r>
      <w:r w:rsidRPr="000A3582">
        <w:rPr>
          <w:rFonts w:ascii="Arial" w:hAnsi="Arial" w:cs="Arial"/>
          <w:kern w:val="0"/>
          <w:sz w:val="22"/>
          <w:szCs w:val="22"/>
          <w14:ligatures w14:val="none"/>
        </w:rPr>
        <w:t xml:space="preserve">. Available at: </w:t>
      </w:r>
      <w:hyperlink r:id="rId16" w:history="1">
        <w:r w:rsidRPr="000A3582">
          <w:rPr>
            <w:rFonts w:ascii="Arial" w:hAnsi="Arial" w:cs="Arial"/>
            <w:color w:val="467886" w:themeColor="hyperlink"/>
            <w:kern w:val="0"/>
            <w:sz w:val="22"/>
            <w:szCs w:val="22"/>
            <w:u w:val="single"/>
            <w14:ligatures w14:val="none"/>
          </w:rPr>
          <w:t>https://www.rsph.org.uk/our-work/publications/statusofmind/</w:t>
        </w:r>
      </w:hyperlink>
      <w:r w:rsidRPr="000A3582">
        <w:rPr>
          <w:rFonts w:ascii="Arial" w:hAnsi="Arial" w:cs="Arial"/>
          <w:kern w:val="0"/>
          <w:sz w:val="22"/>
          <w:szCs w:val="22"/>
          <w14:ligatures w14:val="none"/>
        </w:rPr>
        <w:t xml:space="preserve"> (Accessed: 17 July 2026).</w:t>
      </w:r>
    </w:p>
    <w:p w14:paraId="1C026576"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Tariq </w:t>
      </w:r>
      <w:proofErr w:type="spellStart"/>
      <w:r w:rsidRPr="000A3582">
        <w:rPr>
          <w:rFonts w:ascii="Arial" w:hAnsi="Arial" w:cs="Arial"/>
          <w:kern w:val="0"/>
          <w:sz w:val="22"/>
          <w:szCs w:val="22"/>
          <w14:ligatures w14:val="none"/>
        </w:rPr>
        <w:t>Masri-zada</w:t>
      </w:r>
      <w:proofErr w:type="spellEnd"/>
      <w:r w:rsidRPr="000A3582">
        <w:rPr>
          <w:rFonts w:ascii="Arial" w:hAnsi="Arial" w:cs="Arial"/>
          <w:kern w:val="0"/>
          <w:sz w:val="22"/>
          <w:szCs w:val="22"/>
          <w14:ligatures w14:val="none"/>
        </w:rPr>
        <w:t xml:space="preserve">, </w:t>
      </w:r>
      <w:proofErr w:type="spellStart"/>
      <w:r w:rsidRPr="000A3582">
        <w:rPr>
          <w:rFonts w:ascii="Arial" w:hAnsi="Arial" w:cs="Arial"/>
          <w:kern w:val="0"/>
          <w:sz w:val="22"/>
          <w:szCs w:val="22"/>
          <w14:ligatures w14:val="none"/>
        </w:rPr>
        <w:t>Martirosyan</w:t>
      </w:r>
      <w:proofErr w:type="spellEnd"/>
      <w:r w:rsidRPr="000A3582">
        <w:rPr>
          <w:rFonts w:ascii="Arial" w:hAnsi="Arial" w:cs="Arial"/>
          <w:kern w:val="0"/>
          <w:sz w:val="22"/>
          <w:szCs w:val="22"/>
          <w14:ligatures w14:val="none"/>
        </w:rPr>
        <w:t xml:space="preserve">, S., </w:t>
      </w:r>
      <w:proofErr w:type="spellStart"/>
      <w:r w:rsidRPr="000A3582">
        <w:rPr>
          <w:rFonts w:ascii="Arial" w:hAnsi="Arial" w:cs="Arial"/>
          <w:kern w:val="0"/>
          <w:sz w:val="22"/>
          <w:szCs w:val="22"/>
          <w14:ligatures w14:val="none"/>
        </w:rPr>
        <w:t>Abdou</w:t>
      </w:r>
      <w:proofErr w:type="spellEnd"/>
      <w:r w:rsidRPr="000A3582">
        <w:rPr>
          <w:rFonts w:ascii="Arial" w:hAnsi="Arial" w:cs="Arial"/>
          <w:kern w:val="0"/>
          <w:sz w:val="22"/>
          <w:szCs w:val="22"/>
          <w14:ligatures w14:val="none"/>
        </w:rPr>
        <w:t xml:space="preserve">, A., </w:t>
      </w:r>
      <w:proofErr w:type="spellStart"/>
      <w:r w:rsidRPr="000A3582">
        <w:rPr>
          <w:rFonts w:ascii="Arial" w:hAnsi="Arial" w:cs="Arial"/>
          <w:kern w:val="0"/>
          <w:sz w:val="22"/>
          <w:szCs w:val="22"/>
          <w14:ligatures w14:val="none"/>
        </w:rPr>
        <w:t>Barbar</w:t>
      </w:r>
      <w:proofErr w:type="spellEnd"/>
      <w:r w:rsidRPr="000A3582">
        <w:rPr>
          <w:rFonts w:ascii="Arial" w:hAnsi="Arial" w:cs="Arial"/>
          <w:kern w:val="0"/>
          <w:sz w:val="22"/>
          <w:szCs w:val="22"/>
          <w14:ligatures w14:val="none"/>
        </w:rPr>
        <w:t xml:space="preserve">, R., </w:t>
      </w:r>
      <w:proofErr w:type="spellStart"/>
      <w:r w:rsidRPr="000A3582">
        <w:rPr>
          <w:rFonts w:ascii="Arial" w:hAnsi="Arial" w:cs="Arial"/>
          <w:kern w:val="0"/>
          <w:sz w:val="22"/>
          <w:szCs w:val="22"/>
          <w14:ligatures w14:val="none"/>
        </w:rPr>
        <w:t>Kades</w:t>
      </w:r>
      <w:proofErr w:type="spellEnd"/>
      <w:r w:rsidRPr="000A3582">
        <w:rPr>
          <w:rFonts w:ascii="Arial" w:hAnsi="Arial" w:cs="Arial"/>
          <w:kern w:val="0"/>
          <w:sz w:val="22"/>
          <w:szCs w:val="22"/>
          <w14:ligatures w14:val="none"/>
        </w:rPr>
        <w:t xml:space="preserve">, S., </w:t>
      </w:r>
      <w:proofErr w:type="spellStart"/>
      <w:r w:rsidRPr="000A3582">
        <w:rPr>
          <w:rFonts w:ascii="Arial" w:hAnsi="Arial" w:cs="Arial"/>
          <w:kern w:val="0"/>
          <w:sz w:val="22"/>
          <w:szCs w:val="22"/>
          <w14:ligatures w14:val="none"/>
        </w:rPr>
        <w:t>Makki</w:t>
      </w:r>
      <w:proofErr w:type="spellEnd"/>
      <w:r w:rsidRPr="000A3582">
        <w:rPr>
          <w:rFonts w:ascii="Arial" w:hAnsi="Arial" w:cs="Arial"/>
          <w:kern w:val="0"/>
          <w:sz w:val="22"/>
          <w:szCs w:val="22"/>
          <w14:ligatures w14:val="none"/>
        </w:rPr>
        <w:t xml:space="preserve">, H., Haley, G. and </w:t>
      </w:r>
      <w:proofErr w:type="spellStart"/>
      <w:r w:rsidRPr="000A3582">
        <w:rPr>
          <w:rFonts w:ascii="Arial" w:hAnsi="Arial" w:cs="Arial"/>
          <w:kern w:val="0"/>
          <w:sz w:val="22"/>
          <w:szCs w:val="22"/>
          <w14:ligatures w14:val="none"/>
        </w:rPr>
        <w:t>Agrawal</w:t>
      </w:r>
      <w:proofErr w:type="spellEnd"/>
      <w:r w:rsidRPr="000A3582">
        <w:rPr>
          <w:rFonts w:ascii="Arial" w:hAnsi="Arial" w:cs="Arial"/>
          <w:kern w:val="0"/>
          <w:sz w:val="22"/>
          <w:szCs w:val="22"/>
          <w14:ligatures w14:val="none"/>
        </w:rPr>
        <w:t xml:space="preserve">, D.K. (2025) ‘The impact of social media and technology on child and adolescent mental health’, </w:t>
      </w:r>
      <w:r w:rsidRPr="000A3582">
        <w:rPr>
          <w:rFonts w:ascii="Arial" w:hAnsi="Arial" w:cs="Arial"/>
          <w:i/>
          <w:iCs/>
          <w:kern w:val="0"/>
          <w:sz w:val="22"/>
          <w:szCs w:val="22"/>
          <w14:ligatures w14:val="none"/>
        </w:rPr>
        <w:t>Journal of Psychiatry and Psychiatric Disorders</w:t>
      </w:r>
      <w:r w:rsidRPr="000A3582">
        <w:rPr>
          <w:rFonts w:ascii="Arial" w:hAnsi="Arial" w:cs="Arial"/>
          <w:kern w:val="0"/>
          <w:sz w:val="22"/>
          <w:szCs w:val="22"/>
          <w14:ligatures w14:val="none"/>
        </w:rPr>
        <w:t xml:space="preserve">, 9(2), p. 111. Available at: </w:t>
      </w:r>
      <w:hyperlink r:id="rId17" w:history="1">
        <w:r w:rsidRPr="000A3582">
          <w:rPr>
            <w:rFonts w:ascii="Arial" w:hAnsi="Arial" w:cs="Arial"/>
            <w:color w:val="467886" w:themeColor="hyperlink"/>
            <w:kern w:val="0"/>
            <w:sz w:val="22"/>
            <w:szCs w:val="22"/>
            <w:u w:val="single"/>
            <w14:ligatures w14:val="none"/>
          </w:rPr>
          <w:t>https://pmc.ncbi.nlm.nih.gov/articles/PMC12165459/</w:t>
        </w:r>
      </w:hyperlink>
      <w:r w:rsidRPr="000A3582">
        <w:rPr>
          <w:rFonts w:ascii="Arial" w:hAnsi="Arial" w:cs="Arial"/>
          <w:kern w:val="0"/>
          <w:sz w:val="22"/>
          <w:szCs w:val="22"/>
          <w14:ligatures w14:val="none"/>
        </w:rPr>
        <w:t xml:space="preserve"> (Accessed: 16 July 2026).</w:t>
      </w:r>
    </w:p>
    <w:p w14:paraId="22FB197D"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WHO (2025) </w:t>
      </w:r>
      <w:r w:rsidRPr="000A3582">
        <w:rPr>
          <w:rFonts w:ascii="Arial" w:hAnsi="Arial" w:cs="Arial"/>
          <w:i/>
          <w:iCs/>
          <w:kern w:val="0"/>
          <w:sz w:val="22"/>
          <w:szCs w:val="22"/>
          <w14:ligatures w14:val="none"/>
        </w:rPr>
        <w:t>Adolescent health</w:t>
      </w:r>
      <w:r w:rsidRPr="000A3582">
        <w:rPr>
          <w:rFonts w:ascii="Arial" w:hAnsi="Arial" w:cs="Arial"/>
          <w:kern w:val="0"/>
          <w:sz w:val="22"/>
          <w:szCs w:val="22"/>
          <w14:ligatures w14:val="none"/>
        </w:rPr>
        <w:t xml:space="preserve">. Available at: </w:t>
      </w:r>
      <w:hyperlink r:id="rId18" w:anchor="tab=tab_1" w:history="1">
        <w:r w:rsidRPr="000A3582">
          <w:rPr>
            <w:rFonts w:ascii="Arial" w:hAnsi="Arial" w:cs="Arial"/>
            <w:color w:val="467886" w:themeColor="hyperlink"/>
            <w:kern w:val="0"/>
            <w:sz w:val="22"/>
            <w:szCs w:val="22"/>
            <w:u w:val="single"/>
            <w14:ligatures w14:val="none"/>
          </w:rPr>
          <w:t>https://www.who.int/health-topics/adolescent-health#tab=tab_1</w:t>
        </w:r>
      </w:hyperlink>
      <w:r w:rsidRPr="000A3582">
        <w:rPr>
          <w:rFonts w:ascii="Arial" w:hAnsi="Arial" w:cs="Arial"/>
          <w:kern w:val="0"/>
          <w:sz w:val="22"/>
          <w:szCs w:val="22"/>
          <w14:ligatures w14:val="none"/>
        </w:rPr>
        <w:t xml:space="preserve"> (Accessed: 18 July 2026).</w:t>
      </w:r>
    </w:p>
    <w:p w14:paraId="160D9E0A"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Woodhouse, J., </w:t>
      </w:r>
      <w:proofErr w:type="spellStart"/>
      <w:r w:rsidRPr="000A3582">
        <w:rPr>
          <w:rFonts w:ascii="Arial" w:hAnsi="Arial" w:cs="Arial"/>
          <w:kern w:val="0"/>
          <w:sz w:val="22"/>
          <w:szCs w:val="22"/>
          <w14:ligatures w14:val="none"/>
        </w:rPr>
        <w:t>Lalic</w:t>
      </w:r>
      <w:proofErr w:type="spellEnd"/>
      <w:r w:rsidRPr="000A3582">
        <w:rPr>
          <w:rFonts w:ascii="Arial" w:hAnsi="Arial" w:cs="Arial"/>
          <w:kern w:val="0"/>
          <w:sz w:val="22"/>
          <w:szCs w:val="22"/>
          <w14:ligatures w14:val="none"/>
        </w:rPr>
        <w:t xml:space="preserve">, M. and </w:t>
      </w:r>
      <w:proofErr w:type="spellStart"/>
      <w:r w:rsidRPr="000A3582">
        <w:rPr>
          <w:rFonts w:ascii="Arial" w:hAnsi="Arial" w:cs="Arial"/>
          <w:kern w:val="0"/>
          <w:sz w:val="22"/>
          <w:szCs w:val="22"/>
          <w14:ligatures w14:val="none"/>
        </w:rPr>
        <w:t>Zayed</w:t>
      </w:r>
      <w:proofErr w:type="spellEnd"/>
      <w:r w:rsidRPr="000A3582">
        <w:rPr>
          <w:rFonts w:ascii="Arial" w:hAnsi="Arial" w:cs="Arial"/>
          <w:kern w:val="0"/>
          <w:sz w:val="22"/>
          <w:szCs w:val="22"/>
          <w14:ligatures w14:val="none"/>
        </w:rPr>
        <w:t xml:space="preserve">, Y. (2026) </w:t>
      </w:r>
      <w:r w:rsidRPr="000A3582">
        <w:rPr>
          <w:rFonts w:ascii="Arial" w:hAnsi="Arial" w:cs="Arial"/>
          <w:i/>
          <w:iCs/>
          <w:kern w:val="0"/>
          <w:sz w:val="22"/>
          <w:szCs w:val="22"/>
          <w14:ligatures w14:val="none"/>
        </w:rPr>
        <w:t>Proposals to ban social media for children</w:t>
      </w:r>
      <w:r w:rsidRPr="000A3582">
        <w:rPr>
          <w:rFonts w:ascii="Arial" w:hAnsi="Arial" w:cs="Arial"/>
          <w:kern w:val="0"/>
          <w:sz w:val="22"/>
          <w:szCs w:val="22"/>
          <w14:ligatures w14:val="none"/>
        </w:rPr>
        <w:t xml:space="preserve">. House of Commons Library. Available at: </w:t>
      </w:r>
      <w:hyperlink r:id="rId19" w:history="1">
        <w:r w:rsidRPr="000A3582">
          <w:rPr>
            <w:rFonts w:ascii="Arial" w:hAnsi="Arial" w:cs="Arial"/>
            <w:color w:val="467886" w:themeColor="hyperlink"/>
            <w:kern w:val="0"/>
            <w:sz w:val="22"/>
            <w:szCs w:val="22"/>
            <w:u w:val="single"/>
            <w14:ligatures w14:val="none"/>
          </w:rPr>
          <w:t>https://commonslibrary.parliament.uk/research-briefings/cbp-10468/</w:t>
        </w:r>
      </w:hyperlink>
      <w:r w:rsidRPr="000A3582">
        <w:rPr>
          <w:rFonts w:ascii="Arial" w:hAnsi="Arial" w:cs="Arial"/>
          <w:kern w:val="0"/>
          <w:sz w:val="22"/>
          <w:szCs w:val="22"/>
          <w14:ligatures w14:val="none"/>
        </w:rPr>
        <w:t xml:space="preserve"> (Accessed: 16 July 2026).</w:t>
      </w:r>
    </w:p>
    <w:p w14:paraId="2374A001" w14:textId="77777777"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World Health </w:t>
      </w:r>
      <w:proofErr w:type="spellStart"/>
      <w:r w:rsidRPr="000A3582">
        <w:rPr>
          <w:rFonts w:ascii="Arial" w:hAnsi="Arial" w:cs="Arial"/>
          <w:kern w:val="0"/>
          <w:sz w:val="22"/>
          <w:szCs w:val="22"/>
          <w14:ligatures w14:val="none"/>
        </w:rPr>
        <w:t>Organization</w:t>
      </w:r>
      <w:proofErr w:type="spellEnd"/>
      <w:r w:rsidRPr="000A3582">
        <w:rPr>
          <w:rFonts w:ascii="Arial" w:hAnsi="Arial" w:cs="Arial"/>
          <w:kern w:val="0"/>
          <w:sz w:val="22"/>
          <w:szCs w:val="22"/>
          <w14:ligatures w14:val="none"/>
        </w:rPr>
        <w:t xml:space="preserve"> (2024) </w:t>
      </w:r>
      <w:r w:rsidRPr="000A3582">
        <w:rPr>
          <w:rFonts w:ascii="Arial" w:hAnsi="Arial" w:cs="Arial"/>
          <w:i/>
          <w:iCs/>
          <w:kern w:val="0"/>
          <w:sz w:val="22"/>
          <w:szCs w:val="22"/>
          <w14:ligatures w14:val="none"/>
        </w:rPr>
        <w:t>Teens, screens and mental health</w:t>
      </w:r>
      <w:r w:rsidRPr="000A3582">
        <w:rPr>
          <w:rFonts w:ascii="Arial" w:hAnsi="Arial" w:cs="Arial"/>
          <w:kern w:val="0"/>
          <w:sz w:val="22"/>
          <w:szCs w:val="22"/>
          <w14:ligatures w14:val="none"/>
        </w:rPr>
        <w:t xml:space="preserve">. Available at: </w:t>
      </w:r>
      <w:hyperlink r:id="rId20" w:history="1">
        <w:r w:rsidRPr="000A3582">
          <w:rPr>
            <w:rFonts w:ascii="Arial" w:hAnsi="Arial" w:cs="Arial"/>
            <w:color w:val="467886" w:themeColor="hyperlink"/>
            <w:kern w:val="0"/>
            <w:sz w:val="22"/>
            <w:szCs w:val="22"/>
            <w:u w:val="single"/>
            <w14:ligatures w14:val="none"/>
          </w:rPr>
          <w:t>https://www.who.int/europe/news/item/25-09-2024-teens–screens-and-mental-health</w:t>
        </w:r>
      </w:hyperlink>
      <w:r w:rsidRPr="000A3582">
        <w:rPr>
          <w:rFonts w:ascii="Arial" w:hAnsi="Arial" w:cs="Arial"/>
          <w:kern w:val="0"/>
          <w:sz w:val="22"/>
          <w:szCs w:val="22"/>
          <w14:ligatures w14:val="none"/>
        </w:rPr>
        <w:t xml:space="preserve"> (Accessed: 20 July 2026).</w:t>
      </w:r>
    </w:p>
    <w:p w14:paraId="0F58EF3D" w14:textId="054715D4" w:rsidR="000A3582" w:rsidRPr="000A3582" w:rsidRDefault="000A3582" w:rsidP="000A3582">
      <w:pPr>
        <w:spacing w:before="100" w:beforeAutospacing="1" w:after="100" w:afterAutospacing="1" w:line="360" w:lineRule="auto"/>
        <w:rPr>
          <w:rFonts w:ascii="Arial" w:hAnsi="Arial" w:cs="Arial"/>
          <w:kern w:val="0"/>
          <w:sz w:val="22"/>
          <w:szCs w:val="22"/>
          <w14:ligatures w14:val="none"/>
        </w:rPr>
      </w:pPr>
      <w:r w:rsidRPr="000A3582">
        <w:rPr>
          <w:rFonts w:ascii="Arial" w:hAnsi="Arial" w:cs="Arial"/>
          <w:kern w:val="0"/>
          <w:sz w:val="22"/>
          <w:szCs w:val="22"/>
          <w14:ligatures w14:val="none"/>
        </w:rPr>
        <w:t xml:space="preserve">Xu, Y. (2023) ‘An exploration of the role played by attachment factors in the formation of social media addiction from a cognition-affect-conation perspective’, </w:t>
      </w:r>
      <w:proofErr w:type="spellStart"/>
      <w:r w:rsidRPr="000A3582">
        <w:rPr>
          <w:rFonts w:ascii="Arial" w:hAnsi="Arial" w:cs="Arial"/>
          <w:i/>
          <w:iCs/>
          <w:kern w:val="0"/>
          <w:sz w:val="22"/>
          <w:szCs w:val="22"/>
          <w14:ligatures w14:val="none"/>
        </w:rPr>
        <w:t>Acta</w:t>
      </w:r>
      <w:proofErr w:type="spellEnd"/>
      <w:r w:rsidRPr="000A3582">
        <w:rPr>
          <w:rFonts w:ascii="Arial" w:hAnsi="Arial" w:cs="Arial"/>
          <w:i/>
          <w:iCs/>
          <w:kern w:val="0"/>
          <w:sz w:val="22"/>
          <w:szCs w:val="22"/>
          <w14:ligatures w14:val="none"/>
        </w:rPr>
        <w:t xml:space="preserve"> </w:t>
      </w:r>
      <w:proofErr w:type="spellStart"/>
      <w:r w:rsidRPr="000A3582">
        <w:rPr>
          <w:rFonts w:ascii="Arial" w:hAnsi="Arial" w:cs="Arial"/>
          <w:i/>
          <w:iCs/>
          <w:kern w:val="0"/>
          <w:sz w:val="22"/>
          <w:szCs w:val="22"/>
          <w14:ligatures w14:val="none"/>
        </w:rPr>
        <w:t>Psychologica</w:t>
      </w:r>
      <w:proofErr w:type="spellEnd"/>
      <w:r w:rsidRPr="000A3582">
        <w:rPr>
          <w:rFonts w:ascii="Arial" w:hAnsi="Arial" w:cs="Arial"/>
          <w:kern w:val="0"/>
          <w:sz w:val="22"/>
          <w:szCs w:val="22"/>
          <w14:ligatures w14:val="none"/>
        </w:rPr>
        <w:t xml:space="preserve">, 236, p. 103904. </w:t>
      </w:r>
      <w:proofErr w:type="spellStart"/>
      <w:r w:rsidRPr="000A3582">
        <w:rPr>
          <w:rFonts w:ascii="Arial" w:hAnsi="Arial" w:cs="Arial"/>
          <w:kern w:val="0"/>
          <w:sz w:val="22"/>
          <w:szCs w:val="22"/>
          <w14:ligatures w14:val="none"/>
        </w:rPr>
        <w:t>doi:10.1016</w:t>
      </w:r>
      <w:proofErr w:type="spellEnd"/>
      <w:r w:rsidRPr="000A3582">
        <w:rPr>
          <w:rFonts w:ascii="Arial" w:hAnsi="Arial" w:cs="Arial"/>
          <w:kern w:val="0"/>
          <w:sz w:val="22"/>
          <w:szCs w:val="22"/>
          <w14:ligatures w14:val="none"/>
        </w:rPr>
        <w:t>/</w:t>
      </w:r>
      <w:proofErr w:type="spellStart"/>
      <w:r w:rsidRPr="000A3582">
        <w:rPr>
          <w:rFonts w:ascii="Arial" w:hAnsi="Arial" w:cs="Arial"/>
          <w:kern w:val="0"/>
          <w:sz w:val="22"/>
          <w:szCs w:val="22"/>
          <w14:ligatures w14:val="none"/>
        </w:rPr>
        <w:t>j.actpsy.2023.103904</w:t>
      </w:r>
      <w:proofErr w:type="spellEnd"/>
      <w:r w:rsidRPr="000A3582">
        <w:rPr>
          <w:rFonts w:ascii="Arial" w:hAnsi="Arial" w:cs="Arial"/>
          <w:kern w:val="0"/>
          <w:sz w:val="22"/>
          <w:szCs w:val="22"/>
          <w14:ligatures w14:val="none"/>
        </w:rPr>
        <w:t>.</w:t>
      </w:r>
    </w:p>
    <w:sectPr w:rsidR="000A3582" w:rsidRPr="000A3582">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29C589" w14:textId="77777777" w:rsidR="00D24FCE" w:rsidRDefault="00D24FCE" w:rsidP="002431B5">
      <w:pPr>
        <w:spacing w:after="0" w:line="240" w:lineRule="auto"/>
      </w:pPr>
      <w:r>
        <w:separator/>
      </w:r>
    </w:p>
  </w:endnote>
  <w:endnote w:type="continuationSeparator" w:id="0">
    <w:p w14:paraId="56DF5648" w14:textId="77777777" w:rsidR="00D24FCE" w:rsidRDefault="00D24FCE" w:rsidP="00243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68782733"/>
      <w:docPartObj>
        <w:docPartGallery w:val="Page Numbers (Bottom of Page)"/>
        <w:docPartUnique/>
      </w:docPartObj>
    </w:sdtPr>
    <w:sdtContent>
      <w:p w14:paraId="610CA15B" w14:textId="08792D29" w:rsidR="000F71DE" w:rsidRDefault="000F71DE" w:rsidP="0093322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1A9F42" w14:textId="77777777" w:rsidR="000F71DE" w:rsidRDefault="000F71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49691280"/>
      <w:docPartObj>
        <w:docPartGallery w:val="Page Numbers (Bottom of Page)"/>
        <w:docPartUnique/>
      </w:docPartObj>
    </w:sdtPr>
    <w:sdtContent>
      <w:p w14:paraId="00D0EA2F" w14:textId="47D132EA" w:rsidR="000F71DE" w:rsidRDefault="000F71DE" w:rsidP="0093322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38A4651" w14:textId="77777777" w:rsidR="000F71DE" w:rsidRDefault="000F7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8EB34A" w14:textId="77777777" w:rsidR="00D24FCE" w:rsidRDefault="00D24FCE" w:rsidP="002431B5">
      <w:pPr>
        <w:spacing w:after="0" w:line="240" w:lineRule="auto"/>
      </w:pPr>
      <w:r>
        <w:separator/>
      </w:r>
    </w:p>
  </w:footnote>
  <w:footnote w:type="continuationSeparator" w:id="0">
    <w:p w14:paraId="17BCAB8E" w14:textId="77777777" w:rsidR="00D24FCE" w:rsidRDefault="00D24FCE" w:rsidP="002431B5">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DDE"/>
    <w:rsid w:val="000511E8"/>
    <w:rsid w:val="000A3582"/>
    <w:rsid w:val="000D6914"/>
    <w:rsid w:val="000F71DE"/>
    <w:rsid w:val="00175D43"/>
    <w:rsid w:val="002431B5"/>
    <w:rsid w:val="002719D9"/>
    <w:rsid w:val="002D275D"/>
    <w:rsid w:val="003223EA"/>
    <w:rsid w:val="003454D1"/>
    <w:rsid w:val="003475CF"/>
    <w:rsid w:val="0039188D"/>
    <w:rsid w:val="003D0EF7"/>
    <w:rsid w:val="003D7FC5"/>
    <w:rsid w:val="00416242"/>
    <w:rsid w:val="00423DE0"/>
    <w:rsid w:val="00434624"/>
    <w:rsid w:val="004B760D"/>
    <w:rsid w:val="004C59AF"/>
    <w:rsid w:val="00543B63"/>
    <w:rsid w:val="00543E22"/>
    <w:rsid w:val="00585E70"/>
    <w:rsid w:val="005B4BAF"/>
    <w:rsid w:val="005E351E"/>
    <w:rsid w:val="00631A63"/>
    <w:rsid w:val="006572E8"/>
    <w:rsid w:val="00692A99"/>
    <w:rsid w:val="00696BBF"/>
    <w:rsid w:val="006D0076"/>
    <w:rsid w:val="006E350E"/>
    <w:rsid w:val="006E5DCD"/>
    <w:rsid w:val="00737B9B"/>
    <w:rsid w:val="00742F1C"/>
    <w:rsid w:val="00842243"/>
    <w:rsid w:val="008E6A1B"/>
    <w:rsid w:val="00902756"/>
    <w:rsid w:val="00902DE9"/>
    <w:rsid w:val="00965945"/>
    <w:rsid w:val="009C3311"/>
    <w:rsid w:val="00A95A77"/>
    <w:rsid w:val="00AA57D0"/>
    <w:rsid w:val="00AB2FF5"/>
    <w:rsid w:val="00C144F1"/>
    <w:rsid w:val="00C51DDE"/>
    <w:rsid w:val="00D01C62"/>
    <w:rsid w:val="00D24FCE"/>
    <w:rsid w:val="00D74E6E"/>
    <w:rsid w:val="00D92726"/>
    <w:rsid w:val="00DB1C8E"/>
    <w:rsid w:val="00E34C91"/>
    <w:rsid w:val="00E85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B6881"/>
  <w15:chartTrackingRefBased/>
  <w15:docId w15:val="{172B8C87-6F92-EE4C-9B77-1B268325C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D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D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D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D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D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D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D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D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D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D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DDE"/>
    <w:rPr>
      <w:rFonts w:eastAsiaTheme="majorEastAsia" w:cstheme="majorBidi"/>
      <w:color w:val="272727" w:themeColor="text1" w:themeTint="D8"/>
    </w:rPr>
  </w:style>
  <w:style w:type="paragraph" w:styleId="Title">
    <w:name w:val="Title"/>
    <w:basedOn w:val="Normal"/>
    <w:next w:val="Normal"/>
    <w:link w:val="TitleChar"/>
    <w:uiPriority w:val="10"/>
    <w:qFormat/>
    <w:rsid w:val="00C51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D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DDE"/>
    <w:pPr>
      <w:spacing w:before="160"/>
      <w:jc w:val="center"/>
    </w:pPr>
    <w:rPr>
      <w:i/>
      <w:iCs/>
      <w:color w:val="404040" w:themeColor="text1" w:themeTint="BF"/>
    </w:rPr>
  </w:style>
  <w:style w:type="character" w:customStyle="1" w:styleId="QuoteChar">
    <w:name w:val="Quote Char"/>
    <w:basedOn w:val="DefaultParagraphFont"/>
    <w:link w:val="Quote"/>
    <w:uiPriority w:val="29"/>
    <w:rsid w:val="00C51DDE"/>
    <w:rPr>
      <w:i/>
      <w:iCs/>
      <w:color w:val="404040" w:themeColor="text1" w:themeTint="BF"/>
    </w:rPr>
  </w:style>
  <w:style w:type="paragraph" w:styleId="ListParagraph">
    <w:name w:val="List Paragraph"/>
    <w:basedOn w:val="Normal"/>
    <w:uiPriority w:val="34"/>
    <w:qFormat/>
    <w:rsid w:val="00C51DDE"/>
    <w:pPr>
      <w:ind w:left="720"/>
      <w:contextualSpacing/>
    </w:pPr>
  </w:style>
  <w:style w:type="character" w:styleId="IntenseEmphasis">
    <w:name w:val="Intense Emphasis"/>
    <w:basedOn w:val="DefaultParagraphFont"/>
    <w:uiPriority w:val="21"/>
    <w:qFormat/>
    <w:rsid w:val="00C51DDE"/>
    <w:rPr>
      <w:i/>
      <w:iCs/>
      <w:color w:val="0F4761" w:themeColor="accent1" w:themeShade="BF"/>
    </w:rPr>
  </w:style>
  <w:style w:type="paragraph" w:styleId="IntenseQuote">
    <w:name w:val="Intense Quote"/>
    <w:basedOn w:val="Normal"/>
    <w:next w:val="Normal"/>
    <w:link w:val="IntenseQuoteChar"/>
    <w:uiPriority w:val="30"/>
    <w:qFormat/>
    <w:rsid w:val="00C51D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DDE"/>
    <w:rPr>
      <w:i/>
      <w:iCs/>
      <w:color w:val="0F4761" w:themeColor="accent1" w:themeShade="BF"/>
    </w:rPr>
  </w:style>
  <w:style w:type="character" w:styleId="IntenseReference">
    <w:name w:val="Intense Reference"/>
    <w:basedOn w:val="DefaultParagraphFont"/>
    <w:uiPriority w:val="32"/>
    <w:qFormat/>
    <w:rsid w:val="00C51DDE"/>
    <w:rPr>
      <w:b/>
      <w:bCs/>
      <w:smallCaps/>
      <w:color w:val="0F4761" w:themeColor="accent1" w:themeShade="BF"/>
      <w:spacing w:val="5"/>
    </w:rPr>
  </w:style>
  <w:style w:type="paragraph" w:customStyle="1" w:styleId="p1">
    <w:name w:val="p1"/>
    <w:basedOn w:val="Normal"/>
    <w:rsid w:val="00C51DDE"/>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C51DDE"/>
    <w:rPr>
      <w:rFonts w:ascii="Helvetica" w:hAnsi="Helvetica" w:hint="default"/>
      <w:b w:val="0"/>
      <w:bCs w:val="0"/>
      <w:i w:val="0"/>
      <w:iCs w:val="0"/>
      <w:sz w:val="18"/>
      <w:szCs w:val="18"/>
    </w:rPr>
  </w:style>
  <w:style w:type="paragraph" w:styleId="Header">
    <w:name w:val="header"/>
    <w:basedOn w:val="Normal"/>
    <w:link w:val="HeaderChar"/>
    <w:uiPriority w:val="99"/>
    <w:unhideWhenUsed/>
    <w:rsid w:val="00243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1B5"/>
  </w:style>
  <w:style w:type="paragraph" w:styleId="Footer">
    <w:name w:val="footer"/>
    <w:basedOn w:val="Normal"/>
    <w:link w:val="FooterChar"/>
    <w:uiPriority w:val="99"/>
    <w:unhideWhenUsed/>
    <w:rsid w:val="00243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1B5"/>
  </w:style>
  <w:style w:type="character" w:styleId="Hyperlink">
    <w:name w:val="Hyperlink"/>
    <w:basedOn w:val="DefaultParagraphFont"/>
    <w:uiPriority w:val="99"/>
    <w:unhideWhenUsed/>
    <w:rsid w:val="000A3582"/>
    <w:rPr>
      <w:color w:val="467886" w:themeColor="hyperlink"/>
      <w:u w:val="single"/>
    </w:rPr>
  </w:style>
  <w:style w:type="character" w:customStyle="1" w:styleId="s2">
    <w:name w:val="s2"/>
    <w:basedOn w:val="DefaultParagraphFont"/>
    <w:rsid w:val="000A3582"/>
  </w:style>
  <w:style w:type="paragraph" w:customStyle="1" w:styleId="p3">
    <w:name w:val="p3"/>
    <w:basedOn w:val="Normal"/>
    <w:rsid w:val="000A3582"/>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0F7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ti-bullyingalliance.org.uk/tools-information/all-about-bullying/online-bullying/what-online-bullying" TargetMode="External"/><Relationship Id="rId13" Type="http://schemas.openxmlformats.org/officeDocument/2006/relationships/hyperlink" Target="https://learning.nspcc.org.uk/child-health-development/attachment-early-years" TargetMode="External"/><Relationship Id="rId18" Type="http://schemas.openxmlformats.org/officeDocument/2006/relationships/hyperlink" Target="https://www.who.int/health-topics/adolescent-health"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ukat.co.uk/addiction/behavioural/social-media/" TargetMode="External"/><Relationship Id="rId12" Type="http://schemas.openxmlformats.org/officeDocument/2006/relationships/hyperlink" Target="https://newvisionpsychology.com.au/general-counselling/erikson-stages-of-psychosocial-development/" TargetMode="External"/><Relationship Id="rId17" Type="http://schemas.openxmlformats.org/officeDocument/2006/relationships/hyperlink" Target="https://pmc.ncbi.nlm.nih.gov/articles/PMC12165459/" TargetMode="External"/><Relationship Id="rId2" Type="http://schemas.openxmlformats.org/officeDocument/2006/relationships/settings" Target="settings.xml"/><Relationship Id="rId16" Type="http://schemas.openxmlformats.org/officeDocument/2006/relationships/hyperlink" Target="https://www.rsph.org.uk/our-work/publications/statusofmind/" TargetMode="External"/><Relationship Id="rId20" Type="http://schemas.openxmlformats.org/officeDocument/2006/relationships/hyperlink" Target="https://www.who.int/europe/news/item/25-09-2024-teens&#8211;screens-and-mental-health" TargetMode="External"/><Relationship Id="rId1" Type="http://schemas.openxmlformats.org/officeDocument/2006/relationships/styles" Target="styles.xml"/><Relationship Id="rId6" Type="http://schemas.openxmlformats.org/officeDocument/2006/relationships/hyperlink" Target="https://www.actionforchildren.org.uk/blog/social-media-and-mental-health-the-good-the-bad-and-the-ugly/" TargetMode="External"/><Relationship Id="rId11" Type="http://schemas.openxmlformats.org/officeDocument/2006/relationships/hyperlink" Target="https://www.helpguide.org/mental-health/wellbeing/eriksons-stages-of-psychosocial-development"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ommittees.parliament.uk/writtenevidence/89489/html/" TargetMode="External"/><Relationship Id="rId23" Type="http://schemas.openxmlformats.org/officeDocument/2006/relationships/fontTable" Target="fontTable.xml"/><Relationship Id="rId10" Type="http://schemas.openxmlformats.org/officeDocument/2006/relationships/hyperlink" Target="https://www.guilford.com/books/Handbook-of-Attachment/Cassidy-Shaver/9781462536641" TargetMode="External"/><Relationship Id="rId19" Type="http://schemas.openxmlformats.org/officeDocument/2006/relationships/hyperlink" Target="https://commonslibrary.parliament.uk/research-briefings/cbp-10468/" TargetMode="External"/><Relationship Id="rId4" Type="http://schemas.openxmlformats.org/officeDocument/2006/relationships/footnotes" Target="footnotes.xml"/><Relationship Id="rId9" Type="http://schemas.openxmlformats.org/officeDocument/2006/relationships/hyperlink" Target="https://www.gov.uk/government/news/social-media-to-be-banned-for-under-16s-in-landmark-government-move-to-give-kids-their-childhood-back" TargetMode="External"/><Relationship Id="rId14" Type="http://schemas.openxmlformats.org/officeDocument/2006/relationships/hyperlink" Target="https://www.ncbi.nlm.nih.gov/books/NBK55609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2338</Words>
  <Characters>12652</Characters>
  <Application>Microsoft Office Word</Application>
  <DocSecurity>0</DocSecurity>
  <Lines>207</Lines>
  <Paragraphs>28</Paragraphs>
  <ScaleCrop>false</ScaleCrop>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Choudhry (2427072)</dc:creator>
  <cp:keywords/>
  <dc:description/>
  <cp:lastModifiedBy>Humayra Choudhry (2427072)</cp:lastModifiedBy>
  <cp:revision>41</cp:revision>
  <dcterms:created xsi:type="dcterms:W3CDTF">2026-07-21T03:59:00Z</dcterms:created>
  <dcterms:modified xsi:type="dcterms:W3CDTF">2026-07-21T04:14:00Z</dcterms:modified>
</cp:coreProperties>
</file>