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center"/>
        <w:rPr>
          <w:rFonts w:hint="default" w:ascii="Arial" w:hAnsi="Arial" w:cs="Arial"/>
          <w:b/>
          <w:bCs/>
          <w:sz w:val="32"/>
          <w:szCs w:val="32"/>
        </w:rPr>
      </w:pPr>
      <w:bookmarkStart w:id="1" w:name="_GoBack"/>
      <w:r>
        <w:rPr>
          <w:rFonts w:hint="default" w:ascii="Arial" w:hAnsi="Arial" w:cs="Arial"/>
          <w:b/>
          <w:bCs/>
          <w:sz w:val="32"/>
          <w:szCs w:val="32"/>
        </w:rPr>
        <w:t>Learning and Development Model at Santander</w:t>
      </w:r>
    </w:p>
    <w:bookmarkEnd w:id="1"/>
    <w:p>
      <w:pPr>
        <w:spacing w:line="360" w:lineRule="auto"/>
        <w:jc w:val="center"/>
        <w:rPr>
          <w:rFonts w:hint="default" w:ascii="Arial" w:hAnsi="Arial" w:eastAsia="宋体" w:cs="Arial"/>
          <w:b/>
          <w:bCs/>
          <w:sz w:val="28"/>
          <w:szCs w:val="28"/>
          <w:lang w:val="en-US" w:eastAsia="zh-CN"/>
        </w:rPr>
      </w:pPr>
      <w:r>
        <w:rPr>
          <w:rFonts w:hint="default" w:ascii="Arial" w:hAnsi="Arial" w:cs="Arial"/>
          <w:b/>
          <w:bCs/>
          <w:sz w:val="28"/>
          <w:szCs w:val="28"/>
        </w:rPr>
        <w:t>Name</w:t>
      </w:r>
      <w:r>
        <w:rPr>
          <w:rFonts w:hint="default" w:ascii="Arial" w:hAnsi="Arial" w:eastAsia="宋体" w:cs="Arial"/>
          <w:b/>
          <w:bCs/>
          <w:sz w:val="28"/>
          <w:szCs w:val="28"/>
          <w:lang w:eastAsia="zh-CN"/>
        </w:rPr>
        <w:t>：</w:t>
      </w:r>
      <w:r>
        <w:rPr>
          <w:rFonts w:hint="default" w:ascii="Arial" w:hAnsi="Arial" w:eastAsia="宋体" w:cs="Arial"/>
          <w:b/>
          <w:bCs/>
          <w:sz w:val="28"/>
          <w:szCs w:val="28"/>
          <w:lang w:val="en-US" w:eastAsia="zh-CN"/>
        </w:rPr>
        <w:t>WenHao Zhu</w:t>
      </w:r>
    </w:p>
    <w:p>
      <w:pPr>
        <w:spacing w:line="360" w:lineRule="auto"/>
        <w:jc w:val="center"/>
        <w:rPr>
          <w:rFonts w:hint="default" w:ascii="Arial" w:hAnsi="Arial" w:eastAsia="宋体" w:cs="Arial"/>
          <w:b/>
          <w:bCs/>
          <w:sz w:val="28"/>
          <w:szCs w:val="28"/>
          <w:lang w:val="en-US" w:eastAsia="zh-CN"/>
        </w:rPr>
      </w:pPr>
      <w:r>
        <w:rPr>
          <w:rFonts w:hint="default" w:ascii="Arial" w:hAnsi="Arial" w:eastAsia="宋体" w:cs="Arial"/>
          <w:b/>
          <w:bCs/>
          <w:sz w:val="28"/>
          <w:szCs w:val="28"/>
          <w:lang w:val="en-US" w:eastAsia="zh-CN"/>
        </w:rPr>
        <w:t>ID: 2106011</w:t>
      </w:r>
    </w:p>
    <w:p>
      <w:pPr>
        <w:rPr>
          <w:rFonts w:hint="default" w:ascii="Arial" w:hAnsi="Arial" w:eastAsia="宋体" w:cs="Arial"/>
          <w:b/>
          <w:bCs/>
          <w:sz w:val="28"/>
          <w:szCs w:val="28"/>
          <w:lang w:val="en-US" w:eastAsia="zh-CN"/>
        </w:rPr>
      </w:pPr>
      <w:r>
        <w:rPr>
          <w:rFonts w:hint="default" w:ascii="Arial" w:hAnsi="Arial" w:eastAsia="宋体" w:cs="Arial"/>
          <w:b/>
          <w:bCs/>
          <w:sz w:val="28"/>
          <w:szCs w:val="28"/>
          <w:lang w:val="en-US" w:eastAsia="zh-CN"/>
        </w:rPr>
        <w:t>Videolink:</w:t>
      </w:r>
    </w:p>
    <w:p>
      <w:pPr>
        <w:rPr>
          <w:rFonts w:hint="default" w:ascii="Arial" w:hAnsi="Arial" w:cs="Arial"/>
          <w:sz w:val="24"/>
          <w:szCs w:val="24"/>
        </w:rPr>
      </w:pPr>
      <w:r>
        <w:rPr>
          <w:rStyle w:val="5"/>
          <w:rFonts w:hint="default" w:ascii="Arial" w:hAnsi="Arial" w:cs="Arial"/>
          <w:sz w:val="24"/>
          <w:szCs w:val="24"/>
        </w:rPr>
        <w:fldChar w:fldCharType="begin"/>
      </w:r>
      <w:r>
        <w:rPr>
          <w:rStyle w:val="5"/>
          <w:rFonts w:hint="default" w:ascii="Arial" w:hAnsi="Arial" w:cs="Arial"/>
          <w:sz w:val="24"/>
          <w:szCs w:val="24"/>
        </w:rPr>
        <w:instrText xml:space="preserve"> HYPERLINK "https://uowtsd-my.sharepoint.com/:v:/r/personal/2106011_student_uwtsd_ac_uk/Documents/Recordings/%E4%B8%8E%20Chengfeng%20Zhou%20(2206399)%20%E4%BC%9A%E9%9D%A2-20230503_051611-%E4%BC%9A%E8%AE%AE%E8%AE%B0%E5%BD%95.mp4?csf=1&amp;web=1&amp;e=JuRkoT" </w:instrText>
      </w:r>
      <w:r>
        <w:rPr>
          <w:rStyle w:val="5"/>
          <w:rFonts w:hint="default" w:ascii="Arial" w:hAnsi="Arial" w:cs="Arial"/>
          <w:sz w:val="24"/>
          <w:szCs w:val="24"/>
        </w:rPr>
        <w:fldChar w:fldCharType="separate"/>
      </w:r>
      <w:r>
        <w:rPr>
          <w:rStyle w:val="5"/>
          <w:rFonts w:hint="default" w:ascii="Arial" w:hAnsi="Arial" w:cs="Arial"/>
          <w:sz w:val="24"/>
          <w:szCs w:val="24"/>
        </w:rPr>
        <w:t>https://uowtsd-my.sharepoint.com/:v:/r/personal/2106011_student_uwtsd_ac_uk/Documents/Recordings/%E4%B8%8E%20Chengfeng%20Zhou%20(2206399)%20%E4%BC%9A%E9%9D%A2-20230503_051611-%E4%BC%9A%E8%AE%AE%E8%AE%B0%E5%BD%95.mp4?csf=1&amp;web=1&amp;e=JuRkoT</w:t>
      </w:r>
      <w:r>
        <w:rPr>
          <w:rStyle w:val="5"/>
          <w:rFonts w:hint="default" w:ascii="Arial" w:hAnsi="Arial" w:cs="Arial"/>
          <w:sz w:val="24"/>
          <w:szCs w:val="24"/>
        </w:rPr>
        <w:fldChar w:fldCharType="end"/>
      </w:r>
    </w:p>
    <w:p>
      <w:pPr>
        <w:spacing w:line="360" w:lineRule="auto"/>
        <w:jc w:val="both"/>
        <w:rPr>
          <w:rFonts w:hint="default" w:ascii="Arial" w:hAnsi="Arial" w:eastAsia="宋体" w:cs="Arial"/>
          <w:b/>
          <w:bCs/>
          <w:sz w:val="28"/>
          <w:szCs w:val="28"/>
          <w:lang w:val="en-US" w:eastAsia="zh-CN"/>
        </w:rPr>
      </w:pPr>
    </w:p>
    <w:p>
      <w:pPr>
        <w:spacing w:line="360" w:lineRule="auto"/>
        <w:rPr>
          <w:rFonts w:hint="default" w:ascii="Arial" w:hAnsi="Arial" w:cs="Arial"/>
          <w:b/>
          <w:bCs/>
          <w:sz w:val="24"/>
          <w:szCs w:val="24"/>
        </w:rPr>
      </w:pPr>
      <w:r>
        <w:rPr>
          <w:rFonts w:hint="default" w:ascii="Arial" w:hAnsi="Arial" w:cs="Arial"/>
          <w:b/>
          <w:bCs/>
          <w:sz w:val="24"/>
          <w:szCs w:val="24"/>
        </w:rPr>
        <w:t>Critical analysis of Santander’s model</w:t>
      </w:r>
    </w:p>
    <w:p>
      <w:pPr>
        <w:spacing w:line="360" w:lineRule="auto"/>
        <w:jc w:val="both"/>
        <w:rPr>
          <w:rFonts w:hint="default" w:ascii="Arial" w:hAnsi="Arial" w:cs="Arial"/>
          <w:sz w:val="24"/>
          <w:szCs w:val="24"/>
        </w:rPr>
      </w:pPr>
      <w:r>
        <w:rPr>
          <w:rFonts w:hint="default" w:ascii="Arial" w:hAnsi="Arial" w:cs="Arial"/>
          <w:sz w:val="24"/>
          <w:szCs w:val="24"/>
        </w:rPr>
        <w:t xml:space="preserve">Santander is a leading financial services provider. Located in the United Kingdom, the company provides various personal and commercial financial services. The company has over 23,000 employees across the United Kingdom and serves around 25 million customers nationwide. The company’s website discusses its emphasis on learning and development, which they consider pertinent for the success of its organization and its employees. The company, therefore, offers various programs and opportunities for their employees to develop their personal and professional skills while understanding their strengths and weaknesses to maximize their potential (Santander, 2022). </w:t>
      </w:r>
    </w:p>
    <w:p>
      <w:pPr>
        <w:spacing w:line="360" w:lineRule="auto"/>
        <w:jc w:val="both"/>
        <w:rPr>
          <w:rFonts w:hint="default" w:ascii="Arial" w:hAnsi="Arial" w:cs="Arial"/>
          <w:sz w:val="24"/>
          <w:szCs w:val="24"/>
        </w:rPr>
      </w:pPr>
      <w:r>
        <w:rPr>
          <w:rFonts w:hint="default" w:ascii="Arial" w:hAnsi="Arial" w:cs="Arial"/>
          <w:sz w:val="24"/>
          <w:szCs w:val="24"/>
        </w:rPr>
        <w:t>Santander provides training and development to their employees in six primary areas, this first is the introduction and onboarding. This is the basic training that employees must avail of once they are recruited into the organization. This training is intended for the employees to understand their roles and duties in the organization as well as be aware of the expectations from them. The employees are also given training in the areas of regulatory and mandator development, individual as well as team capability development, professional qualifications and language, career development, and management and leadership.</w:t>
      </w:r>
    </w:p>
    <w:p>
      <w:pPr>
        <w:spacing w:line="360" w:lineRule="auto"/>
        <w:jc w:val="both"/>
        <w:rPr>
          <w:rFonts w:hint="default" w:ascii="Arial" w:hAnsi="Arial" w:cs="Arial"/>
          <w:sz w:val="24"/>
          <w:szCs w:val="24"/>
        </w:rPr>
      </w:pPr>
      <w:r>
        <w:rPr>
          <w:rFonts w:hint="default" w:ascii="Arial" w:hAnsi="Arial" w:cs="Arial"/>
          <w:sz w:val="24"/>
          <w:szCs w:val="24"/>
        </w:rPr>
        <w:t>Santander is required to provide training and development to its employees for various reasons. Firstly, being a financial institution, the employees would need to discuss financial matters with clients. The staff would thus have to be well-versed with important economic and financial concepts (Headspring, 2022). This is especially essential for employees who communicate with clients. Another reason why Santander opted for a learning and development model was to tackle financial crime. It is essential for employees of organizations to be able to deal with all sorts of financial crimes and the updating financial regulations. These institutions must therefore have the ability to detect financial crimes as early as possible and take appropriate measures to tackle the same (CIPD, 2021).</w:t>
      </w:r>
    </w:p>
    <w:p>
      <w:pPr>
        <w:spacing w:line="360" w:lineRule="auto"/>
        <w:jc w:val="both"/>
        <w:rPr>
          <w:rFonts w:hint="default" w:ascii="Arial" w:hAnsi="Arial" w:cs="Arial"/>
          <w:sz w:val="24"/>
          <w:szCs w:val="24"/>
        </w:rPr>
      </w:pPr>
      <w:r>
        <w:rPr>
          <w:rFonts w:hint="default" w:ascii="Arial" w:hAnsi="Arial" w:cs="Arial"/>
          <w:sz w:val="24"/>
          <w:szCs w:val="24"/>
        </w:rPr>
        <w:t>To tackle the requirements of employees to be well-versed in financial and economic concepts, Santander created high-quality certification-based programs for its employees. These programs were designed with advice from directors of banks and employees of investment companies. This would therefore help the employees be more well-versed in important concepts that they will require to communicate with the clients (Headspringer, 2022). The program designed was a 39-week program that covered 7 modules, including videos, case studies, simulations, and such. The participants had to commit four hours a week to the program and even give a final exam.</w:t>
      </w:r>
    </w:p>
    <w:p>
      <w:pPr>
        <w:spacing w:line="360" w:lineRule="auto"/>
        <w:jc w:val="both"/>
        <w:rPr>
          <w:rFonts w:hint="default" w:ascii="Arial" w:hAnsi="Arial" w:cs="Arial"/>
          <w:sz w:val="24"/>
          <w:szCs w:val="24"/>
        </w:rPr>
      </w:pPr>
      <w:r>
        <w:rPr>
          <w:rFonts w:hint="default" w:ascii="Arial" w:hAnsi="Arial" w:cs="Arial"/>
          <w:sz w:val="24"/>
          <w:szCs w:val="24"/>
        </w:rPr>
        <w:t xml:space="preserve"> In order to tackle financial crimes and be prepared to deal with the same, Santander developed an anti-financial crime academy in 2020 to respond to threats using regulations. The organization developed a curriculum based on research to identify skill requirements for their team that would tackle financial crimes. The curriculum was accompanied by a robust governance model to manage, monitor and evolve the academy based on the outcomes (CIPD, 2021). </w:t>
      </w:r>
    </w:p>
    <w:p>
      <w:pPr>
        <w:spacing w:line="360" w:lineRule="auto"/>
        <w:jc w:val="both"/>
        <w:rPr>
          <w:rFonts w:hint="default" w:ascii="Arial" w:hAnsi="Arial" w:cs="Arial"/>
          <w:sz w:val="24"/>
          <w:szCs w:val="24"/>
        </w:rPr>
      </w:pPr>
      <w:r>
        <w:rPr>
          <w:rFonts w:hint="default" w:ascii="Arial" w:hAnsi="Arial" w:cs="Arial"/>
          <w:sz w:val="24"/>
          <w:szCs w:val="24"/>
        </w:rPr>
        <w:t xml:space="preserve">Santander has created a platform, Mio, for learning and development. The platform helps all employees to connect with their colleagues and learn. It creates a personalized experience for the employee, providing them with guidance in areas that they may require. The platform can be accessed on any device and provides certain mandatory trainings for all the employees at the organization. Mio works by asking employees to input their current skillsets and experiences after which the employees must input their aspirations. Based on this, the platform will suggest programs to the employee based on the areas that the employee would like to grow and develop in. </w:t>
      </w:r>
    </w:p>
    <w:p>
      <w:pPr>
        <w:spacing w:line="360" w:lineRule="auto"/>
        <w:rPr>
          <w:rFonts w:hint="default" w:ascii="Arial" w:hAnsi="Arial" w:cs="Arial"/>
          <w:b/>
          <w:bCs/>
          <w:sz w:val="24"/>
          <w:szCs w:val="24"/>
        </w:rPr>
      </w:pPr>
      <w:r>
        <w:rPr>
          <w:rFonts w:hint="default" w:ascii="Arial" w:hAnsi="Arial" w:cs="Arial"/>
          <w:b/>
          <w:bCs/>
          <w:sz w:val="24"/>
          <w:szCs w:val="24"/>
        </w:rPr>
        <w:t>Efficacy of the framework</w:t>
      </w:r>
    </w:p>
    <w:p>
      <w:pPr>
        <w:spacing w:line="360" w:lineRule="auto"/>
        <w:rPr>
          <w:rFonts w:hint="default" w:ascii="Arial" w:hAnsi="Arial" w:cs="Arial"/>
          <w:sz w:val="24"/>
          <w:szCs w:val="24"/>
        </w:rPr>
      </w:pPr>
      <w:r>
        <w:rPr>
          <w:rFonts w:hint="default" w:ascii="Arial" w:hAnsi="Arial" w:cs="Arial"/>
          <w:sz w:val="24"/>
          <w:szCs w:val="24"/>
        </w:rPr>
        <w:t xml:space="preserve">There are various other institutions that provide financial services in the United Kingdom. These include Barclays, HSBC, Lloyds, and NatWest Group. Barclays offers programs designed for people based on their ranking within the organization. There is a program for colleagues to build competence, a program for line managers to engage, motivate and inspire teams, and a program for leaders to encourage high performance and change (Barclays, 2023). In HSBC, the manager of the team works with the employees to understand their needs and potential opportunities suitable for them. HSBC provides tools for specific roles and areas to help their employees develop communication and leadership skills. Employees can also choose various courses based on their interests and roles. Aside from e-learning, HSBC also provides mentoring, on-the-site coaching, and workshops for their employees (HSBC, 2021). </w:t>
      </w:r>
    </w:p>
    <w:p>
      <w:pPr>
        <w:spacing w:line="360" w:lineRule="auto"/>
        <w:rPr>
          <w:rFonts w:hint="default" w:ascii="Arial" w:hAnsi="Arial" w:cs="Arial"/>
          <w:sz w:val="24"/>
          <w:szCs w:val="24"/>
        </w:rPr>
      </w:pPr>
      <w:r>
        <w:rPr>
          <w:rFonts w:hint="default" w:ascii="Arial" w:hAnsi="Arial" w:cs="Arial"/>
          <w:sz w:val="24"/>
          <w:szCs w:val="24"/>
        </w:rPr>
        <w:t xml:space="preserve">Lloyd encourages their employees to try and test different things to understand their best fit in the organization. They also encourage employees to change their roles as often as they would like. The organization hires external providers to assist the employees with improving their professional qualifications based on their interests and aspirational roles (Lloyds, 2023). NatWest Group has a learning academy that was established with the objective of helping their employees learn and realize the opportunities they possess. NatWest provides mentoring for employees to boost their skills, as well as career development programs that provide training in specialized areas as well as for the employees to earn external qualifications (NatWest, 2023). Therefore, it is observed that all the financial programs provided by the financial institutes in the United Kingdom are similar with similar objectives, but presented in different formats with certain institutes providing coaching specific to roles, others providing mentoring and workshops, and open-access learning tools. The costs involved in these programs pertain to hiring experts and creating platforms, but based on the success rate of the program, as seen with Santander, they can be considered as cost-effective. </w:t>
      </w:r>
    </w:p>
    <w:p>
      <w:pPr>
        <w:spacing w:line="360" w:lineRule="auto"/>
        <w:rPr>
          <w:rFonts w:hint="default" w:ascii="Arial" w:hAnsi="Arial" w:cs="Arial"/>
          <w:sz w:val="24"/>
          <w:szCs w:val="24"/>
        </w:rPr>
      </w:pPr>
      <w:r>
        <w:rPr>
          <w:rFonts w:hint="default" w:ascii="Arial" w:hAnsi="Arial" w:cs="Arial"/>
          <w:sz w:val="24"/>
          <w:szCs w:val="24"/>
        </w:rPr>
        <w:t>These programs have been effective, as can be seen with the example of Santander. There were tangible results which were obtained from the learning and development model implemented by Santander. In terms of implementing the special programs that would enable the employees to learn financial and economic concepts to communicate with their clients, the program was seen as a success and even earned a nomination for the Learning Technologies Awards in the category of ‘the best use of learning technologies to ensure compliance – international.’ According to Headspring (2022), more than 80 percent of the employees were able to pass the final assessment after the program, with ease.</w:t>
      </w:r>
    </w:p>
    <w:p>
      <w:pPr>
        <w:spacing w:line="360" w:lineRule="auto"/>
        <w:rPr>
          <w:rFonts w:hint="default" w:ascii="Arial" w:hAnsi="Arial" w:cs="Arial"/>
          <w:sz w:val="24"/>
          <w:szCs w:val="24"/>
        </w:rPr>
      </w:pPr>
      <w:r>
        <w:rPr>
          <w:rFonts w:hint="default" w:ascii="Arial" w:hAnsi="Arial" w:cs="Arial"/>
          <w:sz w:val="24"/>
          <w:szCs w:val="24"/>
        </w:rPr>
        <w:t>Similarly, with the anti-financial crime-fighting academy, the employees saw a 98 percent completion rate with 89 percent of employees stating that they found the program useful. CIPD (2021) states that for the success of a program like this, an organization must utilize technology, set expectations for its employees, and partner with experts. They must also ensure that the course has a risk-based approach. Therefore, both the learning and developing programs by Santander can be considered as successful. There are various research articles on the impact of corporate learning programs, as employed by these financial institutions, and their impact on the employees. These studies have found that e-learning benefits employees’ job satisfaction, productivity as well as work performance. A study was conducted by Ellis et al., found that (2014) to determine the benefits of e-learning tools for employees. The study found that out of 341 participants, 42 percent said that these tools made their work easier and 48 percent saw an improvement in their job performance. Online learning tools and learning systems have also been proven to be greatly beneficial for learning and development of employees (Feder, 2021).</w:t>
      </w:r>
    </w:p>
    <w:p>
      <w:pPr>
        <w:spacing w:line="360" w:lineRule="auto"/>
        <w:rPr>
          <w:rFonts w:hint="default" w:ascii="Arial" w:hAnsi="Arial" w:cs="Arial"/>
          <w:b/>
          <w:bCs/>
          <w:sz w:val="24"/>
          <w:szCs w:val="24"/>
        </w:rPr>
      </w:pPr>
      <w:r>
        <w:rPr>
          <w:rFonts w:hint="default" w:ascii="Arial" w:hAnsi="Arial" w:cs="Arial"/>
          <w:b/>
          <w:bCs/>
          <w:sz w:val="24"/>
          <w:szCs w:val="24"/>
        </w:rPr>
        <w:t>References</w:t>
      </w:r>
    </w:p>
    <w:p>
      <w:pPr>
        <w:pStyle w:val="2"/>
        <w:spacing w:line="360" w:lineRule="auto"/>
        <w:ind w:left="567" w:hanging="567"/>
        <w:rPr>
          <w:rFonts w:hint="default" w:ascii="Arial" w:hAnsi="Arial" w:cs="Arial"/>
        </w:rPr>
      </w:pPr>
      <w:r>
        <w:rPr>
          <w:rFonts w:hint="default" w:ascii="Arial" w:hAnsi="Arial" w:cs="Arial"/>
        </w:rPr>
        <w:t>Barclays (2023) Developing your career. Available at: https://search.jobs.barclays/developing-your-career (Accessed: May 2, 2023).</w:t>
      </w:r>
    </w:p>
    <w:p>
      <w:pPr>
        <w:pStyle w:val="2"/>
        <w:spacing w:line="360" w:lineRule="auto"/>
        <w:ind w:left="567" w:hanging="567"/>
        <w:rPr>
          <w:rFonts w:hint="default" w:ascii="Arial" w:hAnsi="Arial" w:cs="Arial"/>
        </w:rPr>
      </w:pPr>
      <w:bookmarkStart w:id="0" w:name="_Hlk133939284"/>
      <w:r>
        <w:rPr>
          <w:rFonts w:hint="default" w:ascii="Arial" w:hAnsi="Arial" w:cs="Arial"/>
        </w:rPr>
        <w:t xml:space="preserve">CIPD (2021) </w:t>
      </w:r>
      <w:r>
        <w:rPr>
          <w:rFonts w:hint="default" w:ascii="Arial" w:hAnsi="Arial" w:cs="Arial"/>
          <w:i/>
          <w:iCs/>
        </w:rPr>
        <w:t>Learning and skills at work</w:t>
      </w:r>
      <w:r>
        <w:rPr>
          <w:rFonts w:hint="default" w:ascii="Arial" w:hAnsi="Arial" w:cs="Arial"/>
        </w:rPr>
        <w:t xml:space="preserve">, </w:t>
      </w:r>
      <w:r>
        <w:rPr>
          <w:rFonts w:hint="default" w:ascii="Arial" w:hAnsi="Arial" w:cs="Arial"/>
          <w:i/>
          <w:iCs/>
        </w:rPr>
        <w:t>CIPD</w:t>
      </w:r>
      <w:r>
        <w:rPr>
          <w:rFonts w:hint="default" w:ascii="Arial" w:hAnsi="Arial" w:cs="Arial"/>
        </w:rPr>
        <w:t xml:space="preserve">. Available at: https://www.cipd.co.uk/knowledge/strategy/development/learning-skills-work (Accessed: May 2, 2023). </w:t>
      </w:r>
    </w:p>
    <w:bookmarkEnd w:id="0"/>
    <w:p>
      <w:pPr>
        <w:pStyle w:val="2"/>
        <w:spacing w:line="360" w:lineRule="auto"/>
        <w:ind w:left="567" w:hanging="567"/>
        <w:rPr>
          <w:rFonts w:hint="default" w:ascii="Arial" w:hAnsi="Arial" w:cs="Arial"/>
        </w:rPr>
      </w:pPr>
      <w:r>
        <w:rPr>
          <w:rFonts w:hint="default" w:ascii="Arial" w:hAnsi="Arial" w:cs="Arial"/>
        </w:rPr>
        <w:t>Ellis, P.F. and Kuznia, K.D. (2014) Corporate learning impact on employees, Global Journal of Business Research. Available at: https://econpapers.repec.org/RePEc:ibf:gjbres:v:8:y:2014:i:4:p:1-15 (Accessed: 02 May 2023).</w:t>
      </w:r>
    </w:p>
    <w:p>
      <w:pPr>
        <w:pStyle w:val="2"/>
        <w:spacing w:line="360" w:lineRule="auto"/>
        <w:ind w:left="567" w:hanging="567"/>
        <w:rPr>
          <w:rFonts w:hint="default" w:ascii="Arial" w:hAnsi="Arial" w:cs="Arial"/>
        </w:rPr>
      </w:pPr>
      <w:r>
        <w:rPr>
          <w:rFonts w:hint="default" w:ascii="Arial" w:hAnsi="Arial" w:cs="Arial"/>
        </w:rPr>
        <w:t>Feder, M. (2021) The impact of corporate learning and development and how to take advantage, University of Phoenix. Available at: https://www.phoenix.edu/blog/corporate-learning-and-development.html (Accessed: 02 May 2023).</w:t>
      </w:r>
    </w:p>
    <w:p>
      <w:pPr>
        <w:pStyle w:val="2"/>
        <w:spacing w:line="360" w:lineRule="auto"/>
        <w:ind w:left="567" w:hanging="567"/>
        <w:rPr>
          <w:rFonts w:hint="default" w:ascii="Arial" w:hAnsi="Arial" w:cs="Arial"/>
        </w:rPr>
      </w:pPr>
      <w:r>
        <w:rPr>
          <w:rFonts w:hint="default" w:ascii="Arial" w:hAnsi="Arial" w:cs="Arial"/>
        </w:rPr>
        <w:t xml:space="preserve">Headspring (2022) </w:t>
      </w:r>
      <w:r>
        <w:rPr>
          <w:rFonts w:hint="default" w:ascii="Arial" w:hAnsi="Arial" w:cs="Arial"/>
          <w:i/>
          <w:iCs/>
        </w:rPr>
        <w:t>Santander Learning and Development Case Study</w:t>
      </w:r>
      <w:r>
        <w:rPr>
          <w:rFonts w:hint="default" w:ascii="Arial" w:hAnsi="Arial" w:cs="Arial"/>
        </w:rPr>
        <w:t xml:space="preserve">, </w:t>
      </w:r>
      <w:r>
        <w:rPr>
          <w:rFonts w:hint="default" w:ascii="Arial" w:hAnsi="Arial" w:cs="Arial"/>
          <w:i/>
          <w:iCs/>
        </w:rPr>
        <w:t>Headspring Executive Development</w:t>
      </w:r>
      <w:r>
        <w:rPr>
          <w:rFonts w:hint="default" w:ascii="Arial" w:hAnsi="Arial" w:cs="Arial"/>
        </w:rPr>
        <w:t xml:space="preserve">. Available at: https://www.headspringexecutive.com/case-studies/santander-online/ (Accessed: May 2, 2023). </w:t>
      </w:r>
    </w:p>
    <w:p>
      <w:pPr>
        <w:pStyle w:val="2"/>
        <w:spacing w:line="360" w:lineRule="auto"/>
        <w:ind w:left="567" w:hanging="567"/>
        <w:rPr>
          <w:rFonts w:hint="default" w:ascii="Arial" w:hAnsi="Arial" w:cs="Arial"/>
        </w:rPr>
      </w:pPr>
      <w:r>
        <w:rPr>
          <w:rFonts w:hint="default" w:ascii="Arial" w:hAnsi="Arial" w:cs="Arial"/>
        </w:rPr>
        <w:t>HSBC (2021) Career Development: HSBC Holdings plc, HSBC. Available at: https://www.hsbc.com/careers/life-at-hsbc/career-development (Accessed: May 2, 2023).</w:t>
      </w:r>
    </w:p>
    <w:p>
      <w:pPr>
        <w:pStyle w:val="2"/>
        <w:spacing w:line="360" w:lineRule="auto"/>
        <w:ind w:left="567" w:hanging="567"/>
        <w:rPr>
          <w:rFonts w:hint="default" w:ascii="Arial" w:hAnsi="Arial" w:cs="Arial"/>
        </w:rPr>
      </w:pPr>
      <w:r>
        <w:rPr>
          <w:rFonts w:hint="default" w:ascii="Arial" w:hAnsi="Arial" w:cs="Arial"/>
        </w:rPr>
        <w:t>Lloyd (2023) Learn and develop, Lloyds Banking Group plc. Available at: https://www.lloydsbankinggroup.com/careers/learn-and-develop.html (Accessed: May 2, 2023).</w:t>
      </w:r>
    </w:p>
    <w:p>
      <w:pPr>
        <w:pStyle w:val="2"/>
        <w:spacing w:line="360" w:lineRule="auto"/>
        <w:ind w:left="567" w:hanging="567"/>
        <w:rPr>
          <w:rFonts w:hint="default" w:ascii="Arial" w:hAnsi="Arial" w:cs="Arial"/>
        </w:rPr>
      </w:pPr>
      <w:r>
        <w:rPr>
          <w:rFonts w:hint="default" w:ascii="Arial" w:hAnsi="Arial" w:cs="Arial"/>
        </w:rPr>
        <w:t>NatWest Group (2023) Learning and development, NatWest Group Careers. Available at: https://jobs.natwestgroup.com/pages/learning-and-development (Accessed: May 2, 2023).</w:t>
      </w:r>
    </w:p>
    <w:p>
      <w:pPr>
        <w:pStyle w:val="2"/>
        <w:spacing w:line="360" w:lineRule="auto"/>
        <w:ind w:left="567" w:hanging="567"/>
        <w:rPr>
          <w:rFonts w:hint="default" w:ascii="Arial" w:hAnsi="Arial" w:cs="Arial"/>
        </w:rPr>
      </w:pPr>
      <w:r>
        <w:rPr>
          <w:rFonts w:hint="default" w:ascii="Arial" w:hAnsi="Arial" w:cs="Arial"/>
        </w:rPr>
        <w:t xml:space="preserve">Santander (2022) </w:t>
      </w:r>
      <w:r>
        <w:rPr>
          <w:rFonts w:hint="default" w:ascii="Arial" w:hAnsi="Arial" w:cs="Arial"/>
          <w:i/>
          <w:iCs/>
        </w:rPr>
        <w:t>Learn, grow and succeed at Santander Bank UK</w:t>
      </w:r>
      <w:r>
        <w:rPr>
          <w:rFonts w:hint="default" w:ascii="Arial" w:hAnsi="Arial" w:cs="Arial"/>
        </w:rPr>
        <w:t xml:space="preserve">. Available at: https://www.santander.com/en/careers/uk-careers/we-care-about-you/your-development (Accessed: May 2, 2023). </w:t>
      </w:r>
    </w:p>
    <w:p/>
    <w:sectPr>
      <w:pgSz w:w="11906" w:h="16838"/>
      <w:pgMar w:top="1440" w:right="1800" w:bottom="1440" w:left="180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bri">
    <w:panose1 w:val="020F0502020204030204"/>
    <w:charset w:val="86"/>
    <w:family w:val="swiss"/>
    <w:pitch w:val="default"/>
    <w:sig w:usb0="E4002EFF" w:usb1="C000247B" w:usb2="00000009" w:usb3="00000000" w:csb0="200001FF" w:csb1="00000000"/>
  </w:font>
  <w:font w:name="华文中宋">
    <w:panose1 w:val="02010600040101010101"/>
    <w:charset w:val="86"/>
    <w:family w:val="auto"/>
    <w:pitch w:val="default"/>
    <w:sig w:usb0="00000287" w:usb1="080F0000" w:usb2="00000000" w:usb3="00000000" w:csb0="0004009F" w:csb1="DFD70000"/>
  </w:font>
  <w:font w:name="华文楷体">
    <w:panose1 w:val="02010600040101010101"/>
    <w:charset w:val="86"/>
    <w:family w:val="auto"/>
    <w:pitch w:val="default"/>
    <w:sig w:usb0="00000287" w:usb1="080F0000" w:usb2="00000000" w:usb3="00000000" w:csb0="0004009F" w:csb1="DFD70000"/>
  </w:font>
  <w:font w:name="Arial">
    <w:panose1 w:val="020B0604020202020204"/>
    <w:charset w:val="00"/>
    <w:family w:val="auto"/>
    <w:pitch w:val="default"/>
    <w:sig w:usb0="E0002EFF" w:usb1="C000785B" w:usb2="00000009" w:usb3="00000000" w:csb0="400001FF" w:csb1="FFFF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ZWE3YTY5MDA1NzY2NmFhM2NhNGNmOWVmMTM4NjFkZGEifQ=="/>
  </w:docVars>
  <w:rsids>
    <w:rsidRoot w:val="0FF35929"/>
    <w:rsid w:val="0FF35929"/>
    <w:rsid w:val="7B1F41E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iPriority="99"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kern w:val="2"/>
      <w:sz w:val="22"/>
      <w:szCs w:val="22"/>
      <w:lang w:val="en-IN" w:eastAsia="en-US" w:bidi="ar-SA"/>
      <w14:ligatures w14:val="standardContextual"/>
    </w:rPr>
  </w:style>
  <w:style w:type="character" w:default="1" w:styleId="4">
    <w:name w:val="Default Paragraph Font"/>
    <w:semiHidden/>
    <w:uiPriority w:val="0"/>
  </w:style>
  <w:style w:type="table" w:default="1" w:styleId="3">
    <w:name w:val="Normal Table"/>
    <w:semiHidden/>
    <w:qFormat/>
    <w:uiPriority w:val="0"/>
    <w:tblPr>
      <w:tblCellMar>
        <w:top w:w="0" w:type="dxa"/>
        <w:left w:w="108" w:type="dxa"/>
        <w:bottom w:w="0" w:type="dxa"/>
        <w:right w:w="108" w:type="dxa"/>
      </w:tblCellMar>
    </w:tblPr>
  </w:style>
  <w:style w:type="paragraph" w:styleId="2">
    <w:name w:val="Normal (Web)"/>
    <w:basedOn w:val="1"/>
    <w:semiHidden/>
    <w:unhideWhenUsed/>
    <w:qFormat/>
    <w:uiPriority w:val="99"/>
    <w:pPr>
      <w:spacing w:before="100" w:beforeAutospacing="1" w:after="100" w:afterAutospacing="1" w:line="240" w:lineRule="auto"/>
    </w:pPr>
    <w:rPr>
      <w:rFonts w:ascii="Times New Roman" w:hAnsi="Times New Roman" w:eastAsia="Times New Roman" w:cs="Times New Roman"/>
      <w:kern w:val="0"/>
      <w:sz w:val="24"/>
      <w:szCs w:val="24"/>
      <w:lang w:eastAsia="en-IN"/>
      <w14:ligatures w14:val="none"/>
    </w:rPr>
  </w:style>
  <w:style w:type="character" w:styleId="5">
    <w:name w:val="FollowedHyperlink"/>
    <w:basedOn w:val="4"/>
    <w:uiPriority w:val="0"/>
    <w:rPr>
      <w:color w:val="800080"/>
      <w:u w:val="single"/>
    </w:rPr>
  </w:style>
  <w:style w:type="character" w:styleId="6">
    <w:name w:val="Hyperlink"/>
    <w:basedOn w:val="4"/>
    <w:uiPriority w:val="0"/>
    <w:rPr>
      <w:color w:val="0000FF"/>
      <w:u w:val="single"/>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4</TotalTime>
  <ScaleCrop>false</ScaleCrop>
  <LinksUpToDate>false</LinksUpToDate>
  <CharactersWithSpaces>0</CharactersWithSpaces>
  <Application>WPS Office_11.1.0.14036_F1E327BC-269C-435d-A152-05C5408002CA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2023-05-02T21:33:00Z</dcterms:created>
  <dc:creator>问好</dc:creator>
  <cp:lastModifiedBy>问好</cp:lastModifiedBy>
  <dcterms:modified xsi:type="dcterms:W3CDTF">2023-05-02T21:39:37Z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2052-11.1.0.14036</vt:lpwstr>
  </property>
  <property fmtid="{D5CDD505-2E9C-101B-9397-08002B2CF9AE}" pid="3" name="ICV">
    <vt:lpwstr>93B65452F3AA47B093073495B2BEF946_11</vt:lpwstr>
  </property>
</Properties>
</file>