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F8A20" w14:textId="77777777" w:rsidR="003A16AD" w:rsidRPr="005D5B12" w:rsidRDefault="003A16AD" w:rsidP="73F88540">
      <w:pPr>
        <w:spacing w:line="360" w:lineRule="auto"/>
        <w:rPr>
          <w:b/>
          <w:bCs/>
          <w:sz w:val="28"/>
          <w:szCs w:val="28"/>
        </w:rPr>
      </w:pPr>
    </w:p>
    <w:p w14:paraId="61E6FBDC" w14:textId="77777777" w:rsidR="00841B66" w:rsidRPr="005D5B12" w:rsidRDefault="008672FF">
      <w:pPr>
        <w:rPr>
          <w:b/>
          <w:bCs/>
          <w:sz w:val="28"/>
          <w:szCs w:val="28"/>
        </w:rPr>
      </w:pPr>
      <w:r w:rsidRPr="005D5B12">
        <w:rPr>
          <w:b/>
          <w:bCs/>
          <w:sz w:val="28"/>
          <w:szCs w:val="28"/>
        </w:rPr>
        <w:drawing>
          <wp:inline distT="0" distB="0" distL="0" distR="0" wp14:anchorId="3436390A" wp14:editId="617E9D14">
            <wp:extent cx="1810385" cy="725170"/>
            <wp:effectExtent l="0" t="0" r="0" b="0"/>
            <wp:docPr id="1895840820" name="Picture 2">
              <a:extLst xmlns:a="http://schemas.openxmlformats.org/drawingml/2006/main">
                <a:ext uri="{FF2B5EF4-FFF2-40B4-BE49-F238E27FC236}">
                  <a16:creationId xmlns:a16="http://schemas.microsoft.com/office/drawing/2014/main" id="{78BB0098-1D0B-4377-BA8C-ABD086C5F3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05611CB4" w14:textId="77777777" w:rsidR="00174275" w:rsidRPr="005D5B12" w:rsidRDefault="00174275">
      <w:pPr>
        <w:rPr>
          <w:b/>
          <w:bCs/>
          <w:sz w:val="28"/>
          <w:szCs w:val="28"/>
        </w:rPr>
      </w:pPr>
    </w:p>
    <w:p w14:paraId="3190854C" w14:textId="77777777" w:rsidR="000B4B62" w:rsidRPr="005D5B12" w:rsidRDefault="00591E82">
      <w:pPr>
        <w:rPr>
          <w:sz w:val="28"/>
          <w:szCs w:val="28"/>
        </w:rPr>
      </w:pPr>
      <w:r w:rsidRPr="005D5B12">
        <w:rPr>
          <w:b/>
          <w:bCs/>
          <w:sz w:val="28"/>
          <w:szCs w:val="28"/>
        </w:rPr>
        <w:t>Student Name</w:t>
      </w:r>
      <w:r w:rsidR="000049F6" w:rsidRPr="005D5B12">
        <w:rPr>
          <w:b/>
          <w:bCs/>
          <w:sz w:val="28"/>
          <w:szCs w:val="28"/>
        </w:rPr>
        <w:t>:</w:t>
      </w:r>
      <w:r w:rsidR="008E422C" w:rsidRPr="005D5B12">
        <w:rPr>
          <w:b/>
          <w:bCs/>
          <w:sz w:val="28"/>
          <w:szCs w:val="28"/>
        </w:rPr>
        <w:t xml:space="preserve"> </w:t>
      </w:r>
      <w:r w:rsidR="008E422C" w:rsidRPr="005D5B12">
        <w:rPr>
          <w:sz w:val="28"/>
          <w:szCs w:val="28"/>
        </w:rPr>
        <w:t>Renata Kunceviciute</w:t>
      </w:r>
    </w:p>
    <w:p w14:paraId="60074E23" w14:textId="77777777" w:rsidR="00AF71AC" w:rsidRPr="005D5B12" w:rsidRDefault="000B4B62">
      <w:pPr>
        <w:rPr>
          <w:sz w:val="28"/>
          <w:szCs w:val="28"/>
        </w:rPr>
      </w:pPr>
      <w:r w:rsidRPr="005D5B12">
        <w:rPr>
          <w:b/>
          <w:bCs/>
          <w:sz w:val="28"/>
          <w:szCs w:val="28"/>
        </w:rPr>
        <w:t xml:space="preserve">Student Number: </w:t>
      </w:r>
      <w:r w:rsidR="00AF71AC" w:rsidRPr="005D5B12">
        <w:rPr>
          <w:sz w:val="28"/>
          <w:szCs w:val="28"/>
        </w:rPr>
        <w:t>2429719</w:t>
      </w:r>
    </w:p>
    <w:p w14:paraId="37C66CD7" w14:textId="77777777" w:rsidR="00D72C95" w:rsidRPr="005D5B12" w:rsidRDefault="00AF71AC">
      <w:pPr>
        <w:rPr>
          <w:sz w:val="28"/>
          <w:szCs w:val="28"/>
        </w:rPr>
      </w:pPr>
      <w:r w:rsidRPr="005D5B12">
        <w:rPr>
          <w:b/>
          <w:bCs/>
          <w:sz w:val="28"/>
          <w:szCs w:val="28"/>
        </w:rPr>
        <w:t xml:space="preserve">Module </w:t>
      </w:r>
      <w:r w:rsidR="001D7C3B" w:rsidRPr="005D5B12">
        <w:rPr>
          <w:b/>
          <w:bCs/>
          <w:sz w:val="28"/>
          <w:szCs w:val="28"/>
        </w:rPr>
        <w:t xml:space="preserve">code: </w:t>
      </w:r>
      <w:r w:rsidR="00F1531C" w:rsidRPr="005D5B12">
        <w:rPr>
          <w:sz w:val="28"/>
          <w:szCs w:val="28"/>
        </w:rPr>
        <w:t>LC</w:t>
      </w:r>
      <w:r w:rsidR="004D25A7" w:rsidRPr="005D5B12">
        <w:rPr>
          <w:sz w:val="28"/>
          <w:szCs w:val="28"/>
        </w:rPr>
        <w:t>HS</w:t>
      </w:r>
      <w:r w:rsidR="00D72C95" w:rsidRPr="005D5B12">
        <w:rPr>
          <w:sz w:val="28"/>
          <w:szCs w:val="28"/>
        </w:rPr>
        <w:t>4010</w:t>
      </w:r>
    </w:p>
    <w:p w14:paraId="730FA257" w14:textId="77777777" w:rsidR="005765E5" w:rsidRPr="005D5B12" w:rsidRDefault="00F574E4">
      <w:pPr>
        <w:rPr>
          <w:sz w:val="28"/>
          <w:szCs w:val="28"/>
        </w:rPr>
      </w:pPr>
      <w:r w:rsidRPr="005D5B12">
        <w:rPr>
          <w:b/>
          <w:bCs/>
          <w:sz w:val="28"/>
          <w:szCs w:val="28"/>
        </w:rPr>
        <w:t xml:space="preserve">Module Name: </w:t>
      </w:r>
      <w:r w:rsidR="0045680B" w:rsidRPr="005D5B12">
        <w:rPr>
          <w:sz w:val="28"/>
          <w:szCs w:val="28"/>
        </w:rPr>
        <w:t>Psy</w:t>
      </w:r>
      <w:r w:rsidR="007E56B4" w:rsidRPr="005D5B12">
        <w:rPr>
          <w:sz w:val="28"/>
          <w:szCs w:val="28"/>
        </w:rPr>
        <w:t>chology in Health and Social</w:t>
      </w:r>
      <w:r w:rsidR="005765E5" w:rsidRPr="005D5B12">
        <w:rPr>
          <w:sz w:val="28"/>
          <w:szCs w:val="28"/>
        </w:rPr>
        <w:t xml:space="preserve"> Care</w:t>
      </w:r>
    </w:p>
    <w:p w14:paraId="1B38F68A" w14:textId="5F74EDCA" w:rsidR="00F4659C" w:rsidRPr="005D5B12" w:rsidRDefault="00AA5D18">
      <w:pPr>
        <w:rPr>
          <w:sz w:val="28"/>
          <w:szCs w:val="28"/>
        </w:rPr>
      </w:pPr>
      <w:r w:rsidRPr="005D5B12">
        <w:rPr>
          <w:b/>
          <w:bCs/>
          <w:sz w:val="28"/>
          <w:szCs w:val="28"/>
        </w:rPr>
        <w:t>Lecture</w:t>
      </w:r>
      <w:r w:rsidR="00F4659C" w:rsidRPr="005D5B12">
        <w:rPr>
          <w:b/>
          <w:bCs/>
          <w:sz w:val="28"/>
          <w:szCs w:val="28"/>
        </w:rPr>
        <w:t xml:space="preserve"> name:</w:t>
      </w:r>
      <w:r w:rsidR="00195B7D" w:rsidRPr="005D5B12">
        <w:rPr>
          <w:b/>
          <w:bCs/>
          <w:sz w:val="28"/>
          <w:szCs w:val="28"/>
        </w:rPr>
        <w:t xml:space="preserve"> </w:t>
      </w:r>
      <w:r w:rsidR="00195B7D" w:rsidRPr="005D5B12">
        <w:rPr>
          <w:sz w:val="28"/>
          <w:szCs w:val="28"/>
        </w:rPr>
        <w:t>P</w:t>
      </w:r>
      <w:r w:rsidR="00DA4032" w:rsidRPr="005D5B12">
        <w:rPr>
          <w:sz w:val="28"/>
          <w:szCs w:val="28"/>
        </w:rPr>
        <w:t>eace Ukachukwu</w:t>
      </w:r>
    </w:p>
    <w:p w14:paraId="52550AE7" w14:textId="0CD24D66" w:rsidR="003A16AD" w:rsidRPr="005D5B12" w:rsidRDefault="00C844F0">
      <w:pPr>
        <w:rPr>
          <w:sz w:val="28"/>
          <w:szCs w:val="28"/>
        </w:rPr>
      </w:pPr>
      <w:r w:rsidRPr="005D5B12">
        <w:rPr>
          <w:b/>
          <w:bCs/>
          <w:sz w:val="28"/>
          <w:szCs w:val="28"/>
        </w:rPr>
        <w:t>A</w:t>
      </w:r>
      <w:r w:rsidR="00D45DDF" w:rsidRPr="005D5B12">
        <w:rPr>
          <w:b/>
          <w:bCs/>
          <w:sz w:val="28"/>
          <w:szCs w:val="28"/>
        </w:rPr>
        <w:t>ssig</w:t>
      </w:r>
      <w:r w:rsidR="00E90A88" w:rsidRPr="005D5B12">
        <w:rPr>
          <w:b/>
          <w:bCs/>
          <w:sz w:val="28"/>
          <w:szCs w:val="28"/>
        </w:rPr>
        <w:t xml:space="preserve">nment </w:t>
      </w:r>
      <w:r w:rsidR="00320E78" w:rsidRPr="005D5B12">
        <w:rPr>
          <w:b/>
          <w:bCs/>
          <w:sz w:val="28"/>
          <w:szCs w:val="28"/>
        </w:rPr>
        <w:t>title:</w:t>
      </w:r>
      <w:r w:rsidR="00CF567F" w:rsidRPr="005D5B12">
        <w:rPr>
          <w:b/>
          <w:bCs/>
          <w:sz w:val="28"/>
          <w:szCs w:val="28"/>
        </w:rPr>
        <w:t xml:space="preserve"> </w:t>
      </w:r>
      <w:r w:rsidR="00311613" w:rsidRPr="005D5B12">
        <w:rPr>
          <w:sz w:val="28"/>
          <w:szCs w:val="28"/>
        </w:rPr>
        <w:t>Biblio</w:t>
      </w:r>
      <w:r w:rsidR="00675FF2" w:rsidRPr="005D5B12">
        <w:rPr>
          <w:sz w:val="28"/>
          <w:szCs w:val="28"/>
        </w:rPr>
        <w:t>graphy</w:t>
      </w:r>
      <w:r w:rsidR="0085166C" w:rsidRPr="005D5B12">
        <w:rPr>
          <w:sz w:val="28"/>
          <w:szCs w:val="28"/>
        </w:rPr>
        <w:t xml:space="preserve"> &amp; </w:t>
      </w:r>
      <w:r w:rsidR="00502987" w:rsidRPr="005D5B12">
        <w:rPr>
          <w:sz w:val="28"/>
          <w:szCs w:val="28"/>
        </w:rPr>
        <w:t>Report</w:t>
      </w:r>
    </w:p>
    <w:p w14:paraId="7C4B4FE8" w14:textId="77777777" w:rsidR="00DA4032" w:rsidRPr="005D5B12" w:rsidRDefault="00DA4032">
      <w:pPr>
        <w:rPr>
          <w:sz w:val="28"/>
          <w:szCs w:val="28"/>
        </w:rPr>
      </w:pPr>
    </w:p>
    <w:p w14:paraId="324535F8" w14:textId="77777777" w:rsidR="00DA4032" w:rsidRPr="005D5B12" w:rsidRDefault="00DA4032">
      <w:pPr>
        <w:rPr>
          <w:sz w:val="28"/>
          <w:szCs w:val="28"/>
        </w:rPr>
      </w:pPr>
    </w:p>
    <w:p w14:paraId="03DDDB28" w14:textId="77777777" w:rsidR="00DA4032" w:rsidRPr="005D5B12" w:rsidRDefault="00DA4032">
      <w:pPr>
        <w:rPr>
          <w:sz w:val="28"/>
          <w:szCs w:val="28"/>
        </w:rPr>
      </w:pPr>
    </w:p>
    <w:p w14:paraId="6F4F04F7" w14:textId="77777777" w:rsidR="00DA4032" w:rsidRPr="005D5B12" w:rsidRDefault="00DA4032">
      <w:pPr>
        <w:rPr>
          <w:sz w:val="28"/>
          <w:szCs w:val="28"/>
        </w:rPr>
      </w:pPr>
    </w:p>
    <w:p w14:paraId="1F6FE1B6" w14:textId="77777777" w:rsidR="00DA4032" w:rsidRPr="005D5B12" w:rsidRDefault="00DA4032">
      <w:pPr>
        <w:rPr>
          <w:sz w:val="28"/>
          <w:szCs w:val="28"/>
        </w:rPr>
      </w:pPr>
    </w:p>
    <w:p w14:paraId="1211AEAC" w14:textId="77777777" w:rsidR="00DA4032" w:rsidRPr="005D5B12" w:rsidRDefault="00DA4032">
      <w:pPr>
        <w:rPr>
          <w:sz w:val="28"/>
          <w:szCs w:val="28"/>
        </w:rPr>
      </w:pPr>
    </w:p>
    <w:p w14:paraId="40CEFBA1" w14:textId="77777777" w:rsidR="00DA4032" w:rsidRPr="005D5B12" w:rsidRDefault="00DA4032">
      <w:pPr>
        <w:rPr>
          <w:sz w:val="28"/>
          <w:szCs w:val="28"/>
        </w:rPr>
      </w:pPr>
    </w:p>
    <w:p w14:paraId="6BF1E7A0" w14:textId="77777777" w:rsidR="00DA4032" w:rsidRPr="005D5B12" w:rsidRDefault="00DA4032">
      <w:pPr>
        <w:rPr>
          <w:sz w:val="28"/>
          <w:szCs w:val="28"/>
        </w:rPr>
      </w:pPr>
    </w:p>
    <w:p w14:paraId="227D22F6" w14:textId="77777777" w:rsidR="00DA4032" w:rsidRPr="005D5B12" w:rsidRDefault="00DA4032">
      <w:pPr>
        <w:rPr>
          <w:sz w:val="28"/>
          <w:szCs w:val="28"/>
        </w:rPr>
      </w:pPr>
    </w:p>
    <w:p w14:paraId="2FD924C0" w14:textId="77777777" w:rsidR="00DA4032" w:rsidRPr="005D5B12" w:rsidRDefault="00DA4032">
      <w:pPr>
        <w:rPr>
          <w:sz w:val="28"/>
          <w:szCs w:val="28"/>
        </w:rPr>
      </w:pPr>
    </w:p>
    <w:p w14:paraId="5FCE88FD" w14:textId="77777777" w:rsidR="00DA4032" w:rsidRPr="005D5B12" w:rsidRDefault="00DA4032">
      <w:pPr>
        <w:rPr>
          <w:b/>
          <w:bCs/>
          <w:sz w:val="28"/>
          <w:szCs w:val="28"/>
        </w:rPr>
      </w:pPr>
    </w:p>
    <w:p w14:paraId="64565093" w14:textId="7882F099" w:rsidR="00D90382" w:rsidRPr="005D5B12" w:rsidRDefault="0054E5D5" w:rsidP="73F88540">
      <w:pPr>
        <w:spacing w:line="360" w:lineRule="auto"/>
        <w:rPr>
          <w:b/>
          <w:bCs/>
          <w:sz w:val="28"/>
          <w:szCs w:val="28"/>
        </w:rPr>
      </w:pPr>
      <w:r w:rsidRPr="005D5B12">
        <w:rPr>
          <w:b/>
          <w:bCs/>
          <w:sz w:val="28"/>
          <w:szCs w:val="28"/>
        </w:rPr>
        <w:lastRenderedPageBreak/>
        <w:t>Application of Psychological Theories to Older Adult Wellbeing in Residential Care</w:t>
      </w:r>
    </w:p>
    <w:p w14:paraId="5E5DFFC7" w14:textId="0E75DD06" w:rsidR="00D90382" w:rsidRPr="00A00361" w:rsidRDefault="0054E5D5" w:rsidP="00132182">
      <w:pPr>
        <w:pStyle w:val="Heading1"/>
        <w:spacing w:before="0" w:line="360" w:lineRule="auto"/>
        <w:rPr>
          <w:rFonts w:ascii="Arial" w:hAnsi="Arial" w:cs="Arial"/>
          <w:sz w:val="24"/>
          <w:szCs w:val="24"/>
        </w:rPr>
      </w:pPr>
      <w:r w:rsidRPr="00132182">
        <w:rPr>
          <w:rFonts w:ascii="Arial" w:hAnsi="Arial" w:cs="Arial"/>
          <w:sz w:val="22"/>
          <w:szCs w:val="22"/>
        </w:rPr>
        <w:t xml:space="preserve"> </w:t>
      </w:r>
      <w:r w:rsidRPr="00A00361">
        <w:rPr>
          <w:rFonts w:ascii="Arial" w:hAnsi="Arial" w:cs="Arial"/>
          <w:color w:val="000000" w:themeColor="text1"/>
          <w:sz w:val="24"/>
          <w:szCs w:val="24"/>
        </w:rPr>
        <w:t>Annotated Bibliography</w:t>
      </w:r>
    </w:p>
    <w:p w14:paraId="29C64CA5" w14:textId="310B4AFD" w:rsidR="73F88540" w:rsidRPr="00132182" w:rsidRDefault="73F88540" w:rsidP="00132182">
      <w:pPr>
        <w:spacing w:after="0" w:line="360" w:lineRule="auto"/>
        <w:rPr>
          <w:rFonts w:cs="Arial"/>
        </w:rPr>
      </w:pPr>
    </w:p>
    <w:p w14:paraId="23886428" w14:textId="77777777" w:rsidR="00FD7857" w:rsidRDefault="0054E5D5" w:rsidP="00132182">
      <w:pPr>
        <w:spacing w:after="0" w:line="360" w:lineRule="auto"/>
        <w:rPr>
          <w:rFonts w:cs="Arial"/>
          <w:b/>
          <w:bCs/>
        </w:rPr>
      </w:pPr>
      <w:r w:rsidRPr="00132182">
        <w:rPr>
          <w:rFonts w:cs="Arial"/>
          <w:b/>
          <w:bCs/>
        </w:rPr>
        <w:t>Vygotsky, L.S. (1978)</w:t>
      </w:r>
      <w:r w:rsidR="0028421F" w:rsidRPr="00132182">
        <w:rPr>
          <w:rFonts w:cs="Arial"/>
          <w:b/>
          <w:bCs/>
        </w:rPr>
        <w:t xml:space="preserve"> </w:t>
      </w:r>
      <w:r w:rsidR="000306F2" w:rsidRPr="00132182">
        <w:rPr>
          <w:rFonts w:cs="Arial"/>
          <w:b/>
          <w:bCs/>
        </w:rPr>
        <w:t xml:space="preserve">Mind in Society. </w:t>
      </w:r>
    </w:p>
    <w:p w14:paraId="11F23D9B" w14:textId="67EDA965" w:rsidR="00FD7857" w:rsidRPr="00FD7857" w:rsidRDefault="00A37CAE" w:rsidP="00132182">
      <w:pPr>
        <w:spacing w:after="0" w:line="360" w:lineRule="auto"/>
        <w:rPr>
          <w:rFonts w:cs="Arial"/>
          <w:b/>
          <w:bCs/>
        </w:rPr>
      </w:pPr>
      <w:r w:rsidRPr="00132182">
        <w:rPr>
          <w:rFonts w:cs="Arial"/>
        </w:rPr>
        <w:br/>
      </w:r>
      <w:r w:rsidR="00C06C14" w:rsidRPr="00132182">
        <w:rPr>
          <w:rFonts w:cs="Arial"/>
          <w:b/>
          <w:bCs/>
        </w:rPr>
        <w:t>Summary of ideology</w:t>
      </w:r>
    </w:p>
    <w:p w14:paraId="57FFE909" w14:textId="3CA3FA13" w:rsidR="00021C46" w:rsidRPr="00132182" w:rsidRDefault="0054E5D5" w:rsidP="00132182">
      <w:pPr>
        <w:spacing w:after="0" w:line="360" w:lineRule="auto"/>
        <w:rPr>
          <w:rFonts w:cs="Arial"/>
        </w:rPr>
      </w:pPr>
      <w:r w:rsidRPr="00132182">
        <w:rPr>
          <w:rFonts w:cs="Arial"/>
        </w:rPr>
        <w:t xml:space="preserve">Vygotsky (1978) </w:t>
      </w:r>
      <w:r w:rsidR="00252C9C" w:rsidRPr="00132182">
        <w:rPr>
          <w:rFonts w:cs="Arial"/>
        </w:rPr>
        <w:t>claims</w:t>
      </w:r>
      <w:r w:rsidR="00983021" w:rsidRPr="00132182">
        <w:rPr>
          <w:rFonts w:cs="Arial"/>
        </w:rPr>
        <w:t xml:space="preserve"> that social interaction within a cu</w:t>
      </w:r>
      <w:r w:rsidR="00C66A0D" w:rsidRPr="00132182">
        <w:rPr>
          <w:rFonts w:cs="Arial"/>
        </w:rPr>
        <w:t xml:space="preserve">ltural framework plays a central role in </w:t>
      </w:r>
      <w:r w:rsidR="00956E92" w:rsidRPr="00132182">
        <w:rPr>
          <w:rFonts w:cs="Arial"/>
        </w:rPr>
        <w:t xml:space="preserve">shaping </w:t>
      </w:r>
      <w:r w:rsidR="00034207" w:rsidRPr="00132182">
        <w:rPr>
          <w:rFonts w:cs="Arial"/>
        </w:rPr>
        <w:t>cognitive development.</w:t>
      </w:r>
      <w:r w:rsidR="00252C9C" w:rsidRPr="00132182">
        <w:rPr>
          <w:rFonts w:cs="Arial"/>
        </w:rPr>
        <w:t xml:space="preserve"> Far from vie</w:t>
      </w:r>
      <w:r w:rsidR="00C71C99" w:rsidRPr="00132182">
        <w:rPr>
          <w:rFonts w:cs="Arial"/>
        </w:rPr>
        <w:t>wing learning as a solitary</w:t>
      </w:r>
      <w:r w:rsidR="00864A54" w:rsidRPr="00132182">
        <w:rPr>
          <w:rFonts w:cs="Arial"/>
        </w:rPr>
        <w:t xml:space="preserve"> process, Vygotsky positioned</w:t>
      </w:r>
      <w:r w:rsidR="00495EBD" w:rsidRPr="00132182">
        <w:rPr>
          <w:rFonts w:cs="Arial"/>
        </w:rPr>
        <w:t xml:space="preserve"> the social environm</w:t>
      </w:r>
      <w:r w:rsidR="00FD7857">
        <w:rPr>
          <w:rFonts w:cs="Arial"/>
        </w:rPr>
        <w:t>e</w:t>
      </w:r>
      <w:r w:rsidR="00495EBD" w:rsidRPr="00132182">
        <w:rPr>
          <w:rFonts w:cs="Arial"/>
        </w:rPr>
        <w:t>nt as the primar</w:t>
      </w:r>
      <w:r w:rsidR="00DF071E" w:rsidRPr="00132182">
        <w:rPr>
          <w:rFonts w:cs="Arial"/>
        </w:rPr>
        <w:t>y context through which underst</w:t>
      </w:r>
      <w:r w:rsidR="00823D82" w:rsidRPr="00132182">
        <w:rPr>
          <w:rFonts w:cs="Arial"/>
        </w:rPr>
        <w:t>anding is constructed.</w:t>
      </w:r>
      <w:r w:rsidR="00252C9C" w:rsidRPr="00132182">
        <w:rPr>
          <w:rFonts w:cs="Arial"/>
        </w:rPr>
        <w:t xml:space="preserve"> </w:t>
      </w:r>
      <w:r w:rsidR="00034207" w:rsidRPr="00132182">
        <w:rPr>
          <w:rFonts w:cs="Arial"/>
        </w:rPr>
        <w:t xml:space="preserve"> </w:t>
      </w:r>
      <w:r w:rsidR="00D1200F" w:rsidRPr="00132182">
        <w:rPr>
          <w:rFonts w:cs="Arial"/>
        </w:rPr>
        <w:t>Through</w:t>
      </w:r>
      <w:r w:rsidR="00A852B2" w:rsidRPr="00132182">
        <w:rPr>
          <w:rFonts w:cs="Arial"/>
        </w:rPr>
        <w:t xml:space="preserve"> his Zone of Proximal </w:t>
      </w:r>
      <w:r w:rsidR="0042777E" w:rsidRPr="00132182">
        <w:rPr>
          <w:rFonts w:cs="Arial"/>
        </w:rPr>
        <w:t xml:space="preserve">Development </w:t>
      </w:r>
      <w:r w:rsidR="00B77E9C" w:rsidRPr="00132182">
        <w:rPr>
          <w:rFonts w:cs="Arial"/>
        </w:rPr>
        <w:t>(Z</w:t>
      </w:r>
      <w:r w:rsidR="00A80855" w:rsidRPr="00132182">
        <w:rPr>
          <w:rFonts w:cs="Arial"/>
        </w:rPr>
        <w:t>PD), he illustrates that</w:t>
      </w:r>
      <w:r w:rsidR="00144F08" w:rsidRPr="00132182">
        <w:rPr>
          <w:rFonts w:cs="Arial"/>
        </w:rPr>
        <w:t xml:space="preserve"> individuals reach greater levels of understanding when gui</w:t>
      </w:r>
      <w:r w:rsidR="00BF5227" w:rsidRPr="00132182">
        <w:rPr>
          <w:rFonts w:cs="Arial"/>
        </w:rPr>
        <w:t>ded by others than when wo</w:t>
      </w:r>
      <w:r w:rsidR="00A13F3C" w:rsidRPr="00132182">
        <w:rPr>
          <w:rFonts w:cs="Arial"/>
        </w:rPr>
        <w:t xml:space="preserve">rking alone. </w:t>
      </w:r>
      <w:r w:rsidR="00B53E8A" w:rsidRPr="00132182">
        <w:rPr>
          <w:rFonts w:cs="Arial"/>
        </w:rPr>
        <w:t>This process, known as scaffolding</w:t>
      </w:r>
      <w:r w:rsidR="00CC0BE0" w:rsidRPr="00132182">
        <w:rPr>
          <w:rFonts w:cs="Arial"/>
        </w:rPr>
        <w:t>, involves providing structured</w:t>
      </w:r>
      <w:r w:rsidR="00B83C1D" w:rsidRPr="00132182">
        <w:rPr>
          <w:rFonts w:cs="Arial"/>
        </w:rPr>
        <w:t xml:space="preserve"> support that is progressively withdrawn</w:t>
      </w:r>
      <w:r w:rsidR="00D76A2E" w:rsidRPr="00132182">
        <w:rPr>
          <w:rFonts w:cs="Arial"/>
        </w:rPr>
        <w:t xml:space="preserve"> as the learner gains con</w:t>
      </w:r>
      <w:r w:rsidR="00E700CB" w:rsidRPr="00132182">
        <w:rPr>
          <w:rFonts w:cs="Arial"/>
        </w:rPr>
        <w:t>fiden</w:t>
      </w:r>
      <w:r w:rsidR="001B396B" w:rsidRPr="00132182">
        <w:rPr>
          <w:rFonts w:cs="Arial"/>
        </w:rPr>
        <w:t>ce and competence.</w:t>
      </w:r>
      <w:r w:rsidRPr="00132182">
        <w:rPr>
          <w:rFonts w:cs="Arial"/>
        </w:rPr>
        <w:t xml:space="preserve"> </w:t>
      </w:r>
      <w:r w:rsidR="00A37CAE" w:rsidRPr="00132182">
        <w:rPr>
          <w:rFonts w:cs="Arial"/>
        </w:rPr>
        <w:br/>
      </w:r>
      <w:r w:rsidR="00A37CAE" w:rsidRPr="00132182">
        <w:rPr>
          <w:rFonts w:cs="Arial"/>
        </w:rPr>
        <w:br/>
      </w:r>
      <w:r w:rsidR="00021C46" w:rsidRPr="00132182">
        <w:rPr>
          <w:rFonts w:cs="Arial"/>
          <w:b/>
          <w:bCs/>
        </w:rPr>
        <w:t>Critical evaluation of the theory</w:t>
      </w:r>
    </w:p>
    <w:p w14:paraId="2100AC63" w14:textId="214465BE" w:rsidR="00724F5F" w:rsidRPr="00132182" w:rsidRDefault="0054E5D5" w:rsidP="00132182">
      <w:pPr>
        <w:spacing w:after="0" w:line="360" w:lineRule="auto"/>
        <w:rPr>
          <w:rFonts w:cs="Arial"/>
        </w:rPr>
      </w:pPr>
      <w:r w:rsidRPr="00132182">
        <w:rPr>
          <w:rFonts w:cs="Arial"/>
        </w:rPr>
        <w:t>Critically, this theory is highly relevant in health and social care, particularly in promoting active engagement among older adults. Social interaction has been linked to improved cognitive functioning and emotional wellbeing</w:t>
      </w:r>
      <w:r w:rsidR="006917EC" w:rsidRPr="00132182">
        <w:rPr>
          <w:rFonts w:cs="Arial"/>
        </w:rPr>
        <w:t xml:space="preserve">, </w:t>
      </w:r>
      <w:r w:rsidR="00170940" w:rsidRPr="00132182">
        <w:rPr>
          <w:rFonts w:cs="Arial"/>
        </w:rPr>
        <w:t>suggesting that Vygots</w:t>
      </w:r>
      <w:r w:rsidR="00D553C8" w:rsidRPr="00132182">
        <w:rPr>
          <w:rFonts w:cs="Arial"/>
        </w:rPr>
        <w:t>ky’s principles may offer a useful</w:t>
      </w:r>
      <w:r w:rsidR="001E5A03" w:rsidRPr="00132182">
        <w:rPr>
          <w:rFonts w:cs="Arial"/>
        </w:rPr>
        <w:t xml:space="preserve"> lens through which </w:t>
      </w:r>
      <w:r w:rsidR="00DD0238" w:rsidRPr="00132182">
        <w:rPr>
          <w:rFonts w:cs="Arial"/>
        </w:rPr>
        <w:t>to</w:t>
      </w:r>
      <w:r w:rsidR="001E5A03" w:rsidRPr="00132182">
        <w:rPr>
          <w:rFonts w:cs="Arial"/>
        </w:rPr>
        <w:t xml:space="preserve"> </w:t>
      </w:r>
      <w:r w:rsidR="00AE04E0" w:rsidRPr="00132182">
        <w:rPr>
          <w:rFonts w:cs="Arial"/>
        </w:rPr>
        <w:t>design person-</w:t>
      </w:r>
      <w:r w:rsidR="00FC3930" w:rsidRPr="00132182">
        <w:rPr>
          <w:rFonts w:cs="Arial"/>
        </w:rPr>
        <w:t>centered</w:t>
      </w:r>
      <w:r w:rsidR="00AE04E0" w:rsidRPr="00132182">
        <w:rPr>
          <w:rFonts w:cs="Arial"/>
        </w:rPr>
        <w:t xml:space="preserve"> interventions</w:t>
      </w:r>
      <w:r w:rsidR="00BE1A2B" w:rsidRPr="00132182">
        <w:rPr>
          <w:rFonts w:cs="Arial"/>
        </w:rPr>
        <w:t>. Group activities, peer support progr</w:t>
      </w:r>
      <w:r w:rsidR="000550E4" w:rsidRPr="00132182">
        <w:rPr>
          <w:rFonts w:cs="Arial"/>
        </w:rPr>
        <w:t>ammes, and structured remin</w:t>
      </w:r>
      <w:r w:rsidR="00892BE3" w:rsidRPr="00132182">
        <w:rPr>
          <w:rFonts w:cs="Arial"/>
        </w:rPr>
        <w:t xml:space="preserve">iscence sessions can all be </w:t>
      </w:r>
      <w:r w:rsidR="0083156B" w:rsidRPr="00132182">
        <w:rPr>
          <w:rFonts w:cs="Arial"/>
        </w:rPr>
        <w:t xml:space="preserve">understood as practical expressions of the </w:t>
      </w:r>
      <w:r w:rsidR="00930E11" w:rsidRPr="00132182">
        <w:rPr>
          <w:rFonts w:cs="Arial"/>
        </w:rPr>
        <w:t>ZPD in care contexts.</w:t>
      </w:r>
    </w:p>
    <w:p w14:paraId="791FD733" w14:textId="29D32E7F" w:rsidR="00F03AF7" w:rsidRPr="00132182" w:rsidRDefault="0054E5D5" w:rsidP="00132182">
      <w:pPr>
        <w:spacing w:after="0" w:line="360" w:lineRule="auto"/>
        <w:rPr>
          <w:rFonts w:cs="Arial"/>
        </w:rPr>
      </w:pPr>
      <w:r w:rsidRPr="00132182">
        <w:rPr>
          <w:rFonts w:cs="Arial"/>
        </w:rPr>
        <w:t xml:space="preserve"> However, Vygotsky’s work is based primarily on child development, and its application to older adults is largely theoretical rather than directly evidenced. This limits its empirical strength in gerontological contexts.</w:t>
      </w:r>
      <w:r w:rsidR="00D71162" w:rsidRPr="00132182">
        <w:rPr>
          <w:rFonts w:cs="Arial"/>
        </w:rPr>
        <w:t xml:space="preserve"> While</w:t>
      </w:r>
      <w:r w:rsidR="00C16B7A" w:rsidRPr="00132182">
        <w:rPr>
          <w:rFonts w:cs="Arial"/>
        </w:rPr>
        <w:t xml:space="preserve"> the </w:t>
      </w:r>
      <w:r w:rsidR="003052C6" w:rsidRPr="00132182">
        <w:rPr>
          <w:rFonts w:cs="Arial"/>
        </w:rPr>
        <w:t>conceptual framework</w:t>
      </w:r>
      <w:r w:rsidR="00ED1B3E" w:rsidRPr="00132182">
        <w:rPr>
          <w:rFonts w:cs="Arial"/>
        </w:rPr>
        <w:t xml:space="preserve"> is compelling, the</w:t>
      </w:r>
      <w:r w:rsidR="001C07D3" w:rsidRPr="00132182">
        <w:rPr>
          <w:rFonts w:cs="Arial"/>
        </w:rPr>
        <w:t xml:space="preserve"> absence of empirical re</w:t>
      </w:r>
      <w:r w:rsidR="008C1AC5" w:rsidRPr="00132182">
        <w:rPr>
          <w:rFonts w:cs="Arial"/>
        </w:rPr>
        <w:t>search specifically exploring scaffolding</w:t>
      </w:r>
      <w:r w:rsidR="006F1647" w:rsidRPr="00132182">
        <w:rPr>
          <w:rFonts w:cs="Arial"/>
        </w:rPr>
        <w:t xml:space="preserve"> and the ZPD in older adult populations</w:t>
      </w:r>
      <w:r w:rsidR="00CC28A6" w:rsidRPr="00132182">
        <w:rPr>
          <w:rFonts w:cs="Arial"/>
        </w:rPr>
        <w:t xml:space="preserve"> weak</w:t>
      </w:r>
      <w:r w:rsidR="00D866D6" w:rsidRPr="00132182">
        <w:rPr>
          <w:rFonts w:cs="Arial"/>
        </w:rPr>
        <w:t xml:space="preserve">ens its evidential base in </w:t>
      </w:r>
      <w:r w:rsidR="00FE6576" w:rsidRPr="00132182">
        <w:rPr>
          <w:rFonts w:cs="Arial"/>
        </w:rPr>
        <w:t xml:space="preserve">this context. Practitioners drawing </w:t>
      </w:r>
      <w:r w:rsidR="007C3AB0" w:rsidRPr="00132182">
        <w:rPr>
          <w:rFonts w:cs="Arial"/>
        </w:rPr>
        <w:t>on this</w:t>
      </w:r>
      <w:r w:rsidR="00517FB6" w:rsidRPr="00132182">
        <w:rPr>
          <w:rFonts w:cs="Arial"/>
        </w:rPr>
        <w:t xml:space="preserve"> theory should do so thoughtfu</w:t>
      </w:r>
      <w:r w:rsidR="00E943ED" w:rsidRPr="00132182">
        <w:rPr>
          <w:rFonts w:cs="Arial"/>
        </w:rPr>
        <w:t>lly, supplementing it with rese</w:t>
      </w:r>
      <w:r w:rsidR="0017704C" w:rsidRPr="00132182">
        <w:rPr>
          <w:rFonts w:cs="Arial"/>
        </w:rPr>
        <w:t xml:space="preserve">arch more </w:t>
      </w:r>
      <w:r w:rsidR="00391BAA" w:rsidRPr="00132182">
        <w:rPr>
          <w:rFonts w:cs="Arial"/>
        </w:rPr>
        <w:t>directly focused on ageing and social engage</w:t>
      </w:r>
      <w:r w:rsidR="00320293" w:rsidRPr="00132182">
        <w:rPr>
          <w:rFonts w:cs="Arial"/>
        </w:rPr>
        <w:t>ment.</w:t>
      </w:r>
    </w:p>
    <w:p w14:paraId="08170AF6" w14:textId="77777777" w:rsidR="00F03AF7" w:rsidRPr="00132182" w:rsidRDefault="00F03AF7" w:rsidP="00132182">
      <w:pPr>
        <w:spacing w:after="0" w:line="360" w:lineRule="auto"/>
        <w:rPr>
          <w:rFonts w:cs="Arial"/>
        </w:rPr>
      </w:pPr>
    </w:p>
    <w:p w14:paraId="45559352" w14:textId="77777777" w:rsidR="005C36DE" w:rsidRDefault="00A37CAE" w:rsidP="00132182">
      <w:pPr>
        <w:spacing w:after="0" w:line="360" w:lineRule="auto"/>
        <w:rPr>
          <w:rFonts w:cs="Arial"/>
        </w:rPr>
      </w:pPr>
      <w:r w:rsidRPr="00132182">
        <w:rPr>
          <w:rFonts w:cs="Arial"/>
        </w:rPr>
        <w:br/>
      </w:r>
    </w:p>
    <w:p w14:paraId="1879BDC6" w14:textId="26130C14" w:rsidR="002F2302" w:rsidRPr="005C36DE" w:rsidRDefault="005C36DE" w:rsidP="005C36DE">
      <w:pPr>
        <w:rPr>
          <w:rFonts w:cs="Arial"/>
        </w:rPr>
      </w:pPr>
      <w:r>
        <w:rPr>
          <w:rFonts w:cs="Arial"/>
        </w:rPr>
        <w:br w:type="page"/>
      </w:r>
      <w:r w:rsidR="0054E5D5" w:rsidRPr="00132182">
        <w:rPr>
          <w:rFonts w:cs="Arial"/>
          <w:b/>
          <w:bCs/>
        </w:rPr>
        <w:lastRenderedPageBreak/>
        <w:t>Rogoff, B. (2003)</w:t>
      </w:r>
      <w:r w:rsidR="00051BB3" w:rsidRPr="00132182">
        <w:rPr>
          <w:rFonts w:cs="Arial"/>
          <w:b/>
          <w:bCs/>
        </w:rPr>
        <w:t xml:space="preserve"> The Cultural Na</w:t>
      </w:r>
      <w:r w:rsidR="00605AB2" w:rsidRPr="00132182">
        <w:rPr>
          <w:rFonts w:cs="Arial"/>
          <w:b/>
          <w:bCs/>
        </w:rPr>
        <w:t>ture of Human Development</w:t>
      </w:r>
      <w:r w:rsidR="00167BA5" w:rsidRPr="00132182">
        <w:rPr>
          <w:rFonts w:cs="Arial"/>
          <w:b/>
          <w:bCs/>
        </w:rPr>
        <w:t>.</w:t>
      </w:r>
    </w:p>
    <w:p w14:paraId="435F94BC" w14:textId="77777777" w:rsidR="00A00361" w:rsidRPr="00132182" w:rsidRDefault="00A00361" w:rsidP="00132182">
      <w:pPr>
        <w:spacing w:after="0" w:line="360" w:lineRule="auto"/>
        <w:rPr>
          <w:rFonts w:cs="Arial"/>
          <w:b/>
          <w:bCs/>
        </w:rPr>
      </w:pPr>
    </w:p>
    <w:p w14:paraId="2DB2B694" w14:textId="556E0DB3" w:rsidR="00F77C99" w:rsidRPr="00A00361" w:rsidRDefault="002F2302" w:rsidP="00132182">
      <w:pPr>
        <w:spacing w:after="0" w:line="360" w:lineRule="auto"/>
        <w:rPr>
          <w:rFonts w:cs="Arial"/>
          <w:b/>
          <w:bCs/>
        </w:rPr>
      </w:pPr>
      <w:r w:rsidRPr="00132182">
        <w:rPr>
          <w:rFonts w:cs="Arial"/>
          <w:b/>
          <w:bCs/>
        </w:rPr>
        <w:t>Summary</w:t>
      </w:r>
      <w:r w:rsidR="0089781A" w:rsidRPr="00132182">
        <w:rPr>
          <w:rFonts w:cs="Arial"/>
          <w:b/>
          <w:bCs/>
        </w:rPr>
        <w:t xml:space="preserve"> of </w:t>
      </w:r>
      <w:r w:rsidRPr="00132182">
        <w:rPr>
          <w:rFonts w:cs="Arial"/>
          <w:b/>
          <w:bCs/>
        </w:rPr>
        <w:t>ideology</w:t>
      </w:r>
      <w:r w:rsidR="00A37CAE" w:rsidRPr="00132182">
        <w:rPr>
          <w:rFonts w:cs="Arial"/>
        </w:rPr>
        <w:br/>
      </w:r>
      <w:r w:rsidR="0054E5D5" w:rsidRPr="00132182">
        <w:rPr>
          <w:rFonts w:cs="Arial"/>
        </w:rPr>
        <w:t xml:space="preserve">Rogoff (2003) extends sociocultural theory by conceptualising development as a lifelong process embedded in cultural participation. </w:t>
      </w:r>
      <w:r w:rsidR="003A1CC2" w:rsidRPr="00132182">
        <w:rPr>
          <w:rFonts w:cs="Arial"/>
        </w:rPr>
        <w:t xml:space="preserve">Rather </w:t>
      </w:r>
      <w:r w:rsidR="00EC0A51" w:rsidRPr="00132182">
        <w:rPr>
          <w:rFonts w:cs="Arial"/>
        </w:rPr>
        <w:t>than viewing</w:t>
      </w:r>
      <w:r w:rsidR="003A1CC2" w:rsidRPr="00132182">
        <w:rPr>
          <w:rFonts w:cs="Arial"/>
        </w:rPr>
        <w:t xml:space="preserve"> lear</w:t>
      </w:r>
      <w:r w:rsidR="00E55FDA" w:rsidRPr="00132182">
        <w:rPr>
          <w:rFonts w:cs="Arial"/>
        </w:rPr>
        <w:t>ning as something that happens t</w:t>
      </w:r>
      <w:r w:rsidR="00D02476" w:rsidRPr="00132182">
        <w:rPr>
          <w:rFonts w:cs="Arial"/>
        </w:rPr>
        <w:t xml:space="preserve">o individuals. Rogoff frames it as </w:t>
      </w:r>
      <w:r w:rsidR="00B074FA" w:rsidRPr="00132182">
        <w:rPr>
          <w:rFonts w:cs="Arial"/>
        </w:rPr>
        <w:t>something that happens through individuals</w:t>
      </w:r>
      <w:r w:rsidR="00B869FE" w:rsidRPr="00132182">
        <w:rPr>
          <w:rFonts w:cs="Arial"/>
        </w:rPr>
        <w:t>, as they engage in shared activities alon</w:t>
      </w:r>
      <w:r w:rsidR="00A95C1D" w:rsidRPr="00132182">
        <w:rPr>
          <w:rFonts w:cs="Arial"/>
        </w:rPr>
        <w:t xml:space="preserve">gside others </w:t>
      </w:r>
      <w:r w:rsidR="00EC0A51" w:rsidRPr="00132182">
        <w:rPr>
          <w:rFonts w:cs="Arial"/>
        </w:rPr>
        <w:t>in their</w:t>
      </w:r>
      <w:r w:rsidR="00A95C1D" w:rsidRPr="00132182">
        <w:rPr>
          <w:rFonts w:cs="Arial"/>
        </w:rPr>
        <w:t xml:space="preserve"> social and cultural environ</w:t>
      </w:r>
      <w:r w:rsidR="00F66448" w:rsidRPr="00132182">
        <w:rPr>
          <w:rFonts w:cs="Arial"/>
        </w:rPr>
        <w:t>ment. Her concept of guided</w:t>
      </w:r>
      <w:r w:rsidR="00492E15" w:rsidRPr="00132182">
        <w:rPr>
          <w:rFonts w:cs="Arial"/>
        </w:rPr>
        <w:t xml:space="preserve"> participation captures the dynamic proces</w:t>
      </w:r>
      <w:r w:rsidR="00000F78" w:rsidRPr="00132182">
        <w:rPr>
          <w:rFonts w:cs="Arial"/>
        </w:rPr>
        <w:t>s by which people learn through colla</w:t>
      </w:r>
      <w:r w:rsidR="00E72ACA" w:rsidRPr="00132182">
        <w:rPr>
          <w:rFonts w:cs="Arial"/>
        </w:rPr>
        <w:t xml:space="preserve">boration, observation, and active </w:t>
      </w:r>
      <w:r w:rsidR="00E810DF" w:rsidRPr="00132182">
        <w:rPr>
          <w:rFonts w:cs="Arial"/>
        </w:rPr>
        <w:t xml:space="preserve">involvement </w:t>
      </w:r>
      <w:r w:rsidR="00CC5EE5" w:rsidRPr="00132182">
        <w:rPr>
          <w:rFonts w:cs="Arial"/>
        </w:rPr>
        <w:t>in meaningful</w:t>
      </w:r>
      <w:r w:rsidR="00EC0A51" w:rsidRPr="00132182">
        <w:rPr>
          <w:rFonts w:cs="Arial"/>
        </w:rPr>
        <w:t xml:space="preserve"> practices.</w:t>
      </w:r>
    </w:p>
    <w:p w14:paraId="41CDD633" w14:textId="77777777" w:rsidR="00F77C99" w:rsidRPr="00132182" w:rsidRDefault="00A37CAE" w:rsidP="00132182">
      <w:pPr>
        <w:spacing w:after="0" w:line="360" w:lineRule="auto"/>
        <w:rPr>
          <w:rFonts w:cs="Arial"/>
          <w:b/>
          <w:bCs/>
        </w:rPr>
      </w:pPr>
      <w:r w:rsidRPr="00132182">
        <w:rPr>
          <w:rFonts w:cs="Arial"/>
        </w:rPr>
        <w:br/>
      </w:r>
      <w:r w:rsidR="00F77C99" w:rsidRPr="00132182">
        <w:rPr>
          <w:rFonts w:cs="Arial"/>
          <w:b/>
          <w:bCs/>
        </w:rPr>
        <w:t>Critical evaluation of the theory</w:t>
      </w:r>
    </w:p>
    <w:p w14:paraId="77A6168B" w14:textId="0D8054E6" w:rsidR="00235183" w:rsidRPr="00132182" w:rsidRDefault="0054E5D5" w:rsidP="00132182">
      <w:pPr>
        <w:spacing w:after="0" w:line="360" w:lineRule="auto"/>
        <w:rPr>
          <w:rFonts w:cs="Arial"/>
        </w:rPr>
      </w:pPr>
      <w:r w:rsidRPr="00132182">
        <w:rPr>
          <w:rFonts w:cs="Arial"/>
        </w:rPr>
        <w:t xml:space="preserve">This perspective is valuable in care settings as it supports the use of group-based activities to maintain identity and reduce social isolation among older adults. Participation in culturally meaningful practices </w:t>
      </w:r>
      <w:r w:rsidR="000E2770" w:rsidRPr="00132182">
        <w:rPr>
          <w:rFonts w:cs="Arial"/>
        </w:rPr>
        <w:t>– whether artistic</w:t>
      </w:r>
      <w:r w:rsidR="009B3D19" w:rsidRPr="00132182">
        <w:rPr>
          <w:rFonts w:cs="Arial"/>
        </w:rPr>
        <w:t xml:space="preserve">, social, or community oriented </w:t>
      </w:r>
      <w:r w:rsidR="00036EF1" w:rsidRPr="00132182">
        <w:rPr>
          <w:rFonts w:cs="Arial"/>
        </w:rPr>
        <w:t>–</w:t>
      </w:r>
      <w:r w:rsidR="009B3D19" w:rsidRPr="00132182">
        <w:rPr>
          <w:rFonts w:cs="Arial"/>
        </w:rPr>
        <w:t xml:space="preserve"> </w:t>
      </w:r>
      <w:r w:rsidR="00036EF1" w:rsidRPr="00132182">
        <w:rPr>
          <w:rFonts w:cs="Arial"/>
        </w:rPr>
        <w:t xml:space="preserve">can strengthen a sense </w:t>
      </w:r>
      <w:r w:rsidR="003B493D" w:rsidRPr="00132182">
        <w:rPr>
          <w:rFonts w:cs="Arial"/>
        </w:rPr>
        <w:t>of</w:t>
      </w:r>
      <w:r w:rsidR="00036EF1" w:rsidRPr="00132182">
        <w:rPr>
          <w:rFonts w:cs="Arial"/>
        </w:rPr>
        <w:t xml:space="preserve"> self</w:t>
      </w:r>
      <w:r w:rsidR="0044076D" w:rsidRPr="00132182">
        <w:rPr>
          <w:rFonts w:cs="Arial"/>
        </w:rPr>
        <w:t xml:space="preserve"> and contribute</w:t>
      </w:r>
      <w:r w:rsidR="004C0A26" w:rsidRPr="00132182">
        <w:rPr>
          <w:rFonts w:cs="Arial"/>
        </w:rPr>
        <w:t xml:space="preserve"> positively to wellbeing</w:t>
      </w:r>
      <w:r w:rsidRPr="00132182">
        <w:rPr>
          <w:rFonts w:cs="Arial"/>
        </w:rPr>
        <w:t>.</w:t>
      </w:r>
      <w:r w:rsidR="004C0A26" w:rsidRPr="00132182">
        <w:rPr>
          <w:rFonts w:cs="Arial"/>
        </w:rPr>
        <w:t xml:space="preserve"> </w:t>
      </w:r>
      <w:r w:rsidR="006D0362" w:rsidRPr="00132182">
        <w:rPr>
          <w:rFonts w:cs="Arial"/>
        </w:rPr>
        <w:t xml:space="preserve">Care environments that prioritise </w:t>
      </w:r>
      <w:r w:rsidR="005453F2" w:rsidRPr="00132182">
        <w:rPr>
          <w:rFonts w:cs="Arial"/>
        </w:rPr>
        <w:t>communal engagement over passive receipt</w:t>
      </w:r>
      <w:r w:rsidR="00847C6C" w:rsidRPr="00132182">
        <w:rPr>
          <w:rFonts w:cs="Arial"/>
        </w:rPr>
        <w:t xml:space="preserve"> of services </w:t>
      </w:r>
      <w:r w:rsidR="005D5B12" w:rsidRPr="00132182">
        <w:rPr>
          <w:rFonts w:cs="Arial"/>
        </w:rPr>
        <w:t>align well</w:t>
      </w:r>
      <w:r w:rsidR="00847C6C" w:rsidRPr="00132182">
        <w:rPr>
          <w:rFonts w:cs="Arial"/>
        </w:rPr>
        <w:t xml:space="preserve"> with </w:t>
      </w:r>
      <w:r w:rsidR="00EA761F" w:rsidRPr="00132182">
        <w:rPr>
          <w:rFonts w:cs="Arial"/>
        </w:rPr>
        <w:t>Rogoff’s framework</w:t>
      </w:r>
      <w:r w:rsidR="00235183" w:rsidRPr="00132182">
        <w:rPr>
          <w:rFonts w:cs="Arial"/>
        </w:rPr>
        <w:t>.</w:t>
      </w:r>
    </w:p>
    <w:p w14:paraId="62A303D7" w14:textId="3BBEC953" w:rsidR="008229BF" w:rsidRPr="00132182" w:rsidRDefault="0054E5D5" w:rsidP="00132182">
      <w:pPr>
        <w:spacing w:after="0" w:line="360" w:lineRule="auto"/>
        <w:rPr>
          <w:rFonts w:cs="Arial"/>
        </w:rPr>
      </w:pPr>
      <w:r w:rsidRPr="00132182">
        <w:rPr>
          <w:rFonts w:cs="Arial"/>
        </w:rPr>
        <w:t xml:space="preserve"> However, Rogoff’s work is largely theoretical and does not specifically address institutional care environments</w:t>
      </w:r>
      <w:r w:rsidR="007265C5" w:rsidRPr="00132182">
        <w:rPr>
          <w:rFonts w:cs="Arial"/>
        </w:rPr>
        <w:t xml:space="preserve">. </w:t>
      </w:r>
      <w:r w:rsidR="00FA4F94" w:rsidRPr="00132182">
        <w:rPr>
          <w:rFonts w:cs="Arial"/>
        </w:rPr>
        <w:t>The dynamics of a care home or su</w:t>
      </w:r>
      <w:r w:rsidR="000470FE" w:rsidRPr="00132182">
        <w:rPr>
          <w:rFonts w:cs="Arial"/>
        </w:rPr>
        <w:t xml:space="preserve">pported living setting </w:t>
      </w:r>
      <w:r w:rsidR="0015110A" w:rsidRPr="00132182">
        <w:rPr>
          <w:rFonts w:cs="Arial"/>
        </w:rPr>
        <w:t>diff</w:t>
      </w:r>
      <w:r w:rsidR="008229BF" w:rsidRPr="00132182">
        <w:rPr>
          <w:rFonts w:cs="Arial"/>
        </w:rPr>
        <w:t xml:space="preserve">er </w:t>
      </w:r>
      <w:r w:rsidR="00BD0647" w:rsidRPr="00132182">
        <w:rPr>
          <w:rFonts w:cs="Arial"/>
        </w:rPr>
        <w:t xml:space="preserve">substantially from the </w:t>
      </w:r>
      <w:r w:rsidR="0040770C" w:rsidRPr="00132182">
        <w:rPr>
          <w:rFonts w:cs="Arial"/>
        </w:rPr>
        <w:t>community contexts Rogoff</w:t>
      </w:r>
      <w:r w:rsidR="00353422" w:rsidRPr="00132182">
        <w:rPr>
          <w:rFonts w:cs="Arial"/>
        </w:rPr>
        <w:t xml:space="preserve"> describes, meaning that direct application </w:t>
      </w:r>
      <w:r w:rsidR="00AE5B9B" w:rsidRPr="00132182">
        <w:rPr>
          <w:rFonts w:cs="Arial"/>
        </w:rPr>
        <w:t>requires considerable adaptation.</w:t>
      </w:r>
      <w:r w:rsidR="00C12BE8" w:rsidRPr="00132182">
        <w:rPr>
          <w:rFonts w:cs="Arial"/>
        </w:rPr>
        <w:t xml:space="preserve"> Practitioners</w:t>
      </w:r>
      <w:r w:rsidR="000D3D7D" w:rsidRPr="00132182">
        <w:rPr>
          <w:rFonts w:cs="Arial"/>
        </w:rPr>
        <w:t xml:space="preserve"> must </w:t>
      </w:r>
      <w:r w:rsidR="00B279C8" w:rsidRPr="00132182">
        <w:rPr>
          <w:rFonts w:cs="Arial"/>
        </w:rPr>
        <w:t>consider factors</w:t>
      </w:r>
      <w:r w:rsidR="000D3D7D" w:rsidRPr="00132182">
        <w:rPr>
          <w:rFonts w:cs="Arial"/>
        </w:rPr>
        <w:t xml:space="preserve"> such s cognitive and physical </w:t>
      </w:r>
      <w:r w:rsidR="000D220C" w:rsidRPr="00132182">
        <w:rPr>
          <w:rFonts w:cs="Arial"/>
        </w:rPr>
        <w:t xml:space="preserve">limitations, staff capacity, and </w:t>
      </w:r>
      <w:r w:rsidR="00EF5B43" w:rsidRPr="00132182">
        <w:rPr>
          <w:rFonts w:cs="Arial"/>
        </w:rPr>
        <w:t>the institutional culture of the setting</w:t>
      </w:r>
      <w:r w:rsidR="00FC7027" w:rsidRPr="00132182">
        <w:rPr>
          <w:rFonts w:cs="Arial"/>
        </w:rPr>
        <w:t>. Nevertheless, the core empha</w:t>
      </w:r>
      <w:r w:rsidR="00E254C1" w:rsidRPr="00132182">
        <w:rPr>
          <w:rFonts w:cs="Arial"/>
        </w:rPr>
        <w:t xml:space="preserve">sis on cultural participation </w:t>
      </w:r>
      <w:r w:rsidR="00FC0E10" w:rsidRPr="00132182">
        <w:rPr>
          <w:rFonts w:cs="Arial"/>
        </w:rPr>
        <w:t>and guided collaboration remains a valua</w:t>
      </w:r>
      <w:r w:rsidR="00405E17" w:rsidRPr="00132182">
        <w:rPr>
          <w:rFonts w:cs="Arial"/>
        </w:rPr>
        <w:t>ble guide for reflective practice.</w:t>
      </w:r>
    </w:p>
    <w:p w14:paraId="33ECBC4C" w14:textId="77777777" w:rsidR="00053600" w:rsidRPr="00132182" w:rsidRDefault="00A37CAE" w:rsidP="00132182">
      <w:pPr>
        <w:spacing w:after="0" w:line="360" w:lineRule="auto"/>
        <w:rPr>
          <w:rFonts w:cs="Arial"/>
        </w:rPr>
      </w:pPr>
      <w:r w:rsidRPr="00132182">
        <w:rPr>
          <w:rFonts w:cs="Arial"/>
        </w:rPr>
        <w:br/>
      </w:r>
      <w:r w:rsidR="00A721F8" w:rsidRPr="00132182">
        <w:rPr>
          <w:rFonts w:cs="Arial"/>
        </w:rPr>
        <w:br/>
      </w:r>
    </w:p>
    <w:p w14:paraId="5BA2F294" w14:textId="77777777" w:rsidR="00053600" w:rsidRPr="00132182" w:rsidRDefault="00053600" w:rsidP="00132182">
      <w:pPr>
        <w:spacing w:after="0" w:line="360" w:lineRule="auto"/>
        <w:rPr>
          <w:rFonts w:cs="Arial"/>
        </w:rPr>
      </w:pPr>
      <w:r w:rsidRPr="00132182">
        <w:rPr>
          <w:rFonts w:cs="Arial"/>
        </w:rPr>
        <w:br w:type="page"/>
      </w:r>
    </w:p>
    <w:p w14:paraId="5ACD5C09" w14:textId="77777777" w:rsidR="00A01547" w:rsidRDefault="00A37CAE" w:rsidP="00132182">
      <w:pPr>
        <w:spacing w:after="0" w:line="360" w:lineRule="auto"/>
        <w:rPr>
          <w:rFonts w:cs="Arial"/>
          <w:b/>
          <w:bCs/>
        </w:rPr>
      </w:pPr>
      <w:r w:rsidRPr="00132182">
        <w:rPr>
          <w:rFonts w:cs="Arial"/>
        </w:rPr>
        <w:lastRenderedPageBreak/>
        <w:br/>
      </w:r>
      <w:r w:rsidR="0054E5D5" w:rsidRPr="00132182">
        <w:rPr>
          <w:rFonts w:cs="Arial"/>
          <w:b/>
          <w:bCs/>
        </w:rPr>
        <w:t>Erikson, E.H. (1982)</w:t>
      </w:r>
      <w:r w:rsidR="00E72801" w:rsidRPr="00132182">
        <w:rPr>
          <w:rFonts w:cs="Arial"/>
          <w:b/>
          <w:bCs/>
        </w:rPr>
        <w:t xml:space="preserve"> </w:t>
      </w:r>
      <w:r w:rsidR="00B30342" w:rsidRPr="00132182">
        <w:rPr>
          <w:rFonts w:cs="Arial"/>
          <w:b/>
          <w:bCs/>
        </w:rPr>
        <w:t>The Life Cycle Completed.</w:t>
      </w:r>
    </w:p>
    <w:p w14:paraId="30D695A2" w14:textId="77777777" w:rsidR="005C36DE" w:rsidRPr="00132182" w:rsidRDefault="005C36DE" w:rsidP="00132182">
      <w:pPr>
        <w:spacing w:after="0" w:line="360" w:lineRule="auto"/>
        <w:rPr>
          <w:rFonts w:cs="Arial"/>
          <w:b/>
          <w:bCs/>
        </w:rPr>
      </w:pPr>
    </w:p>
    <w:p w14:paraId="7A10D936" w14:textId="1379EFB2" w:rsidR="003007B5" w:rsidRPr="00132182" w:rsidRDefault="003D19F1" w:rsidP="00132182">
      <w:pPr>
        <w:spacing w:after="0" w:line="360" w:lineRule="auto"/>
        <w:rPr>
          <w:rFonts w:cs="Arial"/>
          <w:b/>
          <w:bCs/>
        </w:rPr>
      </w:pPr>
      <w:r w:rsidRPr="00132182">
        <w:rPr>
          <w:rFonts w:cs="Arial"/>
          <w:b/>
          <w:bCs/>
        </w:rPr>
        <w:t>Summary of ideology</w:t>
      </w:r>
      <w:r w:rsidR="00A37CAE" w:rsidRPr="00132182">
        <w:rPr>
          <w:rFonts w:cs="Arial"/>
          <w:b/>
          <w:bCs/>
        </w:rPr>
        <w:br/>
      </w:r>
      <w:r w:rsidR="0054E5D5" w:rsidRPr="00132182">
        <w:rPr>
          <w:rFonts w:cs="Arial"/>
        </w:rPr>
        <w:t>Erikson (1982) proposes a lifespan model of psychosocial development</w:t>
      </w:r>
      <w:r w:rsidR="00761D63" w:rsidRPr="00132182">
        <w:rPr>
          <w:rFonts w:cs="Arial"/>
        </w:rPr>
        <w:t xml:space="preserve"> comp</w:t>
      </w:r>
      <w:r w:rsidR="00D3630A" w:rsidRPr="00132182">
        <w:rPr>
          <w:rFonts w:cs="Arial"/>
        </w:rPr>
        <w:t xml:space="preserve">rising eight stages, each </w:t>
      </w:r>
      <w:r w:rsidR="00BB0212" w:rsidRPr="00132182">
        <w:rPr>
          <w:rFonts w:cs="Arial"/>
        </w:rPr>
        <w:t>characterized by a central conflict that individuals must navigate</w:t>
      </w:r>
      <w:r w:rsidR="00C73D90" w:rsidRPr="00132182">
        <w:rPr>
          <w:rFonts w:cs="Arial"/>
        </w:rPr>
        <w:t xml:space="preserve">. </w:t>
      </w:r>
      <w:r w:rsidR="0054E5D5" w:rsidRPr="00132182">
        <w:rPr>
          <w:rFonts w:cs="Arial"/>
        </w:rPr>
        <w:t>I</w:t>
      </w:r>
      <w:r w:rsidR="00C93AFE" w:rsidRPr="00132182">
        <w:rPr>
          <w:rFonts w:cs="Arial"/>
        </w:rPr>
        <w:t>n later adulthood, peopl</w:t>
      </w:r>
      <w:r w:rsidR="002114E1" w:rsidRPr="00132182">
        <w:rPr>
          <w:rFonts w:cs="Arial"/>
        </w:rPr>
        <w:t>e encounter the conflict</w:t>
      </w:r>
      <w:r w:rsidR="00B63C9B" w:rsidRPr="00132182">
        <w:rPr>
          <w:rFonts w:cs="Arial"/>
        </w:rPr>
        <w:t xml:space="preserve"> between ego </w:t>
      </w:r>
      <w:r w:rsidR="00464B45" w:rsidRPr="00132182">
        <w:rPr>
          <w:rFonts w:cs="Arial"/>
        </w:rPr>
        <w:t>integrity and despair, during which they</w:t>
      </w:r>
      <w:r w:rsidR="00D329AD" w:rsidRPr="00132182">
        <w:rPr>
          <w:rFonts w:cs="Arial"/>
        </w:rPr>
        <w:t xml:space="preserve"> look back and evaluate the lives</w:t>
      </w:r>
      <w:r w:rsidR="00D5770C" w:rsidRPr="00132182">
        <w:rPr>
          <w:rFonts w:cs="Arial"/>
        </w:rPr>
        <w:t xml:space="preserve"> they have lived. Those who navigate this stage </w:t>
      </w:r>
      <w:r w:rsidR="007817E0" w:rsidRPr="00132182">
        <w:rPr>
          <w:rFonts w:cs="Arial"/>
        </w:rPr>
        <w:t xml:space="preserve">successfully </w:t>
      </w:r>
      <w:r w:rsidR="00DA29D2" w:rsidRPr="00132182">
        <w:rPr>
          <w:rFonts w:cs="Arial"/>
        </w:rPr>
        <w:t>tend to experience a deep sense of satis</w:t>
      </w:r>
      <w:r w:rsidR="00F12452" w:rsidRPr="00132182">
        <w:rPr>
          <w:rFonts w:cs="Arial"/>
        </w:rPr>
        <w:t>faction and acc</w:t>
      </w:r>
      <w:r w:rsidR="00A15E0C" w:rsidRPr="00132182">
        <w:rPr>
          <w:rFonts w:cs="Arial"/>
        </w:rPr>
        <w:t>eptance, whereas</w:t>
      </w:r>
      <w:r w:rsidR="004E594B" w:rsidRPr="00132182">
        <w:rPr>
          <w:rFonts w:cs="Arial"/>
        </w:rPr>
        <w:t xml:space="preserve"> those who do not may be left</w:t>
      </w:r>
      <w:r w:rsidR="003825C5" w:rsidRPr="00132182">
        <w:rPr>
          <w:rFonts w:cs="Arial"/>
        </w:rPr>
        <w:t xml:space="preserve"> with feelings of remorse and emotional suff</w:t>
      </w:r>
      <w:r w:rsidR="00290244" w:rsidRPr="00132182">
        <w:rPr>
          <w:rFonts w:cs="Arial"/>
        </w:rPr>
        <w:t>ering.</w:t>
      </w:r>
    </w:p>
    <w:p w14:paraId="1CDE0E99" w14:textId="2B1FBA26" w:rsidR="00565CD0" w:rsidRPr="00132182" w:rsidRDefault="00A37CAE" w:rsidP="00132182">
      <w:pPr>
        <w:spacing w:after="0" w:line="360" w:lineRule="auto"/>
        <w:rPr>
          <w:rFonts w:cs="Arial"/>
        </w:rPr>
      </w:pPr>
      <w:r w:rsidRPr="00132182">
        <w:rPr>
          <w:rFonts w:cs="Arial"/>
          <w:b/>
          <w:bCs/>
        </w:rPr>
        <w:br/>
      </w:r>
      <w:r w:rsidR="009E7720" w:rsidRPr="00132182">
        <w:rPr>
          <w:rFonts w:cs="Arial"/>
          <w:b/>
          <w:bCs/>
        </w:rPr>
        <w:t>Critical evaluation of the theory</w:t>
      </w:r>
      <w:r w:rsidRPr="00132182">
        <w:rPr>
          <w:rFonts w:cs="Arial"/>
        </w:rPr>
        <w:br/>
      </w:r>
      <w:r w:rsidR="0054E5D5" w:rsidRPr="00132182">
        <w:rPr>
          <w:rFonts w:cs="Arial"/>
        </w:rPr>
        <w:t xml:space="preserve">This theory is highly applicable in care settings, particularly in interventions such as reminiscence therapy. </w:t>
      </w:r>
      <w:r w:rsidR="00687E2B" w:rsidRPr="00132182">
        <w:rPr>
          <w:rFonts w:cs="Arial"/>
        </w:rPr>
        <w:t xml:space="preserve">By </w:t>
      </w:r>
      <w:r w:rsidR="00046FA0" w:rsidRPr="00132182">
        <w:rPr>
          <w:rFonts w:cs="Arial"/>
        </w:rPr>
        <w:t>understanding later life as a stage with</w:t>
      </w:r>
      <w:r w:rsidR="006E599C" w:rsidRPr="00132182">
        <w:rPr>
          <w:rFonts w:cs="Arial"/>
        </w:rPr>
        <w:t xml:space="preserve"> its own psychological tasks </w:t>
      </w:r>
      <w:r w:rsidR="00882B9F" w:rsidRPr="00132182">
        <w:rPr>
          <w:rFonts w:cs="Arial"/>
        </w:rPr>
        <w:t xml:space="preserve">and emotional needs, care </w:t>
      </w:r>
      <w:r w:rsidR="00A43F6D" w:rsidRPr="00132182">
        <w:rPr>
          <w:rFonts w:cs="Arial"/>
        </w:rPr>
        <w:t>professionals can design more responsive and com</w:t>
      </w:r>
      <w:r w:rsidR="00B32F94" w:rsidRPr="00132182">
        <w:rPr>
          <w:rFonts w:cs="Arial"/>
        </w:rPr>
        <w:t>passionate support. Erikson</w:t>
      </w:r>
      <w:r w:rsidR="006549F8" w:rsidRPr="00132182">
        <w:rPr>
          <w:rFonts w:cs="Arial"/>
        </w:rPr>
        <w:t xml:space="preserve">’s work </w:t>
      </w:r>
      <w:r w:rsidR="00965D3B" w:rsidRPr="00132182">
        <w:rPr>
          <w:rFonts w:cs="Arial"/>
        </w:rPr>
        <w:t xml:space="preserve">encourages practitioners to take </w:t>
      </w:r>
      <w:r w:rsidR="00B279C8" w:rsidRPr="00132182">
        <w:rPr>
          <w:rFonts w:cs="Arial"/>
        </w:rPr>
        <w:t>seriously</w:t>
      </w:r>
      <w:r w:rsidR="00965D3B" w:rsidRPr="00132182">
        <w:rPr>
          <w:rFonts w:cs="Arial"/>
        </w:rPr>
        <w:t xml:space="preserve"> the </w:t>
      </w:r>
      <w:r w:rsidR="00110693" w:rsidRPr="00132182">
        <w:rPr>
          <w:rFonts w:cs="Arial"/>
        </w:rPr>
        <w:t xml:space="preserve">interior emotional life of older adults and </w:t>
      </w:r>
      <w:r w:rsidR="00215BB9" w:rsidRPr="00132182">
        <w:rPr>
          <w:rFonts w:cs="Arial"/>
        </w:rPr>
        <w:t>t recognize the imp</w:t>
      </w:r>
      <w:r w:rsidR="00F22DC1" w:rsidRPr="00132182">
        <w:rPr>
          <w:rFonts w:cs="Arial"/>
        </w:rPr>
        <w:t xml:space="preserve">ortance of </w:t>
      </w:r>
      <w:r w:rsidR="0018625B" w:rsidRPr="00132182">
        <w:rPr>
          <w:rFonts w:cs="Arial"/>
        </w:rPr>
        <w:t>narrative, identity</w:t>
      </w:r>
      <w:r w:rsidR="00AD6FC1" w:rsidRPr="00132182">
        <w:rPr>
          <w:rFonts w:cs="Arial"/>
        </w:rPr>
        <w:t>, and meaning in sustaining well</w:t>
      </w:r>
      <w:r w:rsidR="00383326" w:rsidRPr="00132182">
        <w:rPr>
          <w:rFonts w:cs="Arial"/>
        </w:rPr>
        <w:t>being.</w:t>
      </w:r>
    </w:p>
    <w:p w14:paraId="3C9326A1" w14:textId="77777777" w:rsidR="00404CD1" w:rsidRPr="00132182" w:rsidRDefault="00AC785D" w:rsidP="00132182">
      <w:pPr>
        <w:spacing w:after="0" w:line="360" w:lineRule="auto"/>
        <w:rPr>
          <w:rFonts w:cs="Arial"/>
          <w:b/>
          <w:bCs/>
        </w:rPr>
      </w:pPr>
      <w:r w:rsidRPr="00132182">
        <w:rPr>
          <w:rFonts w:cs="Arial"/>
        </w:rPr>
        <w:t xml:space="preserve">A </w:t>
      </w:r>
      <w:r w:rsidR="0099475E" w:rsidRPr="00132182">
        <w:rPr>
          <w:rFonts w:cs="Arial"/>
        </w:rPr>
        <w:t>notable limitation of Erikson’s model</w:t>
      </w:r>
      <w:r w:rsidR="00CD7D78" w:rsidRPr="00132182">
        <w:rPr>
          <w:rFonts w:cs="Arial"/>
        </w:rPr>
        <w:t xml:space="preserve"> is that its constructs are a</w:t>
      </w:r>
      <w:r w:rsidR="003B4A42" w:rsidRPr="00132182">
        <w:rPr>
          <w:rFonts w:cs="Arial"/>
        </w:rPr>
        <w:t xml:space="preserve">bstract and resist straightforward </w:t>
      </w:r>
      <w:r w:rsidR="003604FE" w:rsidRPr="00132182">
        <w:rPr>
          <w:rFonts w:cs="Arial"/>
        </w:rPr>
        <w:t xml:space="preserve">empirical </w:t>
      </w:r>
      <w:r w:rsidR="00421C2C" w:rsidRPr="00132182">
        <w:rPr>
          <w:rFonts w:cs="Arial"/>
        </w:rPr>
        <w:t>measurements</w:t>
      </w:r>
      <w:r w:rsidR="003604FE" w:rsidRPr="00132182">
        <w:rPr>
          <w:rFonts w:cs="Arial"/>
        </w:rPr>
        <w:t>. Terms such as ‘ego</w:t>
      </w:r>
      <w:r w:rsidR="00580A4D" w:rsidRPr="00132182">
        <w:rPr>
          <w:rFonts w:cs="Arial"/>
        </w:rPr>
        <w:t xml:space="preserve"> integrity’ and ‘despair’ are </w:t>
      </w:r>
      <w:r w:rsidR="004049FB" w:rsidRPr="00132182">
        <w:rPr>
          <w:rFonts w:cs="Arial"/>
        </w:rPr>
        <w:t xml:space="preserve">difficult to </w:t>
      </w:r>
      <w:r w:rsidR="00B279C8" w:rsidRPr="00132182">
        <w:rPr>
          <w:rFonts w:cs="Arial"/>
        </w:rPr>
        <w:t>operationalise</w:t>
      </w:r>
      <w:r w:rsidR="004049FB" w:rsidRPr="00132182">
        <w:rPr>
          <w:rFonts w:cs="Arial"/>
        </w:rPr>
        <w:t xml:space="preserve"> within research</w:t>
      </w:r>
      <w:r w:rsidR="00003C6F" w:rsidRPr="00132182">
        <w:rPr>
          <w:rFonts w:cs="Arial"/>
        </w:rPr>
        <w:t xml:space="preserve"> designs, which limits the </w:t>
      </w:r>
      <w:r w:rsidR="00A04398" w:rsidRPr="00132182">
        <w:rPr>
          <w:rFonts w:cs="Arial"/>
        </w:rPr>
        <w:t xml:space="preserve">scientific </w:t>
      </w:r>
      <w:r w:rsidR="00B279C8" w:rsidRPr="00132182">
        <w:rPr>
          <w:rFonts w:cs="Arial"/>
        </w:rPr>
        <w:t>validation</w:t>
      </w:r>
      <w:r w:rsidR="00A04398" w:rsidRPr="00132182">
        <w:rPr>
          <w:rFonts w:cs="Arial"/>
        </w:rPr>
        <w:t xml:space="preserve"> of the theory.</w:t>
      </w:r>
      <w:r w:rsidR="005317EF" w:rsidRPr="00132182">
        <w:rPr>
          <w:rFonts w:cs="Arial"/>
        </w:rPr>
        <w:t xml:space="preserve"> Critics</w:t>
      </w:r>
      <w:r w:rsidR="00D64DF7" w:rsidRPr="00132182">
        <w:rPr>
          <w:rFonts w:cs="Arial"/>
        </w:rPr>
        <w:t xml:space="preserve"> have also noted that the model reflects a b</w:t>
      </w:r>
      <w:r w:rsidR="00C65584" w:rsidRPr="00132182">
        <w:rPr>
          <w:rFonts w:cs="Arial"/>
        </w:rPr>
        <w:t xml:space="preserve">roadly Western, </w:t>
      </w:r>
      <w:r w:rsidR="000D08E6" w:rsidRPr="00132182">
        <w:rPr>
          <w:rFonts w:cs="Arial"/>
        </w:rPr>
        <w:t xml:space="preserve">individualistic cultural perspective and </w:t>
      </w:r>
      <w:r w:rsidR="004D4150" w:rsidRPr="00132182">
        <w:rPr>
          <w:rFonts w:cs="Arial"/>
        </w:rPr>
        <w:t>may not account adequ</w:t>
      </w:r>
      <w:r w:rsidR="00680524" w:rsidRPr="00132182">
        <w:rPr>
          <w:rFonts w:cs="Arial"/>
        </w:rPr>
        <w:t>ately for the diversity of experience</w:t>
      </w:r>
      <w:r w:rsidR="00C22C51" w:rsidRPr="00132182">
        <w:rPr>
          <w:rFonts w:cs="Arial"/>
        </w:rPr>
        <w:t xml:space="preserve"> across different cultural </w:t>
      </w:r>
      <w:r w:rsidR="00900058" w:rsidRPr="00132182">
        <w:rPr>
          <w:rFonts w:cs="Arial"/>
        </w:rPr>
        <w:t>backgrounds. Despite these limitations, E</w:t>
      </w:r>
      <w:r w:rsidR="00705139" w:rsidRPr="00132182">
        <w:rPr>
          <w:rFonts w:cs="Arial"/>
        </w:rPr>
        <w:t>rikson’s framework retains cons</w:t>
      </w:r>
      <w:r w:rsidR="0099475E" w:rsidRPr="00132182">
        <w:rPr>
          <w:rFonts w:cs="Arial"/>
        </w:rPr>
        <w:t>iderable influence in gerontological practice.</w:t>
      </w:r>
      <w:r w:rsidR="00A37CAE" w:rsidRPr="00132182">
        <w:rPr>
          <w:rFonts w:cs="Arial"/>
        </w:rPr>
        <w:br/>
      </w:r>
      <w:r w:rsidR="00A37CAE" w:rsidRPr="00132182">
        <w:rPr>
          <w:rFonts w:cs="Arial"/>
        </w:rPr>
        <w:br/>
      </w:r>
    </w:p>
    <w:p w14:paraId="00B6D624" w14:textId="77777777" w:rsidR="00404CD1" w:rsidRPr="00132182" w:rsidRDefault="00404CD1" w:rsidP="00132182">
      <w:pPr>
        <w:spacing w:after="0" w:line="360" w:lineRule="auto"/>
        <w:rPr>
          <w:rFonts w:cs="Arial"/>
          <w:b/>
          <w:bCs/>
        </w:rPr>
      </w:pPr>
      <w:r w:rsidRPr="00132182">
        <w:rPr>
          <w:rFonts w:cs="Arial"/>
          <w:b/>
          <w:bCs/>
        </w:rPr>
        <w:br w:type="page"/>
      </w:r>
    </w:p>
    <w:p w14:paraId="122CC032" w14:textId="3421F856" w:rsidR="00597C54" w:rsidRDefault="0054E5D5" w:rsidP="00132182">
      <w:pPr>
        <w:spacing w:after="0" w:line="360" w:lineRule="auto"/>
        <w:rPr>
          <w:rFonts w:cs="Arial"/>
          <w:b/>
          <w:bCs/>
        </w:rPr>
      </w:pPr>
      <w:r w:rsidRPr="00132182">
        <w:rPr>
          <w:rFonts w:cs="Arial"/>
          <w:b/>
          <w:bCs/>
        </w:rPr>
        <w:lastRenderedPageBreak/>
        <w:t>Woods, B.</w:t>
      </w:r>
      <w:r w:rsidR="00BB61CF" w:rsidRPr="00132182">
        <w:rPr>
          <w:rFonts w:cs="Arial"/>
          <w:b/>
          <w:bCs/>
        </w:rPr>
        <w:t>, O</w:t>
      </w:r>
      <w:r w:rsidR="004000F9" w:rsidRPr="00132182">
        <w:rPr>
          <w:rFonts w:cs="Arial"/>
          <w:b/>
          <w:bCs/>
        </w:rPr>
        <w:t xml:space="preserve">’Philbin, L., Farrel, E.M., Spector, A.E., Orrell, M. </w:t>
      </w:r>
      <w:r w:rsidRPr="00132182">
        <w:rPr>
          <w:rFonts w:cs="Arial"/>
          <w:b/>
          <w:bCs/>
        </w:rPr>
        <w:t>(2018)</w:t>
      </w:r>
      <w:r w:rsidR="003D2D5C" w:rsidRPr="00132182">
        <w:rPr>
          <w:rFonts w:cs="Arial"/>
          <w:b/>
          <w:bCs/>
        </w:rPr>
        <w:t xml:space="preserve"> </w:t>
      </w:r>
      <w:r w:rsidR="00D62155" w:rsidRPr="00132182">
        <w:rPr>
          <w:rFonts w:cs="Arial"/>
          <w:b/>
          <w:bCs/>
        </w:rPr>
        <w:t>Reminiscence therapy for de</w:t>
      </w:r>
      <w:r w:rsidR="00B9081A" w:rsidRPr="00132182">
        <w:rPr>
          <w:rFonts w:cs="Arial"/>
          <w:b/>
          <w:bCs/>
        </w:rPr>
        <w:t>mentia</w:t>
      </w:r>
    </w:p>
    <w:p w14:paraId="3F09FCC3" w14:textId="77777777" w:rsidR="00851DE4" w:rsidRPr="00132182" w:rsidRDefault="00851DE4" w:rsidP="00132182">
      <w:pPr>
        <w:spacing w:after="0" w:line="360" w:lineRule="auto"/>
        <w:rPr>
          <w:rFonts w:cs="Arial"/>
          <w:b/>
          <w:bCs/>
        </w:rPr>
      </w:pPr>
    </w:p>
    <w:p w14:paraId="1595F539" w14:textId="61704F32" w:rsidR="001B28DC" w:rsidRPr="00851DE4" w:rsidRDefault="00780A56" w:rsidP="00132182">
      <w:pPr>
        <w:spacing w:after="0" w:line="360" w:lineRule="auto"/>
        <w:rPr>
          <w:rFonts w:cs="Arial"/>
          <w:b/>
          <w:bCs/>
        </w:rPr>
      </w:pPr>
      <w:r w:rsidRPr="00132182">
        <w:rPr>
          <w:rFonts w:cs="Arial"/>
          <w:b/>
          <w:bCs/>
        </w:rPr>
        <w:t>Summary of ideology</w:t>
      </w:r>
      <w:r w:rsidR="00A37CAE" w:rsidRPr="00132182">
        <w:rPr>
          <w:rFonts w:cs="Arial"/>
        </w:rPr>
        <w:br/>
      </w:r>
      <w:r w:rsidR="0054E5D5" w:rsidRPr="00132182">
        <w:rPr>
          <w:rFonts w:cs="Arial"/>
        </w:rPr>
        <w:t xml:space="preserve">Woods et al. (2018) provide a systematic review of reminiscence therapy for individuals with dementia. </w:t>
      </w:r>
      <w:r w:rsidR="00902477" w:rsidRPr="00132182">
        <w:rPr>
          <w:rFonts w:cs="Arial"/>
        </w:rPr>
        <w:t>Drawing</w:t>
      </w:r>
      <w:r w:rsidR="009F6BF8" w:rsidRPr="00132182">
        <w:rPr>
          <w:rFonts w:cs="Arial"/>
        </w:rPr>
        <w:t xml:space="preserve"> data from multiple </w:t>
      </w:r>
      <w:r w:rsidR="000178D4" w:rsidRPr="00132182">
        <w:rPr>
          <w:rFonts w:cs="Arial"/>
        </w:rPr>
        <w:t>randomized controlled trials, the review</w:t>
      </w:r>
      <w:r w:rsidR="00B9718C" w:rsidRPr="00132182">
        <w:rPr>
          <w:rFonts w:cs="Arial"/>
        </w:rPr>
        <w:t xml:space="preserve"> examines outcomes across a </w:t>
      </w:r>
      <w:r w:rsidR="00D30889" w:rsidRPr="00132182">
        <w:rPr>
          <w:rFonts w:cs="Arial"/>
        </w:rPr>
        <w:t>range</w:t>
      </w:r>
      <w:r w:rsidR="00B9718C" w:rsidRPr="00132182">
        <w:rPr>
          <w:rFonts w:cs="Arial"/>
        </w:rPr>
        <w:t xml:space="preserve"> of domains including mood</w:t>
      </w:r>
      <w:r w:rsidR="00445FD7" w:rsidRPr="00132182">
        <w:rPr>
          <w:rFonts w:cs="Arial"/>
        </w:rPr>
        <w:t xml:space="preserve">, </w:t>
      </w:r>
      <w:r w:rsidR="008F3282" w:rsidRPr="00132182">
        <w:rPr>
          <w:rFonts w:cs="Arial"/>
        </w:rPr>
        <w:t>cognitive functioning, communication</w:t>
      </w:r>
      <w:r w:rsidR="006E11E6" w:rsidRPr="00132182">
        <w:rPr>
          <w:rFonts w:cs="Arial"/>
        </w:rPr>
        <w:t>, and quality of life.</w:t>
      </w:r>
      <w:r w:rsidR="00F10F10" w:rsidRPr="00132182">
        <w:rPr>
          <w:rFonts w:cs="Arial"/>
        </w:rPr>
        <w:t xml:space="preserve"> The findings indicate</w:t>
      </w:r>
      <w:r w:rsidR="0076345E" w:rsidRPr="00132182">
        <w:rPr>
          <w:rFonts w:cs="Arial"/>
        </w:rPr>
        <w:t xml:space="preserve"> meaningful improvements in sever</w:t>
      </w:r>
      <w:r w:rsidR="00343A91" w:rsidRPr="00132182">
        <w:rPr>
          <w:rFonts w:cs="Arial"/>
        </w:rPr>
        <w:t>al of these areas, lending empirical</w:t>
      </w:r>
      <w:r w:rsidR="00F409B6" w:rsidRPr="00132182">
        <w:rPr>
          <w:rFonts w:cs="Arial"/>
        </w:rPr>
        <w:t xml:space="preserve"> weight to the use of structured remi</w:t>
      </w:r>
      <w:r w:rsidR="00D30889" w:rsidRPr="00132182">
        <w:rPr>
          <w:rFonts w:cs="Arial"/>
        </w:rPr>
        <w:t>niscence approaches in dementia care.</w:t>
      </w:r>
    </w:p>
    <w:p w14:paraId="4869F705" w14:textId="466E711A" w:rsidR="001E2356" w:rsidRPr="00851DE4" w:rsidRDefault="00A37CAE" w:rsidP="00132182">
      <w:pPr>
        <w:spacing w:after="0" w:line="360" w:lineRule="auto"/>
        <w:rPr>
          <w:rFonts w:cs="Arial"/>
          <w:b/>
          <w:bCs/>
        </w:rPr>
      </w:pPr>
      <w:r w:rsidRPr="00132182">
        <w:rPr>
          <w:rFonts w:cs="Arial"/>
        </w:rPr>
        <w:br/>
      </w:r>
      <w:r w:rsidR="001B28DC" w:rsidRPr="00132182">
        <w:rPr>
          <w:rFonts w:cs="Arial"/>
          <w:b/>
          <w:bCs/>
        </w:rPr>
        <w:t>Critical evaluation of the theory</w:t>
      </w:r>
      <w:r w:rsidRPr="00132182">
        <w:rPr>
          <w:rFonts w:cs="Arial"/>
        </w:rPr>
        <w:br/>
      </w:r>
      <w:r w:rsidR="0054E5D5" w:rsidRPr="00132182">
        <w:rPr>
          <w:rFonts w:cs="Arial"/>
        </w:rPr>
        <w:t xml:space="preserve">This source offers strong empirical support for practice, strengthening </w:t>
      </w:r>
      <w:r w:rsidR="00140C62" w:rsidRPr="00132182">
        <w:rPr>
          <w:rFonts w:cs="Arial"/>
        </w:rPr>
        <w:t>the theoretical frame</w:t>
      </w:r>
      <w:r w:rsidR="000058AA" w:rsidRPr="00132182">
        <w:rPr>
          <w:rFonts w:cs="Arial"/>
        </w:rPr>
        <w:t xml:space="preserve">works offered by </w:t>
      </w:r>
      <w:r w:rsidR="0054E5D5" w:rsidRPr="00132182">
        <w:rPr>
          <w:rFonts w:cs="Arial"/>
        </w:rPr>
        <w:t>Erikson’s</w:t>
      </w:r>
      <w:r w:rsidR="00E60464" w:rsidRPr="00132182">
        <w:rPr>
          <w:rFonts w:cs="Arial"/>
        </w:rPr>
        <w:t xml:space="preserve"> (</w:t>
      </w:r>
      <w:r w:rsidR="000105B0" w:rsidRPr="00132182">
        <w:rPr>
          <w:rFonts w:cs="Arial"/>
        </w:rPr>
        <w:t>1982) and Vygotsky’s (1978</w:t>
      </w:r>
      <w:r w:rsidR="003E1F64" w:rsidRPr="00132182">
        <w:rPr>
          <w:rFonts w:cs="Arial"/>
        </w:rPr>
        <w:t>) theory</w:t>
      </w:r>
      <w:r w:rsidR="0054E5D5" w:rsidRPr="00132182">
        <w:rPr>
          <w:rFonts w:cs="Arial"/>
        </w:rPr>
        <w:t>.</w:t>
      </w:r>
      <w:r w:rsidR="00637E60" w:rsidRPr="00132182">
        <w:rPr>
          <w:rFonts w:cs="Arial"/>
        </w:rPr>
        <w:t xml:space="preserve"> T</w:t>
      </w:r>
      <w:r w:rsidR="002B1D87" w:rsidRPr="00132182">
        <w:rPr>
          <w:rFonts w:cs="Arial"/>
        </w:rPr>
        <w:t>ogether, they illustrate the value of int</w:t>
      </w:r>
      <w:r w:rsidR="00537DE8" w:rsidRPr="00132182">
        <w:rPr>
          <w:rFonts w:cs="Arial"/>
        </w:rPr>
        <w:t>egrating theory and research in care p</w:t>
      </w:r>
      <w:r w:rsidR="00A44A7F" w:rsidRPr="00132182">
        <w:rPr>
          <w:rFonts w:cs="Arial"/>
        </w:rPr>
        <w:t>ractice. The sy</w:t>
      </w:r>
      <w:r w:rsidR="00E321EE" w:rsidRPr="00132182">
        <w:rPr>
          <w:rFonts w:cs="Arial"/>
        </w:rPr>
        <w:t xml:space="preserve">stematic review format is considered one of </w:t>
      </w:r>
      <w:r w:rsidR="007A3B94" w:rsidRPr="00132182">
        <w:rPr>
          <w:rFonts w:cs="Arial"/>
        </w:rPr>
        <w:t>the strongest forms of evidence in hea</w:t>
      </w:r>
      <w:r w:rsidR="004B1C7E" w:rsidRPr="00132182">
        <w:rPr>
          <w:rFonts w:cs="Arial"/>
        </w:rPr>
        <w:t>lth-related research</w:t>
      </w:r>
      <w:r w:rsidR="001F758D" w:rsidRPr="00132182">
        <w:rPr>
          <w:rFonts w:cs="Arial"/>
        </w:rPr>
        <w:t xml:space="preserve">, which further </w:t>
      </w:r>
      <w:r w:rsidR="00D648A1" w:rsidRPr="00132182">
        <w:rPr>
          <w:rFonts w:cs="Arial"/>
        </w:rPr>
        <w:t>strengths</w:t>
      </w:r>
      <w:r w:rsidR="001F758D" w:rsidRPr="00132182">
        <w:rPr>
          <w:rFonts w:cs="Arial"/>
        </w:rPr>
        <w:t xml:space="preserve"> the credibility of its </w:t>
      </w:r>
      <w:r w:rsidR="00D648A1" w:rsidRPr="00132182">
        <w:rPr>
          <w:rFonts w:cs="Arial"/>
        </w:rPr>
        <w:t>conclusions.</w:t>
      </w:r>
    </w:p>
    <w:p w14:paraId="54A22590" w14:textId="243655C8" w:rsidR="00D90382" w:rsidRPr="00132182" w:rsidRDefault="0054E5D5" w:rsidP="00132182">
      <w:pPr>
        <w:spacing w:after="0" w:line="360" w:lineRule="auto"/>
        <w:rPr>
          <w:rFonts w:cs="Arial"/>
        </w:rPr>
      </w:pPr>
      <w:r w:rsidRPr="00132182">
        <w:rPr>
          <w:rFonts w:cs="Arial"/>
        </w:rPr>
        <w:t>However, outcomes vary depending on implementation quality, staff training, and participant engagement, indicating that effectiveness is not guaranteed.</w:t>
      </w:r>
      <w:r w:rsidR="001E25B9" w:rsidRPr="00132182">
        <w:rPr>
          <w:rFonts w:cs="Arial"/>
        </w:rPr>
        <w:t xml:space="preserve"> These </w:t>
      </w:r>
      <w:r w:rsidR="00684C41" w:rsidRPr="00132182">
        <w:rPr>
          <w:rFonts w:cs="Arial"/>
        </w:rPr>
        <w:t xml:space="preserve">findings </w:t>
      </w:r>
      <w:r w:rsidR="0012362F" w:rsidRPr="00132182">
        <w:rPr>
          <w:rFonts w:cs="Arial"/>
        </w:rPr>
        <w:t>suggest that</w:t>
      </w:r>
      <w:r w:rsidR="00684C41" w:rsidRPr="00132182">
        <w:rPr>
          <w:rFonts w:cs="Arial"/>
        </w:rPr>
        <w:t xml:space="preserve"> while</w:t>
      </w:r>
      <w:r w:rsidR="00BC5E58" w:rsidRPr="00132182">
        <w:rPr>
          <w:rFonts w:cs="Arial"/>
        </w:rPr>
        <w:t xml:space="preserve"> the evidence base is encou</w:t>
      </w:r>
      <w:r w:rsidR="007A000A" w:rsidRPr="00132182">
        <w:rPr>
          <w:rFonts w:cs="Arial"/>
        </w:rPr>
        <w:t xml:space="preserve">raging, </w:t>
      </w:r>
      <w:r w:rsidR="00FB1703" w:rsidRPr="00132182">
        <w:rPr>
          <w:rFonts w:cs="Arial"/>
        </w:rPr>
        <w:t>practitioners</w:t>
      </w:r>
      <w:r w:rsidR="007A000A" w:rsidRPr="00132182">
        <w:rPr>
          <w:rFonts w:cs="Arial"/>
        </w:rPr>
        <w:t xml:space="preserve"> must approach imple</w:t>
      </w:r>
      <w:r w:rsidR="00FE76CD" w:rsidRPr="00132182">
        <w:rPr>
          <w:rFonts w:cs="Arial"/>
        </w:rPr>
        <w:t xml:space="preserve">mentation </w:t>
      </w:r>
      <w:r w:rsidR="00FB1703" w:rsidRPr="00132182">
        <w:rPr>
          <w:rFonts w:cs="Arial"/>
        </w:rPr>
        <w:t>thoughtfully</w:t>
      </w:r>
      <w:r w:rsidR="00FE76CD" w:rsidRPr="00132182">
        <w:rPr>
          <w:rFonts w:cs="Arial"/>
        </w:rPr>
        <w:t xml:space="preserve"> and reflex</w:t>
      </w:r>
      <w:r w:rsidR="006C0A48" w:rsidRPr="00132182">
        <w:rPr>
          <w:rFonts w:cs="Arial"/>
        </w:rPr>
        <w:t xml:space="preserve">ively to </w:t>
      </w:r>
      <w:r w:rsidR="00FB1703" w:rsidRPr="00132182">
        <w:rPr>
          <w:rFonts w:cs="Arial"/>
        </w:rPr>
        <w:t>maximize</w:t>
      </w:r>
      <w:r w:rsidR="006C0A48" w:rsidRPr="00132182">
        <w:rPr>
          <w:rFonts w:cs="Arial"/>
        </w:rPr>
        <w:t xml:space="preserve"> benefit.</w:t>
      </w:r>
    </w:p>
    <w:p w14:paraId="572A501B" w14:textId="7C38E5AE" w:rsidR="00D90382" w:rsidRPr="00132182" w:rsidRDefault="00A37CAE" w:rsidP="00132182">
      <w:pPr>
        <w:spacing w:after="0" w:line="360" w:lineRule="auto"/>
        <w:rPr>
          <w:rFonts w:cs="Arial"/>
        </w:rPr>
      </w:pPr>
      <w:r w:rsidRPr="00132182">
        <w:rPr>
          <w:rFonts w:cs="Arial"/>
        </w:rPr>
        <w:br/>
      </w:r>
    </w:p>
    <w:p w14:paraId="26CA89B2" w14:textId="77777777" w:rsidR="009310D7" w:rsidRPr="00132182" w:rsidRDefault="009310D7" w:rsidP="00132182">
      <w:pPr>
        <w:spacing w:after="0" w:line="360" w:lineRule="auto"/>
        <w:rPr>
          <w:rFonts w:eastAsiaTheme="majorEastAsia" w:cs="Arial"/>
          <w:b/>
          <w:bCs/>
          <w:color w:val="365F91" w:themeColor="accent1" w:themeShade="BF"/>
        </w:rPr>
      </w:pPr>
      <w:r w:rsidRPr="00132182">
        <w:rPr>
          <w:rFonts w:cs="Arial"/>
        </w:rPr>
        <w:br w:type="page"/>
      </w:r>
    </w:p>
    <w:p w14:paraId="6A6C25D8" w14:textId="1551D1F4" w:rsidR="00D90382" w:rsidRPr="00851DE4" w:rsidRDefault="0054E5D5" w:rsidP="00132182">
      <w:pPr>
        <w:pStyle w:val="Heading1"/>
        <w:spacing w:before="0" w:line="360" w:lineRule="auto"/>
        <w:rPr>
          <w:rFonts w:ascii="Arial" w:hAnsi="Arial" w:cs="Arial"/>
          <w:color w:val="000000" w:themeColor="text1"/>
        </w:rPr>
      </w:pPr>
      <w:r w:rsidRPr="00851DE4">
        <w:rPr>
          <w:rFonts w:ascii="Arial" w:hAnsi="Arial" w:cs="Arial"/>
        </w:rPr>
        <w:lastRenderedPageBreak/>
        <w:t xml:space="preserve"> </w:t>
      </w:r>
      <w:r w:rsidRPr="00851DE4">
        <w:rPr>
          <w:rFonts w:ascii="Arial" w:hAnsi="Arial" w:cs="Arial"/>
          <w:color w:val="000000" w:themeColor="text1"/>
        </w:rPr>
        <w:t>Report</w:t>
      </w:r>
      <w:r w:rsidR="00AB3531" w:rsidRPr="00851DE4">
        <w:rPr>
          <w:rFonts w:ascii="Arial" w:hAnsi="Arial" w:cs="Arial"/>
          <w:color w:val="000000" w:themeColor="text1"/>
        </w:rPr>
        <w:t xml:space="preserve"> </w:t>
      </w:r>
      <w:r w:rsidR="00E55DB6" w:rsidRPr="00851DE4">
        <w:rPr>
          <w:rFonts w:ascii="Arial" w:hAnsi="Arial" w:cs="Arial"/>
          <w:color w:val="000000" w:themeColor="text1"/>
        </w:rPr>
        <w:t>directed</w:t>
      </w:r>
      <w:r w:rsidR="00A203B4" w:rsidRPr="00851DE4">
        <w:rPr>
          <w:rFonts w:ascii="Arial" w:hAnsi="Arial" w:cs="Arial"/>
          <w:color w:val="000000" w:themeColor="text1"/>
        </w:rPr>
        <w:t xml:space="preserve"> at health and social</w:t>
      </w:r>
      <w:r w:rsidR="00CE0DA6" w:rsidRPr="00851DE4">
        <w:rPr>
          <w:rFonts w:ascii="Arial" w:hAnsi="Arial" w:cs="Arial"/>
          <w:color w:val="000000" w:themeColor="text1"/>
        </w:rPr>
        <w:t xml:space="preserve"> care</w:t>
      </w:r>
      <w:r w:rsidR="00B46FE2" w:rsidRPr="00851DE4">
        <w:rPr>
          <w:rFonts w:ascii="Arial" w:hAnsi="Arial" w:cs="Arial"/>
          <w:color w:val="000000" w:themeColor="text1"/>
        </w:rPr>
        <w:t xml:space="preserve"> </w:t>
      </w:r>
      <w:r w:rsidR="004B3F3A" w:rsidRPr="00851DE4">
        <w:rPr>
          <w:rFonts w:ascii="Arial" w:hAnsi="Arial" w:cs="Arial"/>
          <w:color w:val="000000" w:themeColor="text1"/>
        </w:rPr>
        <w:t xml:space="preserve">professionals in </w:t>
      </w:r>
      <w:r w:rsidR="00FC1F1D" w:rsidRPr="00851DE4">
        <w:rPr>
          <w:rFonts w:ascii="Arial" w:hAnsi="Arial" w:cs="Arial"/>
          <w:color w:val="000000" w:themeColor="text1"/>
        </w:rPr>
        <w:t>an</w:t>
      </w:r>
      <w:r w:rsidR="004B3F3A" w:rsidRPr="00851DE4">
        <w:rPr>
          <w:rFonts w:ascii="Arial" w:hAnsi="Arial" w:cs="Arial"/>
          <w:color w:val="000000" w:themeColor="text1"/>
        </w:rPr>
        <w:t xml:space="preserve"> older </w:t>
      </w:r>
      <w:r w:rsidR="00851DE4" w:rsidRPr="00851DE4">
        <w:rPr>
          <w:rFonts w:ascii="Arial" w:hAnsi="Arial" w:cs="Arial"/>
          <w:color w:val="000000" w:themeColor="text1"/>
        </w:rPr>
        <w:t>adult’s</w:t>
      </w:r>
      <w:r w:rsidR="004B3F3A" w:rsidRPr="00851DE4">
        <w:rPr>
          <w:rFonts w:ascii="Arial" w:hAnsi="Arial" w:cs="Arial"/>
          <w:color w:val="000000" w:themeColor="text1"/>
        </w:rPr>
        <w:t xml:space="preserve"> care</w:t>
      </w:r>
      <w:r w:rsidR="009310D7" w:rsidRPr="00851DE4">
        <w:rPr>
          <w:rFonts w:ascii="Arial" w:hAnsi="Arial" w:cs="Arial"/>
          <w:color w:val="000000" w:themeColor="text1"/>
        </w:rPr>
        <w:t xml:space="preserve"> homes</w:t>
      </w:r>
    </w:p>
    <w:p w14:paraId="3FB834CB" w14:textId="77777777" w:rsidR="00817D0A" w:rsidRPr="00132182" w:rsidRDefault="00817D0A" w:rsidP="00132182">
      <w:pPr>
        <w:spacing w:after="0" w:line="360" w:lineRule="auto"/>
        <w:rPr>
          <w:rFonts w:cs="Arial"/>
        </w:rPr>
      </w:pPr>
    </w:p>
    <w:p w14:paraId="2D2DDC7C" w14:textId="74905A62" w:rsidR="00E61639" w:rsidRPr="00132182" w:rsidRDefault="0054E5D5" w:rsidP="00132182">
      <w:pPr>
        <w:spacing w:after="0" w:line="360" w:lineRule="auto"/>
        <w:rPr>
          <w:rFonts w:cs="Arial"/>
        </w:rPr>
      </w:pPr>
      <w:r w:rsidRPr="00132182">
        <w:rPr>
          <w:rFonts w:cs="Arial"/>
        </w:rPr>
        <w:t>Older adults in residential care frequently experience reduced psychological wellbeing due to social isolation, cognitive decline, and loss of independence (Woods et al., 2018). Addressing these challenges requires evidence-based approaches grounded in psychological theory. Vygotsky’s sociocultural theory provides a relevant framework for understanding how social interaction can enhance wellbeing in later life.</w:t>
      </w:r>
      <w:r w:rsidR="00A37CAE" w:rsidRPr="00132182">
        <w:rPr>
          <w:rFonts w:cs="Arial"/>
        </w:rPr>
        <w:br/>
      </w:r>
      <w:r w:rsidRPr="00132182">
        <w:rPr>
          <w:rFonts w:cs="Arial"/>
        </w:rPr>
        <w:t xml:space="preserve">Vygotsky (1978) </w:t>
      </w:r>
      <w:r w:rsidR="00DD0238" w:rsidRPr="00132182">
        <w:rPr>
          <w:rFonts w:cs="Arial"/>
        </w:rPr>
        <w:t>emphasizes</w:t>
      </w:r>
      <w:r w:rsidRPr="00132182">
        <w:rPr>
          <w:rFonts w:cs="Arial"/>
        </w:rPr>
        <w:t xml:space="preserve"> that learning and development occur through interaction with others. In care settings, this suggests that structured social engagement is essential for maintaining cognitive and emotional functioning. Activities such as group discussions, collaborative tasks, and reminiscence sessions can provide opportunities for meaningful interaction. The concept of the Zone of Proximal Development (ZPD) can be applied by supporting residents to engage in tasks slightly beyond their independent ability, with guidance from staff.</w:t>
      </w:r>
      <w:r w:rsidR="00CC2415" w:rsidRPr="00132182">
        <w:rPr>
          <w:rFonts w:cs="Arial"/>
        </w:rPr>
        <w:t xml:space="preserve"> The e</w:t>
      </w:r>
      <w:r w:rsidRPr="00132182">
        <w:rPr>
          <w:rFonts w:cs="Arial"/>
        </w:rPr>
        <w:t xml:space="preserve">mpirical </w:t>
      </w:r>
      <w:r w:rsidR="004E4179" w:rsidRPr="00132182">
        <w:rPr>
          <w:rFonts w:cs="Arial"/>
        </w:rPr>
        <w:t xml:space="preserve">study by Woods et al. (2018) </w:t>
      </w:r>
      <w:r w:rsidRPr="00132182">
        <w:rPr>
          <w:rFonts w:cs="Arial"/>
        </w:rPr>
        <w:t>supports this approach</w:t>
      </w:r>
      <w:r w:rsidR="004E4179" w:rsidRPr="00132182">
        <w:rPr>
          <w:rFonts w:cs="Arial"/>
        </w:rPr>
        <w:t>. It</w:t>
      </w:r>
      <w:r w:rsidRPr="00132182">
        <w:rPr>
          <w:rFonts w:cs="Arial"/>
        </w:rPr>
        <w:t xml:space="preserve"> found that reminiscence therapy, which involves guided social interaction, improves mood and communication in individuals with dementia. This demonstrates that socially mediated interventions can produce measurable improvements in wellbeing</w:t>
      </w:r>
      <w:r w:rsidR="00252B65">
        <w:rPr>
          <w:rFonts w:cs="Arial"/>
        </w:rPr>
        <w:t>.</w:t>
      </w:r>
      <w:r w:rsidR="00A37CAE" w:rsidRPr="00132182">
        <w:rPr>
          <w:rFonts w:cs="Arial"/>
        </w:rPr>
        <w:br/>
      </w:r>
      <w:r w:rsidRPr="00132182">
        <w:rPr>
          <w:rFonts w:cs="Arial"/>
        </w:rPr>
        <w:t>In practice, sociocultural theory can be implemented through structured activity programmes. Staff can facilitate group-based activities, encourage peer interaction, and provide scaffolding support. Rogoff (2003) highlights that participation in shared cultural practices enhances development and identity, which is particularly important for older adults experiencing loss of social roles.</w:t>
      </w:r>
      <w:r w:rsidR="00A37CAE" w:rsidRPr="00132182">
        <w:rPr>
          <w:rFonts w:cs="Arial"/>
        </w:rPr>
        <w:br/>
      </w:r>
      <w:r w:rsidRPr="00132182">
        <w:rPr>
          <w:rFonts w:cs="Arial"/>
        </w:rPr>
        <w:t>A practical example illustrates this application. An older adult with mild dementia participates in a weekly reminiscence group. Initially, they require prompts to engage in conversation. With ongoing support from staff and peers, they become more confident and actively contribute. Over time, this leads to improved mood, increased communication, and a stronger sense of identity, consistent with findings from Woods et al. (2018).</w:t>
      </w:r>
      <w:r w:rsidR="00F43662" w:rsidRPr="00132182">
        <w:rPr>
          <w:rFonts w:cs="Arial"/>
        </w:rPr>
        <w:t xml:space="preserve"> P</w:t>
      </w:r>
      <w:r w:rsidR="004E4179" w:rsidRPr="00132182">
        <w:rPr>
          <w:rFonts w:cs="Arial"/>
        </w:rPr>
        <w:t>sychodynamic</w:t>
      </w:r>
      <w:r w:rsidRPr="00132182">
        <w:rPr>
          <w:rFonts w:cs="Arial"/>
        </w:rPr>
        <w:t xml:space="preserve"> theory offers an alternative perspective. Freud (1923) focuses on unconscious processes, while Erikson (1982) </w:t>
      </w:r>
      <w:r w:rsidR="00DD0238" w:rsidRPr="00132182">
        <w:rPr>
          <w:rFonts w:cs="Arial"/>
        </w:rPr>
        <w:t>emphasizes</w:t>
      </w:r>
      <w:r w:rsidRPr="00132182">
        <w:rPr>
          <w:rFonts w:cs="Arial"/>
        </w:rPr>
        <w:t xml:space="preserve"> life reflection in later adulthood. Erikson’s stage of ego integrity versus despair is particularly relevant, as it highlights the importance of reflecting on life experiences to achieve psychological wellbeing. Interventions such as reminiscence therapy align with this theory.</w:t>
      </w:r>
      <w:r w:rsidR="00A37CAE" w:rsidRPr="00132182">
        <w:rPr>
          <w:rFonts w:cs="Arial"/>
        </w:rPr>
        <w:br/>
      </w:r>
      <w:r w:rsidR="00A37CAE" w:rsidRPr="00132182">
        <w:rPr>
          <w:rFonts w:cs="Arial"/>
        </w:rPr>
        <w:lastRenderedPageBreak/>
        <w:br/>
      </w:r>
      <w:r w:rsidRPr="00132182">
        <w:rPr>
          <w:rFonts w:cs="Arial"/>
        </w:rPr>
        <w:t>However, psychodynamic approaches have limitations. Freud’s theory lacks empirical support and is difficult to test scientifically. Erikson’s model, although more applicable, remains partly theoretical. In contrast, sociocultural theory provides more observable and practical strategies for care settings, supported by empirical evidence.</w:t>
      </w:r>
      <w:r w:rsidR="00A37CAE" w:rsidRPr="00132182">
        <w:rPr>
          <w:rFonts w:cs="Arial"/>
        </w:rPr>
        <w:br/>
      </w:r>
      <w:r w:rsidRPr="00132182">
        <w:rPr>
          <w:rFonts w:cs="Arial"/>
        </w:rPr>
        <w:t>A key challenge in applying sociocultural approaches is staff limitation. Time constraints, workload pressures, and lack of training can reduce the effectiveness of interventions. Without adequate support, activities may become passive rather than engaging, limiting their impact on wellbeing.</w:t>
      </w:r>
    </w:p>
    <w:p w14:paraId="4880B0EC" w14:textId="6582A4C6" w:rsidR="0087521C" w:rsidRPr="00132182" w:rsidRDefault="0054E5D5" w:rsidP="00132182">
      <w:pPr>
        <w:spacing w:after="0" w:line="360" w:lineRule="auto"/>
        <w:rPr>
          <w:rFonts w:cs="Arial"/>
        </w:rPr>
      </w:pPr>
      <w:r w:rsidRPr="00132182">
        <w:rPr>
          <w:rFonts w:cs="Arial"/>
        </w:rPr>
        <w:t>To address this challenge, care homes can implement structured programmes supported by staff training. Training should focus on facilitation skills, communication techniques, and understanding of psychological theories. Regular scheduling of activities and monitoring of outcomes can ensure consistency and effectiveness. Evidence from Woods et al. (2018) indicates that structured interventions are more effective than informal approaches.</w:t>
      </w:r>
      <w:r w:rsidR="00A37CAE" w:rsidRPr="00132182">
        <w:rPr>
          <w:rFonts w:cs="Arial"/>
        </w:rPr>
        <w:br/>
      </w:r>
      <w:r w:rsidR="00A37CAE" w:rsidRPr="00132182">
        <w:rPr>
          <w:rFonts w:cs="Arial"/>
          <w:b/>
          <w:bCs/>
        </w:rPr>
        <w:br/>
      </w:r>
      <w:r w:rsidR="0087521C" w:rsidRPr="00132182">
        <w:rPr>
          <w:rFonts w:cs="Arial"/>
          <w:b/>
          <w:bCs/>
        </w:rPr>
        <w:t>Conclusion</w:t>
      </w:r>
    </w:p>
    <w:p w14:paraId="0A35E0D8" w14:textId="6C565ED3" w:rsidR="003525B5" w:rsidRPr="00132182" w:rsidRDefault="0054E5D5" w:rsidP="00132182">
      <w:pPr>
        <w:spacing w:after="0" w:line="360" w:lineRule="auto"/>
        <w:rPr>
          <w:rFonts w:cs="Arial"/>
        </w:rPr>
      </w:pPr>
      <w:r w:rsidRPr="00132182">
        <w:rPr>
          <w:rFonts w:cs="Arial"/>
        </w:rPr>
        <w:t xml:space="preserve">In conclusion, Vygotsky’s sociocultural theory provides a strong framework for improving psychological wellbeing in older adults. It </w:t>
      </w:r>
      <w:r w:rsidR="00DD0238" w:rsidRPr="00132182">
        <w:rPr>
          <w:rFonts w:cs="Arial"/>
        </w:rPr>
        <w:t>emphasizes</w:t>
      </w:r>
      <w:r w:rsidRPr="00132182">
        <w:rPr>
          <w:rFonts w:cs="Arial"/>
        </w:rPr>
        <w:t xml:space="preserve"> the importance of social interaction, which is supported by empirical evidence. While psychodynamic theories offer valuable insights, particularly Erikson’s work, they are less practical and less empirically robust. Effective implementation of sociocultural approaches depends on adequate resources, staff training, and </w:t>
      </w:r>
      <w:r w:rsidR="00DD0238" w:rsidRPr="00132182">
        <w:rPr>
          <w:rFonts w:cs="Arial"/>
        </w:rPr>
        <w:t>organizational</w:t>
      </w:r>
      <w:r w:rsidRPr="00132182">
        <w:rPr>
          <w:rFonts w:cs="Arial"/>
        </w:rPr>
        <w:t xml:space="preserve"> support.</w:t>
      </w:r>
    </w:p>
    <w:p w14:paraId="173E9185" w14:textId="77777777" w:rsidR="003525B5" w:rsidRPr="00132182" w:rsidRDefault="003525B5" w:rsidP="00132182">
      <w:pPr>
        <w:spacing w:after="0" w:line="360" w:lineRule="auto"/>
        <w:rPr>
          <w:rFonts w:cs="Arial"/>
        </w:rPr>
      </w:pPr>
    </w:p>
    <w:p w14:paraId="57C4D6A9" w14:textId="4FFF7BD6" w:rsidR="00D90382" w:rsidRPr="00132182" w:rsidRDefault="00A37CAE" w:rsidP="00132182">
      <w:pPr>
        <w:spacing w:after="0" w:line="360" w:lineRule="auto"/>
        <w:rPr>
          <w:rFonts w:cs="Arial"/>
        </w:rPr>
      </w:pPr>
      <w:r w:rsidRPr="00132182">
        <w:rPr>
          <w:rFonts w:cs="Arial"/>
        </w:rPr>
        <w:br/>
      </w:r>
    </w:p>
    <w:p w14:paraId="51B5AA8A" w14:textId="77777777" w:rsidR="0087521C" w:rsidRPr="00132182" w:rsidRDefault="0087521C" w:rsidP="00132182">
      <w:pPr>
        <w:spacing w:after="0" w:line="360" w:lineRule="auto"/>
        <w:rPr>
          <w:rFonts w:cs="Arial"/>
        </w:rPr>
      </w:pPr>
    </w:p>
    <w:p w14:paraId="0EF5CB75" w14:textId="77777777" w:rsidR="0087521C" w:rsidRPr="00132182" w:rsidRDefault="0087521C" w:rsidP="00132182">
      <w:pPr>
        <w:spacing w:after="0" w:line="360" w:lineRule="auto"/>
        <w:rPr>
          <w:rFonts w:cs="Arial"/>
        </w:rPr>
      </w:pPr>
    </w:p>
    <w:p w14:paraId="5583DE1C" w14:textId="77777777" w:rsidR="007C5873" w:rsidRDefault="007C5873">
      <w:pPr>
        <w:rPr>
          <w:rFonts w:cs="Arial"/>
          <w:b/>
          <w:bCs/>
          <w:color w:val="000000" w:themeColor="text1"/>
        </w:rPr>
      </w:pPr>
      <w:r>
        <w:rPr>
          <w:rFonts w:cs="Arial"/>
          <w:b/>
          <w:bCs/>
          <w:color w:val="000000" w:themeColor="text1"/>
        </w:rPr>
        <w:br w:type="page"/>
      </w:r>
    </w:p>
    <w:p w14:paraId="21664D03" w14:textId="08EBB4CD" w:rsidR="00D90382" w:rsidRPr="007C5873" w:rsidRDefault="0054E5D5" w:rsidP="00132182">
      <w:pPr>
        <w:spacing w:after="0" w:line="360" w:lineRule="auto"/>
        <w:rPr>
          <w:rFonts w:cs="Arial"/>
          <w:sz w:val="24"/>
          <w:szCs w:val="24"/>
        </w:rPr>
      </w:pPr>
      <w:r w:rsidRPr="007C5873">
        <w:rPr>
          <w:rFonts w:cs="Arial"/>
          <w:b/>
          <w:bCs/>
          <w:color w:val="000000" w:themeColor="text1"/>
          <w:sz w:val="24"/>
          <w:szCs w:val="24"/>
        </w:rPr>
        <w:lastRenderedPageBreak/>
        <w:t>Reference List:</w:t>
      </w:r>
    </w:p>
    <w:p w14:paraId="57AAD80D" w14:textId="696B54B1" w:rsidR="73F88540" w:rsidRPr="005D5B12" w:rsidRDefault="0054E5D5" w:rsidP="00132182">
      <w:pPr>
        <w:spacing w:after="0" w:line="360" w:lineRule="auto"/>
      </w:pPr>
      <w:r w:rsidRPr="00132182">
        <w:rPr>
          <w:rFonts w:cs="Arial"/>
        </w:rPr>
        <w:t xml:space="preserve">Erikson, E.H. (1982) </w:t>
      </w:r>
      <w:r w:rsidRPr="00132182">
        <w:rPr>
          <w:rFonts w:cs="Arial"/>
          <w:i/>
          <w:iCs/>
        </w:rPr>
        <w:t>The Life Cycle Completed.</w:t>
      </w:r>
      <w:r w:rsidRPr="00132182">
        <w:rPr>
          <w:rFonts w:cs="Arial"/>
        </w:rPr>
        <w:t xml:space="preserve"> New York: Norton.</w:t>
      </w:r>
      <w:r w:rsidR="003C3AF0" w:rsidRPr="00132182">
        <w:rPr>
          <w:rFonts w:cs="Arial"/>
        </w:rPr>
        <w:t xml:space="preserve"> </w:t>
      </w:r>
      <w:r w:rsidR="00A37CAE" w:rsidRPr="00132182">
        <w:rPr>
          <w:rFonts w:cs="Arial"/>
        </w:rPr>
        <w:br/>
      </w:r>
      <w:r w:rsidRPr="00132182">
        <w:rPr>
          <w:rFonts w:cs="Arial"/>
        </w:rPr>
        <w:t>Freud, S. (1923) T</w:t>
      </w:r>
      <w:r w:rsidRPr="00132182">
        <w:rPr>
          <w:rFonts w:cs="Arial"/>
          <w:i/>
          <w:iCs/>
        </w:rPr>
        <w:t>he Ego and the Id</w:t>
      </w:r>
      <w:r w:rsidRPr="00132182">
        <w:rPr>
          <w:rFonts w:cs="Arial"/>
        </w:rPr>
        <w:t xml:space="preserve">. London: Hogarth </w:t>
      </w:r>
      <w:r w:rsidR="00F0513F" w:rsidRPr="00132182">
        <w:rPr>
          <w:rFonts w:cs="Arial"/>
        </w:rPr>
        <w:t xml:space="preserve">Press. Available at: </w:t>
      </w:r>
      <w:r w:rsidR="002D5D09" w:rsidRPr="00132182">
        <w:rPr>
          <w:rFonts w:cs="Arial"/>
        </w:rPr>
        <w:t xml:space="preserve">https://www.sigmundfreud.net/the-ego-and-the-id-pdf-ebook.jsp </w:t>
      </w:r>
      <w:r w:rsidR="00A37CAE" w:rsidRPr="00132182">
        <w:rPr>
          <w:rFonts w:cs="Arial"/>
        </w:rPr>
        <w:br/>
      </w:r>
      <w:r w:rsidRPr="00132182">
        <w:rPr>
          <w:rFonts w:cs="Arial"/>
        </w:rPr>
        <w:t>Rogoff, B. (2003) T</w:t>
      </w:r>
      <w:r w:rsidRPr="00132182">
        <w:rPr>
          <w:rFonts w:cs="Arial"/>
          <w:i/>
          <w:iCs/>
        </w:rPr>
        <w:t>he Cultural Nature of Human Development.</w:t>
      </w:r>
      <w:r w:rsidRPr="00132182">
        <w:rPr>
          <w:rFonts w:cs="Arial"/>
        </w:rPr>
        <w:t xml:space="preserve"> Oxford: Oxford University Press.</w:t>
      </w:r>
      <w:r w:rsidR="00A37CAE" w:rsidRPr="00132182">
        <w:rPr>
          <w:rFonts w:cs="Arial"/>
        </w:rPr>
        <w:br/>
      </w:r>
      <w:r w:rsidRPr="00132182">
        <w:rPr>
          <w:rFonts w:cs="Arial"/>
        </w:rPr>
        <w:t xml:space="preserve">Vygotsky, L.S. (1978) </w:t>
      </w:r>
      <w:r w:rsidRPr="00132182">
        <w:rPr>
          <w:rFonts w:cs="Arial"/>
          <w:i/>
          <w:iCs/>
        </w:rPr>
        <w:t xml:space="preserve">Mind in Society. </w:t>
      </w:r>
      <w:r w:rsidRPr="00132182">
        <w:rPr>
          <w:rFonts w:cs="Arial"/>
        </w:rPr>
        <w:t>Cambridge, MA: Harvard University Press.</w:t>
      </w:r>
      <w:r w:rsidR="00A37CAE" w:rsidRPr="00132182">
        <w:rPr>
          <w:rFonts w:cs="Arial"/>
        </w:rPr>
        <w:br/>
      </w:r>
      <w:r w:rsidRPr="00132182">
        <w:rPr>
          <w:rFonts w:cs="Arial"/>
        </w:rPr>
        <w:t xml:space="preserve">Woods, B. </w:t>
      </w:r>
      <w:r w:rsidR="00B91E47" w:rsidRPr="00132182">
        <w:rPr>
          <w:rFonts w:cs="Arial"/>
        </w:rPr>
        <w:t>O’Phil</w:t>
      </w:r>
      <w:r w:rsidR="004203D3" w:rsidRPr="00132182">
        <w:rPr>
          <w:rFonts w:cs="Arial"/>
        </w:rPr>
        <w:t>bin</w:t>
      </w:r>
      <w:r w:rsidR="00394272" w:rsidRPr="00132182">
        <w:rPr>
          <w:rFonts w:cs="Arial"/>
        </w:rPr>
        <w:t>, L.</w:t>
      </w:r>
      <w:r w:rsidR="00E97A08" w:rsidRPr="00132182">
        <w:rPr>
          <w:rFonts w:cs="Arial"/>
        </w:rPr>
        <w:t>,</w:t>
      </w:r>
      <w:r w:rsidR="00394272" w:rsidRPr="00132182">
        <w:rPr>
          <w:rFonts w:cs="Arial"/>
        </w:rPr>
        <w:t xml:space="preserve"> </w:t>
      </w:r>
      <w:r w:rsidR="007A69F0" w:rsidRPr="00132182">
        <w:rPr>
          <w:rFonts w:cs="Arial"/>
        </w:rPr>
        <w:t>F</w:t>
      </w:r>
      <w:r w:rsidR="00143B00" w:rsidRPr="00132182">
        <w:rPr>
          <w:rFonts w:cs="Arial"/>
        </w:rPr>
        <w:t>arrel, E.M.</w:t>
      </w:r>
      <w:r w:rsidR="00E97A08" w:rsidRPr="00132182">
        <w:rPr>
          <w:rFonts w:cs="Arial"/>
        </w:rPr>
        <w:t>,</w:t>
      </w:r>
      <w:r w:rsidR="00143B00" w:rsidRPr="00132182">
        <w:rPr>
          <w:rFonts w:cs="Arial"/>
        </w:rPr>
        <w:t xml:space="preserve"> </w:t>
      </w:r>
      <w:r w:rsidR="009F55CF" w:rsidRPr="00132182">
        <w:rPr>
          <w:rFonts w:cs="Arial"/>
        </w:rPr>
        <w:t>Sp</w:t>
      </w:r>
      <w:r w:rsidR="00057F2E" w:rsidRPr="00132182">
        <w:rPr>
          <w:rFonts w:cs="Arial"/>
        </w:rPr>
        <w:t>ec</w:t>
      </w:r>
      <w:r w:rsidR="003F66DF" w:rsidRPr="00132182">
        <w:rPr>
          <w:rFonts w:cs="Arial"/>
        </w:rPr>
        <w:t>tor</w:t>
      </w:r>
      <w:r w:rsidR="00E659E3" w:rsidRPr="00132182">
        <w:rPr>
          <w:rFonts w:cs="Arial"/>
        </w:rPr>
        <w:t>, A.E.</w:t>
      </w:r>
      <w:r w:rsidR="00E97A08" w:rsidRPr="00132182">
        <w:rPr>
          <w:rFonts w:cs="Arial"/>
        </w:rPr>
        <w:t>,</w:t>
      </w:r>
      <w:r w:rsidR="009146E8" w:rsidRPr="00132182">
        <w:rPr>
          <w:rFonts w:cs="Arial"/>
        </w:rPr>
        <w:t xml:space="preserve"> Or</w:t>
      </w:r>
      <w:r w:rsidR="005B5743" w:rsidRPr="00132182">
        <w:rPr>
          <w:rFonts w:cs="Arial"/>
        </w:rPr>
        <w:t xml:space="preserve">rell, </w:t>
      </w:r>
      <w:r w:rsidR="004000F9" w:rsidRPr="00132182">
        <w:rPr>
          <w:rFonts w:cs="Arial"/>
        </w:rPr>
        <w:t>M. (</w:t>
      </w:r>
      <w:r w:rsidR="001621D3" w:rsidRPr="00132182">
        <w:rPr>
          <w:rFonts w:cs="Arial"/>
        </w:rPr>
        <w:t>2018) ‘</w:t>
      </w:r>
      <w:r w:rsidR="009468FD" w:rsidRPr="00132182">
        <w:rPr>
          <w:rFonts w:cs="Arial"/>
          <w:i/>
          <w:iCs/>
        </w:rPr>
        <w:t>R</w:t>
      </w:r>
      <w:r w:rsidR="001621D3" w:rsidRPr="00132182">
        <w:rPr>
          <w:rFonts w:cs="Arial"/>
          <w:i/>
          <w:iCs/>
        </w:rPr>
        <w:t>eminiscence therapy for dementia’</w:t>
      </w:r>
      <w:r w:rsidR="001621D3" w:rsidRPr="00132182">
        <w:rPr>
          <w:rFonts w:cs="Arial"/>
        </w:rPr>
        <w:t xml:space="preserve"> </w:t>
      </w:r>
      <w:r w:rsidRPr="00132182">
        <w:rPr>
          <w:rFonts w:cs="Arial"/>
        </w:rPr>
        <w:t>Cochrane Database of Systematic Reviews</w:t>
      </w:r>
      <w:r w:rsidR="00D240AB" w:rsidRPr="00132182">
        <w:rPr>
          <w:rFonts w:cs="Arial"/>
        </w:rPr>
        <w:t>. Available at: https:/</w:t>
      </w:r>
      <w:r w:rsidR="005472E0" w:rsidRPr="00132182">
        <w:rPr>
          <w:rFonts w:cs="Arial"/>
        </w:rPr>
        <w:t>doi.org/</w:t>
      </w:r>
      <w:r w:rsidR="009D51A9" w:rsidRPr="00132182">
        <w:rPr>
          <w:rFonts w:cs="Arial"/>
        </w:rPr>
        <w:t>10.1002/146518</w:t>
      </w:r>
      <w:r w:rsidR="0094264B" w:rsidRPr="00132182">
        <w:rPr>
          <w:rFonts w:cs="Arial"/>
        </w:rPr>
        <w:t xml:space="preserve">58.CD001120.pub3 </w:t>
      </w:r>
      <w:r w:rsidR="008152E5" w:rsidRPr="00132182">
        <w:rPr>
          <w:rFonts w:cs="Arial"/>
        </w:rPr>
        <w:t>(Accessed:15 April 2026)</w:t>
      </w:r>
      <w:r w:rsidR="000C2195" w:rsidRPr="00132182">
        <w:rPr>
          <w:rFonts w:cs="Arial"/>
        </w:rPr>
        <w:t>.</w:t>
      </w:r>
      <w:r w:rsidR="00A37CAE" w:rsidRPr="00132182">
        <w:rPr>
          <w:rFonts w:cs="Arial"/>
        </w:rPr>
        <w:br/>
      </w:r>
    </w:p>
    <w:p w14:paraId="643C3FA9" w14:textId="5638D103" w:rsidR="73F88540" w:rsidRDefault="73F88540" w:rsidP="73F88540">
      <w:pPr>
        <w:spacing w:line="360" w:lineRule="auto"/>
      </w:pPr>
    </w:p>
    <w:sectPr w:rsidR="73F88540"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F7742" w14:textId="77777777" w:rsidR="0074359E" w:rsidRPr="005D5B12" w:rsidRDefault="0074359E">
      <w:pPr>
        <w:spacing w:after="0" w:line="240" w:lineRule="auto"/>
      </w:pPr>
      <w:r w:rsidRPr="005D5B12">
        <w:separator/>
      </w:r>
    </w:p>
  </w:endnote>
  <w:endnote w:type="continuationSeparator" w:id="0">
    <w:p w14:paraId="5034C041" w14:textId="77777777" w:rsidR="0074359E" w:rsidRPr="005D5B12" w:rsidRDefault="0074359E">
      <w:pPr>
        <w:spacing w:after="0" w:line="240" w:lineRule="auto"/>
      </w:pPr>
      <w:r w:rsidRPr="005D5B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9366933"/>
      <w:docPartObj>
        <w:docPartGallery w:val="Page Numbers (Bottom of Page)"/>
        <w:docPartUnique/>
      </w:docPartObj>
    </w:sdtPr>
    <w:sdtContent>
      <w:p w14:paraId="09DC3D69" w14:textId="5A6746F0" w:rsidR="00993E85" w:rsidRPr="005D5B12" w:rsidRDefault="00993E85">
        <w:pPr>
          <w:pStyle w:val="Footer"/>
          <w:jc w:val="center"/>
        </w:pPr>
        <w:r w:rsidRPr="005D5B12">
          <w:fldChar w:fldCharType="begin"/>
        </w:r>
        <w:r w:rsidRPr="005D5B12">
          <w:instrText>PAGE   \* MERGEFORMAT</w:instrText>
        </w:r>
        <w:r w:rsidRPr="005D5B12">
          <w:fldChar w:fldCharType="separate"/>
        </w:r>
        <w:r w:rsidRPr="005D5B12">
          <w:t>2</w:t>
        </w:r>
        <w:r w:rsidRPr="005D5B12">
          <w:fldChar w:fldCharType="end"/>
        </w:r>
      </w:p>
    </w:sdtContent>
  </w:sdt>
  <w:p w14:paraId="23BA28B3" w14:textId="77777777" w:rsidR="008672FF" w:rsidRPr="005D5B12" w:rsidRDefault="008672FF" w:rsidP="73F88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407980" w14:textId="77777777" w:rsidR="0074359E" w:rsidRPr="005D5B12" w:rsidRDefault="0074359E">
      <w:pPr>
        <w:spacing w:after="0" w:line="240" w:lineRule="auto"/>
      </w:pPr>
      <w:r w:rsidRPr="005D5B12">
        <w:separator/>
      </w:r>
    </w:p>
  </w:footnote>
  <w:footnote w:type="continuationSeparator" w:id="0">
    <w:p w14:paraId="1C45E249" w14:textId="77777777" w:rsidR="0074359E" w:rsidRPr="005D5B12" w:rsidRDefault="0074359E">
      <w:pPr>
        <w:spacing w:after="0" w:line="240" w:lineRule="auto"/>
      </w:pPr>
      <w:r w:rsidRPr="005D5B1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2880"/>
      <w:gridCol w:w="2880"/>
      <w:gridCol w:w="2880"/>
    </w:tblGrid>
    <w:tr w:rsidR="0083137B" w:rsidRPr="005D5B12" w14:paraId="70F1BC38" w14:textId="77777777" w:rsidTr="73F88540">
      <w:trPr>
        <w:trHeight w:val="300"/>
      </w:trPr>
      <w:tc>
        <w:tcPr>
          <w:tcW w:w="2880" w:type="dxa"/>
        </w:tcPr>
        <w:p w14:paraId="579929A2" w14:textId="77777777" w:rsidR="008672FF" w:rsidRPr="005D5B12" w:rsidRDefault="008672FF" w:rsidP="73F88540">
          <w:pPr>
            <w:pStyle w:val="Header"/>
            <w:ind w:left="-115"/>
          </w:pPr>
        </w:p>
      </w:tc>
      <w:tc>
        <w:tcPr>
          <w:tcW w:w="2880" w:type="dxa"/>
        </w:tcPr>
        <w:p w14:paraId="29DF2397" w14:textId="77777777" w:rsidR="008672FF" w:rsidRPr="005D5B12" w:rsidRDefault="008672FF" w:rsidP="73F88540">
          <w:pPr>
            <w:pStyle w:val="Header"/>
            <w:jc w:val="center"/>
          </w:pPr>
        </w:p>
      </w:tc>
      <w:tc>
        <w:tcPr>
          <w:tcW w:w="2880" w:type="dxa"/>
        </w:tcPr>
        <w:p w14:paraId="7065155E" w14:textId="77777777" w:rsidR="008672FF" w:rsidRPr="005D5B12" w:rsidRDefault="008672FF" w:rsidP="73F88540">
          <w:pPr>
            <w:pStyle w:val="Header"/>
            <w:ind w:right="-115"/>
            <w:jc w:val="right"/>
          </w:pPr>
        </w:p>
      </w:tc>
    </w:tr>
  </w:tbl>
  <w:p w14:paraId="04CEA0F7" w14:textId="77777777" w:rsidR="008672FF" w:rsidRPr="005D5B12" w:rsidRDefault="008672FF" w:rsidP="73F885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5623892">
    <w:abstractNumId w:val="1"/>
  </w:num>
  <w:num w:numId="2" w16cid:durableId="1388919727">
    <w:abstractNumId w:val="0"/>
  </w:num>
  <w:num w:numId="3" w16cid:durableId="1621644446">
    <w:abstractNumId w:val="2"/>
  </w:num>
  <w:num w:numId="4" w16cid:durableId="1627541076">
    <w:abstractNumId w:val="7"/>
  </w:num>
  <w:num w:numId="5" w16cid:durableId="217012546">
    <w:abstractNumId w:val="6"/>
  </w:num>
  <w:num w:numId="6" w16cid:durableId="401871152">
    <w:abstractNumId w:val="4"/>
  </w:num>
  <w:num w:numId="7" w16cid:durableId="552038686">
    <w:abstractNumId w:val="5"/>
  </w:num>
  <w:num w:numId="8" w16cid:durableId="769157783">
    <w:abstractNumId w:val="8"/>
  </w:num>
  <w:num w:numId="9" w16cid:durableId="829104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F78"/>
    <w:rsid w:val="000038AF"/>
    <w:rsid w:val="00003C6F"/>
    <w:rsid w:val="000049F6"/>
    <w:rsid w:val="000058AA"/>
    <w:rsid w:val="000105B0"/>
    <w:rsid w:val="000178D4"/>
    <w:rsid w:val="00021C46"/>
    <w:rsid w:val="00024C5C"/>
    <w:rsid w:val="00025927"/>
    <w:rsid w:val="000306F2"/>
    <w:rsid w:val="00034207"/>
    <w:rsid w:val="00034616"/>
    <w:rsid w:val="00036EF1"/>
    <w:rsid w:val="00046FA0"/>
    <w:rsid w:val="000470FE"/>
    <w:rsid w:val="00051BB3"/>
    <w:rsid w:val="00053600"/>
    <w:rsid w:val="000550E4"/>
    <w:rsid w:val="00057F2E"/>
    <w:rsid w:val="0006063C"/>
    <w:rsid w:val="0006692D"/>
    <w:rsid w:val="0006747D"/>
    <w:rsid w:val="0008330D"/>
    <w:rsid w:val="000B3AAC"/>
    <w:rsid w:val="000B4369"/>
    <w:rsid w:val="000B4B62"/>
    <w:rsid w:val="000B4FDF"/>
    <w:rsid w:val="000C2195"/>
    <w:rsid w:val="000D08E6"/>
    <w:rsid w:val="000D220C"/>
    <w:rsid w:val="000D3D7D"/>
    <w:rsid w:val="000E0A37"/>
    <w:rsid w:val="000E2770"/>
    <w:rsid w:val="000F5923"/>
    <w:rsid w:val="001012FC"/>
    <w:rsid w:val="00110693"/>
    <w:rsid w:val="00114324"/>
    <w:rsid w:val="0012362F"/>
    <w:rsid w:val="001267AE"/>
    <w:rsid w:val="00132182"/>
    <w:rsid w:val="00140C62"/>
    <w:rsid w:val="00143B00"/>
    <w:rsid w:val="00144F08"/>
    <w:rsid w:val="0014507A"/>
    <w:rsid w:val="0015074B"/>
    <w:rsid w:val="0015110A"/>
    <w:rsid w:val="00160F4B"/>
    <w:rsid w:val="00161497"/>
    <w:rsid w:val="001621D3"/>
    <w:rsid w:val="00167BA5"/>
    <w:rsid w:val="00170940"/>
    <w:rsid w:val="001714FE"/>
    <w:rsid w:val="00174275"/>
    <w:rsid w:val="0017704C"/>
    <w:rsid w:val="0018625B"/>
    <w:rsid w:val="00190212"/>
    <w:rsid w:val="00195B7D"/>
    <w:rsid w:val="001A1E25"/>
    <w:rsid w:val="001B28DC"/>
    <w:rsid w:val="001B396B"/>
    <w:rsid w:val="001C07D3"/>
    <w:rsid w:val="001C411C"/>
    <w:rsid w:val="001D5B3D"/>
    <w:rsid w:val="001D7C3B"/>
    <w:rsid w:val="001E06A3"/>
    <w:rsid w:val="001E2356"/>
    <w:rsid w:val="001E25B9"/>
    <w:rsid w:val="001E5A03"/>
    <w:rsid w:val="001F758D"/>
    <w:rsid w:val="002067B4"/>
    <w:rsid w:val="002114E1"/>
    <w:rsid w:val="00215BB9"/>
    <w:rsid w:val="00235183"/>
    <w:rsid w:val="002444AB"/>
    <w:rsid w:val="00252B65"/>
    <w:rsid w:val="00252C9C"/>
    <w:rsid w:val="002672F6"/>
    <w:rsid w:val="00270E16"/>
    <w:rsid w:val="0028421F"/>
    <w:rsid w:val="00290244"/>
    <w:rsid w:val="0029639D"/>
    <w:rsid w:val="00296A95"/>
    <w:rsid w:val="002973D3"/>
    <w:rsid w:val="002B1D87"/>
    <w:rsid w:val="002C7A04"/>
    <w:rsid w:val="002D3947"/>
    <w:rsid w:val="002D5D09"/>
    <w:rsid w:val="002F2302"/>
    <w:rsid w:val="002F4920"/>
    <w:rsid w:val="003007B5"/>
    <w:rsid w:val="00301887"/>
    <w:rsid w:val="003052C6"/>
    <w:rsid w:val="00311613"/>
    <w:rsid w:val="0032003F"/>
    <w:rsid w:val="00320293"/>
    <w:rsid w:val="00320E78"/>
    <w:rsid w:val="00323CCC"/>
    <w:rsid w:val="00326BC4"/>
    <w:rsid w:val="00326F90"/>
    <w:rsid w:val="003314BF"/>
    <w:rsid w:val="00334817"/>
    <w:rsid w:val="00343A91"/>
    <w:rsid w:val="003463CE"/>
    <w:rsid w:val="003525B5"/>
    <w:rsid w:val="00353422"/>
    <w:rsid w:val="003604FE"/>
    <w:rsid w:val="003825C5"/>
    <w:rsid w:val="00383326"/>
    <w:rsid w:val="00385B01"/>
    <w:rsid w:val="00391BAA"/>
    <w:rsid w:val="00394272"/>
    <w:rsid w:val="00394624"/>
    <w:rsid w:val="00394F2B"/>
    <w:rsid w:val="003A0FBC"/>
    <w:rsid w:val="003A16AD"/>
    <w:rsid w:val="003A1CC2"/>
    <w:rsid w:val="003A5E6E"/>
    <w:rsid w:val="003B11E8"/>
    <w:rsid w:val="003B493D"/>
    <w:rsid w:val="003B4A42"/>
    <w:rsid w:val="003C3AF0"/>
    <w:rsid w:val="003D19F1"/>
    <w:rsid w:val="003D2D5C"/>
    <w:rsid w:val="003D798B"/>
    <w:rsid w:val="003E1F64"/>
    <w:rsid w:val="003F0FAA"/>
    <w:rsid w:val="003F53D8"/>
    <w:rsid w:val="003F66DF"/>
    <w:rsid w:val="004000F9"/>
    <w:rsid w:val="004049FB"/>
    <w:rsid w:val="00404CD1"/>
    <w:rsid w:val="00405E17"/>
    <w:rsid w:val="0040770C"/>
    <w:rsid w:val="00410F68"/>
    <w:rsid w:val="00417CFD"/>
    <w:rsid w:val="004203D3"/>
    <w:rsid w:val="00421C2C"/>
    <w:rsid w:val="0042264A"/>
    <w:rsid w:val="00426C2C"/>
    <w:rsid w:val="0042777E"/>
    <w:rsid w:val="004302C8"/>
    <w:rsid w:val="00430C1D"/>
    <w:rsid w:val="00440261"/>
    <w:rsid w:val="0044076D"/>
    <w:rsid w:val="00445FD7"/>
    <w:rsid w:val="00446B3A"/>
    <w:rsid w:val="0045680B"/>
    <w:rsid w:val="0046061C"/>
    <w:rsid w:val="00464B45"/>
    <w:rsid w:val="00491EAC"/>
    <w:rsid w:val="00492E15"/>
    <w:rsid w:val="00493E6B"/>
    <w:rsid w:val="00495EBD"/>
    <w:rsid w:val="004B1C7E"/>
    <w:rsid w:val="004B3F3A"/>
    <w:rsid w:val="004C0A26"/>
    <w:rsid w:val="004D25A7"/>
    <w:rsid w:val="004D4150"/>
    <w:rsid w:val="004E088A"/>
    <w:rsid w:val="004E4179"/>
    <w:rsid w:val="004E594B"/>
    <w:rsid w:val="004E7C00"/>
    <w:rsid w:val="004F5DDB"/>
    <w:rsid w:val="00502987"/>
    <w:rsid w:val="00517FB6"/>
    <w:rsid w:val="005317EF"/>
    <w:rsid w:val="00537DE8"/>
    <w:rsid w:val="005419EF"/>
    <w:rsid w:val="005453F2"/>
    <w:rsid w:val="00546679"/>
    <w:rsid w:val="005472E0"/>
    <w:rsid w:val="005476CF"/>
    <w:rsid w:val="0054E5D5"/>
    <w:rsid w:val="00553838"/>
    <w:rsid w:val="00565CD0"/>
    <w:rsid w:val="005765E5"/>
    <w:rsid w:val="0058075C"/>
    <w:rsid w:val="00580A4D"/>
    <w:rsid w:val="00591E82"/>
    <w:rsid w:val="00597C54"/>
    <w:rsid w:val="005B5743"/>
    <w:rsid w:val="005C36DE"/>
    <w:rsid w:val="005D5B12"/>
    <w:rsid w:val="00605AB2"/>
    <w:rsid w:val="00613B0A"/>
    <w:rsid w:val="006312B6"/>
    <w:rsid w:val="00635F14"/>
    <w:rsid w:val="00636B85"/>
    <w:rsid w:val="00637E60"/>
    <w:rsid w:val="006549F8"/>
    <w:rsid w:val="006658FC"/>
    <w:rsid w:val="00675C82"/>
    <w:rsid w:val="00675FF2"/>
    <w:rsid w:val="00680524"/>
    <w:rsid w:val="00684C41"/>
    <w:rsid w:val="00686AA5"/>
    <w:rsid w:val="00687E2B"/>
    <w:rsid w:val="006917EC"/>
    <w:rsid w:val="006B54A3"/>
    <w:rsid w:val="006B6A24"/>
    <w:rsid w:val="006C0A48"/>
    <w:rsid w:val="006D0362"/>
    <w:rsid w:val="006E11E6"/>
    <w:rsid w:val="006E174F"/>
    <w:rsid w:val="006E599C"/>
    <w:rsid w:val="006E6D71"/>
    <w:rsid w:val="006F1647"/>
    <w:rsid w:val="00700B65"/>
    <w:rsid w:val="00705139"/>
    <w:rsid w:val="00724274"/>
    <w:rsid w:val="00724F5F"/>
    <w:rsid w:val="007265C5"/>
    <w:rsid w:val="00731055"/>
    <w:rsid w:val="00735A41"/>
    <w:rsid w:val="0074359E"/>
    <w:rsid w:val="007549B6"/>
    <w:rsid w:val="00761D63"/>
    <w:rsid w:val="007633F0"/>
    <w:rsid w:val="0076345E"/>
    <w:rsid w:val="00780A56"/>
    <w:rsid w:val="007817E0"/>
    <w:rsid w:val="007A000A"/>
    <w:rsid w:val="007A16E2"/>
    <w:rsid w:val="007A3B94"/>
    <w:rsid w:val="007A69F0"/>
    <w:rsid w:val="007C3AB0"/>
    <w:rsid w:val="007C5873"/>
    <w:rsid w:val="007E56B4"/>
    <w:rsid w:val="0081449E"/>
    <w:rsid w:val="008152E5"/>
    <w:rsid w:val="00817D0A"/>
    <w:rsid w:val="0082050D"/>
    <w:rsid w:val="008229BF"/>
    <w:rsid w:val="00823550"/>
    <w:rsid w:val="00823D82"/>
    <w:rsid w:val="0083137B"/>
    <w:rsid w:val="0083156B"/>
    <w:rsid w:val="00841B66"/>
    <w:rsid w:val="00842D5F"/>
    <w:rsid w:val="00842E1B"/>
    <w:rsid w:val="00847C6C"/>
    <w:rsid w:val="0085166C"/>
    <w:rsid w:val="00851DE4"/>
    <w:rsid w:val="00864A54"/>
    <w:rsid w:val="008672FF"/>
    <w:rsid w:val="0087521C"/>
    <w:rsid w:val="00882B9F"/>
    <w:rsid w:val="00892BE3"/>
    <w:rsid w:val="00893AF1"/>
    <w:rsid w:val="0089781A"/>
    <w:rsid w:val="008C0810"/>
    <w:rsid w:val="008C1AC5"/>
    <w:rsid w:val="008D67E3"/>
    <w:rsid w:val="008D7DE1"/>
    <w:rsid w:val="008E422C"/>
    <w:rsid w:val="008E7E64"/>
    <w:rsid w:val="008F3282"/>
    <w:rsid w:val="008F6A4F"/>
    <w:rsid w:val="00900058"/>
    <w:rsid w:val="00902477"/>
    <w:rsid w:val="009146E8"/>
    <w:rsid w:val="009222CB"/>
    <w:rsid w:val="00930E11"/>
    <w:rsid w:val="009310D7"/>
    <w:rsid w:val="00941B95"/>
    <w:rsid w:val="0094264B"/>
    <w:rsid w:val="00945132"/>
    <w:rsid w:val="009468FD"/>
    <w:rsid w:val="00946F39"/>
    <w:rsid w:val="00956E92"/>
    <w:rsid w:val="00965D3B"/>
    <w:rsid w:val="0098241E"/>
    <w:rsid w:val="00983021"/>
    <w:rsid w:val="00993E85"/>
    <w:rsid w:val="0099475E"/>
    <w:rsid w:val="0099649A"/>
    <w:rsid w:val="009A6119"/>
    <w:rsid w:val="009B3D19"/>
    <w:rsid w:val="009C610E"/>
    <w:rsid w:val="009D13AD"/>
    <w:rsid w:val="009D2CA1"/>
    <w:rsid w:val="009D51A9"/>
    <w:rsid w:val="009E7720"/>
    <w:rsid w:val="009F55CF"/>
    <w:rsid w:val="009F6BF8"/>
    <w:rsid w:val="00A00361"/>
    <w:rsid w:val="00A01547"/>
    <w:rsid w:val="00A038AA"/>
    <w:rsid w:val="00A04398"/>
    <w:rsid w:val="00A13F3C"/>
    <w:rsid w:val="00A15E0C"/>
    <w:rsid w:val="00A203B4"/>
    <w:rsid w:val="00A37CAE"/>
    <w:rsid w:val="00A43F6D"/>
    <w:rsid w:val="00A44A7F"/>
    <w:rsid w:val="00A45C36"/>
    <w:rsid w:val="00A46FEE"/>
    <w:rsid w:val="00A52ADA"/>
    <w:rsid w:val="00A660AB"/>
    <w:rsid w:val="00A721F8"/>
    <w:rsid w:val="00A80855"/>
    <w:rsid w:val="00A852B2"/>
    <w:rsid w:val="00A9588E"/>
    <w:rsid w:val="00A95C1D"/>
    <w:rsid w:val="00AA1D8D"/>
    <w:rsid w:val="00AA5D18"/>
    <w:rsid w:val="00AB3531"/>
    <w:rsid w:val="00AB41BF"/>
    <w:rsid w:val="00AC4796"/>
    <w:rsid w:val="00AC785D"/>
    <w:rsid w:val="00AD6FC1"/>
    <w:rsid w:val="00AD75DE"/>
    <w:rsid w:val="00AE04E0"/>
    <w:rsid w:val="00AE5B9B"/>
    <w:rsid w:val="00AF71AC"/>
    <w:rsid w:val="00B074FA"/>
    <w:rsid w:val="00B279C8"/>
    <w:rsid w:val="00B30342"/>
    <w:rsid w:val="00B32F94"/>
    <w:rsid w:val="00B336A6"/>
    <w:rsid w:val="00B46FE2"/>
    <w:rsid w:val="00B47730"/>
    <w:rsid w:val="00B53E8A"/>
    <w:rsid w:val="00B61EC1"/>
    <w:rsid w:val="00B63C9B"/>
    <w:rsid w:val="00B77E9C"/>
    <w:rsid w:val="00B83C1D"/>
    <w:rsid w:val="00B85718"/>
    <w:rsid w:val="00B869FE"/>
    <w:rsid w:val="00B9081A"/>
    <w:rsid w:val="00B91E47"/>
    <w:rsid w:val="00B9658F"/>
    <w:rsid w:val="00B9718C"/>
    <w:rsid w:val="00BB0212"/>
    <w:rsid w:val="00BB61CF"/>
    <w:rsid w:val="00BC0185"/>
    <w:rsid w:val="00BC5E58"/>
    <w:rsid w:val="00BD0647"/>
    <w:rsid w:val="00BE1A2B"/>
    <w:rsid w:val="00BF5227"/>
    <w:rsid w:val="00BF70E3"/>
    <w:rsid w:val="00C06C14"/>
    <w:rsid w:val="00C12BE8"/>
    <w:rsid w:val="00C16B7A"/>
    <w:rsid w:val="00C22C51"/>
    <w:rsid w:val="00C36F25"/>
    <w:rsid w:val="00C65584"/>
    <w:rsid w:val="00C66A0D"/>
    <w:rsid w:val="00C71C99"/>
    <w:rsid w:val="00C72486"/>
    <w:rsid w:val="00C73D90"/>
    <w:rsid w:val="00C844F0"/>
    <w:rsid w:val="00C92084"/>
    <w:rsid w:val="00C93AFE"/>
    <w:rsid w:val="00CB0664"/>
    <w:rsid w:val="00CB4323"/>
    <w:rsid w:val="00CB5B78"/>
    <w:rsid w:val="00CC0BE0"/>
    <w:rsid w:val="00CC2415"/>
    <w:rsid w:val="00CC28A6"/>
    <w:rsid w:val="00CC5EE5"/>
    <w:rsid w:val="00CD7D78"/>
    <w:rsid w:val="00CE0DA6"/>
    <w:rsid w:val="00CE2DC2"/>
    <w:rsid w:val="00CE5562"/>
    <w:rsid w:val="00CF055C"/>
    <w:rsid w:val="00CF567F"/>
    <w:rsid w:val="00D02476"/>
    <w:rsid w:val="00D06994"/>
    <w:rsid w:val="00D11239"/>
    <w:rsid w:val="00D1200F"/>
    <w:rsid w:val="00D21417"/>
    <w:rsid w:val="00D240AB"/>
    <w:rsid w:val="00D30889"/>
    <w:rsid w:val="00D329AD"/>
    <w:rsid w:val="00D3630A"/>
    <w:rsid w:val="00D45DDF"/>
    <w:rsid w:val="00D54C45"/>
    <w:rsid w:val="00D553C8"/>
    <w:rsid w:val="00D5770C"/>
    <w:rsid w:val="00D62155"/>
    <w:rsid w:val="00D648A1"/>
    <w:rsid w:val="00D64DF7"/>
    <w:rsid w:val="00D71162"/>
    <w:rsid w:val="00D72C95"/>
    <w:rsid w:val="00D76A2E"/>
    <w:rsid w:val="00D76D8A"/>
    <w:rsid w:val="00D85254"/>
    <w:rsid w:val="00D866D6"/>
    <w:rsid w:val="00D90382"/>
    <w:rsid w:val="00DA29D2"/>
    <w:rsid w:val="00DA4032"/>
    <w:rsid w:val="00DC39A8"/>
    <w:rsid w:val="00DD0238"/>
    <w:rsid w:val="00DE34CE"/>
    <w:rsid w:val="00DF071E"/>
    <w:rsid w:val="00E254C1"/>
    <w:rsid w:val="00E307AE"/>
    <w:rsid w:val="00E31210"/>
    <w:rsid w:val="00E31F1C"/>
    <w:rsid w:val="00E321EE"/>
    <w:rsid w:val="00E46971"/>
    <w:rsid w:val="00E55DB6"/>
    <w:rsid w:val="00E55FDA"/>
    <w:rsid w:val="00E60464"/>
    <w:rsid w:val="00E61639"/>
    <w:rsid w:val="00E63B10"/>
    <w:rsid w:val="00E659E3"/>
    <w:rsid w:val="00E700CB"/>
    <w:rsid w:val="00E72801"/>
    <w:rsid w:val="00E72ACA"/>
    <w:rsid w:val="00E8019D"/>
    <w:rsid w:val="00E810DF"/>
    <w:rsid w:val="00E90A88"/>
    <w:rsid w:val="00E943ED"/>
    <w:rsid w:val="00E94BDE"/>
    <w:rsid w:val="00E9717B"/>
    <w:rsid w:val="00E97425"/>
    <w:rsid w:val="00E97A08"/>
    <w:rsid w:val="00EA761F"/>
    <w:rsid w:val="00EC0A51"/>
    <w:rsid w:val="00ED1B3E"/>
    <w:rsid w:val="00EE464D"/>
    <w:rsid w:val="00EF52D8"/>
    <w:rsid w:val="00EF5B43"/>
    <w:rsid w:val="00F03AF7"/>
    <w:rsid w:val="00F0513F"/>
    <w:rsid w:val="00F10F10"/>
    <w:rsid w:val="00F12452"/>
    <w:rsid w:val="00F1531C"/>
    <w:rsid w:val="00F22DC1"/>
    <w:rsid w:val="00F24660"/>
    <w:rsid w:val="00F263E7"/>
    <w:rsid w:val="00F409B6"/>
    <w:rsid w:val="00F43662"/>
    <w:rsid w:val="00F4659C"/>
    <w:rsid w:val="00F574E4"/>
    <w:rsid w:val="00F66448"/>
    <w:rsid w:val="00F77C99"/>
    <w:rsid w:val="00F8536B"/>
    <w:rsid w:val="00F93D03"/>
    <w:rsid w:val="00FA4F94"/>
    <w:rsid w:val="00FB1703"/>
    <w:rsid w:val="00FB6992"/>
    <w:rsid w:val="00FC0E10"/>
    <w:rsid w:val="00FC1F1D"/>
    <w:rsid w:val="00FC3930"/>
    <w:rsid w:val="00FC693F"/>
    <w:rsid w:val="00FC7027"/>
    <w:rsid w:val="00FD7857"/>
    <w:rsid w:val="00FE0135"/>
    <w:rsid w:val="00FE6576"/>
    <w:rsid w:val="00FE76CD"/>
    <w:rsid w:val="05DC8B6B"/>
    <w:rsid w:val="157C31C3"/>
    <w:rsid w:val="223397A3"/>
    <w:rsid w:val="2A959DAA"/>
    <w:rsid w:val="2FD261F6"/>
    <w:rsid w:val="3564D20D"/>
    <w:rsid w:val="3E74556D"/>
    <w:rsid w:val="43CD9657"/>
    <w:rsid w:val="4B33AE43"/>
    <w:rsid w:val="5E948C29"/>
    <w:rsid w:val="617ED0EB"/>
    <w:rsid w:val="62BE759A"/>
    <w:rsid w:val="73F88540"/>
    <w:rsid w:val="7B7953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E28A76"/>
  <w14:defaultImageDpi w14:val="300"/>
  <w15:docId w15:val="{03C86682-BD64-4309-9FC5-FB2942C1D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8"/>
      </w:numPr>
      <w:contextualSpacing/>
    </w:pPr>
  </w:style>
  <w:style w:type="paragraph" w:styleId="ListBullet2">
    <w:name w:val="List Bullet 2"/>
    <w:basedOn w:val="Normal"/>
    <w:uiPriority w:val="99"/>
    <w:unhideWhenUsed/>
    <w:rsid w:val="00326F90"/>
    <w:pPr>
      <w:numPr>
        <w:numId w:val="5"/>
      </w:numPr>
      <w:contextualSpacing/>
    </w:pPr>
  </w:style>
  <w:style w:type="paragraph" w:styleId="ListBullet3">
    <w:name w:val="List Bullet 3"/>
    <w:basedOn w:val="Normal"/>
    <w:uiPriority w:val="99"/>
    <w:unhideWhenUsed/>
    <w:rsid w:val="00326F90"/>
    <w:pPr>
      <w:numPr>
        <w:numId w:val="7"/>
      </w:numPr>
      <w:contextualSpacing/>
    </w:pPr>
  </w:style>
  <w:style w:type="paragraph" w:styleId="ListNumber">
    <w:name w:val="List Number"/>
    <w:basedOn w:val="Normal"/>
    <w:uiPriority w:val="99"/>
    <w:unhideWhenUsed/>
    <w:rsid w:val="00326F90"/>
    <w:pPr>
      <w:numPr>
        <w:numId w:val="4"/>
      </w:numPr>
      <w:contextualSpacing/>
    </w:pPr>
  </w:style>
  <w:style w:type="paragraph" w:styleId="ListNumber2">
    <w:name w:val="List Number 2"/>
    <w:basedOn w:val="Normal"/>
    <w:uiPriority w:val="99"/>
    <w:unhideWhenUsed/>
    <w:rsid w:val="0029639D"/>
    <w:pPr>
      <w:numPr>
        <w:numId w:val="9"/>
      </w:numPr>
      <w:contextualSpacing/>
    </w:pPr>
  </w:style>
  <w:style w:type="paragraph" w:styleId="ListNumber3">
    <w:name w:val="List Number 3"/>
    <w:basedOn w:val="Normal"/>
    <w:uiPriority w:val="99"/>
    <w:unhideWhenUsed/>
    <w:rsid w:val="0029639D"/>
    <w:pPr>
      <w:numPr>
        <w:numId w:val="3"/>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
    <w:name w:val="Colorful Shading -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
    <w:name w:val="Colorful Shading -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
    <w:name w:val="Colorful Shading -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
    <w:name w:val="Colorful Shading -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
    <w:name w:val="Colorful Shading -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
    <w:name w:val="Colorful Shading -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
    <w:name w:val="Colorful List -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
    <w:name w:val="Colorful List -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
    <w:name w:val="Colorful List -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
    <w:name w:val="Colorful List -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
    <w:name w:val="Colorful List -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
    <w:name w:val="Colorful List -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
    <w:name w:val="Colorful Grid -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
    <w:name w:val="Colorful Grid -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
    <w:name w:val="Colorful Grid -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
    <w:name w:val="Colorful Grid -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
    <w:name w:val="Colorful Grid -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
    <w:name w:val="Colorful Grid -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381</TotalTime>
  <Pages>8</Pages>
  <Words>1738</Words>
  <Characters>9908</Characters>
  <Application>Microsoft Office Word</Application>
  <DocSecurity>0</DocSecurity>
  <Lines>82</Lines>
  <Paragraphs>23</Paragraphs>
  <ScaleCrop>false</ScaleCrop>
  <Manager/>
  <Company/>
  <LinksUpToDate>false</LinksUpToDate>
  <CharactersWithSpaces>11623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Renata Kunceviciute</cp:lastModifiedBy>
  <cp:revision>303</cp:revision>
  <dcterms:created xsi:type="dcterms:W3CDTF">2026-04-15T09:50:00Z</dcterms:created>
  <dcterms:modified xsi:type="dcterms:W3CDTF">2026-04-18T11:07:00Z</dcterms:modified>
  <cp:category/>
</cp:coreProperties>
</file>