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F747" w14:textId="77777777" w:rsidR="006D745B" w:rsidRPr="00732068" w:rsidRDefault="006D745B" w:rsidP="006D745B">
      <w:pPr>
        <w:spacing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Student Name:     </w:t>
      </w:r>
      <w:r w:rsidRPr="00732068">
        <w:rPr>
          <w:rFonts w:asciiTheme="majorBidi" w:hAnsiTheme="majorBidi" w:cstheme="majorBidi"/>
          <w:sz w:val="24"/>
          <w:szCs w:val="24"/>
        </w:rPr>
        <w:t>Mohamed Allali</w:t>
      </w:r>
    </w:p>
    <w:p w14:paraId="57513230" w14:textId="77777777" w:rsidR="006D745B" w:rsidRPr="00732068" w:rsidRDefault="006D745B" w:rsidP="006D745B">
      <w:pPr>
        <w:spacing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Student Number: </w:t>
      </w:r>
      <w:r w:rsidRPr="00732068">
        <w:rPr>
          <w:rFonts w:asciiTheme="majorBidi" w:hAnsiTheme="majorBidi" w:cstheme="majorBidi"/>
          <w:sz w:val="24"/>
          <w:szCs w:val="24"/>
        </w:rPr>
        <w:t>2122090</w:t>
      </w:r>
    </w:p>
    <w:p w14:paraId="60FF3BA5" w14:textId="58532138" w:rsidR="006D745B" w:rsidRPr="00732068" w:rsidRDefault="006D745B" w:rsidP="006D745B">
      <w:pPr>
        <w:spacing w:before="120" w:after="120"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Module:                 </w:t>
      </w:r>
      <w:r>
        <w:rPr>
          <w:rFonts w:asciiTheme="majorBidi" w:hAnsiTheme="majorBidi" w:cstheme="majorBidi"/>
          <w:sz w:val="24"/>
          <w:szCs w:val="24"/>
        </w:rPr>
        <w:t>English Language Teacher Education</w:t>
      </w:r>
    </w:p>
    <w:p w14:paraId="3AA00B79" w14:textId="4C17178E" w:rsidR="006D745B" w:rsidRPr="00732068" w:rsidRDefault="006D745B" w:rsidP="006D745B">
      <w:pPr>
        <w:spacing w:before="120" w:after="120" w:line="360" w:lineRule="auto"/>
        <w:jc w:val="both"/>
        <w:rPr>
          <w:rFonts w:asciiTheme="majorBidi" w:hAnsiTheme="majorBidi" w:cstheme="majorBidi"/>
          <w:b/>
          <w:sz w:val="24"/>
          <w:szCs w:val="24"/>
        </w:rPr>
      </w:pPr>
      <w:r w:rsidRPr="00732068">
        <w:rPr>
          <w:rFonts w:asciiTheme="majorBidi" w:hAnsiTheme="majorBidi" w:cstheme="majorBidi"/>
          <w:b/>
          <w:bCs/>
          <w:sz w:val="24"/>
          <w:szCs w:val="24"/>
        </w:rPr>
        <w:t xml:space="preserve">Module Code:      </w:t>
      </w:r>
      <w:r w:rsidRPr="00732068">
        <w:rPr>
          <w:rFonts w:asciiTheme="majorBidi" w:hAnsiTheme="majorBidi" w:cstheme="majorBidi"/>
          <w:bCs/>
          <w:sz w:val="24"/>
          <w:szCs w:val="24"/>
        </w:rPr>
        <w:t xml:space="preserve"> HPEN700</w:t>
      </w:r>
      <w:r>
        <w:rPr>
          <w:rFonts w:asciiTheme="majorBidi" w:hAnsiTheme="majorBidi" w:cstheme="majorBidi"/>
          <w:bCs/>
          <w:sz w:val="24"/>
          <w:szCs w:val="24"/>
        </w:rPr>
        <w:t>5</w:t>
      </w:r>
    </w:p>
    <w:p w14:paraId="28E4F554" w14:textId="082E3E55" w:rsidR="006D745B" w:rsidRDefault="006D745B" w:rsidP="006D745B">
      <w:pPr>
        <w:spacing w:line="360" w:lineRule="auto"/>
        <w:jc w:val="both"/>
        <w:rPr>
          <w:rFonts w:asciiTheme="majorBidi" w:hAnsiTheme="majorBidi" w:cstheme="majorBidi"/>
          <w:sz w:val="24"/>
          <w:szCs w:val="24"/>
        </w:rPr>
      </w:pPr>
      <w:r w:rsidRPr="00732068">
        <w:rPr>
          <w:rFonts w:asciiTheme="majorBidi" w:hAnsiTheme="majorBidi" w:cstheme="majorBidi"/>
          <w:b/>
          <w:bCs/>
          <w:sz w:val="24"/>
          <w:szCs w:val="24"/>
        </w:rPr>
        <w:t xml:space="preserve">Tutor:                     </w:t>
      </w:r>
      <w:r w:rsidRPr="00732068">
        <w:rPr>
          <w:rFonts w:asciiTheme="majorBidi" w:hAnsiTheme="majorBidi" w:cstheme="majorBidi"/>
          <w:sz w:val="24"/>
          <w:szCs w:val="24"/>
        </w:rPr>
        <w:t>Dr Jessica Clapham</w:t>
      </w:r>
    </w:p>
    <w:p w14:paraId="2393441C" w14:textId="0BD6A6F1" w:rsidR="006D745B" w:rsidRDefault="006D745B" w:rsidP="006D745B">
      <w:pPr>
        <w:spacing w:line="360" w:lineRule="auto"/>
        <w:jc w:val="center"/>
        <w:rPr>
          <w:rFonts w:asciiTheme="majorBidi" w:hAnsiTheme="majorBidi" w:cstheme="majorBidi"/>
          <w:b/>
          <w:bCs/>
          <w:sz w:val="24"/>
          <w:szCs w:val="24"/>
          <w:bdr w:val="single" w:sz="4" w:space="0" w:color="auto"/>
        </w:rPr>
      </w:pPr>
      <w:r>
        <w:rPr>
          <w:rFonts w:asciiTheme="majorBidi" w:hAnsiTheme="majorBidi" w:cstheme="majorBidi"/>
          <w:b/>
          <w:bCs/>
          <w:sz w:val="24"/>
          <w:szCs w:val="24"/>
          <w:bdr w:val="single" w:sz="4" w:space="0" w:color="auto"/>
        </w:rPr>
        <w:t>1</w:t>
      </w:r>
      <w:r w:rsidRPr="006D745B">
        <w:rPr>
          <w:rFonts w:asciiTheme="majorBidi" w:hAnsiTheme="majorBidi" w:cstheme="majorBidi"/>
          <w:b/>
          <w:bCs/>
          <w:sz w:val="24"/>
          <w:szCs w:val="24"/>
          <w:bdr w:val="single" w:sz="4" w:space="0" w:color="auto"/>
          <w:vertAlign w:val="superscript"/>
        </w:rPr>
        <w:t>st</w:t>
      </w:r>
      <w:r>
        <w:rPr>
          <w:rFonts w:asciiTheme="majorBidi" w:hAnsiTheme="majorBidi" w:cstheme="majorBidi"/>
          <w:b/>
          <w:bCs/>
          <w:sz w:val="24"/>
          <w:szCs w:val="24"/>
          <w:bdr w:val="single" w:sz="4" w:space="0" w:color="auto"/>
        </w:rPr>
        <w:t xml:space="preserve"> </w:t>
      </w:r>
      <w:r w:rsidRPr="00CD1E89">
        <w:rPr>
          <w:rFonts w:asciiTheme="majorBidi" w:hAnsiTheme="majorBidi" w:cstheme="majorBidi"/>
          <w:b/>
          <w:bCs/>
          <w:sz w:val="24"/>
          <w:szCs w:val="24"/>
          <w:bdr w:val="single" w:sz="4" w:space="0" w:color="auto"/>
        </w:rPr>
        <w:t>Assignment:</w:t>
      </w:r>
    </w:p>
    <w:p w14:paraId="42825C21" w14:textId="76084068" w:rsidR="006D745B" w:rsidRDefault="006D745B" w:rsidP="006D745B">
      <w:pPr>
        <w:tabs>
          <w:tab w:val="left" w:pos="426"/>
        </w:tabs>
        <w:spacing w:before="60" w:after="200" w:line="276" w:lineRule="auto"/>
        <w:ind w:left="720"/>
        <w:jc w:val="center"/>
        <w:rPr>
          <w:rFonts w:asciiTheme="majorBidi" w:hAnsiTheme="majorBidi" w:cstheme="majorBidi"/>
          <w:b/>
          <w:i/>
        </w:rPr>
      </w:pPr>
      <w:r w:rsidRPr="006D745B">
        <w:rPr>
          <w:rFonts w:asciiTheme="majorBidi" w:hAnsiTheme="majorBidi" w:cstheme="majorBidi"/>
          <w:b/>
          <w:i/>
        </w:rPr>
        <w:t xml:space="preserve">Critically review </w:t>
      </w:r>
      <w:proofErr w:type="spellStart"/>
      <w:r w:rsidRPr="006D745B">
        <w:rPr>
          <w:rFonts w:asciiTheme="majorBidi" w:hAnsiTheme="majorBidi" w:cstheme="majorBidi"/>
          <w:b/>
          <w:i/>
        </w:rPr>
        <w:t>Lightbown</w:t>
      </w:r>
      <w:proofErr w:type="spellEnd"/>
      <w:r w:rsidRPr="006D745B">
        <w:rPr>
          <w:rFonts w:asciiTheme="majorBidi" w:hAnsiTheme="majorBidi" w:cstheme="majorBidi"/>
          <w:b/>
          <w:i/>
        </w:rPr>
        <w:t xml:space="preserve">, P.M. and Spada, N (2000) </w:t>
      </w:r>
      <w:proofErr w:type="gramStart"/>
      <w:r w:rsidRPr="006D745B">
        <w:rPr>
          <w:rFonts w:asciiTheme="majorBidi" w:hAnsiTheme="majorBidi" w:cstheme="majorBidi"/>
          <w:b/>
          <w:i/>
        </w:rPr>
        <w:t>‘ Factors</w:t>
      </w:r>
      <w:proofErr w:type="gramEnd"/>
      <w:r w:rsidRPr="006D745B">
        <w:rPr>
          <w:rFonts w:asciiTheme="majorBidi" w:hAnsiTheme="majorBidi" w:cstheme="majorBidi"/>
          <w:b/>
          <w:i/>
        </w:rPr>
        <w:t xml:space="preserve"> Affecting Second Language Learning.  In </w:t>
      </w:r>
      <w:proofErr w:type="spellStart"/>
      <w:r w:rsidRPr="006D745B">
        <w:rPr>
          <w:rFonts w:asciiTheme="majorBidi" w:hAnsiTheme="majorBidi" w:cstheme="majorBidi"/>
          <w:b/>
          <w:i/>
        </w:rPr>
        <w:t>Candlin</w:t>
      </w:r>
      <w:proofErr w:type="spellEnd"/>
      <w:r w:rsidRPr="006D745B">
        <w:rPr>
          <w:rFonts w:asciiTheme="majorBidi" w:hAnsiTheme="majorBidi" w:cstheme="majorBidi"/>
          <w:b/>
          <w:i/>
        </w:rPr>
        <w:t>, C. N and Mercer, N (2000) English Language Teaching in its Social Context, Routledge London.</w:t>
      </w:r>
    </w:p>
    <w:p w14:paraId="359BDF47" w14:textId="22DC1FB6" w:rsidR="003416BA" w:rsidRPr="008056AF" w:rsidRDefault="003416BA" w:rsidP="00DA4A50">
      <w:pPr>
        <w:tabs>
          <w:tab w:val="left" w:pos="426"/>
        </w:tabs>
        <w:spacing w:before="60" w:after="200" w:line="360" w:lineRule="auto"/>
        <w:jc w:val="both"/>
        <w:rPr>
          <w:rFonts w:asciiTheme="majorBidi" w:hAnsiTheme="majorBidi" w:cstheme="majorBidi"/>
          <w:bCs/>
          <w:iCs/>
          <w:sz w:val="24"/>
          <w:szCs w:val="24"/>
        </w:rPr>
      </w:pPr>
      <w:r w:rsidRPr="008056AF">
        <w:rPr>
          <w:rFonts w:asciiTheme="majorBidi" w:hAnsiTheme="majorBidi" w:cstheme="majorBidi"/>
          <w:bCs/>
          <w:iCs/>
          <w:sz w:val="24"/>
          <w:szCs w:val="24"/>
        </w:rPr>
        <w:t xml:space="preserve">With the rapid pace of globalisation, there are more opportunities for cooperation between countries and communication between people all over the world, as a result of which many people, other than students, are eager to learn a second language, with English being the most popular. It is difficult for </w:t>
      </w:r>
      <w:r w:rsidR="000E06E4">
        <w:rPr>
          <w:rFonts w:asciiTheme="majorBidi" w:hAnsiTheme="majorBidi" w:cstheme="majorBidi"/>
          <w:bCs/>
          <w:iCs/>
          <w:sz w:val="24"/>
          <w:szCs w:val="24"/>
        </w:rPr>
        <w:t xml:space="preserve">any individual </w:t>
      </w:r>
      <w:r w:rsidRPr="008056AF">
        <w:rPr>
          <w:rFonts w:asciiTheme="majorBidi" w:hAnsiTheme="majorBidi" w:cstheme="majorBidi"/>
          <w:bCs/>
          <w:iCs/>
          <w:sz w:val="24"/>
          <w:szCs w:val="24"/>
        </w:rPr>
        <w:t xml:space="preserve">to learn and use a second language because there are numerous factors that influence our second language acquisition. This essay will examine </w:t>
      </w:r>
      <w:r w:rsidR="000E06E4">
        <w:rPr>
          <w:rFonts w:asciiTheme="majorBidi" w:hAnsiTheme="majorBidi" w:cstheme="majorBidi"/>
          <w:bCs/>
          <w:iCs/>
          <w:sz w:val="24"/>
          <w:szCs w:val="24"/>
        </w:rPr>
        <w:t xml:space="preserve">most important factors affecting second language learning according stated </w:t>
      </w:r>
      <w:r w:rsidR="002A45C6">
        <w:rPr>
          <w:rFonts w:asciiTheme="majorBidi" w:hAnsiTheme="majorBidi" w:cstheme="majorBidi"/>
          <w:bCs/>
          <w:iCs/>
          <w:sz w:val="24"/>
          <w:szCs w:val="24"/>
        </w:rPr>
        <w:t>to</w:t>
      </w:r>
      <w:r w:rsidR="000E06E4">
        <w:rPr>
          <w:rFonts w:asciiTheme="majorBidi" w:hAnsiTheme="majorBidi" w:cstheme="majorBidi"/>
          <w:bCs/>
          <w:iCs/>
          <w:sz w:val="24"/>
          <w:szCs w:val="24"/>
        </w:rPr>
        <w:t xml:space="preserve"> </w:t>
      </w:r>
      <w:proofErr w:type="spellStart"/>
      <w:r w:rsidR="000E06E4">
        <w:rPr>
          <w:rFonts w:asciiTheme="majorBidi" w:hAnsiTheme="majorBidi" w:cstheme="majorBidi"/>
          <w:bCs/>
          <w:iCs/>
          <w:sz w:val="24"/>
          <w:szCs w:val="24"/>
        </w:rPr>
        <w:t>Lightbrown</w:t>
      </w:r>
      <w:proofErr w:type="spellEnd"/>
      <w:r w:rsidR="000E06E4">
        <w:rPr>
          <w:rFonts w:asciiTheme="majorBidi" w:hAnsiTheme="majorBidi" w:cstheme="majorBidi"/>
          <w:bCs/>
          <w:iCs/>
          <w:sz w:val="24"/>
          <w:szCs w:val="24"/>
        </w:rPr>
        <w:t>, P.M and Spada</w:t>
      </w:r>
      <w:r w:rsidR="002A45C6">
        <w:rPr>
          <w:rFonts w:asciiTheme="majorBidi" w:hAnsiTheme="majorBidi" w:cstheme="majorBidi"/>
          <w:bCs/>
          <w:iCs/>
          <w:sz w:val="24"/>
          <w:szCs w:val="24"/>
        </w:rPr>
        <w:t xml:space="preserve">, then discussing one of them in details. </w:t>
      </w:r>
    </w:p>
    <w:p w14:paraId="08968C45" w14:textId="3C4414A4" w:rsidR="007E5502" w:rsidRPr="008056AF" w:rsidRDefault="00971668" w:rsidP="00A675B3">
      <w:pPr>
        <w:tabs>
          <w:tab w:val="left" w:pos="426"/>
        </w:tabs>
        <w:spacing w:before="60" w:after="200" w:line="360" w:lineRule="auto"/>
        <w:jc w:val="both"/>
        <w:rPr>
          <w:rFonts w:asciiTheme="majorBidi" w:hAnsiTheme="majorBidi" w:cstheme="majorBidi"/>
          <w:bCs/>
          <w:iCs/>
          <w:sz w:val="24"/>
          <w:szCs w:val="24"/>
        </w:rPr>
      </w:pPr>
      <w:r w:rsidRPr="008056AF">
        <w:rPr>
          <w:rFonts w:asciiTheme="majorBidi" w:hAnsiTheme="majorBidi" w:cstheme="majorBidi"/>
          <w:bCs/>
          <w:iCs/>
          <w:sz w:val="24"/>
          <w:szCs w:val="24"/>
        </w:rPr>
        <w:t xml:space="preserve">Many of us believe that learners have certain characteristics which lead to </w:t>
      </w:r>
      <w:proofErr w:type="gramStart"/>
      <w:r w:rsidRPr="008056AF">
        <w:rPr>
          <w:rFonts w:asciiTheme="majorBidi" w:hAnsiTheme="majorBidi" w:cstheme="majorBidi"/>
          <w:bCs/>
          <w:iCs/>
          <w:sz w:val="24"/>
          <w:szCs w:val="24"/>
        </w:rPr>
        <w:t>more or less successful</w:t>
      </w:r>
      <w:proofErr w:type="gramEnd"/>
      <w:r w:rsidRPr="008056AF">
        <w:rPr>
          <w:rFonts w:asciiTheme="majorBidi" w:hAnsiTheme="majorBidi" w:cstheme="majorBidi"/>
          <w:bCs/>
          <w:iCs/>
          <w:sz w:val="24"/>
          <w:szCs w:val="24"/>
        </w:rPr>
        <w:t xml:space="preserve"> language learning. For example, extroverted learners who interact without inhibition in their second language will be the most successful. Other factors considered to be relevant to language learning are </w:t>
      </w:r>
      <w:r w:rsidR="002A45C6" w:rsidRPr="008056AF">
        <w:rPr>
          <w:rFonts w:asciiTheme="majorBidi" w:hAnsiTheme="majorBidi" w:cstheme="majorBidi"/>
          <w:bCs/>
          <w:iCs/>
          <w:sz w:val="24"/>
          <w:szCs w:val="24"/>
        </w:rPr>
        <w:t>intelligence</w:t>
      </w:r>
      <w:r w:rsidRPr="008056AF">
        <w:rPr>
          <w:rFonts w:asciiTheme="majorBidi" w:hAnsiTheme="majorBidi" w:cstheme="majorBidi"/>
          <w:bCs/>
          <w:iCs/>
          <w:sz w:val="24"/>
          <w:szCs w:val="24"/>
        </w:rPr>
        <w:t>, aptitude, motivation, and attitudes</w:t>
      </w:r>
      <w:r w:rsidR="001151C9">
        <w:rPr>
          <w:rFonts w:asciiTheme="majorBidi" w:hAnsiTheme="majorBidi" w:cstheme="majorBidi"/>
          <w:bCs/>
          <w:iCs/>
          <w:sz w:val="24"/>
          <w:szCs w:val="24"/>
        </w:rPr>
        <w:t>.</w:t>
      </w:r>
    </w:p>
    <w:p w14:paraId="3986233D" w14:textId="675ED5FC" w:rsidR="00400F13" w:rsidRDefault="00400F13" w:rsidP="00DA4A50">
      <w:pPr>
        <w:tabs>
          <w:tab w:val="left" w:pos="426"/>
        </w:tabs>
        <w:spacing w:before="60" w:after="200" w:line="360" w:lineRule="auto"/>
        <w:jc w:val="both"/>
        <w:rPr>
          <w:rFonts w:asciiTheme="majorBidi" w:hAnsiTheme="majorBidi" w:cstheme="majorBidi"/>
          <w:sz w:val="24"/>
          <w:szCs w:val="24"/>
        </w:rPr>
      </w:pPr>
      <w:r w:rsidRPr="00400F13">
        <w:rPr>
          <w:rFonts w:asciiTheme="majorBidi" w:hAnsiTheme="majorBidi" w:cstheme="majorBidi"/>
          <w:sz w:val="24"/>
          <w:szCs w:val="24"/>
        </w:rPr>
        <w:t xml:space="preserve">Both </w:t>
      </w:r>
      <w:proofErr w:type="spellStart"/>
      <w:r w:rsidRPr="00400F13">
        <w:rPr>
          <w:rFonts w:asciiTheme="majorBidi" w:hAnsiTheme="majorBidi" w:cstheme="majorBidi"/>
          <w:sz w:val="24"/>
          <w:szCs w:val="24"/>
        </w:rPr>
        <w:t>Lightbown</w:t>
      </w:r>
      <w:proofErr w:type="spellEnd"/>
      <w:r w:rsidRPr="00400F13">
        <w:rPr>
          <w:rFonts w:asciiTheme="majorBidi" w:hAnsiTheme="majorBidi" w:cstheme="majorBidi"/>
          <w:sz w:val="24"/>
          <w:szCs w:val="24"/>
        </w:rPr>
        <w:t xml:space="preserve">, P.M. and Spada (2000) cite intelligence as one of the most important factors in second-language acquisition. </w:t>
      </w:r>
      <w:r w:rsidR="00A675B3" w:rsidRPr="00A675B3">
        <w:rPr>
          <w:rFonts w:asciiTheme="majorBidi" w:hAnsiTheme="majorBidi" w:cstheme="majorBidi"/>
          <w:sz w:val="24"/>
          <w:szCs w:val="24"/>
        </w:rPr>
        <w:t xml:space="preserve">Traditionally, intelligence has been equated with performance on specific types of tests. These tests are frequently associated with academic achievement, and a correlation between intelligence and second language acquisition has been reported on occasion. Numerous studies conducted over the years using a variety of intelligence ('IQ') tests and methods of evaluating language learning have concluded that IQ scores are a reliable predictor of a learner's success. Recent research suggests that these intelligence measures may be more strongly associated with certain types of second language skills than with others. In a study of French immersion students in Canada, for instance, it was found that while intelligence was related to the development of second language French reading, grammar, and vocabulary, it was unrelated to oral productive skills (Genesee 1976). Similar results have been reported by </w:t>
      </w:r>
      <w:r w:rsidR="00A675B3" w:rsidRPr="00A675B3">
        <w:rPr>
          <w:rFonts w:asciiTheme="majorBidi" w:hAnsiTheme="majorBidi" w:cstheme="majorBidi"/>
          <w:sz w:val="24"/>
          <w:szCs w:val="24"/>
        </w:rPr>
        <w:lastRenderedPageBreak/>
        <w:t>other researchers. This suggests that, while intelligence, particularly as measured by verbal IQ tests, may be a significant factor in learning that involves language analysis and rule learning, intelligence may play a less significant role in classrooms that emphasise communication and interaction. It is essential to remember that 'intelligence' is a multifaceted concept and that individuals possess a variety of abilities and strengths, not all of which are measured by traditional IQ tests. In our experience, many students with poor academic performance have achieved remarkable success in second language acquisition.</w:t>
      </w:r>
    </w:p>
    <w:p w14:paraId="139185AC" w14:textId="77777777" w:rsidR="006025AA" w:rsidRDefault="006025AA" w:rsidP="00A675B3">
      <w:pPr>
        <w:tabs>
          <w:tab w:val="left" w:pos="426"/>
        </w:tabs>
        <w:spacing w:before="60" w:after="200" w:line="360" w:lineRule="auto"/>
        <w:jc w:val="both"/>
        <w:rPr>
          <w:rFonts w:asciiTheme="majorBidi" w:hAnsiTheme="majorBidi" w:cstheme="majorBidi"/>
          <w:sz w:val="24"/>
          <w:szCs w:val="24"/>
        </w:rPr>
      </w:pPr>
      <w:r w:rsidRPr="006025AA">
        <w:rPr>
          <w:rFonts w:asciiTheme="majorBidi" w:hAnsiTheme="majorBidi" w:cstheme="majorBidi"/>
          <w:sz w:val="24"/>
          <w:szCs w:val="24"/>
        </w:rPr>
        <w:t xml:space="preserve">A further factor, according to the same authors, is aptitude. There is evidence in the scholarly literature that certain individuals have an exceptional "aptitude" for language acquisition. CJ, according to Lorraine </w:t>
      </w:r>
      <w:proofErr w:type="spellStart"/>
      <w:r w:rsidRPr="006025AA">
        <w:rPr>
          <w:rFonts w:asciiTheme="majorBidi" w:hAnsiTheme="majorBidi" w:cstheme="majorBidi"/>
          <w:sz w:val="24"/>
          <w:szCs w:val="24"/>
        </w:rPr>
        <w:t>Obler</w:t>
      </w:r>
      <w:proofErr w:type="spellEnd"/>
      <w:r w:rsidRPr="006025AA">
        <w:rPr>
          <w:rFonts w:asciiTheme="majorBidi" w:hAnsiTheme="majorBidi" w:cstheme="majorBidi"/>
          <w:sz w:val="24"/>
          <w:szCs w:val="24"/>
        </w:rPr>
        <w:t xml:space="preserve"> (1 989), possesses this specialised ability. CJ is a native English speaker who grew up in an English-speaking home. At the age of 15, when he began learning French in school, he had his first genuine exposure to a second language. CJ studied German, Spanish, and Latin during his time in high school.</w:t>
      </w:r>
    </w:p>
    <w:p w14:paraId="067340D4" w14:textId="112D57E4" w:rsidR="00400F13" w:rsidRPr="00A675B3" w:rsidRDefault="00100BE9" w:rsidP="00A675B3">
      <w:pPr>
        <w:tabs>
          <w:tab w:val="left" w:pos="426"/>
        </w:tabs>
        <w:spacing w:before="60" w:after="200" w:line="360" w:lineRule="auto"/>
        <w:jc w:val="both"/>
        <w:rPr>
          <w:rFonts w:asciiTheme="majorBidi" w:hAnsiTheme="majorBidi" w:cstheme="majorBidi"/>
          <w:sz w:val="24"/>
          <w:szCs w:val="24"/>
        </w:rPr>
      </w:pPr>
      <w:r w:rsidRPr="00100BE9">
        <w:rPr>
          <w:rFonts w:asciiTheme="majorBidi" w:hAnsiTheme="majorBidi" w:cstheme="majorBidi"/>
          <w:sz w:val="24"/>
          <w:szCs w:val="24"/>
        </w:rPr>
        <w:t xml:space="preserve">At age 20, he visited Germany briefly. CJ reported that hearing German spoken for a brief period was sufficient for him </w:t>
      </w:r>
      <w:r w:rsidR="003931D3" w:rsidRPr="00100BE9">
        <w:rPr>
          <w:rFonts w:asciiTheme="majorBidi" w:hAnsiTheme="majorBidi" w:cstheme="majorBidi"/>
          <w:sz w:val="24"/>
          <w:szCs w:val="24"/>
        </w:rPr>
        <w:t>to ‘recover</w:t>
      </w:r>
      <w:r w:rsidRPr="00100BE9">
        <w:rPr>
          <w:rFonts w:asciiTheme="majorBidi" w:hAnsiTheme="majorBidi" w:cstheme="majorBidi"/>
          <w:sz w:val="24"/>
          <w:szCs w:val="24"/>
        </w:rPr>
        <w:t xml:space="preserve">' the language he had learned in school. CJ subsequently worked in Morocco, where he learned Moroccan Arabic through formal instruction and informal immersion. He also spent time in Spain and Italy, where he reportedly "learned" Spanish and Italian within a matter of weeks. A remarkable talent indeed! Rapid learning is the defining characteristic of aptitude. The 'aptitude' factor has been studied most intensively by researchers interested in developing tests that can predict whether an individual will be an effective language learner in a classroom setting. Modern Language </w:t>
      </w:r>
      <w:r w:rsidR="003931D3" w:rsidRPr="00100BE9">
        <w:rPr>
          <w:rFonts w:asciiTheme="majorBidi" w:hAnsiTheme="majorBidi" w:cstheme="majorBidi"/>
          <w:sz w:val="24"/>
          <w:szCs w:val="24"/>
        </w:rPr>
        <w:t>Aptitude Test</w:t>
      </w:r>
      <w:r w:rsidRPr="00100BE9">
        <w:rPr>
          <w:rFonts w:asciiTheme="majorBidi" w:hAnsiTheme="majorBidi" w:cstheme="majorBidi"/>
          <w:sz w:val="24"/>
          <w:szCs w:val="24"/>
        </w:rPr>
        <w:t xml:space="preserve"> (MLAT) and Language Aptitude Battery are the most popular aptitude tests (PLAR). Both tests are based on the belief that aptitude consists of different types of abilities: the ability to identify and memorise new sounds; the ability to comprehend the function of specific words in sentences; the ability to deduce grammatical rules from language samples; and the memory for new words.</w:t>
      </w:r>
    </w:p>
    <w:p w14:paraId="65955413" w14:textId="3B3905F9" w:rsidR="00100BE9" w:rsidRDefault="00100BE9" w:rsidP="00DA4A50">
      <w:pPr>
        <w:tabs>
          <w:tab w:val="left" w:pos="426"/>
        </w:tabs>
        <w:spacing w:before="60" w:after="200" w:line="360" w:lineRule="auto"/>
        <w:jc w:val="both"/>
        <w:rPr>
          <w:rFonts w:asciiTheme="majorBidi" w:hAnsiTheme="majorBidi" w:cstheme="majorBidi"/>
          <w:sz w:val="24"/>
          <w:szCs w:val="24"/>
        </w:rPr>
      </w:pPr>
      <w:r w:rsidRPr="00100BE9">
        <w:rPr>
          <w:rFonts w:asciiTheme="majorBidi" w:hAnsiTheme="majorBidi" w:cstheme="majorBidi"/>
          <w:sz w:val="24"/>
          <w:szCs w:val="24"/>
        </w:rPr>
        <w:t xml:space="preserve">Personality is also an important aspect of second-language acquisition. Several personality traits have been hypothesised to influence second-language acquisition, but their influence has been difficult to establish. For instance, it is often asserted that an extroverted person is better suited for language learning, but this is not always supported by research. Another aspect of personality that has been studied is inhibition. It has been suggested that inhibition discourages risk-taking, which is necessary for language-learning advancement. Personality traits such as </w:t>
      </w:r>
      <w:r w:rsidRPr="00100BE9">
        <w:rPr>
          <w:rFonts w:asciiTheme="majorBidi" w:hAnsiTheme="majorBidi" w:cstheme="majorBidi"/>
          <w:sz w:val="24"/>
          <w:szCs w:val="24"/>
        </w:rPr>
        <w:lastRenderedPageBreak/>
        <w:t>self-esteem, empathy, dominance, talkativeness, and receptivity are also studied. However, current research does not demonstrate a clear connection between personality and second language acquisition. Identifying and measuring personality traits is the most difficult aspect of researching them.</w:t>
      </w:r>
    </w:p>
    <w:p w14:paraId="4B88D4A0" w14:textId="63B53548" w:rsidR="00100BE9" w:rsidRDefault="00100BE9" w:rsidP="00DA4A50">
      <w:pPr>
        <w:tabs>
          <w:tab w:val="left" w:pos="426"/>
        </w:tabs>
        <w:spacing w:before="60" w:after="200" w:line="360" w:lineRule="auto"/>
        <w:jc w:val="both"/>
        <w:rPr>
          <w:rFonts w:asciiTheme="majorBidi" w:hAnsiTheme="majorBidi" w:cstheme="majorBidi"/>
          <w:sz w:val="24"/>
          <w:szCs w:val="24"/>
        </w:rPr>
      </w:pPr>
      <w:r w:rsidRPr="00100BE9">
        <w:rPr>
          <w:rFonts w:asciiTheme="majorBidi" w:hAnsiTheme="majorBidi" w:cstheme="majorBidi"/>
          <w:sz w:val="24"/>
          <w:szCs w:val="24"/>
        </w:rPr>
        <w:t xml:space="preserve">According to the authors, motivation is yet another crucial aspect of second-language acquisition. Motivation in second language acquisition is a complex phenomenon that can be characterised by learners' communicative needs and their attitudes toward the second language community. We do not know whether successful learning enhances motivation or whether motivation enhances successful learning, or if both are influenced by other factors. Robert Gardner and Wallace Lambert (1972) coined the terms </w:t>
      </w:r>
      <w:r w:rsidR="00D93823" w:rsidRPr="00100BE9">
        <w:rPr>
          <w:rFonts w:asciiTheme="majorBidi" w:hAnsiTheme="majorBidi" w:cstheme="majorBidi"/>
          <w:sz w:val="24"/>
          <w:szCs w:val="24"/>
        </w:rPr>
        <w:t>inceptive</w:t>
      </w:r>
      <w:r w:rsidRPr="00100BE9">
        <w:rPr>
          <w:rFonts w:asciiTheme="majorBidi" w:hAnsiTheme="majorBidi" w:cstheme="majorBidi"/>
          <w:sz w:val="24"/>
          <w:szCs w:val="24"/>
        </w:rPr>
        <w:t xml:space="preserve"> motivation and instrumental motivation to describe language learning for the purposes of personal development and cultural enrichment. Depending on the attitude of the learner, the acquisition of a second language can be a source of enrichment or resentment. When attempting to comprehend the variables that influence learning success, it is essential to recognise that language exists in social contexts. Children and adults are equally attuned to social dynamics and power relationships between languages.</w:t>
      </w:r>
    </w:p>
    <w:p w14:paraId="0BDB2AE8" w14:textId="50C1C1AB" w:rsidR="00166F2F" w:rsidRDefault="00306549" w:rsidP="006025AA">
      <w:pPr>
        <w:tabs>
          <w:tab w:val="left" w:pos="426"/>
        </w:tabs>
        <w:spacing w:before="60" w:after="200" w:line="360" w:lineRule="auto"/>
        <w:jc w:val="both"/>
        <w:rPr>
          <w:rFonts w:asciiTheme="majorBidi" w:hAnsiTheme="majorBidi" w:cstheme="majorBidi"/>
          <w:sz w:val="24"/>
          <w:szCs w:val="24"/>
        </w:rPr>
      </w:pPr>
      <w:r w:rsidRPr="008056AF">
        <w:rPr>
          <w:rFonts w:asciiTheme="majorBidi" w:hAnsiTheme="majorBidi" w:cstheme="majorBidi"/>
          <w:sz w:val="24"/>
          <w:szCs w:val="24"/>
        </w:rPr>
        <w:t>Teachers have more opportunity to influence motivation than students' reasons for studying the second language or their attitudes toward the language and its speakers. Varying the activities, tasks, and materials can help to avoid this and increase students' interest levels. Co-operative rather than competitive activities are those in which students must work together in order to complete a task or solve a problem.</w:t>
      </w:r>
    </w:p>
    <w:p w14:paraId="2FD9BA8A" w14:textId="62F02ABC" w:rsidR="00166F2F" w:rsidRDefault="00D93823" w:rsidP="00DA4A50">
      <w:pPr>
        <w:tabs>
          <w:tab w:val="left" w:pos="426"/>
        </w:tabs>
        <w:spacing w:before="60" w:after="200" w:line="360" w:lineRule="auto"/>
        <w:jc w:val="both"/>
        <w:rPr>
          <w:rFonts w:asciiTheme="majorBidi" w:hAnsiTheme="majorBidi" w:cstheme="majorBidi"/>
          <w:sz w:val="24"/>
          <w:szCs w:val="24"/>
        </w:rPr>
      </w:pPr>
      <w:r>
        <w:rPr>
          <w:rFonts w:asciiTheme="majorBidi" w:hAnsiTheme="majorBidi" w:cstheme="majorBidi"/>
          <w:sz w:val="24"/>
          <w:szCs w:val="24"/>
        </w:rPr>
        <w:t>A</w:t>
      </w:r>
      <w:r w:rsidR="00166F2F" w:rsidRPr="00166F2F">
        <w:rPr>
          <w:rFonts w:asciiTheme="majorBidi" w:hAnsiTheme="majorBidi" w:cstheme="majorBidi"/>
          <w:sz w:val="24"/>
          <w:szCs w:val="24"/>
        </w:rPr>
        <w:t>s well as Student preferences, A person's preferred method of acquiring, processing, and retaining new information and skills has been referred to as their "learning style." While many learning style assessment instruments have been developed in recent years, little research has examined the interaction between different learning styles and second language acquisition success. When students express a preference for seeing something written or memorization of material that we believe should be learned in a less formal manner, we should not assume that their working methods are incorrect.</w:t>
      </w:r>
    </w:p>
    <w:p w14:paraId="3F2C8F05" w14:textId="77777777" w:rsidR="00166F2F" w:rsidRDefault="00166F2F" w:rsidP="00DA4A50">
      <w:pPr>
        <w:tabs>
          <w:tab w:val="left" w:pos="426"/>
        </w:tabs>
        <w:spacing w:before="60" w:after="200" w:line="360" w:lineRule="auto"/>
        <w:jc w:val="both"/>
        <w:rPr>
          <w:rFonts w:asciiTheme="majorBidi" w:hAnsiTheme="majorBidi" w:cstheme="majorBidi"/>
          <w:sz w:val="24"/>
          <w:szCs w:val="24"/>
        </w:rPr>
      </w:pPr>
      <w:r w:rsidRPr="00166F2F">
        <w:rPr>
          <w:rFonts w:asciiTheme="majorBidi" w:hAnsiTheme="majorBidi" w:cstheme="majorBidi"/>
          <w:sz w:val="24"/>
          <w:szCs w:val="24"/>
        </w:rPr>
        <w:t xml:space="preserve">Learner beliefs are a factor in the acquisition of a second language, but second language learners are not always aware of their individual learning styles. However, almost all students, and especially older students, have strong beliefs and opinions regarding how their instruction should be delivered. Learners' preferences for learning, whether based on their learning style </w:t>
      </w:r>
      <w:r w:rsidRPr="00166F2F">
        <w:rPr>
          <w:rFonts w:asciiTheme="majorBidi" w:hAnsiTheme="majorBidi" w:cstheme="majorBidi"/>
          <w:sz w:val="24"/>
          <w:szCs w:val="24"/>
        </w:rPr>
        <w:lastRenderedPageBreak/>
        <w:t>or their beliefs about how languages are acquired, will influence the strategies they employ to acquire new information.</w:t>
      </w:r>
    </w:p>
    <w:p w14:paraId="02194E0B" w14:textId="0225B1DF" w:rsidR="00D93823" w:rsidRPr="00D93823" w:rsidRDefault="00D93823" w:rsidP="00DA4A50">
      <w:pPr>
        <w:tabs>
          <w:tab w:val="left" w:pos="426"/>
        </w:tabs>
        <w:spacing w:before="60" w:after="200" w:line="360" w:lineRule="auto"/>
        <w:jc w:val="both"/>
        <w:rPr>
          <w:rFonts w:asciiTheme="majorBidi" w:hAnsiTheme="majorBidi" w:cstheme="majorBidi"/>
          <w:sz w:val="24"/>
          <w:szCs w:val="24"/>
        </w:rPr>
      </w:pPr>
      <w:r>
        <w:rPr>
          <w:rFonts w:asciiTheme="majorBidi" w:hAnsiTheme="majorBidi" w:cstheme="majorBidi"/>
          <w:sz w:val="24"/>
          <w:szCs w:val="24"/>
        </w:rPr>
        <w:t xml:space="preserve">Both </w:t>
      </w:r>
      <w:r w:rsidRPr="00D93823">
        <w:rPr>
          <w:rFonts w:asciiTheme="majorBidi" w:hAnsiTheme="majorBidi" w:cstheme="majorBidi"/>
          <w:sz w:val="24"/>
          <w:szCs w:val="24"/>
        </w:rPr>
        <w:t>authors declare The Critical Period Hypothesis suggests that there is a time in human development when the brain is predisposed for success in language learning, and that this time coincides with the age of acquisition. It is commonly believed that the critical period ends around the time of puberty, but some researchers believe it may end even earlier. In informal language learning environments, younger students typically have more time to devote to language study. In recent years, the Critical Period Hypothesis has been challenged from a variety of perspectives. Several studies comparing the second language development of older and younger learners under similar conditions have revealed, at least in the early stages, that older learners are more proficient.</w:t>
      </w:r>
    </w:p>
    <w:p w14:paraId="2731FD9D" w14:textId="77777777" w:rsidR="00D93823" w:rsidRDefault="00D93823" w:rsidP="00DA4A50">
      <w:pPr>
        <w:tabs>
          <w:tab w:val="left" w:pos="426"/>
        </w:tabs>
        <w:spacing w:before="60" w:after="200" w:line="360" w:lineRule="auto"/>
        <w:jc w:val="both"/>
        <w:rPr>
          <w:rFonts w:asciiTheme="majorBidi" w:hAnsiTheme="majorBidi" w:cstheme="majorBidi"/>
          <w:sz w:val="24"/>
          <w:szCs w:val="24"/>
        </w:rPr>
      </w:pPr>
      <w:r w:rsidRPr="00D93823">
        <w:rPr>
          <w:rFonts w:asciiTheme="majorBidi" w:hAnsiTheme="majorBidi" w:cstheme="majorBidi"/>
          <w:sz w:val="24"/>
          <w:szCs w:val="24"/>
        </w:rPr>
        <w:t>The Critical Period Hypothesis posits that there is a time in human development when the brain is optimally prepared for language acquisition. It is commonly believed that the critical period ends around the time of puberty, but some researchers believe it may end even earlier. In informal language learning environments, younger students typically have more time to devote to language study. In recent years, the Critical</w:t>
      </w:r>
    </w:p>
    <w:p w14:paraId="5C412EA0" w14:textId="37C987C7" w:rsidR="00D93823" w:rsidRPr="00D93823" w:rsidRDefault="00D93823" w:rsidP="00DA4A50">
      <w:pPr>
        <w:tabs>
          <w:tab w:val="left" w:pos="426"/>
        </w:tabs>
        <w:spacing w:before="60" w:after="200" w:line="360" w:lineRule="auto"/>
        <w:jc w:val="both"/>
        <w:rPr>
          <w:rFonts w:asciiTheme="majorBidi" w:hAnsiTheme="majorBidi" w:cstheme="majorBidi"/>
          <w:sz w:val="24"/>
          <w:szCs w:val="24"/>
        </w:rPr>
      </w:pPr>
      <w:r w:rsidRPr="00D93823">
        <w:rPr>
          <w:rFonts w:asciiTheme="majorBidi" w:hAnsiTheme="majorBidi" w:cstheme="majorBidi"/>
          <w:sz w:val="24"/>
          <w:szCs w:val="24"/>
        </w:rPr>
        <w:t>Period Hypothesis has been challenged from a variety of perspectives. Several studies comparing the second language development of older and younger learners under similar conditions have revealed, at least in the early stages, that older learners are more proficient.</w:t>
      </w:r>
    </w:p>
    <w:p w14:paraId="74F0B697" w14:textId="4BA68C10" w:rsidR="009D0C4B" w:rsidRPr="008056AF" w:rsidRDefault="00D93823" w:rsidP="00DA4A50">
      <w:pPr>
        <w:tabs>
          <w:tab w:val="left" w:pos="426"/>
        </w:tabs>
        <w:spacing w:before="60" w:after="200" w:line="360" w:lineRule="auto"/>
        <w:jc w:val="both"/>
        <w:rPr>
          <w:rFonts w:asciiTheme="majorBidi" w:hAnsiTheme="majorBidi" w:cstheme="majorBidi"/>
          <w:sz w:val="24"/>
          <w:szCs w:val="24"/>
        </w:rPr>
      </w:pPr>
      <w:r w:rsidRPr="00D93823">
        <w:rPr>
          <w:rFonts w:asciiTheme="majorBidi" w:hAnsiTheme="majorBidi" w:cstheme="majorBidi"/>
          <w:sz w:val="24"/>
          <w:szCs w:val="24"/>
        </w:rPr>
        <w:t xml:space="preserve">Does this imply that there is no critical period for the acquisition of a second language? The spoken English of fifteen native-born American English speakers with comparable levels of education served as a sort of benchmark for the second language learners. The inclusion of native speakers provided additional evidence regarding the validity of the research procedures. </w:t>
      </w:r>
      <w:proofErr w:type="spellStart"/>
      <w:r w:rsidRPr="00D93823">
        <w:rPr>
          <w:rFonts w:asciiTheme="majorBidi" w:hAnsiTheme="majorBidi" w:cstheme="majorBidi"/>
          <w:sz w:val="24"/>
          <w:szCs w:val="24"/>
        </w:rPr>
        <w:t>Patkowski's</w:t>
      </w:r>
      <w:proofErr w:type="spellEnd"/>
      <w:r w:rsidRPr="00D93823">
        <w:rPr>
          <w:rFonts w:asciiTheme="majorBidi" w:hAnsiTheme="majorBidi" w:cstheme="majorBidi"/>
          <w:sz w:val="24"/>
          <w:szCs w:val="24"/>
        </w:rPr>
        <w:t xml:space="preserve"> primary research question was, "Will there be a difference between learners who started learning English before puberty and those who started learning English later?"</w:t>
      </w:r>
    </w:p>
    <w:p w14:paraId="65D3616D" w14:textId="7955F6AA" w:rsidR="003931D3" w:rsidRPr="003931D3" w:rsidRDefault="00D93823" w:rsidP="00DA4A50">
      <w:pPr>
        <w:tabs>
          <w:tab w:val="left" w:pos="426"/>
        </w:tabs>
        <w:spacing w:before="60" w:after="20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B10E1E" w:rsidRPr="008056AF">
        <w:rPr>
          <w:rFonts w:asciiTheme="majorBidi" w:hAnsiTheme="majorBidi" w:cstheme="majorBidi"/>
          <w:sz w:val="24"/>
          <w:szCs w:val="24"/>
        </w:rPr>
        <w:t>Intelligence, aptitude, personality and motivational. Characteristics, learner preferences, and age have been found to influence second language learning. It remains difficult to make precise predictions about how a particular individual's characteristics influence his or her success as a language learner. Nonetheless, a sensitive teacher can create a learning environment in which virtually all learners can succeed.</w:t>
      </w:r>
      <w:r w:rsidR="003931D3" w:rsidRPr="003931D3">
        <w:t xml:space="preserve"> </w:t>
      </w:r>
      <w:r w:rsidR="003931D3" w:rsidRPr="003931D3">
        <w:rPr>
          <w:rFonts w:asciiTheme="majorBidi" w:hAnsiTheme="majorBidi" w:cstheme="majorBidi"/>
          <w:sz w:val="24"/>
          <w:szCs w:val="24"/>
        </w:rPr>
        <w:t xml:space="preserve">Motivation is, in my opinion, the most discussed identifier in the field of second language learning and instruction. It is also one of the most frequently </w:t>
      </w:r>
      <w:r w:rsidR="003931D3" w:rsidRPr="003931D3">
        <w:rPr>
          <w:rFonts w:asciiTheme="majorBidi" w:hAnsiTheme="majorBidi" w:cstheme="majorBidi"/>
          <w:sz w:val="24"/>
          <w:szCs w:val="24"/>
        </w:rPr>
        <w:lastRenderedPageBreak/>
        <w:t xml:space="preserve">discussed aspects of learning in general. Ellis (19985) identifies motivation and attitude as closely related factors that influence an individual's second language learning process and refers to Schuman (19978) to highlight the distinction between motivation and attitude: the former is </w:t>
      </w:r>
      <w:proofErr w:type="gramStart"/>
      <w:r w:rsidR="003931D3" w:rsidRPr="003931D3">
        <w:rPr>
          <w:rFonts w:asciiTheme="majorBidi" w:hAnsiTheme="majorBidi" w:cstheme="majorBidi"/>
          <w:sz w:val="24"/>
          <w:szCs w:val="24"/>
        </w:rPr>
        <w:t>a</w:t>
      </w:r>
      <w:proofErr w:type="gramEnd"/>
      <w:r w:rsidR="003931D3" w:rsidRPr="003931D3">
        <w:rPr>
          <w:rFonts w:asciiTheme="majorBidi" w:hAnsiTheme="majorBidi" w:cstheme="majorBidi"/>
          <w:sz w:val="24"/>
          <w:szCs w:val="24"/>
        </w:rPr>
        <w:t xml:space="preserve"> "affective factor" and the latter is a "social factor." However, </w:t>
      </w:r>
      <w:proofErr w:type="spellStart"/>
      <w:r w:rsidR="003931D3" w:rsidRPr="003931D3">
        <w:rPr>
          <w:rFonts w:asciiTheme="majorBidi" w:hAnsiTheme="majorBidi" w:cstheme="majorBidi"/>
          <w:sz w:val="24"/>
          <w:szCs w:val="24"/>
        </w:rPr>
        <w:t>Ehrrrman</w:t>
      </w:r>
      <w:proofErr w:type="spellEnd"/>
      <w:r w:rsidR="003931D3" w:rsidRPr="003931D3">
        <w:rPr>
          <w:rFonts w:asciiTheme="majorBidi" w:hAnsiTheme="majorBidi" w:cstheme="majorBidi"/>
          <w:sz w:val="24"/>
          <w:szCs w:val="24"/>
        </w:rPr>
        <w:t xml:space="preserve"> et al. (2003) would rather classify both motivation and attitude as affective factors. </w:t>
      </w:r>
      <w:proofErr w:type="spellStart"/>
      <w:r w:rsidR="003931D3" w:rsidRPr="003931D3">
        <w:rPr>
          <w:rFonts w:asciiTheme="majorBidi" w:hAnsiTheme="majorBidi" w:cstheme="majorBidi"/>
          <w:sz w:val="24"/>
          <w:szCs w:val="24"/>
        </w:rPr>
        <w:t>Dornyei</w:t>
      </w:r>
      <w:proofErr w:type="spellEnd"/>
      <w:r w:rsidR="003931D3" w:rsidRPr="003931D3">
        <w:rPr>
          <w:rFonts w:asciiTheme="majorBidi" w:hAnsiTheme="majorBidi" w:cstheme="majorBidi"/>
          <w:sz w:val="24"/>
          <w:szCs w:val="24"/>
        </w:rPr>
        <w:t xml:space="preserve"> (p.65) attempts to define motivation by referencing Gardner and Wallace Lambert (1972), who provide an additional dimension to the concept of motivation; </w:t>
      </w:r>
      <w:proofErr w:type="gramStart"/>
      <w:r w:rsidR="003931D3" w:rsidRPr="003931D3">
        <w:rPr>
          <w:rFonts w:asciiTheme="majorBidi" w:hAnsiTheme="majorBidi" w:cstheme="majorBidi"/>
          <w:sz w:val="24"/>
          <w:szCs w:val="24"/>
        </w:rPr>
        <w:t>despite the fact that</w:t>
      </w:r>
      <w:proofErr w:type="gramEnd"/>
      <w:r w:rsidR="003931D3" w:rsidRPr="003931D3">
        <w:rPr>
          <w:rFonts w:asciiTheme="majorBidi" w:hAnsiTheme="majorBidi" w:cstheme="majorBidi"/>
          <w:sz w:val="24"/>
          <w:szCs w:val="24"/>
        </w:rPr>
        <w:t xml:space="preserve"> language aptitude accounts for a significant proportion of individual variability in language learning achievement, motivation factors can override the aptitude effect. This analysis of motivation demonstrates its significance as an identifying factor in second language acquisition and how it can govern other variables.</w:t>
      </w:r>
    </w:p>
    <w:p w14:paraId="794D823D" w14:textId="77777777" w:rsidR="003931D3" w:rsidRPr="003931D3" w:rsidRDefault="003931D3" w:rsidP="00DA4A50">
      <w:pPr>
        <w:tabs>
          <w:tab w:val="left" w:pos="426"/>
        </w:tabs>
        <w:spacing w:before="60" w:after="200" w:line="360" w:lineRule="auto"/>
        <w:jc w:val="both"/>
        <w:rPr>
          <w:rFonts w:asciiTheme="majorBidi" w:hAnsiTheme="majorBidi" w:cstheme="majorBidi"/>
          <w:sz w:val="24"/>
          <w:szCs w:val="24"/>
        </w:rPr>
      </w:pPr>
      <w:r w:rsidRPr="003931D3">
        <w:rPr>
          <w:rFonts w:asciiTheme="majorBidi" w:hAnsiTheme="majorBidi" w:cstheme="majorBidi"/>
          <w:sz w:val="24"/>
          <w:szCs w:val="24"/>
        </w:rPr>
        <w:t>Influenced by various disciplines, L2 motivation studies have gained momentum over the years, making the concept a highly relevant one in the field. Initiated by social psychologists such as Gardner in the late 1950s, the historical development of cognitivism was marked by its process-oriented nature today (</w:t>
      </w:r>
      <w:proofErr w:type="spellStart"/>
      <w:r w:rsidRPr="003931D3">
        <w:rPr>
          <w:rFonts w:asciiTheme="majorBidi" w:hAnsiTheme="majorBidi" w:cstheme="majorBidi"/>
          <w:sz w:val="24"/>
          <w:szCs w:val="24"/>
        </w:rPr>
        <w:t>Dornyei</w:t>
      </w:r>
      <w:proofErr w:type="spellEnd"/>
      <w:r w:rsidRPr="003931D3">
        <w:rPr>
          <w:rFonts w:asciiTheme="majorBidi" w:hAnsiTheme="majorBidi" w:cstheme="majorBidi"/>
          <w:sz w:val="24"/>
          <w:szCs w:val="24"/>
        </w:rPr>
        <w:t>, 2005). Motivation can be divided into two basic categories based on how a student is motivated to learn: 'intrinsic motivation,' if a child is intrinsically motivated to learn a particular subject out of curiosity, challenge, etc.; 'extrinsic motivation,' if someone is motivated by external factors such as a grade, a certificate, monetary benefit, etc (</w:t>
      </w:r>
      <w:proofErr w:type="spellStart"/>
      <w:r w:rsidRPr="003931D3">
        <w:rPr>
          <w:rFonts w:asciiTheme="majorBidi" w:hAnsiTheme="majorBidi" w:cstheme="majorBidi"/>
          <w:sz w:val="24"/>
          <w:szCs w:val="24"/>
        </w:rPr>
        <w:t>Juvenen</w:t>
      </w:r>
      <w:proofErr w:type="spellEnd"/>
      <w:r w:rsidRPr="003931D3">
        <w:rPr>
          <w:rFonts w:asciiTheme="majorBidi" w:hAnsiTheme="majorBidi" w:cstheme="majorBidi"/>
          <w:sz w:val="24"/>
          <w:szCs w:val="24"/>
        </w:rPr>
        <w:t xml:space="preserve"> and Wentzel, 1996).</w:t>
      </w:r>
    </w:p>
    <w:p w14:paraId="2D8A50BA" w14:textId="77777777" w:rsidR="003931D3" w:rsidRPr="003931D3" w:rsidRDefault="003931D3" w:rsidP="00DA4A50">
      <w:pPr>
        <w:tabs>
          <w:tab w:val="left" w:pos="426"/>
        </w:tabs>
        <w:spacing w:before="60" w:after="200" w:line="360" w:lineRule="auto"/>
        <w:jc w:val="both"/>
        <w:rPr>
          <w:rFonts w:asciiTheme="majorBidi" w:hAnsiTheme="majorBidi" w:cstheme="majorBidi"/>
          <w:sz w:val="24"/>
          <w:szCs w:val="24"/>
        </w:rPr>
      </w:pPr>
      <w:r w:rsidRPr="003931D3">
        <w:rPr>
          <w:rFonts w:asciiTheme="majorBidi" w:hAnsiTheme="majorBidi" w:cstheme="majorBidi"/>
          <w:sz w:val="24"/>
          <w:szCs w:val="24"/>
        </w:rPr>
        <w:t xml:space="preserve">The study of motivation in relation to second language acquisition has a lengthy history. It </w:t>
      </w:r>
      <w:proofErr w:type="gramStart"/>
      <w:r w:rsidRPr="003931D3">
        <w:rPr>
          <w:rFonts w:asciiTheme="majorBidi" w:hAnsiTheme="majorBidi" w:cstheme="majorBidi"/>
          <w:sz w:val="24"/>
          <w:szCs w:val="24"/>
        </w:rPr>
        <w:t>dates back to</w:t>
      </w:r>
      <w:proofErr w:type="gramEnd"/>
      <w:r w:rsidRPr="003931D3">
        <w:rPr>
          <w:rFonts w:asciiTheme="majorBidi" w:hAnsiTheme="majorBidi" w:cstheme="majorBidi"/>
          <w:sz w:val="24"/>
          <w:szCs w:val="24"/>
        </w:rPr>
        <w:t xml:space="preserve"> the 1950s, when social psychology researchers like Gardner worked on the topic. Later in the 1990s, L2 motivation research shifted in a cognitivist direction, and in the new millennium, researchers such as </w:t>
      </w:r>
      <w:proofErr w:type="spellStart"/>
      <w:r w:rsidRPr="003931D3">
        <w:rPr>
          <w:rFonts w:asciiTheme="majorBidi" w:hAnsiTheme="majorBidi" w:cstheme="majorBidi"/>
          <w:sz w:val="24"/>
          <w:szCs w:val="24"/>
        </w:rPr>
        <w:t>Dornyei</w:t>
      </w:r>
      <w:proofErr w:type="spellEnd"/>
      <w:r w:rsidRPr="003931D3">
        <w:rPr>
          <w:rFonts w:asciiTheme="majorBidi" w:hAnsiTheme="majorBidi" w:cstheme="majorBidi"/>
          <w:sz w:val="24"/>
          <w:szCs w:val="24"/>
        </w:rPr>
        <w:t xml:space="preserve"> have adopted a more process-based approach. Concepts relating to motivation, such as </w:t>
      </w:r>
      <w:proofErr w:type="spellStart"/>
      <w:r w:rsidRPr="003931D3">
        <w:rPr>
          <w:rFonts w:asciiTheme="majorBidi" w:hAnsiTheme="majorBidi" w:cstheme="majorBidi"/>
          <w:sz w:val="24"/>
          <w:szCs w:val="24"/>
        </w:rPr>
        <w:t>Dornyei's</w:t>
      </w:r>
      <w:proofErr w:type="spellEnd"/>
      <w:r w:rsidRPr="003931D3">
        <w:rPr>
          <w:rFonts w:asciiTheme="majorBidi" w:hAnsiTheme="majorBidi" w:cstheme="majorBidi"/>
          <w:sz w:val="24"/>
          <w:szCs w:val="24"/>
        </w:rPr>
        <w:t xml:space="preserve"> (2005) 'ideal language self,' in which the learner is positively motivated to acquire a second language, are very significant concepts that emerged during the process-oriented period. These concepts provide teachers with valuable insight for addressing the individual differences of their students.</w:t>
      </w:r>
    </w:p>
    <w:p w14:paraId="2E47BF12" w14:textId="1F3416E7" w:rsidR="003931D3" w:rsidRPr="003931D3" w:rsidRDefault="003931D3" w:rsidP="00DA4A50">
      <w:pPr>
        <w:tabs>
          <w:tab w:val="left" w:pos="426"/>
        </w:tabs>
        <w:spacing w:before="60" w:after="200" w:line="360" w:lineRule="auto"/>
        <w:jc w:val="both"/>
        <w:rPr>
          <w:rFonts w:asciiTheme="majorBidi" w:hAnsiTheme="majorBidi" w:cstheme="majorBidi"/>
          <w:sz w:val="24"/>
          <w:szCs w:val="24"/>
        </w:rPr>
      </w:pPr>
      <w:r w:rsidRPr="003931D3">
        <w:rPr>
          <w:rFonts w:asciiTheme="majorBidi" w:hAnsiTheme="majorBidi" w:cstheme="majorBidi"/>
          <w:sz w:val="24"/>
          <w:szCs w:val="24"/>
        </w:rPr>
        <w:t>Motivation is an internal process that stimulates an individual's activity and encourages them to exert the effort necessary to reach their intended objective (WEI Fang-fang and HE Hua-</w:t>
      </w:r>
      <w:proofErr w:type="spellStart"/>
      <w:r w:rsidRPr="003931D3">
        <w:rPr>
          <w:rFonts w:asciiTheme="majorBidi" w:hAnsiTheme="majorBidi" w:cstheme="majorBidi"/>
          <w:sz w:val="24"/>
          <w:szCs w:val="24"/>
        </w:rPr>
        <w:t>qing</w:t>
      </w:r>
      <w:proofErr w:type="spellEnd"/>
      <w:r w:rsidRPr="003931D3">
        <w:rPr>
          <w:rFonts w:asciiTheme="majorBidi" w:hAnsiTheme="majorBidi" w:cstheme="majorBidi"/>
          <w:sz w:val="24"/>
          <w:szCs w:val="24"/>
        </w:rPr>
        <w:t xml:space="preserve">, 2013). Motivation, as an internal impetus, can promote the learning process and inspire and direct the learning of individuals. Without a doubt, motivation plays an important role in second language acquisition. The extent to which the learner's motivation is strong has a direct </w:t>
      </w:r>
      <w:r w:rsidRPr="003931D3">
        <w:rPr>
          <w:rFonts w:asciiTheme="majorBidi" w:hAnsiTheme="majorBidi" w:cstheme="majorBidi"/>
          <w:sz w:val="24"/>
          <w:szCs w:val="24"/>
        </w:rPr>
        <w:lastRenderedPageBreak/>
        <w:t xml:space="preserve">bearing on the learner's efficiency. Learners with strong motivation are always engaged in foreign language study, which frequently results in high learning efficiency. In contrast, learners with low motivation always adopt a negative attitude during the learning process and </w:t>
      </w:r>
      <w:proofErr w:type="gramStart"/>
      <w:r w:rsidRPr="003931D3">
        <w:rPr>
          <w:rFonts w:asciiTheme="majorBidi" w:hAnsiTheme="majorBidi" w:cstheme="majorBidi"/>
          <w:sz w:val="24"/>
          <w:szCs w:val="24"/>
        </w:rPr>
        <w:t>have a tendency to</w:t>
      </w:r>
      <w:proofErr w:type="gramEnd"/>
      <w:r w:rsidRPr="003931D3">
        <w:rPr>
          <w:rFonts w:asciiTheme="majorBidi" w:hAnsiTheme="majorBidi" w:cstheme="majorBidi"/>
          <w:sz w:val="24"/>
          <w:szCs w:val="24"/>
        </w:rPr>
        <w:t xml:space="preserve"> devote less time and effort to second language acquisition, which frequently results in poor learning efficiency. Motivation has been at the centre of SLA research for a very long time. Motivation, according to </w:t>
      </w:r>
      <w:proofErr w:type="spellStart"/>
      <w:r w:rsidRPr="003931D3">
        <w:rPr>
          <w:rFonts w:asciiTheme="majorBidi" w:hAnsiTheme="majorBidi" w:cstheme="majorBidi"/>
          <w:sz w:val="24"/>
          <w:szCs w:val="24"/>
        </w:rPr>
        <w:t>Skehan</w:t>
      </w:r>
      <w:proofErr w:type="spellEnd"/>
      <w:r w:rsidRPr="003931D3">
        <w:rPr>
          <w:rFonts w:asciiTheme="majorBidi" w:hAnsiTheme="majorBidi" w:cstheme="majorBidi"/>
          <w:sz w:val="24"/>
          <w:szCs w:val="24"/>
        </w:rPr>
        <w:t>, appears to be the second strongest predictor of success, trailing only aptitude (</w:t>
      </w:r>
      <w:proofErr w:type="spellStart"/>
      <w:r w:rsidRPr="003931D3">
        <w:rPr>
          <w:rFonts w:asciiTheme="majorBidi" w:hAnsiTheme="majorBidi" w:cstheme="majorBidi"/>
          <w:sz w:val="24"/>
          <w:szCs w:val="24"/>
        </w:rPr>
        <w:t>Skehan</w:t>
      </w:r>
      <w:proofErr w:type="spellEnd"/>
      <w:r w:rsidRPr="003931D3">
        <w:rPr>
          <w:rFonts w:asciiTheme="majorBidi" w:hAnsiTheme="majorBidi" w:cstheme="majorBidi"/>
          <w:sz w:val="24"/>
          <w:szCs w:val="24"/>
        </w:rPr>
        <w:t xml:space="preserve">, 1989). Gardner and Lambert propose, </w:t>
      </w:r>
      <w:proofErr w:type="gramStart"/>
      <w:r w:rsidRPr="003931D3">
        <w:rPr>
          <w:rFonts w:asciiTheme="majorBidi" w:hAnsiTheme="majorBidi" w:cstheme="majorBidi"/>
          <w:sz w:val="24"/>
          <w:szCs w:val="24"/>
        </w:rPr>
        <w:t>in light of</w:t>
      </w:r>
      <w:proofErr w:type="gramEnd"/>
      <w:r w:rsidRPr="003931D3">
        <w:rPr>
          <w:rFonts w:asciiTheme="majorBidi" w:hAnsiTheme="majorBidi" w:cstheme="majorBidi"/>
          <w:sz w:val="24"/>
          <w:szCs w:val="24"/>
        </w:rPr>
        <w:t xml:space="preserve"> the research on the relationship between motivation and SLA, that Gardner and Lambert postulated that there are two primary types of motivation for second language acquisition: integrative motivation and instrumental motivation (Gardner and Lambert, 1972). Integrative motivation is characterised by learners' strong desire to interact with native speakers of the target language, as well as their appreciation for the second language, its people, and its culture. Those with integrative motivation view SLA as the culmination of their interests, which they will actively pursue. While learners with instrumental motivation view SLA as a utilitarian goal that can be achieved by finding a job, passing exams, and improving their social status and </w:t>
      </w:r>
      <w:r w:rsidR="006A13E2" w:rsidRPr="003931D3">
        <w:rPr>
          <w:rFonts w:asciiTheme="majorBidi" w:hAnsiTheme="majorBidi" w:cstheme="majorBidi"/>
          <w:sz w:val="24"/>
          <w:szCs w:val="24"/>
        </w:rPr>
        <w:t>income...</w:t>
      </w:r>
      <w:r w:rsidRPr="003931D3">
        <w:rPr>
          <w:rFonts w:asciiTheme="majorBidi" w:hAnsiTheme="majorBidi" w:cstheme="majorBidi"/>
          <w:sz w:val="24"/>
          <w:szCs w:val="24"/>
        </w:rPr>
        <w:t xml:space="preserve">everything can qualify them for their future job or life. This type of motivation is especially evident for nursing majors at Medical University, who do not need to pursue further education and can obtain employment as qualified graduates upon graduation. </w:t>
      </w:r>
      <w:proofErr w:type="gramStart"/>
      <w:r w:rsidRPr="003931D3">
        <w:rPr>
          <w:rFonts w:asciiTheme="majorBidi" w:hAnsiTheme="majorBidi" w:cstheme="majorBidi"/>
          <w:sz w:val="24"/>
          <w:szCs w:val="24"/>
        </w:rPr>
        <w:t>So</w:t>
      </w:r>
      <w:proofErr w:type="gramEnd"/>
      <w:r w:rsidRPr="003931D3">
        <w:rPr>
          <w:rFonts w:asciiTheme="majorBidi" w:hAnsiTheme="majorBidi" w:cstheme="majorBidi"/>
          <w:sz w:val="24"/>
          <w:szCs w:val="24"/>
        </w:rPr>
        <w:t xml:space="preserve"> SLA is merely a means for them to obtain other advantages. They do not participate in class activities and communicate with their foreign teachers after class only infrequently. As an example of integrative motivation, consider clinical majors: since </w:t>
      </w:r>
      <w:r w:rsidR="006A13E2" w:rsidRPr="003931D3">
        <w:rPr>
          <w:rFonts w:asciiTheme="majorBidi" w:hAnsiTheme="majorBidi" w:cstheme="majorBidi"/>
          <w:sz w:val="24"/>
          <w:szCs w:val="24"/>
        </w:rPr>
        <w:t>most of</w:t>
      </w:r>
      <w:r w:rsidRPr="003931D3">
        <w:rPr>
          <w:rFonts w:asciiTheme="majorBidi" w:hAnsiTheme="majorBidi" w:cstheme="majorBidi"/>
          <w:sz w:val="24"/>
          <w:szCs w:val="24"/>
        </w:rPr>
        <w:t xml:space="preserve"> them will pursue postgraduate study or study abroad, they pay little attention to achieving a single objective and instead concentrate on enhancing their comprehensive English skills. They are always engaged in class activities and after-class English activities, such as oral or written English contests. In addition, they wish to be endorsed by their foreign teachers and enjoy communicating with them. The performances of these two majors highlight the distinctions between two types of motivation.</w:t>
      </w:r>
    </w:p>
    <w:p w14:paraId="1179E4AB" w14:textId="77777777" w:rsidR="003931D3" w:rsidRPr="003931D3" w:rsidRDefault="003931D3" w:rsidP="00DA4A50">
      <w:pPr>
        <w:tabs>
          <w:tab w:val="left" w:pos="426"/>
        </w:tabs>
        <w:spacing w:before="60" w:after="200" w:line="360" w:lineRule="auto"/>
        <w:jc w:val="both"/>
        <w:rPr>
          <w:rFonts w:asciiTheme="majorBidi" w:hAnsiTheme="majorBidi" w:cstheme="majorBidi"/>
          <w:sz w:val="24"/>
          <w:szCs w:val="24"/>
        </w:rPr>
      </w:pPr>
    </w:p>
    <w:p w14:paraId="611B064F" w14:textId="0C462068" w:rsidR="003931D3" w:rsidRPr="008056AF" w:rsidRDefault="003931D3" w:rsidP="00DA4A50">
      <w:pPr>
        <w:tabs>
          <w:tab w:val="left" w:pos="426"/>
        </w:tabs>
        <w:spacing w:before="60" w:after="200" w:line="360" w:lineRule="auto"/>
        <w:jc w:val="both"/>
        <w:rPr>
          <w:rFonts w:asciiTheme="majorBidi" w:hAnsiTheme="majorBidi" w:cstheme="majorBidi"/>
          <w:sz w:val="24"/>
          <w:szCs w:val="24"/>
        </w:rPr>
      </w:pPr>
      <w:r w:rsidRPr="003931D3">
        <w:rPr>
          <w:rFonts w:asciiTheme="majorBidi" w:hAnsiTheme="majorBidi" w:cstheme="majorBidi"/>
          <w:sz w:val="24"/>
          <w:szCs w:val="24"/>
        </w:rPr>
        <w:t>Individual Differences are the most discussed and researched factors that have a special bearing on second language acquisition. Even though there are arguments and challenges against them by researchers with different points of view, they continue to be important in the field of SLA; therefore, it is crucial that practitioners have a better understanding of them in order to provide better learning experiences for students and make the language learning process more engaging and effective.</w:t>
      </w:r>
    </w:p>
    <w:p w14:paraId="45734866" w14:textId="77777777" w:rsidR="00B76FF8" w:rsidRDefault="00B76FF8" w:rsidP="00B76FF8">
      <w:pPr>
        <w:pStyle w:val="Normal1"/>
        <w:widowControl w:val="0"/>
        <w:pBdr>
          <w:top w:val="nil"/>
          <w:left w:val="nil"/>
          <w:bottom w:val="nil"/>
          <w:right w:val="nil"/>
          <w:between w:val="nil"/>
        </w:pBdr>
        <w:spacing w:before="100" w:after="10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References</w:t>
      </w:r>
    </w:p>
    <w:p w14:paraId="72AD3C5B" w14:textId="77777777" w:rsidR="00B76FF8" w:rsidRPr="00E62735"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proofErr w:type="spellStart"/>
      <w:r w:rsidRPr="00E62735">
        <w:rPr>
          <w:rFonts w:asciiTheme="majorBidi" w:eastAsia="Times New Roman" w:hAnsiTheme="majorBidi" w:cstheme="majorBidi"/>
          <w:color w:val="000000"/>
        </w:rPr>
        <w:t>Abhakorn</w:t>
      </w:r>
      <w:proofErr w:type="spellEnd"/>
      <w:r w:rsidRPr="00E62735">
        <w:rPr>
          <w:rFonts w:asciiTheme="majorBidi" w:eastAsia="Times New Roman" w:hAnsiTheme="majorBidi" w:cstheme="majorBidi"/>
          <w:color w:val="000000"/>
        </w:rPr>
        <w:t xml:space="preserve">, J. (2008). The implications of learner strategies for second or foreign language teaching. </w:t>
      </w:r>
      <w:r w:rsidRPr="00E62735">
        <w:rPr>
          <w:rFonts w:asciiTheme="majorBidi" w:eastAsia="Times New Roman" w:hAnsiTheme="majorBidi" w:cstheme="majorBidi"/>
          <w:i/>
          <w:color w:val="000000"/>
        </w:rPr>
        <w:t>ARECLS</w:t>
      </w:r>
      <w:r w:rsidRPr="00E62735">
        <w:rPr>
          <w:rFonts w:asciiTheme="majorBidi" w:eastAsia="Times New Roman" w:hAnsiTheme="majorBidi" w:cstheme="majorBidi"/>
          <w:color w:val="000000"/>
        </w:rPr>
        <w:t>, 2008, Vol.5</w:t>
      </w:r>
    </w:p>
    <w:p w14:paraId="7AF15DF3" w14:textId="77777777" w:rsidR="00B76FF8" w:rsidRPr="00E62735"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proofErr w:type="spellStart"/>
      <w:r w:rsidRPr="00E62735">
        <w:rPr>
          <w:rFonts w:asciiTheme="majorBidi" w:eastAsia="Times New Roman" w:hAnsiTheme="majorBidi" w:cstheme="majorBidi"/>
          <w:color w:val="000000"/>
        </w:rPr>
        <w:t>Dornyei</w:t>
      </w:r>
      <w:proofErr w:type="spellEnd"/>
      <w:r w:rsidRPr="00E62735">
        <w:rPr>
          <w:rFonts w:asciiTheme="majorBidi" w:eastAsia="Times New Roman" w:hAnsiTheme="majorBidi" w:cstheme="majorBidi"/>
          <w:color w:val="000000"/>
        </w:rPr>
        <w:t xml:space="preserve">, Z. (2005). </w:t>
      </w:r>
      <w:r w:rsidRPr="00E62735">
        <w:rPr>
          <w:rFonts w:asciiTheme="majorBidi" w:eastAsia="Times New Roman" w:hAnsiTheme="majorBidi" w:cstheme="majorBidi"/>
          <w:i/>
          <w:color w:val="000000"/>
        </w:rPr>
        <w:t>The Psychology of the Language Learner</w:t>
      </w:r>
      <w:r w:rsidRPr="00E62735">
        <w:rPr>
          <w:rFonts w:asciiTheme="majorBidi" w:eastAsia="Times New Roman" w:hAnsiTheme="majorBidi" w:cstheme="majorBidi"/>
          <w:color w:val="000000"/>
        </w:rPr>
        <w:t>. Lawrence Erlbaum</w:t>
      </w:r>
    </w:p>
    <w:p w14:paraId="18AE2CE4" w14:textId="77777777" w:rsidR="00B76FF8" w:rsidRPr="00E62735"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proofErr w:type="spellStart"/>
      <w:r w:rsidRPr="00E62735">
        <w:rPr>
          <w:rFonts w:asciiTheme="majorBidi" w:eastAsia="Times New Roman" w:hAnsiTheme="majorBidi" w:cstheme="majorBidi"/>
          <w:color w:val="000000"/>
        </w:rPr>
        <w:t>Ehrman</w:t>
      </w:r>
      <w:proofErr w:type="spellEnd"/>
      <w:r w:rsidRPr="00E62735">
        <w:rPr>
          <w:rFonts w:asciiTheme="majorBidi" w:eastAsia="Times New Roman" w:hAnsiTheme="majorBidi" w:cstheme="majorBidi"/>
          <w:color w:val="000000"/>
        </w:rPr>
        <w:t xml:space="preserve">, Madeline E., Leaver, B.L., &amp; Oxford, Rebecca L. (2003). </w:t>
      </w:r>
      <w:r w:rsidRPr="00E62735">
        <w:rPr>
          <w:rFonts w:asciiTheme="majorBidi" w:eastAsia="Times New Roman" w:hAnsiTheme="majorBidi" w:cstheme="majorBidi"/>
          <w:i/>
          <w:color w:val="000000"/>
        </w:rPr>
        <w:t>A brief overview of individual differences in second language learning</w:t>
      </w:r>
      <w:r w:rsidRPr="00E62735">
        <w:rPr>
          <w:rFonts w:asciiTheme="majorBidi" w:eastAsia="Times New Roman" w:hAnsiTheme="majorBidi" w:cstheme="majorBidi"/>
          <w:color w:val="000000"/>
        </w:rPr>
        <w:t>. Elsevier Ltd.</w:t>
      </w:r>
    </w:p>
    <w:p w14:paraId="6CFCD2CF" w14:textId="77777777" w:rsidR="00B76FF8" w:rsidRPr="00E62735"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r w:rsidRPr="00E62735">
        <w:rPr>
          <w:rFonts w:asciiTheme="majorBidi" w:eastAsia="Times New Roman" w:hAnsiTheme="majorBidi" w:cstheme="majorBidi"/>
          <w:color w:val="000000"/>
        </w:rPr>
        <w:t xml:space="preserve">Ellis, R. (1985). </w:t>
      </w:r>
      <w:r w:rsidRPr="00E62735">
        <w:rPr>
          <w:rFonts w:asciiTheme="majorBidi" w:eastAsia="Times New Roman" w:hAnsiTheme="majorBidi" w:cstheme="majorBidi"/>
          <w:i/>
          <w:color w:val="000000"/>
        </w:rPr>
        <w:t>Understanding Second Language Acquisition</w:t>
      </w:r>
      <w:r w:rsidRPr="00E62735">
        <w:rPr>
          <w:rFonts w:asciiTheme="majorBidi" w:eastAsia="Times New Roman" w:hAnsiTheme="majorBidi" w:cstheme="majorBidi"/>
          <w:color w:val="000000"/>
        </w:rPr>
        <w:t>. OUP</w:t>
      </w:r>
    </w:p>
    <w:p w14:paraId="6F912D5C" w14:textId="115DA4C0" w:rsidR="00E62735" w:rsidRPr="00E62735" w:rsidRDefault="00E62735" w:rsidP="00B76FF8">
      <w:pPr>
        <w:pStyle w:val="Normal1"/>
        <w:widowControl w:val="0"/>
        <w:pBdr>
          <w:top w:val="nil"/>
          <w:left w:val="nil"/>
          <w:bottom w:val="nil"/>
          <w:right w:val="nil"/>
          <w:between w:val="nil"/>
        </w:pBdr>
        <w:spacing w:before="100" w:after="100" w:line="360" w:lineRule="auto"/>
        <w:rPr>
          <w:rFonts w:asciiTheme="majorBidi" w:hAnsiTheme="majorBidi" w:cstheme="majorBidi"/>
          <w:sz w:val="24"/>
          <w:szCs w:val="24"/>
        </w:rPr>
      </w:pPr>
      <w:r w:rsidRPr="00E62735">
        <w:rPr>
          <w:rFonts w:asciiTheme="majorBidi" w:hAnsiTheme="majorBidi" w:cstheme="majorBidi"/>
          <w:sz w:val="24"/>
          <w:szCs w:val="24"/>
        </w:rPr>
        <w:t xml:space="preserve">Gardner, R. (1985) </w:t>
      </w:r>
      <w:r w:rsidRPr="00E62735">
        <w:rPr>
          <w:rFonts w:asciiTheme="majorBidi" w:hAnsiTheme="majorBidi" w:cstheme="majorBidi"/>
          <w:i/>
          <w:iCs/>
          <w:sz w:val="24"/>
          <w:szCs w:val="24"/>
        </w:rPr>
        <w:t>Social Psychology and Second Language Learning: The Role of Attitudes and Motivation</w:t>
      </w:r>
      <w:r w:rsidRPr="00E62735">
        <w:rPr>
          <w:rFonts w:asciiTheme="majorBidi" w:hAnsiTheme="majorBidi" w:cstheme="majorBidi"/>
          <w:sz w:val="24"/>
          <w:szCs w:val="24"/>
        </w:rPr>
        <w:t>. London: Edward Arnold.</w:t>
      </w:r>
    </w:p>
    <w:p w14:paraId="34A8FAD5" w14:textId="4DDB4274" w:rsidR="00E62735" w:rsidRPr="00E62735" w:rsidRDefault="00E62735"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proofErr w:type="spellStart"/>
      <w:r w:rsidRPr="00E62735">
        <w:rPr>
          <w:rFonts w:asciiTheme="majorBidi" w:hAnsiTheme="majorBidi" w:cstheme="majorBidi"/>
        </w:rPr>
        <w:t>Obler</w:t>
      </w:r>
      <w:proofErr w:type="spellEnd"/>
      <w:r w:rsidRPr="00E62735">
        <w:rPr>
          <w:rFonts w:asciiTheme="majorBidi" w:hAnsiTheme="majorBidi" w:cstheme="majorBidi"/>
        </w:rPr>
        <w:t xml:space="preserve">, L. (1989) ‘Exceptional second language learners’, in </w:t>
      </w:r>
      <w:proofErr w:type="spellStart"/>
      <w:r w:rsidRPr="00E62735">
        <w:rPr>
          <w:rFonts w:asciiTheme="majorBidi" w:hAnsiTheme="majorBidi" w:cstheme="majorBidi"/>
        </w:rPr>
        <w:t>Gass</w:t>
      </w:r>
      <w:proofErr w:type="spellEnd"/>
      <w:r w:rsidRPr="00E62735">
        <w:rPr>
          <w:rFonts w:asciiTheme="majorBidi" w:hAnsiTheme="majorBidi" w:cstheme="majorBidi"/>
        </w:rPr>
        <w:t xml:space="preserve">, S., Madden, C., Preston, D. and </w:t>
      </w:r>
      <w:proofErr w:type="spellStart"/>
      <w:r w:rsidRPr="00E62735">
        <w:rPr>
          <w:rFonts w:asciiTheme="majorBidi" w:hAnsiTheme="majorBidi" w:cstheme="majorBidi"/>
        </w:rPr>
        <w:t>Selinker</w:t>
      </w:r>
      <w:proofErr w:type="spellEnd"/>
      <w:r w:rsidRPr="00E62735">
        <w:rPr>
          <w:rFonts w:asciiTheme="majorBidi" w:hAnsiTheme="majorBidi" w:cstheme="majorBidi"/>
        </w:rPr>
        <w:t>, L. (eds.) Variation in Second Language Acquisition, Vol. 11: Psycholinguistic Issues.</w:t>
      </w:r>
    </w:p>
    <w:p w14:paraId="4E2ADA96" w14:textId="5F4351E0" w:rsidR="00B76FF8" w:rsidRPr="00E62735"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r w:rsidRPr="00E62735">
        <w:rPr>
          <w:rFonts w:asciiTheme="majorBidi" w:eastAsia="Times New Roman" w:hAnsiTheme="majorBidi" w:cstheme="majorBidi"/>
          <w:color w:val="000000"/>
        </w:rPr>
        <w:t xml:space="preserve">Juvonen, J. &amp; Wentzel, Kathryn R. (1996). </w:t>
      </w:r>
      <w:r w:rsidRPr="00E62735">
        <w:rPr>
          <w:rFonts w:asciiTheme="majorBidi" w:eastAsia="Times New Roman" w:hAnsiTheme="majorBidi" w:cstheme="majorBidi"/>
          <w:i/>
          <w:color w:val="000000"/>
        </w:rPr>
        <w:t>Understanding Children’s School Adjustment</w:t>
      </w:r>
      <w:r w:rsidRPr="00E62735">
        <w:rPr>
          <w:rFonts w:asciiTheme="majorBidi" w:eastAsia="Times New Roman" w:hAnsiTheme="majorBidi" w:cstheme="majorBidi"/>
          <w:color w:val="000000"/>
        </w:rPr>
        <w:t>. OUP</w:t>
      </w:r>
    </w:p>
    <w:p w14:paraId="5D109D42" w14:textId="10ADF177" w:rsidR="00B76FF8" w:rsidRDefault="00B76FF8"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r w:rsidRPr="00E62735">
        <w:rPr>
          <w:rFonts w:asciiTheme="majorBidi" w:eastAsia="Times New Roman" w:hAnsiTheme="majorBidi" w:cstheme="majorBidi"/>
          <w:color w:val="000000"/>
        </w:rPr>
        <w:t xml:space="preserve">Langford, Peter E. (2005) </w:t>
      </w:r>
      <w:r w:rsidRPr="00E62735">
        <w:rPr>
          <w:rFonts w:asciiTheme="majorBidi" w:eastAsia="Times New Roman" w:hAnsiTheme="majorBidi" w:cstheme="majorBidi"/>
          <w:i/>
          <w:color w:val="000000"/>
        </w:rPr>
        <w:t>Vygotsky’s developmental and educational psychology</w:t>
      </w:r>
      <w:r w:rsidRPr="00E62735">
        <w:rPr>
          <w:rFonts w:asciiTheme="majorBidi" w:eastAsia="Times New Roman" w:hAnsiTheme="majorBidi" w:cstheme="majorBidi"/>
          <w:color w:val="000000"/>
        </w:rPr>
        <w:t xml:space="preserve">. Psychology Press </w:t>
      </w:r>
    </w:p>
    <w:p w14:paraId="7C151255" w14:textId="22D4A079" w:rsidR="00E73ECA" w:rsidRPr="00E73ECA" w:rsidRDefault="00E73ECA"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sz w:val="24"/>
          <w:szCs w:val="24"/>
        </w:rPr>
      </w:pPr>
      <w:proofErr w:type="spellStart"/>
      <w:r w:rsidRPr="00E73ECA">
        <w:rPr>
          <w:rFonts w:asciiTheme="majorBidi" w:hAnsiTheme="majorBidi" w:cstheme="majorBidi"/>
          <w:sz w:val="24"/>
          <w:szCs w:val="24"/>
        </w:rPr>
        <w:t>Skehan</w:t>
      </w:r>
      <w:proofErr w:type="spellEnd"/>
      <w:r w:rsidRPr="00E73ECA">
        <w:rPr>
          <w:rFonts w:asciiTheme="majorBidi" w:hAnsiTheme="majorBidi" w:cstheme="majorBidi"/>
          <w:sz w:val="24"/>
          <w:szCs w:val="24"/>
        </w:rPr>
        <w:t xml:space="preserve">, P. (1989). </w:t>
      </w:r>
      <w:r w:rsidRPr="00E73ECA">
        <w:rPr>
          <w:rFonts w:asciiTheme="majorBidi" w:hAnsiTheme="majorBidi" w:cstheme="majorBidi"/>
          <w:i/>
          <w:iCs/>
          <w:sz w:val="24"/>
          <w:szCs w:val="24"/>
        </w:rPr>
        <w:t>Individual Differences in Second-Language Learning</w:t>
      </w:r>
      <w:r w:rsidRPr="00E73ECA">
        <w:rPr>
          <w:rFonts w:asciiTheme="majorBidi" w:hAnsiTheme="majorBidi" w:cstheme="majorBidi"/>
          <w:sz w:val="24"/>
          <w:szCs w:val="24"/>
        </w:rPr>
        <w:t>. London: Edward Arnold.</w:t>
      </w:r>
    </w:p>
    <w:p w14:paraId="55DB01A7" w14:textId="77777777" w:rsidR="00E62735" w:rsidRPr="00E62735" w:rsidRDefault="00E62735" w:rsidP="00B76FF8">
      <w:pPr>
        <w:pStyle w:val="Normal1"/>
        <w:widowControl w:val="0"/>
        <w:pBdr>
          <w:top w:val="nil"/>
          <w:left w:val="nil"/>
          <w:bottom w:val="nil"/>
          <w:right w:val="nil"/>
          <w:between w:val="nil"/>
        </w:pBdr>
        <w:spacing w:before="100" w:after="100" w:line="360" w:lineRule="auto"/>
        <w:rPr>
          <w:rFonts w:asciiTheme="majorBidi" w:eastAsia="Times New Roman" w:hAnsiTheme="majorBidi" w:cstheme="majorBidi"/>
          <w:color w:val="000000"/>
        </w:rPr>
      </w:pPr>
    </w:p>
    <w:p w14:paraId="60E4D43F" w14:textId="77777777" w:rsidR="00B76FF8" w:rsidRPr="006A2B15" w:rsidRDefault="00B76FF8" w:rsidP="00B76FF8">
      <w:pPr>
        <w:tabs>
          <w:tab w:val="left" w:pos="426"/>
        </w:tabs>
        <w:spacing w:before="60" w:after="200" w:line="360" w:lineRule="auto"/>
        <w:ind w:left="720"/>
        <w:rPr>
          <w:lang w:val="en-US"/>
        </w:rPr>
      </w:pPr>
    </w:p>
    <w:p w14:paraId="26CD9220" w14:textId="376BA846" w:rsidR="00B10E1E" w:rsidRDefault="00B10E1E" w:rsidP="00B76FF8">
      <w:pPr>
        <w:tabs>
          <w:tab w:val="left" w:pos="426"/>
        </w:tabs>
        <w:spacing w:before="60" w:after="200" w:line="360" w:lineRule="auto"/>
        <w:ind w:left="720"/>
      </w:pPr>
    </w:p>
    <w:p w14:paraId="15611FDC" w14:textId="77777777" w:rsidR="006D745B" w:rsidRDefault="006D745B" w:rsidP="00B76FF8"/>
    <w:sectPr w:rsidR="006D7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45B"/>
    <w:rsid w:val="00071AEF"/>
    <w:rsid w:val="000E06E4"/>
    <w:rsid w:val="00100BE9"/>
    <w:rsid w:val="001151C9"/>
    <w:rsid w:val="00166F2F"/>
    <w:rsid w:val="002A45C6"/>
    <w:rsid w:val="00306549"/>
    <w:rsid w:val="003416BA"/>
    <w:rsid w:val="003931D3"/>
    <w:rsid w:val="00400F13"/>
    <w:rsid w:val="00576E50"/>
    <w:rsid w:val="006025AA"/>
    <w:rsid w:val="006A13E2"/>
    <w:rsid w:val="006A2B15"/>
    <w:rsid w:val="006B244C"/>
    <w:rsid w:val="006D18CC"/>
    <w:rsid w:val="006D745B"/>
    <w:rsid w:val="00752FBF"/>
    <w:rsid w:val="007E5502"/>
    <w:rsid w:val="008056AF"/>
    <w:rsid w:val="00862630"/>
    <w:rsid w:val="008E2F25"/>
    <w:rsid w:val="00971668"/>
    <w:rsid w:val="009D0C4B"/>
    <w:rsid w:val="00A675B3"/>
    <w:rsid w:val="00B10E1E"/>
    <w:rsid w:val="00B76FF8"/>
    <w:rsid w:val="00D93823"/>
    <w:rsid w:val="00DA4A50"/>
    <w:rsid w:val="00E62735"/>
    <w:rsid w:val="00E73ECA"/>
    <w:rsid w:val="00EA13F3"/>
    <w:rsid w:val="00F975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440D"/>
  <w15:chartTrackingRefBased/>
  <w15:docId w15:val="{63044AB9-8D12-4A42-98FA-080979212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45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A2B15"/>
    <w:pPr>
      <w:spacing w:after="0" w:line="276" w:lineRule="auto"/>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1315</TotalTime>
  <Pages>7</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Allali (2122090)</dc:creator>
  <cp:keywords/>
  <dc:description/>
  <cp:lastModifiedBy>Mohamed Allali (2122090)</cp:lastModifiedBy>
  <cp:revision>16</cp:revision>
  <dcterms:created xsi:type="dcterms:W3CDTF">2022-05-24T13:35:00Z</dcterms:created>
  <dcterms:modified xsi:type="dcterms:W3CDTF">2022-05-31T16:02:00Z</dcterms:modified>
</cp:coreProperties>
</file>